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1098"/>
        <w:gridCol w:w="5776"/>
        <w:gridCol w:w="1216"/>
      </w:tblGrid>
      <w:tr w:rsidR="00377937" w14:paraId="50ECD722" w14:textId="77777777" w:rsidTr="00215210">
        <w:tc>
          <w:tcPr>
            <w:tcW w:w="1260" w:type="dxa"/>
          </w:tcPr>
          <w:p w14:paraId="326DBC75" w14:textId="77777777" w:rsidR="00377937" w:rsidRDefault="00377937" w:rsidP="00215210">
            <w:pPr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Risk Factor</w:t>
            </w:r>
          </w:p>
        </w:tc>
        <w:tc>
          <w:tcPr>
            <w:tcW w:w="1098" w:type="dxa"/>
          </w:tcPr>
          <w:p w14:paraId="36E3A3EE" w14:textId="77777777" w:rsidR="00377937" w:rsidRDefault="00377937" w:rsidP="00215210">
            <w:pPr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5776" w:type="dxa"/>
          </w:tcPr>
          <w:p w14:paraId="5614A99E" w14:textId="77777777" w:rsidR="00377937" w:rsidRDefault="00377937" w:rsidP="00215210">
            <w:pPr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Explanation</w:t>
            </w:r>
          </w:p>
        </w:tc>
        <w:tc>
          <w:tcPr>
            <w:tcW w:w="1216" w:type="dxa"/>
          </w:tcPr>
          <w:p w14:paraId="71BBE92A" w14:textId="77777777" w:rsidR="00377937" w:rsidRDefault="00377937" w:rsidP="00215210">
            <w:pPr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Relative Influence</w:t>
            </w:r>
          </w:p>
        </w:tc>
      </w:tr>
      <w:tr w:rsidR="00377937" w14:paraId="1F1DBB3E" w14:textId="77777777" w:rsidTr="00215210">
        <w:tc>
          <w:tcPr>
            <w:tcW w:w="1260" w:type="dxa"/>
          </w:tcPr>
          <w:p w14:paraId="29061C54" w14:textId="77777777" w:rsidR="00377937" w:rsidRDefault="00377937" w:rsidP="0021521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Vehicle Use</w:t>
            </w:r>
          </w:p>
        </w:tc>
        <w:tc>
          <w:tcPr>
            <w:tcW w:w="1098" w:type="dxa"/>
          </w:tcPr>
          <w:p w14:paraId="6A798859" w14:textId="77777777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Personal</w:t>
            </w:r>
          </w:p>
        </w:tc>
        <w:tc>
          <w:tcPr>
            <w:tcW w:w="5776" w:type="dxa"/>
          </w:tcPr>
          <w:p w14:paraId="5370A342" w14:textId="77777777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Personal use vehicles generally have predictable driving patterns and lower mileage compared to commercial vehicles, reducing accident exposure.</w:t>
            </w:r>
          </w:p>
        </w:tc>
        <w:tc>
          <w:tcPr>
            <w:tcW w:w="1216" w:type="dxa"/>
          </w:tcPr>
          <w:p w14:paraId="23340E85" w14:textId="77777777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Low</w:t>
            </w:r>
          </w:p>
        </w:tc>
      </w:tr>
      <w:tr w:rsidR="00377937" w14:paraId="783235A2" w14:textId="77777777" w:rsidTr="00215210">
        <w:tc>
          <w:tcPr>
            <w:tcW w:w="1260" w:type="dxa"/>
          </w:tcPr>
          <w:p w14:paraId="52A4F278" w14:textId="77777777" w:rsidR="00377937" w:rsidRDefault="00377937" w:rsidP="0021521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Driver Age</w:t>
            </w:r>
          </w:p>
        </w:tc>
        <w:tc>
          <w:tcPr>
            <w:tcW w:w="1098" w:type="dxa"/>
          </w:tcPr>
          <w:p w14:paraId="1CF6C13C" w14:textId="77777777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 years</w:t>
            </w:r>
          </w:p>
        </w:tc>
        <w:tc>
          <w:tcPr>
            <w:tcW w:w="5776" w:type="dxa"/>
          </w:tcPr>
          <w:p w14:paraId="415FD3E4" w14:textId="589F33E6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Drivers in this age group typically demonstrate mature decision-making and stable driving </w:t>
            </w:r>
            <w:r w:rsidR="00540CC8">
              <w:rPr>
                <w:color w:val="000000"/>
                <w:sz w:val="18"/>
                <w:szCs w:val="18"/>
              </w:rPr>
              <w:t>behaviour</w:t>
            </w:r>
            <w:bookmarkStart w:id="0" w:name="_GoBack"/>
            <w:bookmarkEnd w:id="0"/>
            <w:r>
              <w:rPr>
                <w:color w:val="000000"/>
                <w:sz w:val="18"/>
                <w:szCs w:val="18"/>
              </w:rPr>
              <w:t>, resulting in fewer high-severity claims.</w:t>
            </w:r>
          </w:p>
        </w:tc>
        <w:tc>
          <w:tcPr>
            <w:tcW w:w="1216" w:type="dxa"/>
          </w:tcPr>
          <w:p w14:paraId="1450BB68" w14:textId="77777777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Low</w:t>
            </w:r>
          </w:p>
        </w:tc>
      </w:tr>
      <w:tr w:rsidR="00377937" w14:paraId="215D6C67" w14:textId="77777777" w:rsidTr="00215210">
        <w:tc>
          <w:tcPr>
            <w:tcW w:w="1260" w:type="dxa"/>
          </w:tcPr>
          <w:p w14:paraId="3940722D" w14:textId="77777777" w:rsidR="00377937" w:rsidRDefault="00377937" w:rsidP="0021521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Vehicle Age</w:t>
            </w:r>
          </w:p>
        </w:tc>
        <w:tc>
          <w:tcPr>
            <w:tcW w:w="1098" w:type="dxa"/>
          </w:tcPr>
          <w:p w14:paraId="7868F898" w14:textId="77777777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 years</w:t>
            </w:r>
          </w:p>
        </w:tc>
        <w:tc>
          <w:tcPr>
            <w:tcW w:w="5776" w:type="dxa"/>
          </w:tcPr>
          <w:p w14:paraId="6E15CDA9" w14:textId="77777777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Vehicles older than 5 years may experience wear-related mechanical failures, increasing maintenance costs and claim frequency.</w:t>
            </w:r>
          </w:p>
        </w:tc>
        <w:tc>
          <w:tcPr>
            <w:tcW w:w="1216" w:type="dxa"/>
          </w:tcPr>
          <w:p w14:paraId="557FC2B5" w14:textId="77777777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Medium</w:t>
            </w:r>
          </w:p>
        </w:tc>
      </w:tr>
      <w:tr w:rsidR="00377937" w14:paraId="64BA81B4" w14:textId="77777777" w:rsidTr="00215210">
        <w:tc>
          <w:tcPr>
            <w:tcW w:w="1260" w:type="dxa"/>
          </w:tcPr>
          <w:p w14:paraId="18146C4F" w14:textId="77777777" w:rsidR="00377937" w:rsidRDefault="00377937" w:rsidP="0021521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Sum Insured</w:t>
            </w:r>
          </w:p>
        </w:tc>
        <w:tc>
          <w:tcPr>
            <w:tcW w:w="1098" w:type="dxa"/>
          </w:tcPr>
          <w:p w14:paraId="628BD1B6" w14:textId="77777777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PKR 7,000,000</w:t>
            </w:r>
          </w:p>
        </w:tc>
        <w:tc>
          <w:tcPr>
            <w:tcW w:w="5776" w:type="dxa"/>
          </w:tcPr>
          <w:p w14:paraId="28F92A1B" w14:textId="77777777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High insured value increases claim severity and insurer liability in the event of theft, total loss, or major damage.</w:t>
            </w:r>
          </w:p>
        </w:tc>
        <w:tc>
          <w:tcPr>
            <w:tcW w:w="1216" w:type="dxa"/>
          </w:tcPr>
          <w:p w14:paraId="79D1125D" w14:textId="77777777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High</w:t>
            </w:r>
          </w:p>
        </w:tc>
      </w:tr>
      <w:tr w:rsidR="00377937" w14:paraId="64F42A33" w14:textId="77777777" w:rsidTr="00215210">
        <w:tc>
          <w:tcPr>
            <w:tcW w:w="1260" w:type="dxa"/>
          </w:tcPr>
          <w:p w14:paraId="620EC369" w14:textId="77777777" w:rsidR="00377937" w:rsidRDefault="00377937" w:rsidP="0021521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Risk Score Outcome</w:t>
            </w:r>
          </w:p>
        </w:tc>
        <w:tc>
          <w:tcPr>
            <w:tcW w:w="1098" w:type="dxa"/>
          </w:tcPr>
          <w:p w14:paraId="6B6B77FF" w14:textId="77777777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2.20</w:t>
            </w:r>
          </w:p>
        </w:tc>
        <w:tc>
          <w:tcPr>
            <w:tcW w:w="5776" w:type="dxa"/>
          </w:tcPr>
          <w:p w14:paraId="14E75E36" w14:textId="77777777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The cumulative effect of moderate vehicle risk and high financial exposure outweighs the low-risk driver and usage profile.</w:t>
            </w:r>
          </w:p>
        </w:tc>
        <w:tc>
          <w:tcPr>
            <w:tcW w:w="1216" w:type="dxa"/>
          </w:tcPr>
          <w:p w14:paraId="0B15F8BD" w14:textId="77777777" w:rsidR="00377937" w:rsidRDefault="00377937" w:rsidP="00215210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Low to Moderate</w:t>
            </w:r>
          </w:p>
        </w:tc>
      </w:tr>
    </w:tbl>
    <w:p w14:paraId="0DEF0EA6" w14:textId="4B4F0B35" w:rsidR="003F6E6F" w:rsidRPr="00377937" w:rsidRDefault="00540CC8" w:rsidP="00377937"/>
    <w:sectPr w:rsidR="003F6E6F" w:rsidRPr="00377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C4"/>
    <w:rsid w:val="00116CC4"/>
    <w:rsid w:val="00254460"/>
    <w:rsid w:val="00377937"/>
    <w:rsid w:val="00540CC8"/>
    <w:rsid w:val="006268CC"/>
    <w:rsid w:val="00A5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B504"/>
  <w15:chartTrackingRefBased/>
  <w15:docId w15:val="{18D03288-0E24-43C8-8D3F-1593F39A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7937"/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Asif Iqbal</dc:creator>
  <cp:keywords/>
  <dc:description/>
  <cp:lastModifiedBy>M Asif Iqbal</cp:lastModifiedBy>
  <cp:revision>5</cp:revision>
  <dcterms:created xsi:type="dcterms:W3CDTF">2026-10-27T12:07:00Z</dcterms:created>
  <dcterms:modified xsi:type="dcterms:W3CDTF">2026-10-27T12:07:00Z</dcterms:modified>
</cp:coreProperties>
</file>