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709"/>
        <w:gridCol w:w="850"/>
        <w:gridCol w:w="709"/>
        <w:gridCol w:w="709"/>
        <w:gridCol w:w="709"/>
        <w:gridCol w:w="1695"/>
        <w:gridCol w:w="2268"/>
      </w:tblGrid>
      <w:tr w:rsidR="00F5659F" w:rsidRPr="008221D0" w14:paraId="0B8D565F" w14:textId="77777777" w:rsidTr="00215210">
        <w:trPr>
          <w:trHeight w:val="233"/>
          <w:jc w:val="center"/>
        </w:trPr>
        <w:tc>
          <w:tcPr>
            <w:tcW w:w="993" w:type="dxa"/>
          </w:tcPr>
          <w:p w14:paraId="036F9DBA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372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1417" w:type="dxa"/>
          </w:tcPr>
          <w:p w14:paraId="6C02A735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B54A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Insurance domain/target</w:t>
            </w:r>
          </w:p>
        </w:tc>
        <w:tc>
          <w:tcPr>
            <w:tcW w:w="1276" w:type="dxa"/>
          </w:tcPr>
          <w:p w14:paraId="3CD596C3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372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709" w:type="dxa"/>
          </w:tcPr>
          <w:p w14:paraId="69059014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LLM</w:t>
            </w:r>
          </w:p>
        </w:tc>
        <w:tc>
          <w:tcPr>
            <w:tcW w:w="850" w:type="dxa"/>
          </w:tcPr>
          <w:p w14:paraId="157535EC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372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MSE</w:t>
            </w:r>
          </w:p>
        </w:tc>
        <w:tc>
          <w:tcPr>
            <w:tcW w:w="709" w:type="dxa"/>
          </w:tcPr>
          <w:p w14:paraId="4CA24C5E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372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RMSE</w:t>
            </w:r>
          </w:p>
        </w:tc>
        <w:tc>
          <w:tcPr>
            <w:tcW w:w="709" w:type="dxa"/>
          </w:tcPr>
          <w:p w14:paraId="09587D61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372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MAE</w:t>
            </w:r>
          </w:p>
        </w:tc>
        <w:tc>
          <w:tcPr>
            <w:tcW w:w="709" w:type="dxa"/>
          </w:tcPr>
          <w:p w14:paraId="22CEB3CD" w14:textId="77777777" w:rsidR="00F5659F" w:rsidRPr="00E37213" w:rsidRDefault="00F5659F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372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R²</w:t>
            </w:r>
          </w:p>
        </w:tc>
        <w:tc>
          <w:tcPr>
            <w:tcW w:w="1695" w:type="dxa"/>
          </w:tcPr>
          <w:p w14:paraId="6ED496D6" w14:textId="77777777" w:rsidR="00F5659F" w:rsidRPr="008221D0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Decision-support capability</w:t>
            </w:r>
          </w:p>
        </w:tc>
        <w:tc>
          <w:tcPr>
            <w:tcW w:w="2268" w:type="dxa"/>
          </w:tcPr>
          <w:p w14:paraId="6CAB8800" w14:textId="77777777" w:rsidR="00F5659F" w:rsidRPr="008221D0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Comparability status</w:t>
            </w:r>
          </w:p>
        </w:tc>
      </w:tr>
      <w:tr w:rsidR="00F5659F" w:rsidRPr="004F2819" w14:paraId="5081BE5D" w14:textId="77777777" w:rsidTr="00215210">
        <w:trPr>
          <w:trHeight w:val="269"/>
          <w:jc w:val="center"/>
        </w:trPr>
        <w:tc>
          <w:tcPr>
            <w:tcW w:w="993" w:type="dxa"/>
          </w:tcPr>
          <w:p w14:paraId="4837436B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[28]</w:t>
            </w:r>
          </w:p>
        </w:tc>
        <w:tc>
          <w:tcPr>
            <w:tcW w:w="1417" w:type="dxa"/>
          </w:tcPr>
          <w:p w14:paraId="0B222F99" w14:textId="77777777" w:rsidR="00F5659F" w:rsidRPr="00AB54AB" w:rsidRDefault="00F5659F" w:rsidP="002152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Vehicle-insurance claim frequency and amount</w:t>
            </w:r>
          </w:p>
        </w:tc>
        <w:tc>
          <w:tcPr>
            <w:tcW w:w="1276" w:type="dxa"/>
          </w:tcPr>
          <w:p w14:paraId="3988BE40" w14:textId="77777777" w:rsidR="00F5659F" w:rsidRPr="00AB797A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97783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Gradient Boost</w:t>
            </w:r>
          </w:p>
        </w:tc>
        <w:tc>
          <w:tcPr>
            <w:tcW w:w="709" w:type="dxa"/>
          </w:tcPr>
          <w:p w14:paraId="4DF76388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26B240C9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24422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F6C1379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24422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033C221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97783">
              <w:rPr>
                <w:rFonts w:ascii="Times New Roman" w:hAnsi="Times New Roman" w:cs="Times New Roman"/>
                <w:sz w:val="16"/>
                <w:szCs w:val="16"/>
              </w:rPr>
              <w:t>1955.28</w:t>
            </w:r>
          </w:p>
        </w:tc>
        <w:tc>
          <w:tcPr>
            <w:tcW w:w="709" w:type="dxa"/>
          </w:tcPr>
          <w:p w14:paraId="2CAB362B" w14:textId="77777777" w:rsidR="00F5659F" w:rsidRPr="00C9778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97783">
              <w:rPr>
                <w:rFonts w:ascii="Times New Roman" w:hAnsi="Times New Roman" w:cs="Times New Roman"/>
                <w:sz w:val="16"/>
                <w:szCs w:val="16"/>
              </w:rPr>
              <w:t>0.43</w:t>
            </w:r>
          </w:p>
        </w:tc>
        <w:tc>
          <w:tcPr>
            <w:tcW w:w="1695" w:type="dxa"/>
          </w:tcPr>
          <w:p w14:paraId="3F49E2B8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Claim prediction</w:t>
            </w:r>
          </w:p>
        </w:tc>
        <w:tc>
          <w:tcPr>
            <w:tcW w:w="2268" w:type="dxa"/>
          </w:tcPr>
          <w:p w14:paraId="108B712E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claim target and data scale</w:t>
            </w:r>
          </w:p>
        </w:tc>
      </w:tr>
      <w:tr w:rsidR="00F5659F" w:rsidRPr="004F2819" w14:paraId="4F69A15B" w14:textId="77777777" w:rsidTr="00215210">
        <w:trPr>
          <w:trHeight w:val="269"/>
          <w:jc w:val="center"/>
        </w:trPr>
        <w:tc>
          <w:tcPr>
            <w:tcW w:w="993" w:type="dxa"/>
          </w:tcPr>
          <w:p w14:paraId="1C70C8A9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 w:rsidRPr="00970473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</w:t>
            </w: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28</w:t>
            </w:r>
            <w:r w:rsidRPr="00970473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]</w:t>
            </w:r>
          </w:p>
        </w:tc>
        <w:tc>
          <w:tcPr>
            <w:tcW w:w="1417" w:type="dxa"/>
          </w:tcPr>
          <w:p w14:paraId="2DCEAAD3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Vehicle-insurance claim frequency and amount</w:t>
            </w:r>
          </w:p>
        </w:tc>
        <w:tc>
          <w:tcPr>
            <w:tcW w:w="1276" w:type="dxa"/>
          </w:tcPr>
          <w:p w14:paraId="6C7C39AA" w14:textId="77777777" w:rsidR="00F5659F" w:rsidRPr="00AB797A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C97783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Bayesian Ridge Regression</w:t>
            </w:r>
          </w:p>
        </w:tc>
        <w:tc>
          <w:tcPr>
            <w:tcW w:w="709" w:type="dxa"/>
          </w:tcPr>
          <w:p w14:paraId="74BD26DD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1788F315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7422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7BE23DC6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74228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168CA45" w14:textId="77777777" w:rsidR="00F5659F" w:rsidRPr="00970473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>2475.86</w:t>
            </w:r>
          </w:p>
        </w:tc>
        <w:tc>
          <w:tcPr>
            <w:tcW w:w="709" w:type="dxa"/>
          </w:tcPr>
          <w:p w14:paraId="1C247DEE" w14:textId="77777777" w:rsidR="00F5659F" w:rsidRPr="00C42DE4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1695" w:type="dxa"/>
          </w:tcPr>
          <w:p w14:paraId="3EFFC42A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Claim prediction</w:t>
            </w:r>
          </w:p>
        </w:tc>
        <w:tc>
          <w:tcPr>
            <w:tcW w:w="2268" w:type="dxa"/>
          </w:tcPr>
          <w:p w14:paraId="75155BA4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claim target and data scale</w:t>
            </w:r>
          </w:p>
        </w:tc>
      </w:tr>
      <w:tr w:rsidR="00F5659F" w:rsidRPr="004F2819" w14:paraId="6E333A41" w14:textId="77777777" w:rsidTr="00215210">
        <w:trPr>
          <w:trHeight w:val="269"/>
          <w:jc w:val="center"/>
        </w:trPr>
        <w:tc>
          <w:tcPr>
            <w:tcW w:w="993" w:type="dxa"/>
          </w:tcPr>
          <w:p w14:paraId="226006CA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[29]</w:t>
            </w:r>
          </w:p>
        </w:tc>
        <w:tc>
          <w:tcPr>
            <w:tcW w:w="1417" w:type="dxa"/>
          </w:tcPr>
          <w:p w14:paraId="58F127FB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Vehicle-insurance premium</w:t>
            </w:r>
          </w:p>
        </w:tc>
        <w:tc>
          <w:tcPr>
            <w:tcW w:w="1276" w:type="dxa"/>
          </w:tcPr>
          <w:p w14:paraId="3697B5A8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C42DE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Linear Regression</w:t>
            </w:r>
          </w:p>
        </w:tc>
        <w:tc>
          <w:tcPr>
            <w:tcW w:w="709" w:type="dxa"/>
          </w:tcPr>
          <w:p w14:paraId="7520AFF7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020B90F1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E428A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10C42AEC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>2465.05</w:t>
            </w:r>
          </w:p>
        </w:tc>
        <w:tc>
          <w:tcPr>
            <w:tcW w:w="709" w:type="dxa"/>
          </w:tcPr>
          <w:p w14:paraId="50AF4A25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205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FBC56F0" w14:textId="77777777" w:rsidR="00F5659F" w:rsidRPr="00C42DE4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>0.5154</w:t>
            </w:r>
          </w:p>
        </w:tc>
        <w:tc>
          <w:tcPr>
            <w:tcW w:w="1695" w:type="dxa"/>
          </w:tcPr>
          <w:p w14:paraId="27602BCD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Premium prediction</w:t>
            </w:r>
          </w:p>
        </w:tc>
        <w:tc>
          <w:tcPr>
            <w:tcW w:w="2268" w:type="dxa"/>
          </w:tcPr>
          <w:p w14:paraId="2F7D1FA1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dataset, scale, and protocol</w:t>
            </w:r>
          </w:p>
        </w:tc>
      </w:tr>
      <w:tr w:rsidR="00F5659F" w:rsidRPr="004F2819" w14:paraId="732B1A25" w14:textId="77777777" w:rsidTr="00215210">
        <w:trPr>
          <w:trHeight w:val="269"/>
          <w:jc w:val="center"/>
        </w:trPr>
        <w:tc>
          <w:tcPr>
            <w:tcW w:w="993" w:type="dxa"/>
          </w:tcPr>
          <w:p w14:paraId="3E4EB67E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[29]</w:t>
            </w:r>
          </w:p>
        </w:tc>
        <w:tc>
          <w:tcPr>
            <w:tcW w:w="1417" w:type="dxa"/>
          </w:tcPr>
          <w:p w14:paraId="6CBBC262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Vehicle-insurance premium</w:t>
            </w:r>
          </w:p>
        </w:tc>
        <w:tc>
          <w:tcPr>
            <w:tcW w:w="1276" w:type="dxa"/>
          </w:tcPr>
          <w:p w14:paraId="7A1D15CB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C42DE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XGBoost</w:t>
            </w:r>
          </w:p>
        </w:tc>
        <w:tc>
          <w:tcPr>
            <w:tcW w:w="709" w:type="dxa"/>
          </w:tcPr>
          <w:p w14:paraId="48DA180A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71D904E2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E428A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D9D365B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 xml:space="preserve"> 1583.60</w:t>
            </w:r>
          </w:p>
        </w:tc>
        <w:tc>
          <w:tcPr>
            <w:tcW w:w="709" w:type="dxa"/>
          </w:tcPr>
          <w:p w14:paraId="033B1C66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205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DBD38A5" w14:textId="77777777" w:rsidR="00F5659F" w:rsidRPr="00C42DE4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 xml:space="preserve"> 0.8</w:t>
            </w:r>
          </w:p>
        </w:tc>
        <w:tc>
          <w:tcPr>
            <w:tcW w:w="1695" w:type="dxa"/>
          </w:tcPr>
          <w:p w14:paraId="2F32BF47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Premium prediction</w:t>
            </w:r>
          </w:p>
        </w:tc>
        <w:tc>
          <w:tcPr>
            <w:tcW w:w="2268" w:type="dxa"/>
          </w:tcPr>
          <w:p w14:paraId="48E0CD27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dataset, scale, and protocol</w:t>
            </w:r>
          </w:p>
        </w:tc>
      </w:tr>
      <w:tr w:rsidR="00F5659F" w:rsidRPr="004F2819" w14:paraId="59D0E4E2" w14:textId="77777777" w:rsidTr="00215210">
        <w:trPr>
          <w:trHeight w:val="269"/>
          <w:jc w:val="center"/>
        </w:trPr>
        <w:tc>
          <w:tcPr>
            <w:tcW w:w="993" w:type="dxa"/>
          </w:tcPr>
          <w:p w14:paraId="5796FA7F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[29]</w:t>
            </w:r>
          </w:p>
        </w:tc>
        <w:tc>
          <w:tcPr>
            <w:tcW w:w="1417" w:type="dxa"/>
          </w:tcPr>
          <w:p w14:paraId="5614BA1E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Vehicle-insurance premium</w:t>
            </w:r>
          </w:p>
        </w:tc>
        <w:tc>
          <w:tcPr>
            <w:tcW w:w="1276" w:type="dxa"/>
          </w:tcPr>
          <w:p w14:paraId="743504E2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Neural Network</w:t>
            </w:r>
          </w:p>
        </w:tc>
        <w:tc>
          <w:tcPr>
            <w:tcW w:w="709" w:type="dxa"/>
          </w:tcPr>
          <w:p w14:paraId="31095933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4EAFC02F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E428A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476CAFED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 xml:space="preserve"> 1731.67</w:t>
            </w:r>
          </w:p>
        </w:tc>
        <w:tc>
          <w:tcPr>
            <w:tcW w:w="709" w:type="dxa"/>
          </w:tcPr>
          <w:p w14:paraId="2FA603AC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205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0EE79888" w14:textId="77777777" w:rsidR="00F5659F" w:rsidRPr="00C42DE4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2DE4">
              <w:rPr>
                <w:rFonts w:ascii="Times New Roman" w:hAnsi="Times New Roman" w:cs="Times New Roman"/>
                <w:sz w:val="16"/>
                <w:szCs w:val="16"/>
              </w:rPr>
              <w:t xml:space="preserve"> 0.7609</w:t>
            </w:r>
          </w:p>
        </w:tc>
        <w:tc>
          <w:tcPr>
            <w:tcW w:w="1695" w:type="dxa"/>
          </w:tcPr>
          <w:p w14:paraId="65D351FA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Premium prediction</w:t>
            </w:r>
          </w:p>
        </w:tc>
        <w:tc>
          <w:tcPr>
            <w:tcW w:w="2268" w:type="dxa"/>
          </w:tcPr>
          <w:p w14:paraId="76FCC2FA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dataset, scale, and protocol</w:t>
            </w:r>
          </w:p>
        </w:tc>
      </w:tr>
      <w:tr w:rsidR="00F5659F" w:rsidRPr="004F2819" w14:paraId="3F2E4D27" w14:textId="77777777" w:rsidTr="00215210">
        <w:trPr>
          <w:trHeight w:val="269"/>
          <w:jc w:val="center"/>
        </w:trPr>
        <w:tc>
          <w:tcPr>
            <w:tcW w:w="993" w:type="dxa"/>
          </w:tcPr>
          <w:p w14:paraId="3DE999E1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[30]</w:t>
            </w:r>
          </w:p>
        </w:tc>
        <w:tc>
          <w:tcPr>
            <w:tcW w:w="1417" w:type="dxa"/>
          </w:tcPr>
          <w:p w14:paraId="45C1162B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Property-insurance premium</w:t>
            </w:r>
          </w:p>
        </w:tc>
        <w:tc>
          <w:tcPr>
            <w:tcW w:w="1276" w:type="dxa"/>
          </w:tcPr>
          <w:p w14:paraId="1B7C49C3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Linear regression</w:t>
            </w:r>
          </w:p>
        </w:tc>
        <w:tc>
          <w:tcPr>
            <w:tcW w:w="709" w:type="dxa"/>
          </w:tcPr>
          <w:p w14:paraId="0A268506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02CA0017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2224.03</w:t>
            </w:r>
          </w:p>
        </w:tc>
        <w:tc>
          <w:tcPr>
            <w:tcW w:w="709" w:type="dxa"/>
          </w:tcPr>
          <w:p w14:paraId="1A721BB8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E428A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269E1F84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35.97</w:t>
            </w:r>
          </w:p>
        </w:tc>
        <w:tc>
          <w:tcPr>
            <w:tcW w:w="709" w:type="dxa"/>
          </w:tcPr>
          <w:p w14:paraId="1B2BC1E1" w14:textId="77777777" w:rsidR="00F5659F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0.7162</w:t>
            </w:r>
          </w:p>
        </w:tc>
        <w:tc>
          <w:tcPr>
            <w:tcW w:w="1695" w:type="dxa"/>
          </w:tcPr>
          <w:p w14:paraId="78B98DAE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Property-premium prediction</w:t>
            </w:r>
          </w:p>
        </w:tc>
        <w:tc>
          <w:tcPr>
            <w:tcW w:w="2268" w:type="dxa"/>
          </w:tcPr>
          <w:p w14:paraId="017D4E37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insurance domain and scale</w:t>
            </w:r>
          </w:p>
        </w:tc>
      </w:tr>
      <w:tr w:rsidR="00F5659F" w:rsidRPr="004F2819" w14:paraId="7BEA2EFF" w14:textId="77777777" w:rsidTr="00215210">
        <w:trPr>
          <w:trHeight w:val="269"/>
          <w:jc w:val="center"/>
        </w:trPr>
        <w:tc>
          <w:tcPr>
            <w:tcW w:w="993" w:type="dxa"/>
          </w:tcPr>
          <w:p w14:paraId="6E529B58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 w:rsidRPr="000114D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[30]</w:t>
            </w:r>
          </w:p>
        </w:tc>
        <w:tc>
          <w:tcPr>
            <w:tcW w:w="1417" w:type="dxa"/>
          </w:tcPr>
          <w:p w14:paraId="721E83E4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Property-insurance premium</w:t>
            </w:r>
          </w:p>
        </w:tc>
        <w:tc>
          <w:tcPr>
            <w:tcW w:w="1276" w:type="dxa"/>
          </w:tcPr>
          <w:p w14:paraId="17B6A4A9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Gradient boosting</w:t>
            </w:r>
          </w:p>
        </w:tc>
        <w:tc>
          <w:tcPr>
            <w:tcW w:w="709" w:type="dxa"/>
          </w:tcPr>
          <w:p w14:paraId="54D7B159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71BB87E2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1515.83</w:t>
            </w:r>
          </w:p>
        </w:tc>
        <w:tc>
          <w:tcPr>
            <w:tcW w:w="709" w:type="dxa"/>
          </w:tcPr>
          <w:p w14:paraId="4258E02A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F013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669C76DC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25.43</w:t>
            </w:r>
          </w:p>
        </w:tc>
        <w:tc>
          <w:tcPr>
            <w:tcW w:w="709" w:type="dxa"/>
          </w:tcPr>
          <w:p w14:paraId="1B88BA54" w14:textId="77777777" w:rsidR="00F5659F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0.8014</w:t>
            </w:r>
          </w:p>
        </w:tc>
        <w:tc>
          <w:tcPr>
            <w:tcW w:w="1695" w:type="dxa"/>
          </w:tcPr>
          <w:p w14:paraId="6760EB46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Property-premium prediction</w:t>
            </w:r>
          </w:p>
        </w:tc>
        <w:tc>
          <w:tcPr>
            <w:tcW w:w="2268" w:type="dxa"/>
          </w:tcPr>
          <w:p w14:paraId="0C2ED691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insurance domain and scale</w:t>
            </w:r>
          </w:p>
        </w:tc>
      </w:tr>
      <w:tr w:rsidR="00F5659F" w:rsidRPr="004F2819" w14:paraId="2CD93C0C" w14:textId="77777777" w:rsidTr="00215210">
        <w:trPr>
          <w:trHeight w:val="269"/>
          <w:jc w:val="center"/>
        </w:trPr>
        <w:tc>
          <w:tcPr>
            <w:tcW w:w="993" w:type="dxa"/>
          </w:tcPr>
          <w:p w14:paraId="6219E0EC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 w:rsidRPr="000114D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[30]</w:t>
            </w:r>
          </w:p>
        </w:tc>
        <w:tc>
          <w:tcPr>
            <w:tcW w:w="1417" w:type="dxa"/>
          </w:tcPr>
          <w:p w14:paraId="15D6BA58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Property-insurance premium</w:t>
            </w:r>
          </w:p>
        </w:tc>
        <w:tc>
          <w:tcPr>
            <w:tcW w:w="1276" w:type="dxa"/>
          </w:tcPr>
          <w:p w14:paraId="69B77811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XGBoost</w:t>
            </w:r>
          </w:p>
        </w:tc>
        <w:tc>
          <w:tcPr>
            <w:tcW w:w="709" w:type="dxa"/>
          </w:tcPr>
          <w:p w14:paraId="3E86038F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3643678E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1297.52</w:t>
            </w:r>
          </w:p>
        </w:tc>
        <w:tc>
          <w:tcPr>
            <w:tcW w:w="709" w:type="dxa"/>
          </w:tcPr>
          <w:p w14:paraId="52E88DEC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F013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E9980AF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709" w:type="dxa"/>
          </w:tcPr>
          <w:p w14:paraId="21EA8D45" w14:textId="77777777" w:rsidR="00F5659F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0.8344</w:t>
            </w:r>
          </w:p>
        </w:tc>
        <w:tc>
          <w:tcPr>
            <w:tcW w:w="1695" w:type="dxa"/>
          </w:tcPr>
          <w:p w14:paraId="3E3A65C9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Property-premium prediction</w:t>
            </w:r>
          </w:p>
        </w:tc>
        <w:tc>
          <w:tcPr>
            <w:tcW w:w="2268" w:type="dxa"/>
          </w:tcPr>
          <w:p w14:paraId="615FA210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insurance domain and scale</w:t>
            </w:r>
          </w:p>
        </w:tc>
      </w:tr>
      <w:tr w:rsidR="00F5659F" w:rsidRPr="004F2819" w14:paraId="3C86DE9C" w14:textId="77777777" w:rsidTr="00215210">
        <w:trPr>
          <w:trHeight w:val="269"/>
          <w:jc w:val="center"/>
        </w:trPr>
        <w:tc>
          <w:tcPr>
            <w:tcW w:w="993" w:type="dxa"/>
          </w:tcPr>
          <w:p w14:paraId="24E151FB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 w:rsidRPr="000114D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[30]</w:t>
            </w:r>
          </w:p>
        </w:tc>
        <w:tc>
          <w:tcPr>
            <w:tcW w:w="1417" w:type="dxa"/>
          </w:tcPr>
          <w:p w14:paraId="7312D7CE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Property-insurance premium</w:t>
            </w:r>
          </w:p>
        </w:tc>
        <w:tc>
          <w:tcPr>
            <w:tcW w:w="1276" w:type="dxa"/>
          </w:tcPr>
          <w:p w14:paraId="34EE00EF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SVR</w:t>
            </w:r>
          </w:p>
        </w:tc>
        <w:tc>
          <w:tcPr>
            <w:tcW w:w="709" w:type="dxa"/>
          </w:tcPr>
          <w:p w14:paraId="29A6977C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7DAC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50" w:type="dxa"/>
          </w:tcPr>
          <w:p w14:paraId="770E2E89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7801.03</w:t>
            </w:r>
          </w:p>
        </w:tc>
        <w:tc>
          <w:tcPr>
            <w:tcW w:w="709" w:type="dxa"/>
          </w:tcPr>
          <w:p w14:paraId="761C2A56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F0135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709" w:type="dxa"/>
          </w:tcPr>
          <w:p w14:paraId="31912D17" w14:textId="77777777" w:rsidR="00F5659F" w:rsidRPr="00D74228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69.14</w:t>
            </w:r>
          </w:p>
        </w:tc>
        <w:tc>
          <w:tcPr>
            <w:tcW w:w="709" w:type="dxa"/>
          </w:tcPr>
          <w:p w14:paraId="297B8AF9" w14:textId="77777777" w:rsidR="00F5659F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0.0041</w:t>
            </w:r>
          </w:p>
        </w:tc>
        <w:tc>
          <w:tcPr>
            <w:tcW w:w="1695" w:type="dxa"/>
          </w:tcPr>
          <w:p w14:paraId="038F2E1B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Property-premium prediction</w:t>
            </w:r>
          </w:p>
        </w:tc>
        <w:tc>
          <w:tcPr>
            <w:tcW w:w="2268" w:type="dxa"/>
          </w:tcPr>
          <w:p w14:paraId="26E86567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Not directly comparable: different insurance domain and scale</w:t>
            </w:r>
          </w:p>
        </w:tc>
      </w:tr>
      <w:tr w:rsidR="00F5659F" w:rsidRPr="004F2819" w14:paraId="380408E9" w14:textId="77777777" w:rsidTr="00215210">
        <w:trPr>
          <w:trHeight w:val="269"/>
          <w:jc w:val="center"/>
        </w:trPr>
        <w:tc>
          <w:tcPr>
            <w:tcW w:w="993" w:type="dxa"/>
          </w:tcPr>
          <w:p w14:paraId="1D16D75F" w14:textId="77777777" w:rsidR="00F5659F" w:rsidRPr="00970473" w:rsidRDefault="00F5659F" w:rsidP="00215210">
            <w:pPr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>Proposed model</w:t>
            </w:r>
          </w:p>
        </w:tc>
        <w:tc>
          <w:tcPr>
            <w:tcW w:w="1417" w:type="dxa"/>
          </w:tcPr>
          <w:p w14:paraId="1051230B" w14:textId="77777777" w:rsidR="00F5659F" w:rsidRPr="00AB54AB" w:rsidRDefault="00F5659F" w:rsidP="00215210">
            <w:pPr>
              <w:rPr>
                <w:rFonts w:ascii="Times New Roman" w:eastAsia="Times New Roman" w:hAnsi="Times New Roman" w:cs="Times New Roman"/>
                <w:sz w:val="16"/>
                <w:szCs w:val="16"/>
                <w:lang w:bidi="en-US"/>
              </w:rPr>
            </w:pPr>
            <w:r w:rsidRPr="008221D0">
              <w:rPr>
                <w:rFonts w:ascii="Times New Roman" w:hAnsi="Times New Roman" w:cs="Times New Roman"/>
                <w:sz w:val="16"/>
                <w:szCs w:val="16"/>
              </w:rPr>
              <w:t>Motor-insurance premium</w:t>
            </w:r>
          </w:p>
        </w:tc>
        <w:tc>
          <w:tcPr>
            <w:tcW w:w="1276" w:type="dxa"/>
          </w:tcPr>
          <w:p w14:paraId="13BA1412" w14:textId="77777777" w:rsidR="00F5659F" w:rsidRPr="00987DAC" w:rsidRDefault="00F5659F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4B1D4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bidi="en-US"/>
              </w:rPr>
              <w:t xml:space="preserve">Gradient Boosting </w:t>
            </w:r>
          </w:p>
        </w:tc>
        <w:tc>
          <w:tcPr>
            <w:tcW w:w="709" w:type="dxa"/>
          </w:tcPr>
          <w:p w14:paraId="64A0BD6B" w14:textId="77777777" w:rsidR="00F5659F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850" w:type="dxa"/>
          </w:tcPr>
          <w:p w14:paraId="058FABA2" w14:textId="77777777" w:rsidR="00F5659F" w:rsidRPr="00EF0135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4407">
              <w:rPr>
                <w:rFonts w:ascii="Times New Roman" w:hAnsi="Times New Roman" w:cs="Times New Roman"/>
                <w:sz w:val="16"/>
                <w:szCs w:val="16"/>
              </w:rPr>
              <w:t>691013742.81</w:t>
            </w:r>
          </w:p>
        </w:tc>
        <w:tc>
          <w:tcPr>
            <w:tcW w:w="709" w:type="dxa"/>
          </w:tcPr>
          <w:p w14:paraId="73B81FB2" w14:textId="77777777" w:rsidR="00F5659F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4407">
              <w:rPr>
                <w:rFonts w:ascii="Times New Roman" w:hAnsi="Times New Roman" w:cs="Times New Roman"/>
                <w:sz w:val="16"/>
                <w:szCs w:val="16"/>
              </w:rPr>
              <w:t>26287.14</w:t>
            </w:r>
          </w:p>
        </w:tc>
        <w:tc>
          <w:tcPr>
            <w:tcW w:w="709" w:type="dxa"/>
          </w:tcPr>
          <w:p w14:paraId="79A4D231" w14:textId="77777777" w:rsidR="00F5659F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4407">
              <w:rPr>
                <w:rFonts w:ascii="Times New Roman" w:hAnsi="Times New Roman" w:cs="Times New Roman"/>
                <w:sz w:val="16"/>
                <w:szCs w:val="16"/>
              </w:rPr>
              <w:t>7570.7199</w:t>
            </w:r>
          </w:p>
        </w:tc>
        <w:tc>
          <w:tcPr>
            <w:tcW w:w="709" w:type="dxa"/>
          </w:tcPr>
          <w:p w14:paraId="43209C9C" w14:textId="77777777" w:rsidR="00F5659F" w:rsidRPr="00DF4407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F4407">
              <w:rPr>
                <w:rFonts w:ascii="Times New Roman" w:hAnsi="Times New Roman" w:cs="Times New Roman"/>
                <w:sz w:val="16"/>
                <w:szCs w:val="16"/>
              </w:rPr>
              <w:t>0.9815</w:t>
            </w:r>
          </w:p>
        </w:tc>
        <w:tc>
          <w:tcPr>
            <w:tcW w:w="1695" w:type="dxa"/>
          </w:tcPr>
          <w:p w14:paraId="5524DB6C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Premium prediction, predefined risk profiling, contextual explanation, dashboard, and human review</w:t>
            </w:r>
          </w:p>
        </w:tc>
        <w:tc>
          <w:tcPr>
            <w:tcW w:w="2268" w:type="dxa"/>
          </w:tcPr>
          <w:p w14:paraId="02029468" w14:textId="77777777" w:rsidR="00F5659F" w:rsidRPr="00AB7B99" w:rsidRDefault="00F5659F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53434">
              <w:rPr>
                <w:rFonts w:ascii="Times New Roman" w:hAnsi="Times New Roman" w:cs="Times New Roman"/>
                <w:sz w:val="16"/>
                <w:szCs w:val="16"/>
              </w:rPr>
              <w:t>Internally comparable under the common Table 6 benchmark</w:t>
            </w:r>
          </w:p>
        </w:tc>
      </w:tr>
    </w:tbl>
    <w:p w14:paraId="4F20EED9" w14:textId="77777777" w:rsidR="003F6E6F" w:rsidRDefault="00F5659F">
      <w:bookmarkStart w:id="0" w:name="_GoBack"/>
      <w:bookmarkEnd w:id="0"/>
    </w:p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5C"/>
    <w:rsid w:val="00254460"/>
    <w:rsid w:val="006268CC"/>
    <w:rsid w:val="00773A5C"/>
    <w:rsid w:val="00A55AA5"/>
    <w:rsid w:val="00F5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C9F7F-CB98-4695-B655-E7BB1FB6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659F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F5659F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2</cp:revision>
  <dcterms:created xsi:type="dcterms:W3CDTF">2026-10-27T12:11:00Z</dcterms:created>
  <dcterms:modified xsi:type="dcterms:W3CDTF">2026-10-27T12:11:00Z</dcterms:modified>
</cp:coreProperties>
</file>