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A74" w:rsidRDefault="00743D0A">
      <w:pPr>
        <w:jc w:val="right"/>
      </w:pPr>
      <w:r>
        <w:t xml:space="preserve">CACV </w:t>
      </w:r>
      <w:r w:rsidR="00956264">
        <w:t>229</w:t>
      </w:r>
      <w:r w:rsidR="00FD4A74">
        <w:t>/</w:t>
      </w:r>
      <w:r w:rsidR="00485CDA">
        <w:t>201</w:t>
      </w:r>
      <w:r w:rsidR="00956264">
        <w:t>1</w:t>
      </w:r>
    </w:p>
    <w:p w:rsidR="00FD4A74" w:rsidRDefault="00FD4A74">
      <w:pPr>
        <w:jc w:val="left"/>
      </w:pPr>
    </w:p>
    <w:p w:rsidR="00FD4A74" w:rsidRDefault="00FD4A74">
      <w:pPr>
        <w:jc w:val="left"/>
        <w:sectPr w:rsidR="00FD4A74">
          <w:headerReference w:type="default" r:id="rId9"/>
          <w:type w:val="continuous"/>
          <w:pgSz w:w="11909" w:h="16834" w:code="9"/>
          <w:pgMar w:top="1418" w:right="1701" w:bottom="1418" w:left="1701" w:header="737" w:footer="737" w:gutter="0"/>
          <w:cols w:space="708"/>
          <w:docGrid w:linePitch="380"/>
        </w:sectPr>
      </w:pPr>
    </w:p>
    <w:p w:rsidR="00FD4A74" w:rsidRPr="00EA1154" w:rsidRDefault="00FD4A74">
      <w:pPr>
        <w:pStyle w:val="Heading1"/>
        <w:rPr>
          <w:szCs w:val="24"/>
        </w:rPr>
      </w:pPr>
      <w:r w:rsidRPr="00EA1154">
        <w:rPr>
          <w:rFonts w:hint="eastAsia"/>
          <w:szCs w:val="24"/>
        </w:rPr>
        <w:lastRenderedPageBreak/>
        <w:t>IN THE HIGH COURT OF THE</w:t>
      </w:r>
    </w:p>
    <w:p w:rsidR="00FD4A74" w:rsidRPr="00EA1154" w:rsidRDefault="00FD4A74">
      <w:pPr>
        <w:pStyle w:val="Heading1"/>
      </w:pPr>
      <w:r w:rsidRPr="00EA1154">
        <w:rPr>
          <w:rFonts w:hint="eastAsia"/>
        </w:rPr>
        <w:t>HONG KONG SPECIAL ADMINISTRATIVE REGION</w:t>
      </w:r>
    </w:p>
    <w:p w:rsidR="00FD4A74" w:rsidRPr="00EA1154" w:rsidRDefault="00FD4A74">
      <w:pPr>
        <w:pStyle w:val="Heading1"/>
        <w:rPr>
          <w:bCs/>
        </w:rPr>
      </w:pPr>
      <w:r w:rsidRPr="00EA1154">
        <w:rPr>
          <w:rFonts w:hint="eastAsia"/>
        </w:rPr>
        <w:t>COURT OF APPEAL</w:t>
      </w:r>
    </w:p>
    <w:p w:rsidR="00FD4A74" w:rsidRDefault="00FD4A74" w:rsidP="00316472">
      <w:pPr>
        <w:tabs>
          <w:tab w:val="left" w:pos="5040"/>
        </w:tabs>
        <w:spacing w:line="360" w:lineRule="auto"/>
        <w:ind w:left="-144" w:right="-230"/>
        <w:jc w:val="center"/>
      </w:pPr>
      <w:r>
        <w:rPr>
          <w:rFonts w:hint="eastAsia"/>
        </w:rPr>
        <w:t xml:space="preserve">CIVIL </w:t>
      </w:r>
      <w:r>
        <w:t>APPEAL</w:t>
      </w:r>
      <w:r>
        <w:rPr>
          <w:rFonts w:hint="eastAsia"/>
        </w:rPr>
        <w:t xml:space="preserve"> NO </w:t>
      </w:r>
      <w:r w:rsidR="00BB1A6D">
        <w:t>229</w:t>
      </w:r>
      <w:r>
        <w:rPr>
          <w:rFonts w:hint="eastAsia"/>
        </w:rPr>
        <w:t xml:space="preserve"> OF 20</w:t>
      </w:r>
      <w:r w:rsidR="00F70D83">
        <w:t>1</w:t>
      </w:r>
      <w:r w:rsidR="00BB1A6D">
        <w:t>1</w:t>
      </w:r>
    </w:p>
    <w:p w:rsidR="007A096D" w:rsidRDefault="007A096D" w:rsidP="007A096D">
      <w:pPr>
        <w:jc w:val="center"/>
      </w:pPr>
      <w:r>
        <w:t>____________</w:t>
      </w:r>
    </w:p>
    <w:p w:rsidR="007A096D" w:rsidRDefault="007A096D" w:rsidP="007A096D">
      <w:pPr>
        <w:ind w:firstLine="4200"/>
      </w:pPr>
    </w:p>
    <w:p w:rsidR="0096789F" w:rsidRDefault="0096789F" w:rsidP="0096789F">
      <w:pPr>
        <w:ind w:left="4050" w:right="-43"/>
        <w:jc w:val="left"/>
      </w:pPr>
      <w:r>
        <w:t xml:space="preserve">CASE </w:t>
      </w:r>
      <w:proofErr w:type="gramStart"/>
      <w:r>
        <w:t xml:space="preserve">STATED </w:t>
      </w:r>
      <w:r>
        <w:rPr>
          <w:rFonts w:hint="eastAsia"/>
        </w:rPr>
        <w:t xml:space="preserve"> </w:t>
      </w:r>
      <w:r>
        <w:t>pursuant</w:t>
      </w:r>
      <w:proofErr w:type="gramEnd"/>
      <w:r>
        <w:t xml:space="preserve"> to</w:t>
      </w:r>
      <w:r>
        <w:rPr>
          <w:rFonts w:hint="eastAsia"/>
        </w:rPr>
        <w:t xml:space="preserve"> </w:t>
      </w:r>
      <w:r>
        <w:t>section 24(1) of the Administrative Appeals Board Ordinance (Cap. 442)</w:t>
      </w:r>
    </w:p>
    <w:p w:rsidR="0096789F" w:rsidRDefault="0096789F" w:rsidP="0096789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96789F" w:rsidRDefault="0096789F" w:rsidP="0096789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roofErr w:type="gramStart"/>
      <w:r>
        <w:rPr>
          <w:rFonts w:hint="eastAsia"/>
        </w:rPr>
        <w:t>and</w:t>
      </w:r>
      <w:proofErr w:type="gramEnd"/>
      <w:r>
        <w:rPr>
          <w:rFonts w:hint="eastAsia"/>
        </w:rPr>
        <w:tab/>
      </w:r>
      <w:r>
        <w:rPr>
          <w:rFonts w:hint="eastAsia"/>
        </w:rPr>
        <w:tab/>
      </w:r>
      <w:r>
        <w:rPr>
          <w:rFonts w:hint="eastAsia"/>
        </w:rPr>
        <w:tab/>
      </w:r>
      <w:r>
        <w:rPr>
          <w:rFonts w:hint="eastAsia"/>
        </w:rPr>
        <w:tab/>
      </w:r>
    </w:p>
    <w:p w:rsidR="007A096D" w:rsidRDefault="007A096D" w:rsidP="007A096D">
      <w:pPr>
        <w:ind w:left="4060"/>
      </w:pPr>
      <w:r>
        <w:rPr>
          <w:rFonts w:hint="eastAsia"/>
        </w:rPr>
        <w:t xml:space="preserve">IN THE MATTER </w:t>
      </w:r>
      <w:r w:rsidR="00A41D9E">
        <w:t xml:space="preserve">OF </w:t>
      </w:r>
      <w:r>
        <w:t xml:space="preserve">an Appeal to the Administrative Appeals Board against </w:t>
      </w:r>
      <w:proofErr w:type="gramStart"/>
      <w:r>
        <w:t>an enforcement</w:t>
      </w:r>
      <w:proofErr w:type="gramEnd"/>
      <w:r>
        <w:t xml:space="preserve"> notice pursuant to section 50(7) of the Personal Data (Privacy) Ordinance (Cap. 486)</w:t>
      </w:r>
    </w:p>
    <w:p w:rsidR="007A096D" w:rsidRDefault="007A096D" w:rsidP="007A096D">
      <w:pPr>
        <w:ind w:left="4200"/>
        <w:jc w:val="center"/>
      </w:pPr>
    </w:p>
    <w:p w:rsidR="007A096D" w:rsidRDefault="007A096D" w:rsidP="007A096D">
      <w:pPr>
        <w:ind w:left="4060"/>
        <w:jc w:val="center"/>
      </w:pPr>
      <w:proofErr w:type="gramStart"/>
      <w:r>
        <w:rPr>
          <w:rFonts w:hint="eastAsia"/>
        </w:rPr>
        <w:t>and</w:t>
      </w:r>
      <w:proofErr w:type="gramEnd"/>
    </w:p>
    <w:p w:rsidR="007A096D" w:rsidRDefault="007A096D" w:rsidP="007A096D">
      <w:pPr>
        <w:ind w:left="4200" w:firstLine="140"/>
        <w:jc w:val="center"/>
      </w:pPr>
    </w:p>
    <w:p w:rsidR="007A096D" w:rsidRDefault="007A096D" w:rsidP="007A096D">
      <w:pPr>
        <w:ind w:left="4060"/>
      </w:pPr>
      <w:r>
        <w:rPr>
          <w:rFonts w:hint="eastAsia"/>
        </w:rPr>
        <w:t xml:space="preserve">IN THE MATTER </w:t>
      </w:r>
      <w:r w:rsidR="00A41D9E">
        <w:t xml:space="preserve">OF </w:t>
      </w:r>
      <w:r>
        <w:t>sections 18 and 19 of the Personal Data (Privacy) Ordinance (Cap. 486)</w:t>
      </w:r>
    </w:p>
    <w:p w:rsidR="006A1644" w:rsidRDefault="006A1644" w:rsidP="006A1644">
      <w:pPr>
        <w:tabs>
          <w:tab w:val="center" w:pos="4060"/>
          <w:tab w:val="left" w:pos="6860"/>
        </w:tabs>
        <w:spacing w:before="120"/>
        <w:ind w:right="-504"/>
      </w:pPr>
      <w:r>
        <w:rPr>
          <w:rFonts w:hint="eastAsia"/>
        </w:rPr>
        <w:tab/>
      </w:r>
      <w:r>
        <w:t>____________</w:t>
      </w:r>
    </w:p>
    <w:p w:rsidR="00435598" w:rsidRDefault="00435598" w:rsidP="00435598">
      <w:pPr>
        <w:ind w:left="4200" w:hanging="840"/>
      </w:pPr>
    </w:p>
    <w:p w:rsidR="00435598" w:rsidRDefault="00435598" w:rsidP="00435598">
      <w:pPr>
        <w:spacing w:line="240" w:lineRule="atLeast"/>
      </w:pPr>
      <w:r>
        <w:t>BETWEEN</w:t>
      </w:r>
    </w:p>
    <w:p w:rsidR="00435598" w:rsidRDefault="00FF74B3" w:rsidP="00435598">
      <w:pPr>
        <w:tabs>
          <w:tab w:val="center" w:pos="4200"/>
          <w:tab w:val="right" w:pos="8540"/>
        </w:tabs>
        <w:adjustRightInd w:val="0"/>
        <w:spacing w:before="240"/>
      </w:pPr>
      <w:r>
        <w:tab/>
        <w:t>THE COMMISSIONER OF POLICE</w:t>
      </w:r>
      <w:r w:rsidR="00435598">
        <w:tab/>
      </w:r>
      <w:r>
        <w:t>Appellant</w:t>
      </w:r>
    </w:p>
    <w:p w:rsidR="00435598" w:rsidRDefault="001A1EB7" w:rsidP="00077B28">
      <w:pPr>
        <w:pStyle w:val="Header"/>
        <w:tabs>
          <w:tab w:val="clear" w:pos="4320"/>
          <w:tab w:val="clear" w:pos="8640"/>
          <w:tab w:val="right" w:pos="8540"/>
        </w:tabs>
      </w:pPr>
      <w:r>
        <w:tab/>
        <w:t>(</w:t>
      </w:r>
      <w:proofErr w:type="gramStart"/>
      <w:r>
        <w:t>below</w:t>
      </w:r>
      <w:proofErr w:type="gramEnd"/>
      <w:r>
        <w:t>)</w:t>
      </w:r>
    </w:p>
    <w:p w:rsidR="00435598" w:rsidRDefault="00435598" w:rsidP="00435598">
      <w:pPr>
        <w:tabs>
          <w:tab w:val="center" w:pos="4200"/>
          <w:tab w:val="left" w:pos="7290"/>
          <w:tab w:val="right" w:pos="8540"/>
        </w:tabs>
        <w:adjustRightInd w:val="0"/>
        <w:spacing w:before="120"/>
      </w:pPr>
      <w:r>
        <w:rPr>
          <w:rFonts w:hint="eastAsia"/>
        </w:rPr>
        <w:tab/>
      </w:r>
      <w:proofErr w:type="gramStart"/>
      <w:r>
        <w:t>and</w:t>
      </w:r>
      <w:proofErr w:type="gramEnd"/>
    </w:p>
    <w:p w:rsidR="00435598" w:rsidRDefault="00435598" w:rsidP="00435598">
      <w:pPr>
        <w:tabs>
          <w:tab w:val="left" w:pos="1620"/>
          <w:tab w:val="center" w:pos="4200"/>
          <w:tab w:val="left" w:pos="7290"/>
          <w:tab w:val="right" w:pos="8540"/>
        </w:tabs>
        <w:adjustRightInd w:val="0"/>
      </w:pPr>
    </w:p>
    <w:p w:rsidR="00435598" w:rsidRDefault="00FF74B3" w:rsidP="00435598">
      <w:pPr>
        <w:tabs>
          <w:tab w:val="center" w:pos="4200"/>
          <w:tab w:val="right" w:pos="8540"/>
        </w:tabs>
        <w:adjustRightInd w:val="0"/>
        <w:jc w:val="left"/>
      </w:pPr>
      <w:r>
        <w:tab/>
        <w:t xml:space="preserve">THE PRIVACY COMMISSIONER FOR </w:t>
      </w:r>
    </w:p>
    <w:p w:rsidR="00435598" w:rsidRDefault="00FF74B3" w:rsidP="00435598">
      <w:pPr>
        <w:tabs>
          <w:tab w:val="center" w:pos="4200"/>
          <w:tab w:val="right" w:pos="8540"/>
        </w:tabs>
        <w:adjustRightInd w:val="0"/>
        <w:jc w:val="left"/>
      </w:pPr>
      <w:r>
        <w:tab/>
        <w:t>PERSONAL DATA</w:t>
      </w:r>
      <w:r w:rsidR="00435598">
        <w:rPr>
          <w:rFonts w:hint="eastAsia"/>
        </w:rPr>
        <w:tab/>
        <w:t>Respondent</w:t>
      </w:r>
    </w:p>
    <w:p w:rsidR="001A1EB7" w:rsidRDefault="002E148D" w:rsidP="002E148D">
      <w:pPr>
        <w:tabs>
          <w:tab w:val="right" w:pos="8540"/>
        </w:tabs>
        <w:adjustRightInd w:val="0"/>
        <w:jc w:val="left"/>
      </w:pPr>
      <w:r>
        <w:tab/>
      </w:r>
      <w:r w:rsidR="001A1EB7">
        <w:t>(</w:t>
      </w:r>
      <w:proofErr w:type="gramStart"/>
      <w:r w:rsidR="001A1EB7">
        <w:t>below</w:t>
      </w:r>
      <w:proofErr w:type="gramEnd"/>
      <w:r w:rsidR="001A1EB7">
        <w:t>)</w:t>
      </w:r>
    </w:p>
    <w:p w:rsidR="006A1644" w:rsidRDefault="006A1644" w:rsidP="00F638D8">
      <w:pPr>
        <w:tabs>
          <w:tab w:val="center" w:pos="4060"/>
          <w:tab w:val="left" w:pos="6860"/>
        </w:tabs>
        <w:ind w:right="-504"/>
      </w:pPr>
      <w:r>
        <w:rPr>
          <w:rFonts w:hint="eastAsia"/>
        </w:rPr>
        <w:tab/>
      </w:r>
      <w:r>
        <w:t>____________</w:t>
      </w:r>
    </w:p>
    <w:p w:rsidR="006A1644" w:rsidRDefault="00F638D8" w:rsidP="0096789F">
      <w:pPr>
        <w:tabs>
          <w:tab w:val="center" w:pos="4111"/>
        </w:tabs>
        <w:spacing w:before="360" w:line="360" w:lineRule="auto"/>
        <w:jc w:val="left"/>
      </w:pPr>
      <w:r>
        <w:rPr>
          <w:b/>
        </w:rPr>
        <w:tab/>
      </w:r>
    </w:p>
    <w:p w:rsidR="00FD4A74" w:rsidRDefault="00FD4A74">
      <w:pPr>
        <w:spacing w:after="80"/>
        <w:rPr>
          <w:bCs/>
        </w:rPr>
      </w:pPr>
      <w:r>
        <w:rPr>
          <w:rFonts w:hint="eastAsia"/>
          <w:bCs/>
        </w:rPr>
        <w:t>Before</w:t>
      </w:r>
      <w:r>
        <w:rPr>
          <w:bCs/>
        </w:rPr>
        <w:t>:</w:t>
      </w:r>
      <w:r>
        <w:rPr>
          <w:rFonts w:hint="eastAsia"/>
          <w:bCs/>
        </w:rPr>
        <w:t xml:space="preserve"> Hon </w:t>
      </w:r>
      <w:r w:rsidR="0064711B" w:rsidRPr="0064711B">
        <w:rPr>
          <w:bCs/>
        </w:rPr>
        <w:t xml:space="preserve">Kwan JA, </w:t>
      </w:r>
      <w:proofErr w:type="spellStart"/>
      <w:r w:rsidR="0064711B" w:rsidRPr="0064711B">
        <w:rPr>
          <w:bCs/>
        </w:rPr>
        <w:t>Fok</w:t>
      </w:r>
      <w:proofErr w:type="spellEnd"/>
      <w:r w:rsidR="0064711B" w:rsidRPr="0064711B">
        <w:rPr>
          <w:bCs/>
        </w:rPr>
        <w:t xml:space="preserve"> JA and </w:t>
      </w:r>
      <w:proofErr w:type="spellStart"/>
      <w:r w:rsidR="0064711B" w:rsidRPr="0064711B">
        <w:rPr>
          <w:bCs/>
        </w:rPr>
        <w:t>Bharwaney</w:t>
      </w:r>
      <w:proofErr w:type="spellEnd"/>
      <w:r w:rsidR="0064711B" w:rsidRPr="0064711B">
        <w:rPr>
          <w:bCs/>
        </w:rPr>
        <w:t xml:space="preserve"> J in Court</w:t>
      </w:r>
    </w:p>
    <w:p w:rsidR="00FD4A74" w:rsidRDefault="00FD4A74">
      <w:pPr>
        <w:tabs>
          <w:tab w:val="left" w:pos="2240"/>
        </w:tabs>
        <w:spacing w:after="80"/>
        <w:rPr>
          <w:bCs/>
        </w:rPr>
      </w:pPr>
      <w:r>
        <w:rPr>
          <w:bCs/>
        </w:rPr>
        <w:lastRenderedPageBreak/>
        <w:t>Date</w:t>
      </w:r>
      <w:r>
        <w:rPr>
          <w:rFonts w:hint="eastAsia"/>
          <w:bCs/>
        </w:rPr>
        <w:t xml:space="preserve"> </w:t>
      </w:r>
      <w:r>
        <w:rPr>
          <w:bCs/>
        </w:rPr>
        <w:t>of Hearing:</w:t>
      </w:r>
      <w:r>
        <w:rPr>
          <w:rFonts w:hint="eastAsia"/>
          <w:bCs/>
        </w:rPr>
        <w:t xml:space="preserve"> </w:t>
      </w:r>
      <w:r w:rsidR="00065C90" w:rsidRPr="00065C90">
        <w:rPr>
          <w:bCs/>
        </w:rPr>
        <w:t>13 June 2012</w:t>
      </w:r>
    </w:p>
    <w:p w:rsidR="00E057FE" w:rsidRPr="00E057FE" w:rsidRDefault="00E057FE" w:rsidP="00E057FE">
      <w:pPr>
        <w:spacing w:after="80"/>
        <w:rPr>
          <w:bCs/>
        </w:rPr>
      </w:pPr>
      <w:r w:rsidRPr="00E057FE">
        <w:rPr>
          <w:bCs/>
        </w:rPr>
        <w:t>Date of Judgment: 13 June 2012</w:t>
      </w:r>
    </w:p>
    <w:p w:rsidR="00FD4A74" w:rsidRDefault="00E057FE" w:rsidP="00E057FE">
      <w:pPr>
        <w:spacing w:after="80"/>
        <w:rPr>
          <w:bCs/>
        </w:rPr>
      </w:pPr>
      <w:r w:rsidRPr="00E057FE">
        <w:rPr>
          <w:bCs/>
        </w:rPr>
        <w:t xml:space="preserve">Date of Reasons for Judgment: </w:t>
      </w:r>
      <w:r w:rsidR="006A3959">
        <w:rPr>
          <w:rFonts w:hint="eastAsia"/>
          <w:bCs/>
        </w:rPr>
        <w:t>19</w:t>
      </w:r>
      <w:r w:rsidRPr="00E057FE">
        <w:rPr>
          <w:bCs/>
        </w:rPr>
        <w:t xml:space="preserve"> June 2012</w:t>
      </w:r>
    </w:p>
    <w:p w:rsidR="00FD4A74" w:rsidRDefault="00E057FE">
      <w:pPr>
        <w:spacing w:before="120" w:line="480" w:lineRule="auto"/>
        <w:jc w:val="center"/>
        <w:rPr>
          <w:bCs/>
        </w:rPr>
      </w:pPr>
      <w:r>
        <w:rPr>
          <w:bCs/>
        </w:rPr>
        <w:t>__________________</w:t>
      </w:r>
      <w:r w:rsidR="00FD4A74">
        <w:rPr>
          <w:rFonts w:hint="eastAsia"/>
          <w:bCs/>
        </w:rPr>
        <w:t>__________</w:t>
      </w:r>
      <w:r w:rsidR="00674A64">
        <w:rPr>
          <w:bCs/>
        </w:rPr>
        <w:t>_</w:t>
      </w:r>
      <w:r w:rsidR="00FD4A74">
        <w:rPr>
          <w:rFonts w:hint="eastAsia"/>
          <w:bCs/>
        </w:rPr>
        <w:t>___</w:t>
      </w:r>
    </w:p>
    <w:p w:rsidR="00FD4A74" w:rsidRDefault="00E057FE">
      <w:pPr>
        <w:jc w:val="center"/>
        <w:rPr>
          <w:bCs/>
          <w:spacing w:val="60"/>
        </w:rPr>
      </w:pPr>
      <w:r w:rsidRPr="00E057FE">
        <w:rPr>
          <w:spacing w:val="60"/>
        </w:rPr>
        <w:t>REASONS FOR JUDGMENT</w:t>
      </w:r>
    </w:p>
    <w:p w:rsidR="00FD4A74" w:rsidRDefault="00E057FE">
      <w:pPr>
        <w:pStyle w:val="normal1"/>
        <w:tabs>
          <w:tab w:val="clear" w:pos="1411"/>
        </w:tabs>
        <w:kinsoku/>
        <w:overflowPunct/>
        <w:autoSpaceDE/>
        <w:autoSpaceDN/>
        <w:adjustRightInd/>
        <w:snapToGrid/>
        <w:spacing w:line="480" w:lineRule="auto"/>
        <w:rPr>
          <w:rFonts w:eastAsia="宋体"/>
          <w:bCs/>
          <w:snapToGrid/>
          <w:kern w:val="2"/>
          <w:lang w:val="en-US"/>
        </w:rPr>
      </w:pPr>
      <w:r>
        <w:rPr>
          <w:bCs/>
        </w:rPr>
        <w:t>__________________</w:t>
      </w:r>
      <w:r>
        <w:rPr>
          <w:rFonts w:hint="eastAsia"/>
          <w:bCs/>
        </w:rPr>
        <w:t>__________</w:t>
      </w:r>
      <w:r>
        <w:rPr>
          <w:bCs/>
        </w:rPr>
        <w:t>_</w:t>
      </w:r>
      <w:r>
        <w:rPr>
          <w:rFonts w:hint="eastAsia"/>
          <w:bCs/>
        </w:rPr>
        <w:t>___</w:t>
      </w:r>
    </w:p>
    <w:p w:rsidR="00960E4F" w:rsidRDefault="00960E4F" w:rsidP="00030908">
      <w:pPr>
        <w:pStyle w:val="ar-draft"/>
        <w:keepNext/>
        <w:numPr>
          <w:ilvl w:val="0"/>
          <w:numId w:val="0"/>
        </w:numPr>
      </w:pPr>
      <w:r>
        <w:rPr>
          <w:rFonts w:hint="eastAsia"/>
        </w:rPr>
        <w:t>Hon Kwan JA:</w:t>
      </w:r>
    </w:p>
    <w:p w:rsidR="00960E4F" w:rsidRDefault="00960E4F" w:rsidP="00030908">
      <w:pPr>
        <w:pStyle w:val="ar-draft"/>
      </w:pPr>
      <w:r>
        <w:rPr>
          <w:rFonts w:hint="eastAsia"/>
        </w:rPr>
        <w:t xml:space="preserve">This is the hearing of a case stated by </w:t>
      </w:r>
      <w:r>
        <w:t>the</w:t>
      </w:r>
      <w:r>
        <w:rPr>
          <w:rFonts w:hint="eastAsia"/>
        </w:rPr>
        <w:t xml:space="preserve"> Administrative Appeals Board (</w:t>
      </w:r>
      <w:r>
        <w:t>“</w:t>
      </w:r>
      <w:r>
        <w:rPr>
          <w:rFonts w:hint="eastAsia"/>
        </w:rPr>
        <w:t>the Board</w:t>
      </w:r>
      <w:r>
        <w:t>”</w:t>
      </w:r>
      <w:r>
        <w:rPr>
          <w:rFonts w:hint="eastAsia"/>
        </w:rPr>
        <w:t xml:space="preserve">) on 21 October 2011 </w:t>
      </w:r>
      <w:r>
        <w:t>pursuant</w:t>
      </w:r>
      <w:r>
        <w:rPr>
          <w:rFonts w:hint="eastAsia"/>
        </w:rPr>
        <w:t xml:space="preserve"> to section 24(1) of the Administrative Appeals Board Ordinance</w:t>
      </w:r>
      <w:r w:rsidR="00CB1837">
        <w:t xml:space="preserve">.  </w:t>
      </w:r>
      <w:r>
        <w:rPr>
          <w:rFonts w:hint="eastAsia"/>
        </w:rPr>
        <w:t>Under this provision, the Board may, before an appeal is determined, refer any question of law arising in the appeal to the Court of Appeal for determination by way of case stated.</w:t>
      </w:r>
    </w:p>
    <w:p w:rsidR="00960E4F" w:rsidRDefault="00960E4F" w:rsidP="00030908">
      <w:pPr>
        <w:pStyle w:val="ar-draft"/>
      </w:pPr>
      <w:r>
        <w:rPr>
          <w:rFonts w:hint="eastAsia"/>
        </w:rPr>
        <w:t>The question of law referred to this court for determination is as follows:</w:t>
      </w:r>
    </w:p>
    <w:p w:rsidR="00960E4F" w:rsidRDefault="00960E4F" w:rsidP="00E05F38">
      <w:pPr>
        <w:pStyle w:val="ar-quotation"/>
      </w:pPr>
      <w:r>
        <w:t>“Whether, upon the true construction of s 19(1) of the Personal Data (Privacy) Ordinance, Cap 486, it is legally permissible for a data user, in compliance with a data access request made under s 18(1</w:t>
      </w:r>
      <w:proofErr w:type="gramStart"/>
      <w:r>
        <w:t>)(</w:t>
      </w:r>
      <w:proofErr w:type="gramEnd"/>
      <w:r>
        <w:t>a) of the Ordinance, to inform the individual, or relevant person on behalf of the individual, verbally, instead of in writing, that the data user does not hold personal data of which the individual is the data subject.”</w:t>
      </w:r>
    </w:p>
    <w:p w:rsidR="00960E4F" w:rsidRPr="009B36C3" w:rsidRDefault="00960E4F" w:rsidP="00E05F38">
      <w:pPr>
        <w:pStyle w:val="ar-heading1"/>
      </w:pPr>
      <w:r w:rsidRPr="009B36C3">
        <w:rPr>
          <w:rFonts w:hint="eastAsia"/>
        </w:rPr>
        <w:t>Background facts</w:t>
      </w:r>
    </w:p>
    <w:p w:rsidR="00960E4F" w:rsidRDefault="00960E4F" w:rsidP="00030908">
      <w:pPr>
        <w:pStyle w:val="ar-draft"/>
      </w:pPr>
      <w:r>
        <w:t>T</w:t>
      </w:r>
      <w:r>
        <w:rPr>
          <w:rFonts w:hint="eastAsia"/>
        </w:rPr>
        <w:t>he relevant background facts for present purpose, taken from the case stated, may be briefly stated as follows.</w:t>
      </w:r>
    </w:p>
    <w:p w:rsidR="00960E4F" w:rsidRDefault="00960E4F" w:rsidP="00030908">
      <w:pPr>
        <w:pStyle w:val="ar-draft"/>
      </w:pPr>
      <w:r>
        <w:rPr>
          <w:rFonts w:hint="eastAsia"/>
        </w:rPr>
        <w:t>On 6 October 2007, the complainant made two data access requests (</w:t>
      </w:r>
      <w:r>
        <w:t>“</w:t>
      </w:r>
      <w:r>
        <w:rPr>
          <w:rFonts w:hint="eastAsia"/>
        </w:rPr>
        <w:t>DARs</w:t>
      </w:r>
      <w:r>
        <w:t>”</w:t>
      </w:r>
      <w:r>
        <w:rPr>
          <w:rFonts w:hint="eastAsia"/>
        </w:rPr>
        <w:t xml:space="preserve">) to </w:t>
      </w:r>
      <w:r>
        <w:t>the</w:t>
      </w:r>
      <w:r>
        <w:rPr>
          <w:rFonts w:hint="eastAsia"/>
        </w:rPr>
        <w:t xml:space="preserve"> Hong Kong Police Force under s 18(1) of </w:t>
      </w:r>
      <w:r>
        <w:t xml:space="preserve">the </w:t>
      </w:r>
      <w:r>
        <w:lastRenderedPageBreak/>
        <w:t>Personal Data (Privacy) Ordinance</w:t>
      </w:r>
      <w:r>
        <w:rPr>
          <w:rFonts w:hint="eastAsia"/>
        </w:rPr>
        <w:t xml:space="preserve"> (</w:t>
      </w:r>
      <w:r>
        <w:t>“</w:t>
      </w:r>
      <w:r>
        <w:rPr>
          <w:rFonts w:hint="eastAsia"/>
        </w:rPr>
        <w:t>the Ordinance</w:t>
      </w:r>
      <w:r>
        <w:t>”</w:t>
      </w:r>
      <w:r>
        <w:rPr>
          <w:rFonts w:hint="eastAsia"/>
        </w:rPr>
        <w:t xml:space="preserve">) on his own behalf and on behalf of his son for </w:t>
      </w:r>
      <w:r>
        <w:t>“</w:t>
      </w:r>
      <w:r>
        <w:rPr>
          <w:rFonts w:hint="eastAsia"/>
        </w:rPr>
        <w:t>police data regarding offences or convictions</w:t>
      </w:r>
      <w:r>
        <w:t>”</w:t>
      </w:r>
      <w:r>
        <w:rPr>
          <w:rFonts w:hint="eastAsia"/>
        </w:rPr>
        <w:t xml:space="preserve"> for the period from 2004 to 2007</w:t>
      </w:r>
      <w:r w:rsidR="00CB1837">
        <w:t xml:space="preserve">.  </w:t>
      </w:r>
      <w:r>
        <w:rPr>
          <w:rFonts w:hint="eastAsia"/>
        </w:rPr>
        <w:t xml:space="preserve">The DARs were made in a form specified by </w:t>
      </w:r>
      <w:r>
        <w:t>the</w:t>
      </w:r>
      <w:r>
        <w:rPr>
          <w:rFonts w:hint="eastAsia"/>
        </w:rPr>
        <w:t xml:space="preserve"> Police under the Ordinance</w:t>
      </w:r>
      <w:r w:rsidR="00CB1837">
        <w:t xml:space="preserve">.  </w:t>
      </w:r>
      <w:r>
        <w:rPr>
          <w:rFonts w:hint="eastAsia"/>
        </w:rPr>
        <w:t xml:space="preserve">At the request of the Police to clarify </w:t>
      </w:r>
      <w:r>
        <w:t>the</w:t>
      </w:r>
      <w:r>
        <w:rPr>
          <w:rFonts w:hint="eastAsia"/>
        </w:rPr>
        <w:t xml:space="preserve"> kind of police report he was requesting, </w:t>
      </w:r>
      <w:r>
        <w:t>the</w:t>
      </w:r>
      <w:r>
        <w:rPr>
          <w:rFonts w:hint="eastAsia"/>
        </w:rPr>
        <w:t xml:space="preserve"> complainant replied on 8 October stating that he wished the Police to </w:t>
      </w:r>
      <w:r>
        <w:t>“</w:t>
      </w:r>
      <w:r>
        <w:rPr>
          <w:rFonts w:hint="eastAsia"/>
        </w:rPr>
        <w:t>confirm in writing</w:t>
      </w:r>
      <w:r>
        <w:t>”</w:t>
      </w:r>
      <w:r>
        <w:rPr>
          <w:rFonts w:hint="eastAsia"/>
        </w:rPr>
        <w:t xml:space="preserve"> they </w:t>
      </w:r>
      <w:r>
        <w:t>“</w:t>
      </w:r>
      <w:r>
        <w:rPr>
          <w:rFonts w:hint="eastAsia"/>
        </w:rPr>
        <w:t xml:space="preserve">do not hold any records of criminal offences or convictions for [the complainant and his family] (period 2004 </w:t>
      </w:r>
      <w:r>
        <w:t>–</w:t>
      </w:r>
      <w:r>
        <w:rPr>
          <w:rFonts w:hint="eastAsia"/>
        </w:rPr>
        <w:t xml:space="preserve"> 2007 inclusive)</w:t>
      </w:r>
      <w:r>
        <w:t>”</w:t>
      </w:r>
      <w:r>
        <w:rPr>
          <w:rFonts w:hint="eastAsia"/>
        </w:rPr>
        <w:t xml:space="preserve">, and if </w:t>
      </w:r>
      <w:r>
        <w:t>the</w:t>
      </w:r>
      <w:r>
        <w:rPr>
          <w:rFonts w:hint="eastAsia"/>
        </w:rPr>
        <w:t xml:space="preserve"> Police should hold any such records, they were requested to supply the date and nature of the offence.</w:t>
      </w:r>
    </w:p>
    <w:p w:rsidR="00960E4F" w:rsidRDefault="00960E4F" w:rsidP="00030908">
      <w:pPr>
        <w:pStyle w:val="ar-draft"/>
      </w:pPr>
      <w:r>
        <w:rPr>
          <w:rFonts w:hint="eastAsia"/>
        </w:rPr>
        <w:t>The Police responded to the complainant on 9 October 2007 advising that they provided two kinds of services, namely:</w:t>
      </w:r>
    </w:p>
    <w:p w:rsidR="00477D68" w:rsidRDefault="00960E4F" w:rsidP="00477D68">
      <w:pPr>
        <w:pStyle w:val="T-Draft"/>
        <w:numPr>
          <w:ilvl w:val="0"/>
          <w:numId w:val="0"/>
        </w:numPr>
        <w:ind w:left="720"/>
      </w:pPr>
      <w:r>
        <w:rPr>
          <w:rFonts w:hint="eastAsia"/>
        </w:rPr>
        <w:t>(1)</w:t>
      </w:r>
      <w:r w:rsidR="003A25DD">
        <w:tab/>
      </w:r>
      <w:r>
        <w:rPr>
          <w:rFonts w:hint="eastAsia"/>
        </w:rPr>
        <w:t>Certificate of No Criminal Conviction (</w:t>
      </w:r>
      <w:r>
        <w:t>“</w:t>
      </w:r>
      <w:r>
        <w:rPr>
          <w:rFonts w:hint="eastAsia"/>
        </w:rPr>
        <w:t>CNCC</w:t>
      </w:r>
      <w:r>
        <w:t>”</w:t>
      </w:r>
      <w:r>
        <w:rPr>
          <w:rFonts w:hint="eastAsia"/>
        </w:rPr>
        <w:t>)</w:t>
      </w:r>
    </w:p>
    <w:p w:rsidR="00960E4F" w:rsidRDefault="00960E4F" w:rsidP="00477D68">
      <w:pPr>
        <w:pStyle w:val="T-Draft"/>
        <w:numPr>
          <w:ilvl w:val="0"/>
          <w:numId w:val="0"/>
        </w:numPr>
        <w:ind w:left="1440"/>
      </w:pPr>
      <w:r>
        <w:rPr>
          <w:rFonts w:hint="eastAsia"/>
        </w:rPr>
        <w:t xml:space="preserve">An application for CNCC should be made in person in </w:t>
      </w:r>
      <w:r>
        <w:t>the</w:t>
      </w:r>
      <w:r>
        <w:rPr>
          <w:rFonts w:hint="eastAsia"/>
        </w:rPr>
        <w:t xml:space="preserve"> Police office</w:t>
      </w:r>
      <w:r w:rsidR="00CB1837">
        <w:t xml:space="preserve">.  </w:t>
      </w:r>
      <w:r>
        <w:rPr>
          <w:rFonts w:hint="eastAsia"/>
        </w:rPr>
        <w:t>If the applicant is not in Hong Kong, the application may be made by post provided that certain documentary requirements were fulfilled</w:t>
      </w:r>
      <w:r w:rsidR="00CB1837">
        <w:t xml:space="preserve">.  </w:t>
      </w:r>
      <w:r>
        <w:rPr>
          <w:rFonts w:hint="eastAsia"/>
        </w:rPr>
        <w:t xml:space="preserve">If no criminal conviction is found, the CNCC will be sent to the relevant consulate or </w:t>
      </w:r>
      <w:r>
        <w:t>immigration</w:t>
      </w:r>
      <w:r>
        <w:rPr>
          <w:rFonts w:hint="eastAsia"/>
        </w:rPr>
        <w:t xml:space="preserve"> authority.</w:t>
      </w:r>
    </w:p>
    <w:p w:rsidR="00960E4F" w:rsidRDefault="003A25DD" w:rsidP="00477D68">
      <w:pPr>
        <w:pStyle w:val="T-Draft"/>
        <w:numPr>
          <w:ilvl w:val="0"/>
          <w:numId w:val="0"/>
        </w:numPr>
        <w:ind w:left="720"/>
      </w:pPr>
      <w:r>
        <w:rPr>
          <w:rFonts w:hint="eastAsia"/>
        </w:rPr>
        <w:t>(2)</w:t>
      </w:r>
      <w:r>
        <w:tab/>
      </w:r>
      <w:r w:rsidR="00960E4F">
        <w:rPr>
          <w:rFonts w:hint="eastAsia"/>
        </w:rPr>
        <w:t>Criminal Conviction Data (</w:t>
      </w:r>
      <w:r w:rsidR="00960E4F">
        <w:t>“</w:t>
      </w:r>
      <w:r w:rsidR="00960E4F">
        <w:rPr>
          <w:rFonts w:hint="eastAsia"/>
        </w:rPr>
        <w:t>CCD</w:t>
      </w:r>
      <w:r w:rsidR="00960E4F">
        <w:t>”</w:t>
      </w:r>
      <w:r w:rsidR="00960E4F">
        <w:rPr>
          <w:rFonts w:hint="eastAsia"/>
        </w:rPr>
        <w:t>) Access</w:t>
      </w:r>
    </w:p>
    <w:p w:rsidR="00960E4F" w:rsidRDefault="00960E4F" w:rsidP="00477D68">
      <w:pPr>
        <w:pStyle w:val="T-Draft"/>
        <w:numPr>
          <w:ilvl w:val="0"/>
          <w:numId w:val="0"/>
        </w:numPr>
        <w:ind w:left="1440"/>
      </w:pPr>
      <w:r>
        <w:rPr>
          <w:rFonts w:hint="eastAsia"/>
        </w:rPr>
        <w:t xml:space="preserve">Again, the applicant should make the request in person in </w:t>
      </w:r>
      <w:r>
        <w:t>the</w:t>
      </w:r>
      <w:r>
        <w:rPr>
          <w:rFonts w:hint="eastAsia"/>
        </w:rPr>
        <w:t xml:space="preserve"> Police office, with his identification document</w:t>
      </w:r>
      <w:r w:rsidR="00CB1837">
        <w:t xml:space="preserve">.  </w:t>
      </w:r>
      <w:r>
        <w:rPr>
          <w:rFonts w:hint="eastAsia"/>
        </w:rPr>
        <w:t>If no criminal conviction is found, the applicant will be notified verbally of the result</w:t>
      </w:r>
      <w:r w:rsidR="00CB1837">
        <w:t xml:space="preserve">.  </w:t>
      </w:r>
      <w:r>
        <w:rPr>
          <w:rFonts w:hint="eastAsia"/>
        </w:rPr>
        <w:t xml:space="preserve">If a criminal conviction is found, </w:t>
      </w:r>
      <w:r>
        <w:t>the</w:t>
      </w:r>
      <w:r>
        <w:rPr>
          <w:rFonts w:hint="eastAsia"/>
        </w:rPr>
        <w:t xml:space="preserve"> applicant will be given a summary of the conviction</w:t>
      </w:r>
      <w:r w:rsidR="00CB1837">
        <w:t xml:space="preserve">.  </w:t>
      </w:r>
      <w:r>
        <w:rPr>
          <w:rFonts w:hint="eastAsia"/>
        </w:rPr>
        <w:t>A fee of $50 is payable for each application.</w:t>
      </w:r>
    </w:p>
    <w:p w:rsidR="00960E4F" w:rsidRDefault="00960E4F" w:rsidP="00030908">
      <w:pPr>
        <w:pStyle w:val="ar-draft"/>
      </w:pPr>
      <w:r>
        <w:rPr>
          <w:rFonts w:hint="eastAsia"/>
        </w:rPr>
        <w:lastRenderedPageBreak/>
        <w:t>The complainant was not applying for a CNCC</w:t>
      </w:r>
      <w:r w:rsidR="00CB1837">
        <w:t xml:space="preserve">.  </w:t>
      </w:r>
      <w:r>
        <w:rPr>
          <w:rFonts w:hint="eastAsia"/>
        </w:rPr>
        <w:t>On 9 October 2007, the complainant replied to the Police saying that he regarded the Police as denying his requests</w:t>
      </w:r>
      <w:r w:rsidR="00CB1837">
        <w:t xml:space="preserve">.  </w:t>
      </w:r>
      <w:r>
        <w:rPr>
          <w:rFonts w:hint="eastAsia"/>
        </w:rPr>
        <w:t xml:space="preserve">The Police did not hold any conviction data in respect of the complainant or his son and took the position that section 18 of the Ordinance only required them to </w:t>
      </w:r>
      <w:r>
        <w:t>“</w:t>
      </w:r>
      <w:r>
        <w:rPr>
          <w:rFonts w:hint="eastAsia"/>
        </w:rPr>
        <w:t>inform</w:t>
      </w:r>
      <w:r>
        <w:t>”</w:t>
      </w:r>
      <w:r>
        <w:rPr>
          <w:rFonts w:hint="eastAsia"/>
        </w:rPr>
        <w:t xml:space="preserve"> the complainant they did not hold the data requested and they would do so verbally in accordance with their established procedure</w:t>
      </w:r>
      <w:r w:rsidR="00CB1837">
        <w:t xml:space="preserve">.  </w:t>
      </w:r>
      <w:r>
        <w:rPr>
          <w:rFonts w:hint="eastAsia"/>
        </w:rPr>
        <w:t xml:space="preserve">They invited the complainant and his family to come to </w:t>
      </w:r>
      <w:r>
        <w:t>the</w:t>
      </w:r>
      <w:r>
        <w:rPr>
          <w:rFonts w:hint="eastAsia"/>
        </w:rPr>
        <w:t xml:space="preserve"> Police office to have CCD</w:t>
      </w:r>
      <w:r w:rsidRPr="00D4317D">
        <w:rPr>
          <w:rFonts w:hint="eastAsia"/>
        </w:rPr>
        <w:t xml:space="preserve"> </w:t>
      </w:r>
      <w:r>
        <w:rPr>
          <w:rFonts w:hint="eastAsia"/>
        </w:rPr>
        <w:t>Access and be verbally informed of the result.</w:t>
      </w:r>
    </w:p>
    <w:p w:rsidR="00960E4F" w:rsidRDefault="00960E4F" w:rsidP="00030908">
      <w:pPr>
        <w:pStyle w:val="ar-draft"/>
      </w:pPr>
      <w:r>
        <w:rPr>
          <w:rFonts w:hint="eastAsia"/>
        </w:rPr>
        <w:t xml:space="preserve">The complainant disagreed with </w:t>
      </w:r>
      <w:r>
        <w:t>the</w:t>
      </w:r>
      <w:r>
        <w:rPr>
          <w:rFonts w:hint="eastAsia"/>
        </w:rPr>
        <w:t xml:space="preserve"> position taken by </w:t>
      </w:r>
      <w:r>
        <w:t>the</w:t>
      </w:r>
      <w:r>
        <w:rPr>
          <w:rFonts w:hint="eastAsia"/>
        </w:rPr>
        <w:t xml:space="preserve"> Police and made a complaint to the Privacy Commissioner for Personal Data (</w:t>
      </w:r>
      <w:r>
        <w:t>“</w:t>
      </w:r>
      <w:r>
        <w:rPr>
          <w:rFonts w:hint="eastAsia"/>
        </w:rPr>
        <w:t>Privacy Commissioner</w:t>
      </w:r>
      <w:r>
        <w:t>”</w:t>
      </w:r>
      <w:r>
        <w:rPr>
          <w:rFonts w:hint="eastAsia"/>
        </w:rPr>
        <w:t>) on 15 November 2007.</w:t>
      </w:r>
    </w:p>
    <w:p w:rsidR="00960E4F" w:rsidRDefault="00960E4F" w:rsidP="00030908">
      <w:pPr>
        <w:pStyle w:val="ar-draft"/>
      </w:pPr>
      <w:r>
        <w:rPr>
          <w:rFonts w:hint="eastAsia"/>
        </w:rPr>
        <w:t xml:space="preserve">On 31 December 2007, the Privacy Commissioner notified the complainant that he had decided not to carry out or continue an investigation into the complaint, as he was of the view that section 18 did not require the Police to inform </w:t>
      </w:r>
      <w:r>
        <w:t>the</w:t>
      </w:r>
      <w:r>
        <w:rPr>
          <w:rFonts w:hint="eastAsia"/>
        </w:rPr>
        <w:t xml:space="preserve"> complainant in writing whether they held the data requested </w:t>
      </w:r>
      <w:r>
        <w:t>and</w:t>
      </w:r>
      <w:r>
        <w:rPr>
          <w:rFonts w:hint="eastAsia"/>
        </w:rPr>
        <w:t xml:space="preserve"> a verbal reply would be sufficient</w:t>
      </w:r>
      <w:r w:rsidR="00CB1837">
        <w:t xml:space="preserve">.  </w:t>
      </w:r>
      <w:r>
        <w:rPr>
          <w:rFonts w:hint="eastAsia"/>
        </w:rPr>
        <w:t>The complainant had declined to attend the Police office so that he could be verbally informed</w:t>
      </w:r>
      <w:r w:rsidR="00CB1837">
        <w:t xml:space="preserve">.  </w:t>
      </w:r>
      <w:r>
        <w:rPr>
          <w:rFonts w:hint="eastAsia"/>
        </w:rPr>
        <w:t>The Privacy Commissioner found there was no contravention of s 18(1</w:t>
      </w:r>
      <w:proofErr w:type="gramStart"/>
      <w:r>
        <w:rPr>
          <w:rFonts w:hint="eastAsia"/>
        </w:rPr>
        <w:t>)(</w:t>
      </w:r>
      <w:proofErr w:type="gramEnd"/>
      <w:r>
        <w:rPr>
          <w:rFonts w:hint="eastAsia"/>
        </w:rPr>
        <w:t>a) and s 19 of the Ordinance.</w:t>
      </w:r>
    </w:p>
    <w:p w:rsidR="00960E4F" w:rsidRDefault="00960E4F" w:rsidP="00030908">
      <w:pPr>
        <w:pStyle w:val="ar-draft"/>
      </w:pPr>
      <w:r>
        <w:rPr>
          <w:rFonts w:hint="eastAsia"/>
        </w:rPr>
        <w:t>The complainant appealed to the Board against the decision of the Privacy Commissioner</w:t>
      </w:r>
      <w:r w:rsidR="00CB1837">
        <w:t xml:space="preserve">.  </w:t>
      </w:r>
      <w:r>
        <w:rPr>
          <w:rFonts w:hint="eastAsia"/>
        </w:rPr>
        <w:t>This is Administrative Appeal No 1 of 2008 (</w:t>
      </w:r>
      <w:r>
        <w:t>“</w:t>
      </w:r>
      <w:r>
        <w:rPr>
          <w:rFonts w:hint="eastAsia"/>
        </w:rPr>
        <w:t>the 1</w:t>
      </w:r>
      <w:r w:rsidRPr="0059704D">
        <w:rPr>
          <w:rFonts w:hint="eastAsia"/>
          <w:vertAlign w:val="superscript"/>
        </w:rPr>
        <w:t>st</w:t>
      </w:r>
      <w:r>
        <w:rPr>
          <w:rFonts w:hint="eastAsia"/>
        </w:rPr>
        <w:t xml:space="preserve"> Appeal</w:t>
      </w:r>
      <w:r>
        <w:t>”</w:t>
      </w:r>
      <w:r>
        <w:rPr>
          <w:rFonts w:hint="eastAsia"/>
        </w:rPr>
        <w:t>).</w:t>
      </w:r>
    </w:p>
    <w:p w:rsidR="00960E4F" w:rsidRPr="0059704D" w:rsidRDefault="00960E4F" w:rsidP="00E05F38">
      <w:pPr>
        <w:pStyle w:val="ar-heading1"/>
      </w:pPr>
      <w:r w:rsidRPr="0059704D">
        <w:rPr>
          <w:rFonts w:hint="eastAsia"/>
        </w:rPr>
        <w:lastRenderedPageBreak/>
        <w:t>The 1</w:t>
      </w:r>
      <w:r w:rsidRPr="0059704D">
        <w:rPr>
          <w:rFonts w:hint="eastAsia"/>
          <w:vertAlign w:val="superscript"/>
        </w:rPr>
        <w:t>st</w:t>
      </w:r>
      <w:r w:rsidRPr="0059704D">
        <w:rPr>
          <w:rFonts w:hint="eastAsia"/>
        </w:rPr>
        <w:t xml:space="preserve"> </w:t>
      </w:r>
      <w:r>
        <w:rPr>
          <w:rFonts w:hint="eastAsia"/>
        </w:rPr>
        <w:t>A</w:t>
      </w:r>
      <w:r w:rsidRPr="0059704D">
        <w:rPr>
          <w:rFonts w:hint="eastAsia"/>
        </w:rPr>
        <w:t>ppeal</w:t>
      </w:r>
    </w:p>
    <w:p w:rsidR="00960E4F" w:rsidRDefault="00960E4F" w:rsidP="00030908">
      <w:pPr>
        <w:pStyle w:val="ar-draft"/>
      </w:pPr>
      <w:r>
        <w:t>The</w:t>
      </w:r>
      <w:r>
        <w:rPr>
          <w:rFonts w:hint="eastAsia"/>
        </w:rPr>
        <w:t xml:space="preserve"> Board handed down its decision on 10 December 2008 and allowed the appeal</w:t>
      </w:r>
      <w:r w:rsidR="00CB1837">
        <w:t xml:space="preserve">.  </w:t>
      </w:r>
      <w:r>
        <w:rPr>
          <w:rFonts w:hint="eastAsia"/>
        </w:rPr>
        <w:t>They did not agree with the Privacy Commissioner</w:t>
      </w:r>
      <w:r>
        <w:t>’</w:t>
      </w:r>
      <w:r>
        <w:rPr>
          <w:rFonts w:hint="eastAsia"/>
        </w:rPr>
        <w:t xml:space="preserve">s interpretation of s 18(1)(a), for the reasons which appeared in </w:t>
      </w:r>
      <w:proofErr w:type="spellStart"/>
      <w:r>
        <w:rPr>
          <w:rFonts w:hint="eastAsia"/>
        </w:rPr>
        <w:t>paras</w:t>
      </w:r>
      <w:proofErr w:type="spellEnd"/>
      <w:r>
        <w:rPr>
          <w:rFonts w:hint="eastAsia"/>
        </w:rPr>
        <w:t xml:space="preserve"> 16 to 18 of the decision:</w:t>
      </w:r>
    </w:p>
    <w:p w:rsidR="00960E4F" w:rsidRDefault="00960E4F" w:rsidP="00EA2CAD">
      <w:pPr>
        <w:pStyle w:val="ar-quotation"/>
      </w:pPr>
      <w:r>
        <w:t>“</w:t>
      </w:r>
      <w:r>
        <w:rPr>
          <w:rFonts w:hint="eastAsia"/>
        </w:rPr>
        <w:t>16.</w:t>
      </w:r>
      <w:r w:rsidR="000B462F">
        <w:tab/>
      </w:r>
      <w:r>
        <w:t>…</w:t>
      </w:r>
      <w:r>
        <w:rPr>
          <w:rFonts w:hint="eastAsia"/>
        </w:rPr>
        <w:t xml:space="preserve"> Section 18 provides for the right of an individual to have access to personal data held by the data user and where the data user holds no such data, the right of the requestor to be informed of this fact by the data user</w:t>
      </w:r>
      <w:r w:rsidR="00CB1837">
        <w:t xml:space="preserve">.  </w:t>
      </w:r>
      <w:r>
        <w:rPr>
          <w:rFonts w:hint="eastAsia"/>
        </w:rPr>
        <w:t>Section 18 does not provide for the manner to comply with a data access request</w:t>
      </w:r>
      <w:r w:rsidR="00CB1837">
        <w:t xml:space="preserve">.  </w:t>
      </w:r>
      <w:r>
        <w:rPr>
          <w:rFonts w:hint="eastAsia"/>
        </w:rPr>
        <w:t xml:space="preserve">The fact that </w:t>
      </w:r>
      <w:r>
        <w:t>‘</w:t>
      </w:r>
      <w:r>
        <w:rPr>
          <w:rFonts w:hint="eastAsia"/>
        </w:rPr>
        <w:t>inform</w:t>
      </w:r>
      <w:r>
        <w:t>’</w:t>
      </w:r>
      <w:r>
        <w:rPr>
          <w:rFonts w:hint="eastAsia"/>
        </w:rPr>
        <w:t xml:space="preserve"> in section 18(1</w:t>
      </w:r>
      <w:proofErr w:type="gramStart"/>
      <w:r>
        <w:rPr>
          <w:rFonts w:hint="eastAsia"/>
        </w:rPr>
        <w:t>)(</w:t>
      </w:r>
      <w:proofErr w:type="gramEnd"/>
      <w:r>
        <w:rPr>
          <w:rFonts w:hint="eastAsia"/>
        </w:rPr>
        <w:t xml:space="preserve">a) is not qualified, without more, does not enable the data user to comply with </w:t>
      </w:r>
      <w:r>
        <w:t>the</w:t>
      </w:r>
      <w:r>
        <w:rPr>
          <w:rFonts w:hint="eastAsia"/>
        </w:rPr>
        <w:t xml:space="preserve"> request by verbal means.</w:t>
      </w:r>
    </w:p>
    <w:p w:rsidR="00960E4F" w:rsidRDefault="00960E4F" w:rsidP="00EA2CAD">
      <w:pPr>
        <w:pStyle w:val="ar-quotation"/>
      </w:pPr>
      <w:r>
        <w:rPr>
          <w:rFonts w:hint="eastAsia"/>
        </w:rPr>
        <w:t>17.</w:t>
      </w:r>
      <w:r w:rsidR="000B462F">
        <w:tab/>
      </w:r>
      <w:r>
        <w:rPr>
          <w:rFonts w:hint="eastAsia"/>
        </w:rPr>
        <w:t>The data user</w:t>
      </w:r>
      <w:r>
        <w:t>’</w:t>
      </w:r>
      <w:r>
        <w:rPr>
          <w:rFonts w:hint="eastAsia"/>
        </w:rPr>
        <w:t>s duty to comply with an access request and the manner of compliance are provided under section 19</w:t>
      </w:r>
      <w:r w:rsidR="00CB1837">
        <w:t xml:space="preserve">.  </w:t>
      </w:r>
      <w:r>
        <w:t>T</w:t>
      </w:r>
      <w:r>
        <w:rPr>
          <w:rFonts w:hint="eastAsia"/>
        </w:rPr>
        <w:t xml:space="preserve">he data user is required to supply a copy of the data within 40 days of receiving the request if he holds the data and if he does not hold such data, he is required to let </w:t>
      </w:r>
      <w:r>
        <w:t>the</w:t>
      </w:r>
      <w:r>
        <w:rPr>
          <w:rFonts w:hint="eastAsia"/>
        </w:rPr>
        <w:t xml:space="preserve"> requestor know about it within the same period of time</w:t>
      </w:r>
      <w:r w:rsidR="00CB1837">
        <w:t xml:space="preserve">.  </w:t>
      </w:r>
      <w:r>
        <w:rPr>
          <w:rFonts w:hint="eastAsia"/>
        </w:rPr>
        <w:t>If the data user is unable to do both, he has to inform the requestor in writing about it and the reason why</w:t>
      </w:r>
      <w:r w:rsidR="00CB1837">
        <w:t xml:space="preserve">.  </w:t>
      </w:r>
      <w:r>
        <w:rPr>
          <w:rFonts w:hint="eastAsia"/>
        </w:rPr>
        <w:t xml:space="preserve">Sections 19(3) and (4) also provides that notice to the requestor on correction of data supplied </w:t>
      </w:r>
      <w:r>
        <w:t>and</w:t>
      </w:r>
      <w:r>
        <w:rPr>
          <w:rFonts w:hint="eastAsia"/>
        </w:rPr>
        <w:t xml:space="preserve"> notice that </w:t>
      </w:r>
      <w:r>
        <w:t>the</w:t>
      </w:r>
      <w:r>
        <w:rPr>
          <w:rFonts w:hint="eastAsia"/>
        </w:rPr>
        <w:t xml:space="preserve"> data user is unable to supply the data in the form requested, have to be in writing. </w:t>
      </w:r>
    </w:p>
    <w:p w:rsidR="00960E4F" w:rsidRDefault="00960E4F" w:rsidP="00EA2CAD">
      <w:pPr>
        <w:pStyle w:val="ar-quotation"/>
      </w:pPr>
      <w:r>
        <w:rPr>
          <w:rFonts w:hint="eastAsia"/>
        </w:rPr>
        <w:t>18.</w:t>
      </w:r>
      <w:r w:rsidR="000B462F">
        <w:tab/>
      </w:r>
      <w:r>
        <w:rPr>
          <w:rFonts w:hint="eastAsia"/>
        </w:rPr>
        <w:t xml:space="preserve">In our opinion, bearing in mind that a data access request is required to be made in writing and a data correction request is also required to be made in writing, and further section 19 requires notices to the requestor to be in writing, it would be unreasonable, if not absurd, to suggest that a </w:t>
      </w:r>
      <w:proofErr w:type="spellStart"/>
      <w:r>
        <w:rPr>
          <w:rFonts w:hint="eastAsia"/>
        </w:rPr>
        <w:t>requestor</w:t>
      </w:r>
      <w:proofErr w:type="spellEnd"/>
      <w:r>
        <w:rPr>
          <w:rFonts w:hint="eastAsia"/>
        </w:rPr>
        <w:t xml:space="preserve"> need only be verbally informed by a data user that no personal data of his are held without being inconsistent with </w:t>
      </w:r>
      <w:r>
        <w:t>the</w:t>
      </w:r>
      <w:r>
        <w:rPr>
          <w:rFonts w:hint="eastAsia"/>
        </w:rPr>
        <w:t xml:space="preserve"> requirements of section 19.</w:t>
      </w:r>
      <w:r>
        <w:t>”</w:t>
      </w:r>
    </w:p>
    <w:p w:rsidR="00960E4F" w:rsidRDefault="00960E4F" w:rsidP="00030908">
      <w:pPr>
        <w:pStyle w:val="ar-draft"/>
      </w:pPr>
      <w:r>
        <w:rPr>
          <w:rFonts w:hint="eastAsia"/>
        </w:rPr>
        <w:t>The Board remitted the case to the Privacy Commissioner to continue his investigation.</w:t>
      </w:r>
    </w:p>
    <w:p w:rsidR="00960E4F" w:rsidRDefault="00960E4F" w:rsidP="00030908">
      <w:pPr>
        <w:pStyle w:val="ar-draft"/>
      </w:pPr>
      <w:r>
        <w:rPr>
          <w:rFonts w:hint="eastAsia"/>
        </w:rPr>
        <w:t xml:space="preserve">On 15 April 2010, the Privacy Commissioner issued a Result of Investigation of </w:t>
      </w:r>
      <w:r>
        <w:t>the</w:t>
      </w:r>
      <w:r>
        <w:rPr>
          <w:rFonts w:hint="eastAsia"/>
        </w:rPr>
        <w:t xml:space="preserve"> complaint </w:t>
      </w:r>
      <w:r>
        <w:t>and</w:t>
      </w:r>
      <w:r>
        <w:rPr>
          <w:rFonts w:hint="eastAsia"/>
        </w:rPr>
        <w:t xml:space="preserve"> made, </w:t>
      </w:r>
      <w:r w:rsidRPr="006E5075">
        <w:rPr>
          <w:rFonts w:hint="eastAsia"/>
          <w:i/>
        </w:rPr>
        <w:t>inter alia</w:t>
      </w:r>
      <w:r>
        <w:rPr>
          <w:rFonts w:hint="eastAsia"/>
        </w:rPr>
        <w:t>, the finding that the Police</w:t>
      </w:r>
      <w:r>
        <w:t>’</w:t>
      </w:r>
      <w:r>
        <w:rPr>
          <w:rFonts w:hint="eastAsia"/>
        </w:rPr>
        <w:t>s failure to provide a written reply to the complainant</w:t>
      </w:r>
      <w:r>
        <w:t>’</w:t>
      </w:r>
      <w:r>
        <w:rPr>
          <w:rFonts w:hint="eastAsia"/>
        </w:rPr>
        <w:t xml:space="preserve">s DARs </w:t>
      </w:r>
      <w:r>
        <w:rPr>
          <w:rFonts w:hint="eastAsia"/>
        </w:rPr>
        <w:lastRenderedPageBreak/>
        <w:t>contravened s 19(1) of the Ordinance</w:t>
      </w:r>
      <w:r w:rsidR="00CB1837">
        <w:t xml:space="preserve">.  </w:t>
      </w:r>
      <w:r>
        <w:rPr>
          <w:rFonts w:hint="eastAsia"/>
        </w:rPr>
        <w:t xml:space="preserve">The Privacy Commissioner issued an enforcement notice the same day, requiring the Police to inform the complainant in writing that they do not hold the data requested under the DARs, within 21 days after service of </w:t>
      </w:r>
      <w:r>
        <w:t>the</w:t>
      </w:r>
      <w:r>
        <w:rPr>
          <w:rFonts w:hint="eastAsia"/>
        </w:rPr>
        <w:t xml:space="preserve"> enforcement notice. </w:t>
      </w:r>
    </w:p>
    <w:p w:rsidR="00960E4F" w:rsidRDefault="00960E4F" w:rsidP="00030908">
      <w:pPr>
        <w:pStyle w:val="ar-draft"/>
      </w:pPr>
      <w:r>
        <w:rPr>
          <w:rFonts w:hint="eastAsia"/>
        </w:rPr>
        <w:t>On 28 April 2010, t</w:t>
      </w:r>
      <w:r>
        <w:t xml:space="preserve">he Commissioner of Police lodged an appeal against the </w:t>
      </w:r>
      <w:r>
        <w:rPr>
          <w:rFonts w:hint="eastAsia"/>
        </w:rPr>
        <w:t>Privacy Commissioner</w:t>
      </w:r>
      <w:r>
        <w:t>’</w:t>
      </w:r>
      <w:r>
        <w:rPr>
          <w:rFonts w:hint="eastAsia"/>
        </w:rPr>
        <w:t>s decision</w:t>
      </w:r>
      <w:r w:rsidR="00CB1837">
        <w:t xml:space="preserve">.  </w:t>
      </w:r>
      <w:r>
        <w:rPr>
          <w:rFonts w:hint="eastAsia"/>
        </w:rPr>
        <w:t>This is Administrative Appeal No 10 of 2010 (</w:t>
      </w:r>
      <w:r>
        <w:t>“</w:t>
      </w:r>
      <w:r>
        <w:rPr>
          <w:rFonts w:hint="eastAsia"/>
        </w:rPr>
        <w:t>the 2</w:t>
      </w:r>
      <w:r w:rsidRPr="0014647C">
        <w:rPr>
          <w:rFonts w:hint="eastAsia"/>
          <w:vertAlign w:val="superscript"/>
        </w:rPr>
        <w:t>nd</w:t>
      </w:r>
      <w:r>
        <w:rPr>
          <w:rFonts w:hint="eastAsia"/>
        </w:rPr>
        <w:t xml:space="preserve"> Appeal</w:t>
      </w:r>
      <w:r>
        <w:t>”</w:t>
      </w:r>
      <w:r>
        <w:rPr>
          <w:rFonts w:hint="eastAsia"/>
        </w:rPr>
        <w:t>) and was heard by a differently constituted Board.</w:t>
      </w:r>
    </w:p>
    <w:p w:rsidR="00960E4F" w:rsidRPr="0027498D" w:rsidRDefault="00960E4F" w:rsidP="00E05F38">
      <w:pPr>
        <w:pStyle w:val="ar-heading1"/>
      </w:pPr>
      <w:r w:rsidRPr="0027498D">
        <w:t>The</w:t>
      </w:r>
      <w:r w:rsidRPr="0027498D">
        <w:rPr>
          <w:rFonts w:hint="eastAsia"/>
        </w:rPr>
        <w:t xml:space="preserve"> 2</w:t>
      </w:r>
      <w:r w:rsidRPr="0027498D">
        <w:rPr>
          <w:rFonts w:hint="eastAsia"/>
          <w:vertAlign w:val="superscript"/>
        </w:rPr>
        <w:t>nd</w:t>
      </w:r>
      <w:r w:rsidRPr="0027498D">
        <w:rPr>
          <w:rFonts w:hint="eastAsia"/>
        </w:rPr>
        <w:t xml:space="preserve"> Appeal</w:t>
      </w:r>
    </w:p>
    <w:p w:rsidR="00960E4F" w:rsidRDefault="00960E4F" w:rsidP="00030908">
      <w:pPr>
        <w:pStyle w:val="ar-draft"/>
      </w:pPr>
      <w:r>
        <w:t>T</w:t>
      </w:r>
      <w:r>
        <w:rPr>
          <w:rFonts w:hint="eastAsia"/>
        </w:rPr>
        <w:t>he Board handed down its decision on 5 May 2011</w:t>
      </w:r>
      <w:r w:rsidR="00CB1837">
        <w:t xml:space="preserve">.  </w:t>
      </w:r>
      <w:r>
        <w:rPr>
          <w:rFonts w:hint="eastAsia"/>
        </w:rPr>
        <w:t>The core issue was whether the Police, in order to comply with the complainant</w:t>
      </w:r>
      <w:r>
        <w:t>’</w:t>
      </w:r>
      <w:r>
        <w:rPr>
          <w:rFonts w:hint="eastAsia"/>
        </w:rPr>
        <w:t>s DARs under s 18(1</w:t>
      </w:r>
      <w:proofErr w:type="gramStart"/>
      <w:r>
        <w:rPr>
          <w:rFonts w:hint="eastAsia"/>
        </w:rPr>
        <w:t>)(</w:t>
      </w:r>
      <w:proofErr w:type="gramEnd"/>
      <w:r>
        <w:rPr>
          <w:rFonts w:hint="eastAsia"/>
        </w:rPr>
        <w:t>a), must give a written reply where the Police do not hold any relevant criminal conviction data</w:t>
      </w:r>
      <w:r w:rsidR="00CB1837">
        <w:t xml:space="preserve">.  </w:t>
      </w:r>
      <w:r>
        <w:rPr>
          <w:rFonts w:hint="eastAsia"/>
        </w:rPr>
        <w:t xml:space="preserve">The Board considered </w:t>
      </w:r>
      <w:r>
        <w:t>whether</w:t>
      </w:r>
      <w:r>
        <w:rPr>
          <w:rFonts w:hint="eastAsia"/>
        </w:rPr>
        <w:t xml:space="preserve"> it is legally permissible for the Police to give a verbal reply that they do not hold any relevant personal data is a question of law the answer to which would depend on the true construction of s 19(1)</w:t>
      </w:r>
      <w:r w:rsidR="00CB1837">
        <w:t xml:space="preserve">.  </w:t>
      </w:r>
      <w:r>
        <w:rPr>
          <w:rFonts w:hint="eastAsia"/>
        </w:rPr>
        <w:t xml:space="preserve">Although </w:t>
      </w:r>
      <w:r>
        <w:t>the</w:t>
      </w:r>
      <w:r>
        <w:rPr>
          <w:rFonts w:hint="eastAsia"/>
        </w:rPr>
        <w:t xml:space="preserve"> Privacy Commissioner originally shared the view of the Police regarding the proper construction of s 19(1), the Privacy Commissioner considered himself bound by </w:t>
      </w:r>
      <w:r>
        <w:t>the</w:t>
      </w:r>
      <w:r>
        <w:rPr>
          <w:rFonts w:hint="eastAsia"/>
        </w:rPr>
        <w:t xml:space="preserve"> decision of the Board in the 1</w:t>
      </w:r>
      <w:r w:rsidRPr="003B6991">
        <w:rPr>
          <w:rFonts w:hint="eastAsia"/>
          <w:vertAlign w:val="superscript"/>
        </w:rPr>
        <w:t>st</w:t>
      </w:r>
      <w:r>
        <w:rPr>
          <w:rFonts w:hint="eastAsia"/>
        </w:rPr>
        <w:t xml:space="preserve"> Appeal</w:t>
      </w:r>
      <w:r w:rsidR="00CB1837">
        <w:t xml:space="preserve">.  </w:t>
      </w:r>
      <w:r>
        <w:rPr>
          <w:rFonts w:hint="eastAsia"/>
        </w:rPr>
        <w:t>Counsel for the Privacy Commissioner submitted it would cause a chaotic situation if the Board in the 2</w:t>
      </w:r>
      <w:r w:rsidRPr="003B6991">
        <w:rPr>
          <w:rFonts w:hint="eastAsia"/>
          <w:vertAlign w:val="superscript"/>
        </w:rPr>
        <w:t>nd</w:t>
      </w:r>
      <w:r>
        <w:rPr>
          <w:rFonts w:hint="eastAsia"/>
        </w:rPr>
        <w:t xml:space="preserve"> Appeal were to come to a different conclusion from </w:t>
      </w:r>
      <w:r>
        <w:t>the</w:t>
      </w:r>
      <w:r>
        <w:rPr>
          <w:rFonts w:hint="eastAsia"/>
        </w:rPr>
        <w:t xml:space="preserve"> Board in the 1</w:t>
      </w:r>
      <w:r w:rsidRPr="003B6991">
        <w:rPr>
          <w:rFonts w:hint="eastAsia"/>
          <w:vertAlign w:val="superscript"/>
        </w:rPr>
        <w:t>st</w:t>
      </w:r>
      <w:r>
        <w:rPr>
          <w:rFonts w:hint="eastAsia"/>
        </w:rPr>
        <w:t xml:space="preserve"> Appeal</w:t>
      </w:r>
      <w:r w:rsidR="00CB1837">
        <w:t xml:space="preserve">.  </w:t>
      </w:r>
      <w:r>
        <w:rPr>
          <w:rFonts w:hint="eastAsia"/>
        </w:rPr>
        <w:t xml:space="preserve">In view of this, and as the question raised is of great general importance, the Board decided to refer the question of law for determination by the Court of Appeal by way of case stated.  </w:t>
      </w:r>
    </w:p>
    <w:p w:rsidR="00960E4F" w:rsidRPr="003B6991" w:rsidRDefault="00960E4F" w:rsidP="00E05F38">
      <w:pPr>
        <w:pStyle w:val="ar-heading1"/>
      </w:pPr>
      <w:r w:rsidRPr="003B6991">
        <w:lastRenderedPageBreak/>
        <w:t>T</w:t>
      </w:r>
      <w:r w:rsidRPr="003B6991">
        <w:rPr>
          <w:rFonts w:hint="eastAsia"/>
        </w:rPr>
        <w:t>he statutory provisions</w:t>
      </w:r>
    </w:p>
    <w:p w:rsidR="00960E4F" w:rsidRDefault="00960E4F" w:rsidP="00030908">
      <w:pPr>
        <w:pStyle w:val="ar-draft"/>
      </w:pPr>
      <w:r>
        <w:rPr>
          <w:rFonts w:hint="eastAsia"/>
        </w:rPr>
        <w:t xml:space="preserve">We are concerned with </w:t>
      </w:r>
      <w:proofErr w:type="spellStart"/>
      <w:r>
        <w:rPr>
          <w:rFonts w:hint="eastAsia"/>
        </w:rPr>
        <w:t>ss</w:t>
      </w:r>
      <w:proofErr w:type="spellEnd"/>
      <w:r>
        <w:rPr>
          <w:rFonts w:hint="eastAsia"/>
        </w:rPr>
        <w:t xml:space="preserve"> 18 and 19 of the Ordinance</w:t>
      </w:r>
      <w:r w:rsidR="00CB1837">
        <w:t xml:space="preserve">.  </w:t>
      </w:r>
      <w:r>
        <w:rPr>
          <w:rFonts w:hint="eastAsia"/>
        </w:rPr>
        <w:t>I set out the relevant parts in full:</w:t>
      </w:r>
    </w:p>
    <w:p w:rsidR="00960E4F" w:rsidRDefault="00960E4F" w:rsidP="000B462F">
      <w:pPr>
        <w:pStyle w:val="ar-quotation"/>
        <w:ind w:left="1985" w:hanging="567"/>
      </w:pPr>
      <w:r>
        <w:t>“</w:t>
      </w:r>
      <w:r w:rsidRPr="005B423F">
        <w:rPr>
          <w:rFonts w:hint="eastAsia"/>
          <w:b/>
        </w:rPr>
        <w:t>18.</w:t>
      </w:r>
      <w:r w:rsidR="00016CA0" w:rsidRPr="005B423F">
        <w:rPr>
          <w:b/>
        </w:rPr>
        <w:tab/>
      </w:r>
      <w:r w:rsidRPr="005B423F">
        <w:rPr>
          <w:rFonts w:hint="eastAsia"/>
          <w:b/>
        </w:rPr>
        <w:t>Data access request</w:t>
      </w:r>
    </w:p>
    <w:p w:rsidR="00960E4F" w:rsidRPr="003B6991" w:rsidRDefault="00960E4F" w:rsidP="000B462F">
      <w:pPr>
        <w:pStyle w:val="ar-quotation"/>
        <w:ind w:left="2410" w:hanging="425"/>
      </w:pPr>
      <w:r>
        <w:rPr>
          <w:rFonts w:hint="eastAsia"/>
        </w:rPr>
        <w:t>(</w:t>
      </w:r>
      <w:r w:rsidRPr="003B6991">
        <w:t>1)</w:t>
      </w:r>
      <w:r w:rsidR="00016CA0">
        <w:tab/>
      </w:r>
      <w:r w:rsidRPr="003B6991">
        <w:t>An individual, or a relevant person on behalf of an individual, may make a request</w:t>
      </w:r>
      <w:r>
        <w:rPr>
          <w:rFonts w:hint="eastAsia"/>
        </w:rPr>
        <w:t xml:space="preserve">- </w:t>
      </w:r>
    </w:p>
    <w:p w:rsidR="00E3714F" w:rsidRDefault="00960E4F" w:rsidP="00C3064A">
      <w:pPr>
        <w:pStyle w:val="ar-quotation"/>
        <w:ind w:left="2835" w:hanging="425"/>
        <w:rPr>
          <w:rFonts w:eastAsia="Times New Roman"/>
          <w:color w:val="000000"/>
          <w:szCs w:val="24"/>
          <w:lang w:val="en-US"/>
        </w:rPr>
      </w:pPr>
      <w:r w:rsidRPr="003B6991">
        <w:rPr>
          <w:rFonts w:eastAsia="Times New Roman"/>
          <w:color w:val="000000"/>
          <w:szCs w:val="24"/>
          <w:lang w:val="en-US"/>
        </w:rPr>
        <w:t>(a)</w:t>
      </w:r>
      <w:r w:rsidR="00016CA0">
        <w:rPr>
          <w:rFonts w:eastAsia="Times New Roman"/>
          <w:color w:val="000000"/>
          <w:szCs w:val="24"/>
          <w:lang w:val="en-US"/>
        </w:rPr>
        <w:tab/>
      </w:r>
      <w:proofErr w:type="gramStart"/>
      <w:r w:rsidRPr="00B9167A">
        <w:rPr>
          <w:rFonts w:eastAsia="Times New Roman"/>
          <w:i/>
          <w:color w:val="000000"/>
          <w:szCs w:val="24"/>
          <w:lang w:val="en-US"/>
        </w:rPr>
        <w:t>to</w:t>
      </w:r>
      <w:proofErr w:type="gramEnd"/>
      <w:r w:rsidRPr="00B9167A">
        <w:rPr>
          <w:rFonts w:eastAsia="Times New Roman"/>
          <w:i/>
          <w:color w:val="000000"/>
          <w:szCs w:val="24"/>
          <w:lang w:val="en-US"/>
        </w:rPr>
        <w:t xml:space="preserve"> be informed</w:t>
      </w:r>
      <w:r w:rsidRPr="003B6991">
        <w:rPr>
          <w:rFonts w:eastAsia="Times New Roman"/>
          <w:color w:val="000000"/>
          <w:szCs w:val="24"/>
          <w:lang w:val="en-US"/>
        </w:rPr>
        <w:t xml:space="preserve"> by a data user whether the data user holds personal data of which the individual is the data subject;</w:t>
      </w:r>
    </w:p>
    <w:p w:rsidR="00960E4F" w:rsidRPr="005D0BA1" w:rsidRDefault="00960E4F" w:rsidP="00C3064A">
      <w:pPr>
        <w:pStyle w:val="ar-quotation"/>
        <w:ind w:left="2835" w:hanging="425"/>
        <w:rPr>
          <w:color w:val="000000"/>
          <w:szCs w:val="24"/>
          <w:lang w:val="en-US"/>
        </w:rPr>
      </w:pPr>
      <w:r w:rsidRPr="003B6991">
        <w:rPr>
          <w:rFonts w:eastAsia="Times New Roman"/>
          <w:color w:val="000000"/>
          <w:szCs w:val="24"/>
          <w:lang w:val="en-US"/>
        </w:rPr>
        <w:t>(b)</w:t>
      </w:r>
      <w:r w:rsidR="00E3714F">
        <w:rPr>
          <w:rFonts w:eastAsia="Times New Roman"/>
          <w:color w:val="000000"/>
          <w:szCs w:val="24"/>
          <w:lang w:val="en-US"/>
        </w:rPr>
        <w:tab/>
      </w:r>
      <w:proofErr w:type="gramStart"/>
      <w:r w:rsidRPr="003B6991">
        <w:rPr>
          <w:rFonts w:eastAsia="Times New Roman"/>
          <w:color w:val="000000"/>
          <w:szCs w:val="24"/>
          <w:lang w:val="en-US"/>
        </w:rPr>
        <w:t>if</w:t>
      </w:r>
      <w:proofErr w:type="gramEnd"/>
      <w:r w:rsidRPr="003B6991">
        <w:rPr>
          <w:rFonts w:eastAsia="Times New Roman"/>
          <w:color w:val="000000"/>
          <w:szCs w:val="24"/>
          <w:lang w:val="en-US"/>
        </w:rPr>
        <w:t xml:space="preserve"> the data user holds such data, to be supplied by the data user with a copy of such data.</w:t>
      </w:r>
    </w:p>
    <w:p w:rsidR="0004451F" w:rsidRDefault="00960E4F" w:rsidP="000B462F">
      <w:pPr>
        <w:pStyle w:val="ar-quotation"/>
        <w:ind w:left="2410" w:hanging="425"/>
        <w:rPr>
          <w:rFonts w:eastAsia="Times New Roman"/>
          <w:color w:val="000000"/>
          <w:szCs w:val="24"/>
          <w:lang w:val="en-US"/>
        </w:rPr>
      </w:pPr>
      <w:r w:rsidRPr="003B6991">
        <w:rPr>
          <w:rFonts w:eastAsia="Times New Roman"/>
          <w:color w:val="000000"/>
          <w:szCs w:val="24"/>
          <w:lang w:val="en-US"/>
        </w:rPr>
        <w:t>(2)</w:t>
      </w:r>
      <w:r w:rsidR="00016CA0">
        <w:rPr>
          <w:rFonts w:eastAsia="Times New Roman"/>
          <w:color w:val="000000"/>
          <w:szCs w:val="24"/>
          <w:lang w:val="en-US"/>
        </w:rPr>
        <w:tab/>
      </w:r>
      <w:r w:rsidRPr="003B6991">
        <w:rPr>
          <w:rFonts w:eastAsia="Times New Roman"/>
          <w:color w:val="000000"/>
          <w:szCs w:val="24"/>
          <w:lang w:val="en-US"/>
        </w:rPr>
        <w:t>A data access request under both paragraphs of subsection (1) shall be treated as being a single request, and the provisions of this Ordinance shall be construed accordingly.</w:t>
      </w:r>
    </w:p>
    <w:p w:rsidR="00960E4F" w:rsidRDefault="00960E4F" w:rsidP="000B462F">
      <w:pPr>
        <w:pStyle w:val="ar-quotation"/>
        <w:ind w:left="2410" w:hanging="425"/>
        <w:rPr>
          <w:color w:val="000000"/>
          <w:szCs w:val="24"/>
          <w:lang w:val="en-US"/>
        </w:rPr>
      </w:pPr>
      <w:r w:rsidRPr="003B6991">
        <w:rPr>
          <w:rFonts w:eastAsia="Times New Roman"/>
          <w:color w:val="000000"/>
          <w:szCs w:val="24"/>
          <w:lang w:val="en-US"/>
        </w:rPr>
        <w:t>(3)</w:t>
      </w:r>
      <w:r w:rsidR="0004451F">
        <w:rPr>
          <w:rFonts w:eastAsia="Times New Roman"/>
          <w:color w:val="000000"/>
          <w:szCs w:val="24"/>
          <w:lang w:val="en-US"/>
        </w:rPr>
        <w:tab/>
      </w:r>
      <w:r w:rsidRPr="003B6991">
        <w:rPr>
          <w:rFonts w:eastAsia="Times New Roman"/>
          <w:color w:val="000000"/>
          <w:szCs w:val="24"/>
          <w:lang w:val="en-US"/>
        </w:rPr>
        <w:t>A data access request under paragraph (a) of subsection (1) may, in the absence of evidence to the contrary, be treated as being a data access request under both paragraphs of that subsection, and the provisions of this Ordinance (including subsection (2)) shall be construed accordingly.</w:t>
      </w:r>
    </w:p>
    <w:p w:rsidR="00960E4F" w:rsidRDefault="00960E4F" w:rsidP="004E47B4">
      <w:pPr>
        <w:pStyle w:val="ar-quotation"/>
        <w:tabs>
          <w:tab w:val="clear" w:pos="2160"/>
        </w:tabs>
        <w:ind w:left="1985"/>
        <w:rPr>
          <w:color w:val="000000"/>
          <w:szCs w:val="24"/>
          <w:lang w:val="en-US"/>
        </w:rPr>
      </w:pPr>
      <w:r>
        <w:rPr>
          <w:color w:val="000000"/>
          <w:szCs w:val="24"/>
          <w:lang w:val="en-US"/>
        </w:rPr>
        <w:t>…”</w:t>
      </w:r>
      <w:r>
        <w:rPr>
          <w:rFonts w:hint="eastAsia"/>
          <w:color w:val="000000"/>
          <w:szCs w:val="24"/>
          <w:lang w:val="en-US"/>
        </w:rPr>
        <w:t xml:space="preserve"> </w:t>
      </w:r>
    </w:p>
    <w:p w:rsidR="00960E4F" w:rsidRDefault="00960E4F" w:rsidP="003A25DD">
      <w:pPr>
        <w:pStyle w:val="ar-quotation"/>
        <w:rPr>
          <w:color w:val="000000"/>
          <w:szCs w:val="24"/>
          <w:lang w:val="en-US"/>
        </w:rPr>
      </w:pPr>
      <w:r>
        <w:rPr>
          <w:rFonts w:hint="eastAsia"/>
          <w:color w:val="000000"/>
          <w:szCs w:val="24"/>
          <w:lang w:val="en-US"/>
        </w:rPr>
        <w:t>(Emphasis supplied)</w:t>
      </w:r>
    </w:p>
    <w:p w:rsidR="00960E4F" w:rsidRDefault="00960E4F" w:rsidP="00284B01">
      <w:pPr>
        <w:pStyle w:val="ar-quotation"/>
        <w:tabs>
          <w:tab w:val="clear" w:pos="2160"/>
        </w:tabs>
        <w:ind w:left="1985" w:hanging="567"/>
        <w:rPr>
          <w:color w:val="000000"/>
          <w:szCs w:val="24"/>
          <w:lang w:val="en-US"/>
        </w:rPr>
      </w:pPr>
      <w:r>
        <w:rPr>
          <w:color w:val="000000"/>
          <w:szCs w:val="24"/>
          <w:lang w:val="en-US"/>
        </w:rPr>
        <w:t>“</w:t>
      </w:r>
      <w:r w:rsidRPr="005C3A58">
        <w:rPr>
          <w:rFonts w:hint="eastAsia"/>
          <w:b/>
          <w:color w:val="000000"/>
          <w:szCs w:val="24"/>
          <w:lang w:val="en-US"/>
        </w:rPr>
        <w:t>19.</w:t>
      </w:r>
      <w:r w:rsidR="00016CA0" w:rsidRPr="005C3A58">
        <w:rPr>
          <w:b/>
          <w:color w:val="000000"/>
          <w:szCs w:val="24"/>
          <w:lang w:val="en-US"/>
        </w:rPr>
        <w:tab/>
      </w:r>
      <w:r w:rsidRPr="005C3A58">
        <w:rPr>
          <w:rFonts w:hint="eastAsia"/>
          <w:b/>
          <w:color w:val="000000"/>
          <w:szCs w:val="24"/>
          <w:lang w:val="en-US"/>
        </w:rPr>
        <w:t>Compliance with data access request</w:t>
      </w:r>
    </w:p>
    <w:p w:rsidR="00B320D6" w:rsidRDefault="00960E4F" w:rsidP="00284B01">
      <w:pPr>
        <w:pStyle w:val="ar-quotation"/>
        <w:tabs>
          <w:tab w:val="clear" w:pos="2160"/>
        </w:tabs>
        <w:ind w:left="2410" w:hanging="425"/>
      </w:pPr>
      <w:r w:rsidRPr="005D0BA1">
        <w:t>(1)</w:t>
      </w:r>
      <w:r w:rsidR="00016CA0">
        <w:tab/>
      </w:r>
      <w:r w:rsidRPr="005D0BA1">
        <w:t>Subject to subsection (2) and sections 20 and 28(5), a data user shall comply with a data access request not later than 40 days after receiving the request.</w:t>
      </w:r>
    </w:p>
    <w:p w:rsidR="00960E4F" w:rsidRPr="005D0BA1" w:rsidRDefault="00960E4F" w:rsidP="00284B01">
      <w:pPr>
        <w:pStyle w:val="ar-quotation"/>
        <w:tabs>
          <w:tab w:val="clear" w:pos="2160"/>
        </w:tabs>
        <w:ind w:left="2410" w:hanging="425"/>
      </w:pPr>
      <w:r w:rsidRPr="005D0BA1">
        <w:t>(2)</w:t>
      </w:r>
      <w:r w:rsidR="00B320D6">
        <w:tab/>
      </w:r>
      <w:r w:rsidRPr="005D0BA1">
        <w:t xml:space="preserve">A data user who is unable to comply with a data access request within the period specified in subsection (1) shall- </w:t>
      </w:r>
    </w:p>
    <w:p w:rsidR="00960E4F" w:rsidRPr="005D0BA1" w:rsidRDefault="00960E4F" w:rsidP="00157DFB">
      <w:pPr>
        <w:pStyle w:val="ar-quotation"/>
        <w:ind w:left="2835" w:hanging="425"/>
        <w:rPr>
          <w:rFonts w:eastAsia="Times New Roman"/>
          <w:color w:val="000000"/>
          <w:szCs w:val="24"/>
          <w:lang w:val="en-US"/>
        </w:rPr>
      </w:pPr>
      <w:r w:rsidRPr="005D0BA1">
        <w:rPr>
          <w:rFonts w:eastAsia="Times New Roman"/>
          <w:color w:val="000000"/>
          <w:szCs w:val="24"/>
          <w:lang w:val="en-US"/>
        </w:rPr>
        <w:t>(a)</w:t>
      </w:r>
      <w:r w:rsidR="00016CA0">
        <w:rPr>
          <w:rFonts w:eastAsia="Times New Roman"/>
          <w:color w:val="000000"/>
          <w:szCs w:val="24"/>
          <w:lang w:val="en-US"/>
        </w:rPr>
        <w:tab/>
      </w:r>
      <w:proofErr w:type="gramStart"/>
      <w:r w:rsidRPr="005D0BA1">
        <w:rPr>
          <w:rFonts w:eastAsia="Times New Roman"/>
          <w:color w:val="000000"/>
          <w:szCs w:val="24"/>
          <w:lang w:val="en-US"/>
        </w:rPr>
        <w:t>before</w:t>
      </w:r>
      <w:proofErr w:type="gramEnd"/>
      <w:r w:rsidRPr="005D0BA1">
        <w:rPr>
          <w:rFonts w:eastAsia="Times New Roman"/>
          <w:color w:val="000000"/>
          <w:szCs w:val="24"/>
          <w:lang w:val="en-US"/>
        </w:rPr>
        <w:t xml:space="preserve"> the expiration of that period- </w:t>
      </w:r>
    </w:p>
    <w:p w:rsidR="006777D3" w:rsidRDefault="00960E4F" w:rsidP="00157DFB">
      <w:pPr>
        <w:pStyle w:val="ar-quotation"/>
        <w:ind w:left="3261" w:hanging="426"/>
        <w:rPr>
          <w:rFonts w:eastAsia="Times New Roman"/>
          <w:color w:val="000000"/>
          <w:szCs w:val="24"/>
          <w:lang w:val="en-US"/>
        </w:rPr>
      </w:pPr>
      <w:r w:rsidRPr="005D0BA1">
        <w:rPr>
          <w:rFonts w:eastAsia="Times New Roman"/>
          <w:color w:val="000000"/>
          <w:szCs w:val="24"/>
          <w:lang w:val="en-US"/>
        </w:rPr>
        <w:t>(</w:t>
      </w:r>
      <w:proofErr w:type="spellStart"/>
      <w:r w:rsidRPr="005D0BA1">
        <w:rPr>
          <w:rFonts w:eastAsia="Times New Roman"/>
          <w:color w:val="000000"/>
          <w:szCs w:val="24"/>
          <w:lang w:val="en-US"/>
        </w:rPr>
        <w:t>i</w:t>
      </w:r>
      <w:proofErr w:type="spellEnd"/>
      <w:r w:rsidRPr="005D0BA1">
        <w:rPr>
          <w:rFonts w:eastAsia="Times New Roman"/>
          <w:color w:val="000000"/>
          <w:szCs w:val="24"/>
          <w:lang w:val="en-US"/>
        </w:rPr>
        <w:t>)</w:t>
      </w:r>
      <w:r w:rsidR="00016CA0">
        <w:rPr>
          <w:rFonts w:eastAsia="Times New Roman"/>
          <w:color w:val="000000"/>
          <w:szCs w:val="24"/>
          <w:lang w:val="en-US"/>
        </w:rPr>
        <w:tab/>
      </w:r>
      <w:proofErr w:type="gramStart"/>
      <w:r w:rsidRPr="00B9167A">
        <w:rPr>
          <w:rFonts w:eastAsia="Times New Roman"/>
          <w:i/>
          <w:color w:val="000000"/>
          <w:szCs w:val="24"/>
          <w:lang w:val="en-US"/>
        </w:rPr>
        <w:t>by</w:t>
      </w:r>
      <w:proofErr w:type="gramEnd"/>
      <w:r w:rsidRPr="00B9167A">
        <w:rPr>
          <w:rFonts w:eastAsia="Times New Roman"/>
          <w:i/>
          <w:color w:val="000000"/>
          <w:szCs w:val="24"/>
          <w:lang w:val="en-US"/>
        </w:rPr>
        <w:t xml:space="preserve"> notice in writing inform</w:t>
      </w:r>
      <w:r w:rsidRPr="005D0BA1">
        <w:rPr>
          <w:rFonts w:eastAsia="Times New Roman"/>
          <w:color w:val="000000"/>
          <w:szCs w:val="24"/>
          <w:lang w:val="en-US"/>
        </w:rPr>
        <w:t xml:space="preserve"> the requestor that the data user is so unable and of the reasons why the data user is so unable; and</w:t>
      </w:r>
    </w:p>
    <w:p w:rsidR="00960E4F" w:rsidRPr="005D0BA1" w:rsidRDefault="00960E4F" w:rsidP="00157DFB">
      <w:pPr>
        <w:pStyle w:val="ar-quotation"/>
        <w:ind w:left="3260" w:hanging="425"/>
        <w:rPr>
          <w:rFonts w:eastAsia="Times New Roman"/>
          <w:color w:val="000000"/>
          <w:szCs w:val="24"/>
          <w:lang w:val="en-US"/>
        </w:rPr>
      </w:pPr>
      <w:r w:rsidRPr="005D0BA1">
        <w:rPr>
          <w:rFonts w:eastAsia="Times New Roman"/>
          <w:color w:val="000000"/>
          <w:szCs w:val="24"/>
          <w:lang w:val="en-US"/>
        </w:rPr>
        <w:lastRenderedPageBreak/>
        <w:t>(ii)</w:t>
      </w:r>
      <w:r w:rsidR="006777D3">
        <w:rPr>
          <w:rFonts w:eastAsia="Times New Roman"/>
          <w:color w:val="000000"/>
          <w:szCs w:val="24"/>
          <w:lang w:val="en-US"/>
        </w:rPr>
        <w:tab/>
      </w:r>
      <w:proofErr w:type="gramStart"/>
      <w:r w:rsidRPr="005D0BA1">
        <w:rPr>
          <w:rFonts w:eastAsia="Times New Roman"/>
          <w:color w:val="000000"/>
          <w:szCs w:val="24"/>
          <w:lang w:val="en-US"/>
        </w:rPr>
        <w:t>comply</w:t>
      </w:r>
      <w:proofErr w:type="gramEnd"/>
      <w:r w:rsidRPr="005D0BA1">
        <w:rPr>
          <w:rFonts w:eastAsia="Times New Roman"/>
          <w:color w:val="000000"/>
          <w:szCs w:val="24"/>
          <w:lang w:val="en-US"/>
        </w:rPr>
        <w:t xml:space="preserve"> with the request to the extent, if any, that the data user is able to comply with the request; and</w:t>
      </w:r>
    </w:p>
    <w:p w:rsidR="00960E4F" w:rsidRPr="005D0BA1" w:rsidRDefault="00960E4F" w:rsidP="00157DFB">
      <w:pPr>
        <w:pStyle w:val="ar-quotation"/>
        <w:ind w:left="2835" w:hanging="425"/>
        <w:rPr>
          <w:rFonts w:eastAsia="Times New Roman"/>
          <w:color w:val="000000"/>
          <w:szCs w:val="24"/>
          <w:lang w:val="en-US"/>
        </w:rPr>
      </w:pPr>
      <w:r w:rsidRPr="005D0BA1">
        <w:rPr>
          <w:rFonts w:eastAsia="Times New Roman"/>
          <w:color w:val="000000"/>
          <w:szCs w:val="24"/>
          <w:lang w:val="en-US"/>
        </w:rPr>
        <w:t>(</w:t>
      </w:r>
      <w:proofErr w:type="gramStart"/>
      <w:r w:rsidRPr="005D0BA1">
        <w:rPr>
          <w:rFonts w:eastAsia="Times New Roman"/>
          <w:color w:val="000000"/>
          <w:szCs w:val="24"/>
          <w:lang w:val="en-US"/>
        </w:rPr>
        <w:t>b</w:t>
      </w:r>
      <w:proofErr w:type="gramEnd"/>
      <w:r w:rsidRPr="005D0BA1">
        <w:rPr>
          <w:rFonts w:eastAsia="Times New Roman"/>
          <w:color w:val="000000"/>
          <w:szCs w:val="24"/>
          <w:lang w:val="en-US"/>
        </w:rPr>
        <w:t>)</w:t>
      </w:r>
      <w:r w:rsidR="00016CA0">
        <w:rPr>
          <w:rFonts w:eastAsia="Times New Roman"/>
          <w:color w:val="000000"/>
          <w:szCs w:val="24"/>
          <w:lang w:val="en-US"/>
        </w:rPr>
        <w:tab/>
      </w:r>
      <w:r w:rsidRPr="005D0BA1">
        <w:rPr>
          <w:rFonts w:eastAsia="Times New Roman"/>
          <w:color w:val="000000"/>
          <w:szCs w:val="24"/>
          <w:lang w:val="en-US"/>
        </w:rPr>
        <w:t>as soon as practicable after the expiration of that period, comply or fully comply, as the case may be, with the request.</w:t>
      </w:r>
    </w:p>
    <w:p w:rsidR="00960E4F" w:rsidRPr="005D0BA1" w:rsidRDefault="00960E4F" w:rsidP="00284B01">
      <w:pPr>
        <w:pStyle w:val="ar-quotation"/>
        <w:ind w:left="2410" w:hanging="425"/>
        <w:rPr>
          <w:rFonts w:eastAsia="Times New Roman"/>
          <w:color w:val="000000"/>
          <w:szCs w:val="24"/>
          <w:lang w:val="en-US"/>
        </w:rPr>
      </w:pPr>
      <w:r w:rsidRPr="005D0BA1">
        <w:rPr>
          <w:rFonts w:eastAsia="Times New Roman"/>
          <w:color w:val="000000"/>
          <w:szCs w:val="24"/>
          <w:lang w:val="en-US"/>
        </w:rPr>
        <w:t>(3)</w:t>
      </w:r>
      <w:r w:rsidR="00016CA0">
        <w:rPr>
          <w:rFonts w:eastAsia="Times New Roman"/>
          <w:color w:val="000000"/>
          <w:szCs w:val="24"/>
          <w:lang w:val="en-US"/>
        </w:rPr>
        <w:tab/>
      </w:r>
      <w:r w:rsidRPr="005D0BA1">
        <w:rPr>
          <w:rFonts w:eastAsia="Times New Roman"/>
          <w:color w:val="000000"/>
          <w:szCs w:val="24"/>
          <w:lang w:val="en-US"/>
        </w:rPr>
        <w:t xml:space="preserve">A copy of the personal data to be supplied by a data user in compliance with a data access request shall- </w:t>
      </w:r>
    </w:p>
    <w:p w:rsidR="00960E4F" w:rsidRPr="005D0BA1" w:rsidRDefault="00960E4F" w:rsidP="00157DFB">
      <w:pPr>
        <w:pStyle w:val="ar-quotation"/>
        <w:ind w:left="2835" w:hanging="425"/>
        <w:rPr>
          <w:rFonts w:eastAsia="Times New Roman"/>
          <w:color w:val="000000"/>
          <w:szCs w:val="24"/>
          <w:lang w:val="en-US"/>
        </w:rPr>
      </w:pPr>
      <w:r w:rsidRPr="005D0BA1">
        <w:rPr>
          <w:rFonts w:eastAsia="Times New Roman"/>
          <w:color w:val="000000"/>
          <w:szCs w:val="24"/>
          <w:lang w:val="en-US"/>
        </w:rPr>
        <w:t>(a)</w:t>
      </w:r>
      <w:r w:rsidR="00016CA0">
        <w:rPr>
          <w:rFonts w:eastAsia="Times New Roman"/>
          <w:color w:val="000000"/>
          <w:szCs w:val="24"/>
          <w:lang w:val="en-US"/>
        </w:rPr>
        <w:tab/>
      </w:r>
      <w:proofErr w:type="gramStart"/>
      <w:r w:rsidRPr="005D0BA1">
        <w:rPr>
          <w:rFonts w:eastAsia="Times New Roman"/>
          <w:color w:val="000000"/>
          <w:szCs w:val="24"/>
          <w:lang w:val="en-US"/>
        </w:rPr>
        <w:t>be</w:t>
      </w:r>
      <w:proofErr w:type="gramEnd"/>
      <w:r w:rsidRPr="005D0BA1">
        <w:rPr>
          <w:rFonts w:eastAsia="Times New Roman"/>
          <w:color w:val="000000"/>
          <w:szCs w:val="24"/>
          <w:lang w:val="en-US"/>
        </w:rPr>
        <w:t xml:space="preserve"> supplied by reference to the data at the time when the request is received except that the copy may take account of- </w:t>
      </w:r>
    </w:p>
    <w:p w:rsidR="00960E4F" w:rsidRPr="005D0BA1"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w:t>
      </w:r>
      <w:proofErr w:type="spellStart"/>
      <w:r w:rsidRPr="005D0BA1">
        <w:rPr>
          <w:rFonts w:eastAsia="Times New Roman"/>
          <w:color w:val="000000"/>
          <w:szCs w:val="24"/>
          <w:lang w:val="en-US"/>
        </w:rPr>
        <w:t>i</w:t>
      </w:r>
      <w:proofErr w:type="spellEnd"/>
      <w:r w:rsidRPr="005D0BA1">
        <w:rPr>
          <w:rFonts w:eastAsia="Times New Roman"/>
          <w:color w:val="000000"/>
          <w:szCs w:val="24"/>
          <w:lang w:val="en-US"/>
        </w:rPr>
        <w:t>)</w:t>
      </w:r>
      <w:r w:rsidR="00016CA0">
        <w:rPr>
          <w:rFonts w:eastAsia="Times New Roman"/>
          <w:color w:val="000000"/>
          <w:szCs w:val="24"/>
          <w:lang w:val="en-US"/>
        </w:rPr>
        <w:tab/>
      </w:r>
      <w:proofErr w:type="gramStart"/>
      <w:r w:rsidRPr="005D0BA1">
        <w:rPr>
          <w:rFonts w:eastAsia="Times New Roman"/>
          <w:color w:val="000000"/>
          <w:szCs w:val="24"/>
          <w:lang w:val="en-US"/>
        </w:rPr>
        <w:t>any</w:t>
      </w:r>
      <w:proofErr w:type="gramEnd"/>
      <w:r w:rsidRPr="005D0BA1">
        <w:rPr>
          <w:rFonts w:eastAsia="Times New Roman"/>
          <w:color w:val="000000"/>
          <w:szCs w:val="24"/>
          <w:lang w:val="en-US"/>
        </w:rPr>
        <w:t xml:space="preserve"> processing of the data- </w:t>
      </w:r>
    </w:p>
    <w:p w:rsidR="006777D3"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(A)</w:t>
      </w:r>
      <w:r w:rsidR="00016CA0">
        <w:rPr>
          <w:rFonts w:eastAsia="Times New Roman"/>
          <w:color w:val="000000"/>
          <w:szCs w:val="24"/>
          <w:lang w:val="en-US"/>
        </w:rPr>
        <w:tab/>
      </w:r>
      <w:proofErr w:type="gramStart"/>
      <w:r w:rsidRPr="005D0BA1">
        <w:rPr>
          <w:rFonts w:eastAsia="Times New Roman"/>
          <w:color w:val="000000"/>
          <w:szCs w:val="24"/>
          <w:lang w:val="en-US"/>
        </w:rPr>
        <w:t>made</w:t>
      </w:r>
      <w:proofErr w:type="gramEnd"/>
      <w:r w:rsidRPr="005D0BA1">
        <w:rPr>
          <w:rFonts w:eastAsia="Times New Roman"/>
          <w:color w:val="000000"/>
          <w:szCs w:val="24"/>
          <w:lang w:val="en-US"/>
        </w:rPr>
        <w:t xml:space="preserve"> between that time and the time when the copy is supplied; and</w:t>
      </w:r>
    </w:p>
    <w:p w:rsidR="00960E4F" w:rsidRPr="005D0BA1"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(B)</w:t>
      </w:r>
      <w:r w:rsidR="006777D3">
        <w:rPr>
          <w:rFonts w:eastAsia="Times New Roman"/>
          <w:color w:val="000000"/>
          <w:szCs w:val="24"/>
          <w:lang w:val="en-US"/>
        </w:rPr>
        <w:tab/>
      </w:r>
      <w:proofErr w:type="gramStart"/>
      <w:r w:rsidRPr="005D0BA1">
        <w:rPr>
          <w:rFonts w:eastAsia="Times New Roman"/>
          <w:color w:val="000000"/>
          <w:szCs w:val="24"/>
          <w:lang w:val="en-US"/>
        </w:rPr>
        <w:t>that</w:t>
      </w:r>
      <w:proofErr w:type="gramEnd"/>
      <w:r w:rsidRPr="005D0BA1">
        <w:rPr>
          <w:rFonts w:eastAsia="Times New Roman"/>
          <w:color w:val="000000"/>
          <w:szCs w:val="24"/>
          <w:lang w:val="en-US"/>
        </w:rPr>
        <w:t xml:space="preserve"> would have been made irrespective of the receipt of the request; and</w:t>
      </w:r>
    </w:p>
    <w:p w:rsidR="00960E4F" w:rsidRPr="005D0BA1"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(ii)</w:t>
      </w:r>
      <w:r w:rsidR="00016CA0">
        <w:rPr>
          <w:rFonts w:eastAsia="Times New Roman"/>
          <w:color w:val="000000"/>
          <w:szCs w:val="24"/>
          <w:lang w:val="en-US"/>
        </w:rPr>
        <w:tab/>
      </w:r>
      <w:proofErr w:type="gramStart"/>
      <w:r w:rsidRPr="005D0BA1">
        <w:rPr>
          <w:rFonts w:eastAsia="Times New Roman"/>
          <w:color w:val="000000"/>
          <w:szCs w:val="24"/>
          <w:lang w:val="en-US"/>
        </w:rPr>
        <w:t>subject</w:t>
      </w:r>
      <w:proofErr w:type="gramEnd"/>
      <w:r w:rsidRPr="005D0BA1">
        <w:rPr>
          <w:rFonts w:eastAsia="Times New Roman"/>
          <w:color w:val="000000"/>
          <w:szCs w:val="24"/>
          <w:lang w:val="en-US"/>
        </w:rPr>
        <w:t xml:space="preserve"> to subsection (5), any correction to the data made between that time and the time when the copy is supplied;</w:t>
      </w:r>
    </w:p>
    <w:p w:rsidR="00960E4F" w:rsidRDefault="00960E4F" w:rsidP="00157DFB">
      <w:pPr>
        <w:pStyle w:val="ar-quotation"/>
        <w:ind w:left="2835" w:hanging="425"/>
        <w:rPr>
          <w:color w:val="000000"/>
          <w:szCs w:val="24"/>
          <w:lang w:val="en-US"/>
        </w:rPr>
      </w:pPr>
      <w:r w:rsidRPr="005D0BA1">
        <w:rPr>
          <w:rFonts w:eastAsia="Times New Roman"/>
          <w:color w:val="000000"/>
          <w:szCs w:val="24"/>
          <w:lang w:val="en-US"/>
        </w:rPr>
        <w:t>(b)</w:t>
      </w:r>
      <w:r w:rsidR="00016CA0">
        <w:rPr>
          <w:rFonts w:eastAsia="Times New Roman"/>
          <w:color w:val="000000"/>
          <w:szCs w:val="24"/>
          <w:lang w:val="en-US"/>
        </w:rPr>
        <w:tab/>
      </w:r>
      <w:r w:rsidRPr="005D0BA1">
        <w:rPr>
          <w:rFonts w:eastAsia="Times New Roman"/>
          <w:color w:val="000000"/>
          <w:szCs w:val="24"/>
          <w:lang w:val="en-US"/>
        </w:rPr>
        <w:t xml:space="preserve">where any correction referred to paragraph (a)(ii) has been made to the data, be </w:t>
      </w:r>
      <w:r w:rsidRPr="00B9167A">
        <w:rPr>
          <w:rFonts w:eastAsia="Times New Roman"/>
          <w:i/>
          <w:color w:val="000000"/>
          <w:szCs w:val="24"/>
          <w:lang w:val="en-US"/>
        </w:rPr>
        <w:t>accompanied by a notice</w:t>
      </w:r>
      <w:r w:rsidRPr="005D0BA1">
        <w:rPr>
          <w:rFonts w:eastAsia="Times New Roman"/>
          <w:color w:val="000000"/>
          <w:szCs w:val="24"/>
          <w:lang w:val="en-US"/>
        </w:rPr>
        <w:t xml:space="preserve"> </w:t>
      </w:r>
      <w:r w:rsidRPr="00B9167A">
        <w:rPr>
          <w:rFonts w:eastAsia="Times New Roman"/>
          <w:i/>
          <w:color w:val="000000"/>
          <w:szCs w:val="24"/>
          <w:lang w:val="en-US"/>
        </w:rPr>
        <w:t xml:space="preserve">stating </w:t>
      </w:r>
      <w:r w:rsidRPr="005D0BA1">
        <w:rPr>
          <w:rFonts w:eastAsia="Times New Roman"/>
          <w:color w:val="000000"/>
          <w:szCs w:val="24"/>
          <w:lang w:val="en-US"/>
        </w:rPr>
        <w:t>that the data have been corrected pursuant to that paragraph (or words to the like effect); and</w:t>
      </w:r>
    </w:p>
    <w:p w:rsidR="00960E4F" w:rsidRPr="005D0BA1" w:rsidRDefault="00960E4F" w:rsidP="00157DFB">
      <w:pPr>
        <w:pStyle w:val="ar-quotation"/>
        <w:ind w:left="2835" w:hanging="425"/>
        <w:rPr>
          <w:rFonts w:eastAsia="Times New Roman"/>
          <w:color w:val="000000"/>
          <w:szCs w:val="24"/>
          <w:lang w:val="en-US"/>
        </w:rPr>
      </w:pPr>
      <w:r w:rsidRPr="005D0BA1">
        <w:rPr>
          <w:rFonts w:eastAsia="Times New Roman"/>
          <w:color w:val="000000"/>
          <w:szCs w:val="24"/>
          <w:lang w:val="en-US"/>
        </w:rPr>
        <w:t>(</w:t>
      </w:r>
      <w:proofErr w:type="gramStart"/>
      <w:r w:rsidRPr="005D0BA1">
        <w:rPr>
          <w:rFonts w:eastAsia="Times New Roman"/>
          <w:color w:val="000000"/>
          <w:szCs w:val="24"/>
          <w:lang w:val="en-US"/>
        </w:rPr>
        <w:t>c</w:t>
      </w:r>
      <w:proofErr w:type="gramEnd"/>
      <w:r w:rsidRPr="005D0BA1">
        <w:rPr>
          <w:rFonts w:eastAsia="Times New Roman"/>
          <w:color w:val="000000"/>
          <w:szCs w:val="24"/>
          <w:lang w:val="en-US"/>
        </w:rPr>
        <w:t>)</w:t>
      </w:r>
      <w:r w:rsidR="00016CA0">
        <w:rPr>
          <w:rFonts w:eastAsia="Times New Roman"/>
          <w:color w:val="000000"/>
          <w:szCs w:val="24"/>
          <w:lang w:val="en-US"/>
        </w:rPr>
        <w:tab/>
      </w:r>
      <w:r w:rsidRPr="005D0BA1">
        <w:rPr>
          <w:rFonts w:eastAsia="Times New Roman"/>
          <w:color w:val="000000"/>
          <w:szCs w:val="24"/>
          <w:lang w:val="en-US"/>
        </w:rPr>
        <w:t xml:space="preserve">as far as practicable, be- </w:t>
      </w:r>
    </w:p>
    <w:p w:rsidR="00960E4F" w:rsidRPr="005D0BA1"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w:t>
      </w:r>
      <w:proofErr w:type="spellStart"/>
      <w:r w:rsidRPr="005D0BA1">
        <w:rPr>
          <w:rFonts w:eastAsia="Times New Roman"/>
          <w:color w:val="000000"/>
          <w:szCs w:val="24"/>
          <w:lang w:val="en-US"/>
        </w:rPr>
        <w:t>i</w:t>
      </w:r>
      <w:proofErr w:type="spellEnd"/>
      <w:r w:rsidRPr="005D0BA1">
        <w:rPr>
          <w:rFonts w:eastAsia="Times New Roman"/>
          <w:color w:val="000000"/>
          <w:szCs w:val="24"/>
          <w:lang w:val="en-US"/>
        </w:rPr>
        <w:t>)</w:t>
      </w:r>
      <w:r w:rsidR="00016CA0">
        <w:rPr>
          <w:rFonts w:eastAsia="Times New Roman"/>
          <w:color w:val="000000"/>
          <w:szCs w:val="24"/>
          <w:lang w:val="en-US"/>
        </w:rPr>
        <w:tab/>
      </w:r>
      <w:proofErr w:type="gramStart"/>
      <w:r w:rsidRPr="005D0BA1">
        <w:rPr>
          <w:rFonts w:eastAsia="Times New Roman"/>
          <w:color w:val="000000"/>
          <w:szCs w:val="24"/>
          <w:lang w:val="en-US"/>
        </w:rPr>
        <w:t>intelligible</w:t>
      </w:r>
      <w:proofErr w:type="gramEnd"/>
      <w:r w:rsidRPr="005D0BA1">
        <w:rPr>
          <w:rFonts w:eastAsia="Times New Roman"/>
          <w:color w:val="000000"/>
          <w:szCs w:val="24"/>
          <w:lang w:val="en-US"/>
        </w:rPr>
        <w:t xml:space="preserve"> unless the copy is a true copy of a document which- </w:t>
      </w:r>
    </w:p>
    <w:p w:rsidR="0014192D"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(A)</w:t>
      </w:r>
      <w:r w:rsidR="00016CA0">
        <w:rPr>
          <w:rFonts w:eastAsia="Times New Roman"/>
          <w:color w:val="000000"/>
          <w:szCs w:val="24"/>
          <w:lang w:val="en-US"/>
        </w:rPr>
        <w:tab/>
      </w:r>
      <w:proofErr w:type="gramStart"/>
      <w:r w:rsidRPr="005D0BA1">
        <w:rPr>
          <w:rFonts w:eastAsia="Times New Roman"/>
          <w:color w:val="000000"/>
          <w:szCs w:val="24"/>
          <w:lang w:val="en-US"/>
        </w:rPr>
        <w:t>contains</w:t>
      </w:r>
      <w:proofErr w:type="gramEnd"/>
      <w:r w:rsidRPr="005D0BA1">
        <w:rPr>
          <w:rFonts w:eastAsia="Times New Roman"/>
          <w:color w:val="000000"/>
          <w:szCs w:val="24"/>
          <w:lang w:val="en-US"/>
        </w:rPr>
        <w:t xml:space="preserve"> the data; and</w:t>
      </w:r>
    </w:p>
    <w:p w:rsidR="00960E4F" w:rsidRPr="005D0BA1"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(B)</w:t>
      </w:r>
      <w:r w:rsidR="0014192D">
        <w:rPr>
          <w:rFonts w:eastAsia="Times New Roman"/>
          <w:color w:val="000000"/>
          <w:szCs w:val="24"/>
          <w:lang w:val="en-US"/>
        </w:rPr>
        <w:tab/>
      </w:r>
      <w:r w:rsidRPr="005D0BA1">
        <w:rPr>
          <w:rFonts w:eastAsia="Times New Roman"/>
          <w:color w:val="000000"/>
          <w:szCs w:val="24"/>
          <w:lang w:val="en-US"/>
        </w:rPr>
        <w:t>is unintelligible on its face;</w:t>
      </w:r>
    </w:p>
    <w:p w:rsidR="003E4CFC"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(ii)</w:t>
      </w:r>
      <w:r w:rsidR="00016CA0">
        <w:rPr>
          <w:rFonts w:eastAsia="Times New Roman"/>
          <w:color w:val="000000"/>
          <w:szCs w:val="24"/>
          <w:lang w:val="en-US"/>
        </w:rPr>
        <w:tab/>
      </w:r>
      <w:proofErr w:type="gramStart"/>
      <w:r w:rsidRPr="005D0BA1">
        <w:rPr>
          <w:rFonts w:eastAsia="Times New Roman"/>
          <w:color w:val="000000"/>
          <w:szCs w:val="24"/>
          <w:lang w:val="en-US"/>
        </w:rPr>
        <w:t>readily</w:t>
      </w:r>
      <w:proofErr w:type="gramEnd"/>
      <w:r w:rsidRPr="005D0BA1">
        <w:rPr>
          <w:rFonts w:eastAsia="Times New Roman"/>
          <w:color w:val="000000"/>
          <w:szCs w:val="24"/>
          <w:lang w:val="en-US"/>
        </w:rPr>
        <w:t xml:space="preserve"> comprehensible with any codes used by the data user adequately explained; and</w:t>
      </w:r>
    </w:p>
    <w:p w:rsidR="00960E4F" w:rsidRPr="005D0BA1"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(iii)</w:t>
      </w:r>
      <w:r w:rsidR="00F55E85">
        <w:rPr>
          <w:rFonts w:eastAsia="Times New Roman"/>
          <w:color w:val="000000"/>
          <w:szCs w:val="24"/>
          <w:lang w:val="en-US"/>
        </w:rPr>
        <w:tab/>
      </w:r>
      <w:proofErr w:type="gramStart"/>
      <w:r w:rsidRPr="005D0BA1">
        <w:rPr>
          <w:rFonts w:eastAsia="Times New Roman"/>
          <w:color w:val="000000"/>
          <w:szCs w:val="24"/>
          <w:lang w:val="en-US"/>
        </w:rPr>
        <w:t>in</w:t>
      </w:r>
      <w:proofErr w:type="gramEnd"/>
      <w:r w:rsidRPr="005D0BA1">
        <w:rPr>
          <w:rFonts w:eastAsia="Times New Roman"/>
          <w:color w:val="000000"/>
          <w:szCs w:val="24"/>
          <w:lang w:val="en-US"/>
        </w:rPr>
        <w:t xml:space="preserve">- </w:t>
      </w:r>
    </w:p>
    <w:p w:rsidR="007E59EE"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(A)</w:t>
      </w:r>
      <w:r w:rsidR="00016CA0">
        <w:rPr>
          <w:rFonts w:eastAsia="Times New Roman"/>
          <w:color w:val="000000"/>
          <w:szCs w:val="24"/>
          <w:lang w:val="en-US"/>
        </w:rPr>
        <w:tab/>
      </w:r>
      <w:r w:rsidRPr="005D0BA1">
        <w:rPr>
          <w:rFonts w:eastAsia="Times New Roman"/>
          <w:color w:val="000000"/>
          <w:szCs w:val="24"/>
          <w:lang w:val="en-US"/>
        </w:rPr>
        <w:t xml:space="preserve">subject to sub-subparagraph (B), the language specified in the request or, if no language is so specified, the language in which the request is made (which may be </w:t>
      </w:r>
      <w:r w:rsidRPr="005D0BA1">
        <w:rPr>
          <w:rFonts w:eastAsia="Times New Roman"/>
          <w:color w:val="000000"/>
          <w:szCs w:val="24"/>
          <w:lang w:val="en-US"/>
        </w:rPr>
        <w:lastRenderedPageBreak/>
        <w:t>the Chinese or English language in either case);</w:t>
      </w:r>
    </w:p>
    <w:p w:rsidR="00960E4F" w:rsidRPr="005D0BA1"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(B)</w:t>
      </w:r>
      <w:r w:rsidR="007E59EE">
        <w:rPr>
          <w:rFonts w:eastAsia="Times New Roman"/>
          <w:color w:val="000000"/>
          <w:szCs w:val="24"/>
          <w:lang w:val="en-US"/>
        </w:rPr>
        <w:tab/>
      </w:r>
      <w:proofErr w:type="gramStart"/>
      <w:r w:rsidRPr="005D0BA1">
        <w:rPr>
          <w:rFonts w:eastAsia="Times New Roman"/>
          <w:color w:val="000000"/>
          <w:szCs w:val="24"/>
          <w:lang w:val="en-US"/>
        </w:rPr>
        <w:t>a</w:t>
      </w:r>
      <w:proofErr w:type="gramEnd"/>
      <w:r w:rsidRPr="005D0BA1">
        <w:rPr>
          <w:rFonts w:eastAsia="Times New Roman"/>
          <w:color w:val="000000"/>
          <w:szCs w:val="24"/>
          <w:lang w:val="en-US"/>
        </w:rPr>
        <w:t xml:space="preserve"> language other than the language specified in the request or, if no language is so specified, the language in which the request is made, if, but only if- </w:t>
      </w:r>
    </w:p>
    <w:p w:rsidR="007E59EE" w:rsidRDefault="00960E4F" w:rsidP="00A8030B">
      <w:pPr>
        <w:pStyle w:val="ar-quotation"/>
        <w:ind w:left="4111" w:hanging="425"/>
        <w:rPr>
          <w:rFonts w:eastAsia="Times New Roman"/>
          <w:color w:val="000000"/>
          <w:szCs w:val="24"/>
          <w:lang w:val="en-US"/>
        </w:rPr>
      </w:pPr>
      <w:r w:rsidRPr="005D0BA1">
        <w:rPr>
          <w:rFonts w:eastAsia="Times New Roman"/>
          <w:color w:val="000000"/>
          <w:szCs w:val="24"/>
          <w:lang w:val="en-US"/>
        </w:rPr>
        <w:t>(I)</w:t>
      </w:r>
      <w:r w:rsidR="00016CA0">
        <w:rPr>
          <w:rFonts w:eastAsia="Times New Roman"/>
          <w:color w:val="000000"/>
          <w:szCs w:val="24"/>
          <w:lang w:val="en-US"/>
        </w:rPr>
        <w:tab/>
      </w:r>
      <w:r w:rsidRPr="005D0BA1">
        <w:rPr>
          <w:rFonts w:eastAsia="Times New Roman"/>
          <w:color w:val="000000"/>
          <w:szCs w:val="24"/>
          <w:lang w:val="en-US"/>
        </w:rPr>
        <w:t>the language in which the data are held is not the language specified in the request or, if no language is so specified, the language in which the request is made, as the case may be; and</w:t>
      </w:r>
    </w:p>
    <w:p w:rsidR="00960E4F" w:rsidRPr="005D0BA1" w:rsidRDefault="00960E4F" w:rsidP="00A8030B">
      <w:pPr>
        <w:pStyle w:val="ar-quotation"/>
        <w:ind w:left="4111" w:hanging="425"/>
        <w:rPr>
          <w:rFonts w:eastAsia="Times New Roman"/>
          <w:color w:val="000000"/>
          <w:szCs w:val="24"/>
          <w:lang w:val="en-US"/>
        </w:rPr>
      </w:pPr>
      <w:r w:rsidRPr="005D0BA1">
        <w:rPr>
          <w:rFonts w:eastAsia="Times New Roman"/>
          <w:color w:val="000000"/>
          <w:szCs w:val="24"/>
          <w:lang w:val="en-US"/>
        </w:rPr>
        <w:t>(II)</w:t>
      </w:r>
      <w:r w:rsidR="007E59EE">
        <w:rPr>
          <w:rFonts w:eastAsia="Times New Roman"/>
          <w:color w:val="000000"/>
          <w:szCs w:val="24"/>
          <w:lang w:val="en-US"/>
        </w:rPr>
        <w:tab/>
      </w:r>
      <w:proofErr w:type="gramStart"/>
      <w:r w:rsidRPr="005D0BA1">
        <w:rPr>
          <w:rFonts w:eastAsia="Times New Roman"/>
          <w:color w:val="000000"/>
          <w:szCs w:val="24"/>
          <w:lang w:val="en-US"/>
        </w:rPr>
        <w:t>subject</w:t>
      </w:r>
      <w:proofErr w:type="gramEnd"/>
      <w:r w:rsidRPr="005D0BA1">
        <w:rPr>
          <w:rFonts w:eastAsia="Times New Roman"/>
          <w:color w:val="000000"/>
          <w:szCs w:val="24"/>
          <w:lang w:val="en-US"/>
        </w:rPr>
        <w:t xml:space="preserve"> to section 20(2)(b), the copy is a true copy of a document which contains the data;</w:t>
      </w:r>
    </w:p>
    <w:p w:rsidR="007E59EE"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(iv)</w:t>
      </w:r>
      <w:r w:rsidR="00016CA0">
        <w:rPr>
          <w:rFonts w:eastAsia="Times New Roman"/>
          <w:color w:val="000000"/>
          <w:szCs w:val="24"/>
          <w:lang w:val="en-US"/>
        </w:rPr>
        <w:tab/>
      </w:r>
      <w:proofErr w:type="gramStart"/>
      <w:r w:rsidRPr="005D0BA1">
        <w:rPr>
          <w:rFonts w:eastAsia="Times New Roman"/>
          <w:color w:val="000000"/>
          <w:szCs w:val="24"/>
          <w:lang w:val="en-US"/>
        </w:rPr>
        <w:t>without</w:t>
      </w:r>
      <w:proofErr w:type="gramEnd"/>
      <w:r w:rsidRPr="005D0BA1">
        <w:rPr>
          <w:rFonts w:eastAsia="Times New Roman"/>
          <w:color w:val="000000"/>
          <w:szCs w:val="24"/>
          <w:lang w:val="en-US"/>
        </w:rPr>
        <w:t xml:space="preserve"> prejudice to the generality of subparagraph (iii) but subject to subsection (4), be in the form, or one of the forms, if any, specified in the request;</w:t>
      </w:r>
    </w:p>
    <w:p w:rsidR="00960E4F" w:rsidRPr="005D0BA1"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(v)</w:t>
      </w:r>
      <w:r w:rsidR="007E59EE">
        <w:rPr>
          <w:rFonts w:eastAsia="Times New Roman"/>
          <w:color w:val="000000"/>
          <w:szCs w:val="24"/>
          <w:lang w:val="en-US"/>
        </w:rPr>
        <w:tab/>
      </w:r>
      <w:proofErr w:type="gramStart"/>
      <w:r w:rsidRPr="005D0BA1">
        <w:rPr>
          <w:rFonts w:eastAsia="Times New Roman"/>
          <w:color w:val="000000"/>
          <w:szCs w:val="24"/>
          <w:lang w:val="en-US"/>
        </w:rPr>
        <w:t>where</w:t>
      </w:r>
      <w:proofErr w:type="gramEnd"/>
      <w:r w:rsidRPr="005D0BA1">
        <w:rPr>
          <w:rFonts w:eastAsia="Times New Roman"/>
          <w:color w:val="000000"/>
          <w:szCs w:val="24"/>
          <w:lang w:val="en-US"/>
        </w:rPr>
        <w:t xml:space="preserve"> subparagraph (iv) is not applicable, in such form as the data user thinks fit.</w:t>
      </w:r>
    </w:p>
    <w:p w:rsidR="00960E4F" w:rsidRPr="005D0BA1" w:rsidRDefault="00960E4F" w:rsidP="00284B01">
      <w:pPr>
        <w:pStyle w:val="ar-quotation"/>
        <w:ind w:left="2410" w:hanging="425"/>
        <w:rPr>
          <w:rFonts w:eastAsia="Times New Roman"/>
          <w:color w:val="000000"/>
          <w:szCs w:val="24"/>
          <w:lang w:val="en-US"/>
        </w:rPr>
      </w:pPr>
      <w:r w:rsidRPr="005D0BA1">
        <w:rPr>
          <w:rFonts w:eastAsia="Times New Roman"/>
          <w:color w:val="000000"/>
          <w:szCs w:val="24"/>
          <w:lang w:val="en-US"/>
        </w:rPr>
        <w:t>(4)</w:t>
      </w:r>
      <w:r w:rsidR="00016CA0">
        <w:rPr>
          <w:rFonts w:eastAsia="Times New Roman"/>
          <w:color w:val="000000"/>
          <w:szCs w:val="24"/>
          <w:lang w:val="en-US"/>
        </w:rPr>
        <w:tab/>
      </w:r>
      <w:r w:rsidRPr="005D0BA1">
        <w:rPr>
          <w:rFonts w:eastAsia="Times New Roman"/>
          <w:color w:val="000000"/>
          <w:szCs w:val="24"/>
          <w:lang w:val="en-US"/>
        </w:rPr>
        <w:t xml:space="preserve">Where- </w:t>
      </w:r>
    </w:p>
    <w:p w:rsidR="007E59EE" w:rsidRDefault="00960E4F" w:rsidP="00157DFB">
      <w:pPr>
        <w:pStyle w:val="ar-quotation"/>
        <w:ind w:left="2835" w:hanging="425"/>
        <w:rPr>
          <w:rFonts w:eastAsia="Times New Roman"/>
          <w:color w:val="000000"/>
          <w:szCs w:val="24"/>
          <w:lang w:val="en-US"/>
        </w:rPr>
      </w:pPr>
      <w:r w:rsidRPr="005D0BA1">
        <w:rPr>
          <w:rFonts w:eastAsia="Times New Roman"/>
          <w:color w:val="000000"/>
          <w:szCs w:val="24"/>
          <w:lang w:val="en-US"/>
        </w:rPr>
        <w:t>(a)</w:t>
      </w:r>
      <w:r w:rsidR="00016CA0">
        <w:rPr>
          <w:rFonts w:eastAsia="Times New Roman"/>
          <w:color w:val="000000"/>
          <w:szCs w:val="24"/>
          <w:lang w:val="en-US"/>
        </w:rPr>
        <w:tab/>
      </w:r>
      <w:proofErr w:type="gramStart"/>
      <w:r w:rsidRPr="005D0BA1">
        <w:rPr>
          <w:rFonts w:eastAsia="Times New Roman"/>
          <w:color w:val="000000"/>
          <w:szCs w:val="24"/>
          <w:lang w:val="en-US"/>
        </w:rPr>
        <w:t>a</w:t>
      </w:r>
      <w:proofErr w:type="gramEnd"/>
      <w:r w:rsidRPr="005D0BA1">
        <w:rPr>
          <w:rFonts w:eastAsia="Times New Roman"/>
          <w:color w:val="000000"/>
          <w:szCs w:val="24"/>
          <w:lang w:val="en-US"/>
        </w:rPr>
        <w:t xml:space="preserve"> data access request specifies the form or forms in which a copy of the personal data to be supplied in compliance with the request is or are sought; and</w:t>
      </w:r>
    </w:p>
    <w:p w:rsidR="00960E4F" w:rsidRPr="005D0BA1" w:rsidRDefault="00960E4F" w:rsidP="00157DFB">
      <w:pPr>
        <w:pStyle w:val="ar-quotation"/>
        <w:ind w:left="2835" w:hanging="425"/>
        <w:rPr>
          <w:rFonts w:eastAsia="Times New Roman"/>
          <w:color w:val="000000"/>
          <w:szCs w:val="24"/>
          <w:lang w:val="en-US"/>
        </w:rPr>
      </w:pPr>
      <w:r w:rsidRPr="005D0BA1">
        <w:rPr>
          <w:rFonts w:eastAsia="Times New Roman"/>
          <w:color w:val="000000"/>
          <w:szCs w:val="24"/>
          <w:lang w:val="en-US"/>
        </w:rPr>
        <w:t>(b)</w:t>
      </w:r>
      <w:r w:rsidR="007E59EE">
        <w:rPr>
          <w:rFonts w:eastAsia="Times New Roman"/>
          <w:color w:val="000000"/>
          <w:szCs w:val="24"/>
          <w:lang w:val="en-US"/>
        </w:rPr>
        <w:tab/>
      </w:r>
      <w:proofErr w:type="gramStart"/>
      <w:r w:rsidRPr="005D0BA1">
        <w:rPr>
          <w:rFonts w:eastAsia="Times New Roman"/>
          <w:color w:val="000000"/>
          <w:szCs w:val="24"/>
          <w:lang w:val="en-US"/>
        </w:rPr>
        <w:t>the</w:t>
      </w:r>
      <w:proofErr w:type="gramEnd"/>
      <w:r w:rsidRPr="005D0BA1">
        <w:rPr>
          <w:rFonts w:eastAsia="Times New Roman"/>
          <w:color w:val="000000"/>
          <w:szCs w:val="24"/>
          <w:lang w:val="en-US"/>
        </w:rPr>
        <w:t xml:space="preserve"> data user concerned is unable to supply the copy in that form or any of those forms, as the case may be, because it is not practicable for the data user to do so,</w:t>
      </w:r>
    </w:p>
    <w:p w:rsidR="00960E4F" w:rsidRPr="005D0BA1" w:rsidRDefault="00960E4F" w:rsidP="00157DFB">
      <w:pPr>
        <w:pStyle w:val="ar-quotation"/>
        <w:ind w:left="2410" w:hanging="425"/>
        <w:rPr>
          <w:rFonts w:eastAsia="Times New Roman"/>
          <w:color w:val="000000"/>
          <w:szCs w:val="24"/>
          <w:lang w:val="en-US"/>
        </w:rPr>
      </w:pPr>
      <w:proofErr w:type="gramStart"/>
      <w:r w:rsidRPr="005D0BA1">
        <w:rPr>
          <w:rFonts w:eastAsia="Times New Roman"/>
          <w:color w:val="000000"/>
          <w:szCs w:val="24"/>
          <w:lang w:val="en-US"/>
        </w:rPr>
        <w:t>then</w:t>
      </w:r>
      <w:proofErr w:type="gramEnd"/>
      <w:r w:rsidRPr="005D0BA1">
        <w:rPr>
          <w:rFonts w:eastAsia="Times New Roman"/>
          <w:color w:val="000000"/>
          <w:szCs w:val="24"/>
          <w:lang w:val="en-US"/>
        </w:rPr>
        <w:t xml:space="preserve"> the data user shall- </w:t>
      </w:r>
    </w:p>
    <w:p w:rsidR="007E59EE" w:rsidRDefault="00960E4F" w:rsidP="00157DFB">
      <w:pPr>
        <w:pStyle w:val="ar-quotation"/>
        <w:ind w:left="2835" w:hanging="425"/>
        <w:rPr>
          <w:rFonts w:eastAsia="Times New Roman"/>
          <w:color w:val="000000"/>
          <w:szCs w:val="24"/>
          <w:lang w:val="en-US"/>
        </w:rPr>
      </w:pPr>
      <w:r w:rsidRPr="005D0BA1">
        <w:rPr>
          <w:rFonts w:eastAsia="Times New Roman"/>
          <w:color w:val="000000"/>
          <w:szCs w:val="24"/>
          <w:lang w:val="en-US"/>
        </w:rPr>
        <w:t>(</w:t>
      </w:r>
      <w:proofErr w:type="spellStart"/>
      <w:r w:rsidRPr="005D0BA1">
        <w:rPr>
          <w:rFonts w:eastAsia="Times New Roman"/>
          <w:color w:val="000000"/>
          <w:szCs w:val="24"/>
          <w:lang w:val="en-US"/>
        </w:rPr>
        <w:t>i</w:t>
      </w:r>
      <w:proofErr w:type="spellEnd"/>
      <w:r w:rsidRPr="005D0BA1">
        <w:rPr>
          <w:rFonts w:eastAsia="Times New Roman"/>
          <w:color w:val="000000"/>
          <w:szCs w:val="24"/>
          <w:lang w:val="en-US"/>
        </w:rPr>
        <w:t>)</w:t>
      </w:r>
      <w:r w:rsidR="00016CA0">
        <w:rPr>
          <w:rFonts w:eastAsia="Times New Roman"/>
          <w:color w:val="000000"/>
          <w:szCs w:val="24"/>
          <w:lang w:val="en-US"/>
        </w:rPr>
        <w:tab/>
      </w:r>
      <w:r w:rsidRPr="005D0BA1">
        <w:rPr>
          <w:rFonts w:eastAsia="Times New Roman"/>
          <w:color w:val="000000"/>
          <w:szCs w:val="24"/>
          <w:lang w:val="en-US"/>
        </w:rPr>
        <w:t xml:space="preserve">where there is only one form in which it is practicable for the data user to supply the copy, supply the copy in that form </w:t>
      </w:r>
      <w:r w:rsidRPr="008B3DFA">
        <w:rPr>
          <w:rFonts w:eastAsia="Times New Roman"/>
          <w:i/>
          <w:color w:val="000000"/>
          <w:szCs w:val="24"/>
          <w:lang w:val="en-US"/>
        </w:rPr>
        <w:t>accompanied by a notice in writing</w:t>
      </w:r>
      <w:r w:rsidRPr="005D0BA1">
        <w:rPr>
          <w:rFonts w:eastAsia="Times New Roman"/>
          <w:color w:val="000000"/>
          <w:szCs w:val="24"/>
          <w:lang w:val="en-US"/>
        </w:rPr>
        <w:t xml:space="preserve"> </w:t>
      </w:r>
      <w:r w:rsidRPr="008B3DFA">
        <w:rPr>
          <w:rFonts w:eastAsia="Times New Roman"/>
          <w:i/>
          <w:color w:val="000000"/>
          <w:szCs w:val="24"/>
          <w:lang w:val="en-US"/>
        </w:rPr>
        <w:t>informing</w:t>
      </w:r>
      <w:r w:rsidRPr="005D0BA1">
        <w:rPr>
          <w:rFonts w:eastAsia="Times New Roman"/>
          <w:color w:val="000000"/>
          <w:szCs w:val="24"/>
          <w:lang w:val="en-US"/>
        </w:rPr>
        <w:t xml:space="preserve"> the requestor that that form is the only form in which it is practicable for the data user to supply the copy;</w:t>
      </w:r>
    </w:p>
    <w:p w:rsidR="00960E4F" w:rsidRPr="005D0BA1" w:rsidRDefault="00960E4F" w:rsidP="00157DFB">
      <w:pPr>
        <w:pStyle w:val="ar-quotation"/>
        <w:ind w:left="2835" w:hanging="425"/>
        <w:rPr>
          <w:rFonts w:eastAsia="Times New Roman"/>
          <w:color w:val="000000"/>
          <w:szCs w:val="24"/>
          <w:lang w:val="en-US"/>
        </w:rPr>
      </w:pPr>
      <w:r w:rsidRPr="005D0BA1">
        <w:rPr>
          <w:rFonts w:eastAsia="Times New Roman"/>
          <w:color w:val="000000"/>
          <w:szCs w:val="24"/>
          <w:lang w:val="en-US"/>
        </w:rPr>
        <w:t>(ii)</w:t>
      </w:r>
      <w:r w:rsidR="007E59EE">
        <w:rPr>
          <w:rFonts w:eastAsia="Times New Roman"/>
          <w:color w:val="000000"/>
          <w:szCs w:val="24"/>
          <w:lang w:val="en-US"/>
        </w:rPr>
        <w:tab/>
      </w:r>
      <w:proofErr w:type="gramStart"/>
      <w:r w:rsidRPr="005D0BA1">
        <w:rPr>
          <w:rFonts w:eastAsia="Times New Roman"/>
          <w:color w:val="000000"/>
          <w:szCs w:val="24"/>
          <w:lang w:val="en-US"/>
        </w:rPr>
        <w:t>in</w:t>
      </w:r>
      <w:proofErr w:type="gramEnd"/>
      <w:r w:rsidRPr="005D0BA1">
        <w:rPr>
          <w:rFonts w:eastAsia="Times New Roman"/>
          <w:color w:val="000000"/>
          <w:szCs w:val="24"/>
          <w:lang w:val="en-US"/>
        </w:rPr>
        <w:t xml:space="preserve"> any other case- </w:t>
      </w:r>
    </w:p>
    <w:p w:rsidR="00960E4F" w:rsidRPr="005D0BA1"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(A)</w:t>
      </w:r>
      <w:r w:rsidR="00016CA0">
        <w:rPr>
          <w:rFonts w:eastAsia="Times New Roman"/>
          <w:color w:val="000000"/>
          <w:szCs w:val="24"/>
          <w:lang w:val="en-US"/>
        </w:rPr>
        <w:tab/>
      </w:r>
      <w:r w:rsidRPr="005D0BA1">
        <w:rPr>
          <w:rFonts w:eastAsia="Times New Roman"/>
          <w:color w:val="000000"/>
          <w:szCs w:val="24"/>
          <w:lang w:val="en-US"/>
        </w:rPr>
        <w:t xml:space="preserve">as soon as practicable, </w:t>
      </w:r>
      <w:r w:rsidRPr="008B3DFA">
        <w:rPr>
          <w:rFonts w:eastAsia="Times New Roman"/>
          <w:i/>
          <w:color w:val="000000"/>
          <w:szCs w:val="24"/>
          <w:lang w:val="en-US"/>
        </w:rPr>
        <w:t xml:space="preserve">by notice in writing </w:t>
      </w:r>
      <w:proofErr w:type="gramStart"/>
      <w:r w:rsidRPr="008B3DFA">
        <w:rPr>
          <w:rFonts w:eastAsia="Times New Roman"/>
          <w:i/>
          <w:color w:val="000000"/>
          <w:szCs w:val="24"/>
          <w:lang w:val="en-US"/>
        </w:rPr>
        <w:t>inform</w:t>
      </w:r>
      <w:proofErr w:type="gramEnd"/>
      <w:r w:rsidRPr="005D0BA1">
        <w:rPr>
          <w:rFonts w:eastAsia="Times New Roman"/>
          <w:color w:val="000000"/>
          <w:szCs w:val="24"/>
          <w:lang w:val="en-US"/>
        </w:rPr>
        <w:t xml:space="preserve"> the requestor- </w:t>
      </w:r>
    </w:p>
    <w:p w:rsidR="007E59EE"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lastRenderedPageBreak/>
        <w:t>(I)</w:t>
      </w:r>
      <w:r w:rsidR="00016CA0">
        <w:rPr>
          <w:rFonts w:eastAsia="Times New Roman"/>
          <w:color w:val="000000"/>
          <w:szCs w:val="24"/>
          <w:lang w:val="en-US"/>
        </w:rPr>
        <w:tab/>
      </w:r>
      <w:r w:rsidRPr="005D0BA1">
        <w:rPr>
          <w:rFonts w:eastAsia="Times New Roman"/>
          <w:color w:val="000000"/>
          <w:szCs w:val="24"/>
          <w:lang w:val="en-US"/>
        </w:rPr>
        <w:t>that it is not practicable for the data user to supply the copy in the form or any of the forms, as the case may be, specified in the request;</w:t>
      </w:r>
    </w:p>
    <w:p w:rsidR="007E59EE"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(II)</w:t>
      </w:r>
      <w:r w:rsidR="007E59EE">
        <w:rPr>
          <w:rFonts w:eastAsia="Times New Roman"/>
          <w:color w:val="000000"/>
          <w:szCs w:val="24"/>
          <w:lang w:val="en-US"/>
        </w:rPr>
        <w:tab/>
      </w:r>
      <w:proofErr w:type="gramStart"/>
      <w:r w:rsidRPr="005D0BA1">
        <w:rPr>
          <w:rFonts w:eastAsia="Times New Roman"/>
          <w:color w:val="000000"/>
          <w:szCs w:val="24"/>
          <w:lang w:val="en-US"/>
        </w:rPr>
        <w:t>of</w:t>
      </w:r>
      <w:proofErr w:type="gramEnd"/>
      <w:r w:rsidRPr="005D0BA1">
        <w:rPr>
          <w:rFonts w:eastAsia="Times New Roman"/>
          <w:color w:val="000000"/>
          <w:szCs w:val="24"/>
          <w:lang w:val="en-US"/>
        </w:rPr>
        <w:t xml:space="preserve"> the forms in which it is practicable for the data user to supply the copy; and</w:t>
      </w:r>
    </w:p>
    <w:p w:rsidR="00960E4F" w:rsidRPr="005D0BA1"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(III)</w:t>
      </w:r>
      <w:r w:rsidR="007E59EE">
        <w:rPr>
          <w:rFonts w:eastAsia="Times New Roman"/>
          <w:color w:val="000000"/>
          <w:szCs w:val="24"/>
          <w:lang w:val="en-US"/>
        </w:rPr>
        <w:tab/>
      </w:r>
      <w:r w:rsidRPr="005D0BA1">
        <w:rPr>
          <w:rFonts w:eastAsia="Times New Roman"/>
          <w:color w:val="000000"/>
          <w:szCs w:val="24"/>
          <w:lang w:val="en-US"/>
        </w:rPr>
        <w:t>that the requestor may, not later than 14 days after the requestor has received the notice, specify in writing one of the forms referred to in sub-subparagraph (II) in which the copy is to be supplied; and</w:t>
      </w:r>
    </w:p>
    <w:p w:rsidR="00960E4F" w:rsidRPr="005D0BA1" w:rsidRDefault="00960E4F" w:rsidP="00A8030B">
      <w:pPr>
        <w:pStyle w:val="ar-quotation"/>
        <w:ind w:left="3260" w:hanging="425"/>
        <w:rPr>
          <w:rFonts w:eastAsia="Times New Roman"/>
          <w:color w:val="000000"/>
          <w:szCs w:val="24"/>
          <w:lang w:val="en-US"/>
        </w:rPr>
      </w:pPr>
      <w:r w:rsidRPr="005D0BA1">
        <w:rPr>
          <w:rFonts w:eastAsia="Times New Roman"/>
          <w:color w:val="000000"/>
          <w:szCs w:val="24"/>
          <w:lang w:val="en-US"/>
        </w:rPr>
        <w:t>(B)</w:t>
      </w:r>
      <w:r w:rsidR="00016CA0">
        <w:rPr>
          <w:rFonts w:eastAsia="Times New Roman"/>
          <w:color w:val="000000"/>
          <w:szCs w:val="24"/>
          <w:lang w:val="en-US"/>
        </w:rPr>
        <w:tab/>
      </w:r>
      <w:r w:rsidRPr="005D0BA1">
        <w:rPr>
          <w:rFonts w:eastAsia="Times New Roman"/>
          <w:color w:val="000000"/>
          <w:szCs w:val="24"/>
          <w:lang w:val="en-US"/>
        </w:rPr>
        <w:t xml:space="preserve">as soon as practicable, supply the copy- </w:t>
      </w:r>
    </w:p>
    <w:p w:rsidR="006777D3" w:rsidRDefault="00960E4F" w:rsidP="00A8030B">
      <w:pPr>
        <w:pStyle w:val="ar-quotation"/>
        <w:ind w:left="3685" w:hanging="425"/>
        <w:rPr>
          <w:rFonts w:eastAsia="Times New Roman"/>
          <w:color w:val="000000"/>
          <w:szCs w:val="24"/>
          <w:lang w:val="en-US"/>
        </w:rPr>
      </w:pPr>
      <w:r w:rsidRPr="005D0BA1">
        <w:rPr>
          <w:rFonts w:eastAsia="Times New Roman"/>
          <w:color w:val="000000"/>
          <w:szCs w:val="24"/>
          <w:lang w:val="en-US"/>
        </w:rPr>
        <w:t>(I)</w:t>
      </w:r>
      <w:r w:rsidR="00016CA0">
        <w:rPr>
          <w:rFonts w:eastAsia="Times New Roman"/>
          <w:color w:val="000000"/>
          <w:szCs w:val="24"/>
          <w:lang w:val="en-US"/>
        </w:rPr>
        <w:tab/>
      </w:r>
      <w:r w:rsidRPr="005D0BA1">
        <w:rPr>
          <w:rFonts w:eastAsia="Times New Roman"/>
          <w:color w:val="000000"/>
          <w:szCs w:val="24"/>
          <w:lang w:val="en-US"/>
        </w:rPr>
        <w:t>in the form specified in the response, if any, to the notice referred to in subparagraph (A);</w:t>
      </w:r>
    </w:p>
    <w:p w:rsidR="00960E4F" w:rsidRDefault="00960E4F" w:rsidP="00A8030B">
      <w:pPr>
        <w:pStyle w:val="ar-quotation"/>
        <w:ind w:left="3685" w:hanging="425"/>
        <w:rPr>
          <w:color w:val="000000"/>
          <w:szCs w:val="24"/>
          <w:lang w:val="en-US"/>
        </w:rPr>
      </w:pPr>
      <w:r w:rsidRPr="005D0BA1">
        <w:rPr>
          <w:rFonts w:eastAsia="Times New Roman"/>
          <w:color w:val="000000"/>
          <w:szCs w:val="24"/>
          <w:lang w:val="en-US"/>
        </w:rPr>
        <w:t>(II)</w:t>
      </w:r>
      <w:r w:rsidR="00010069">
        <w:rPr>
          <w:rFonts w:eastAsia="Times New Roman"/>
          <w:color w:val="000000"/>
          <w:szCs w:val="24"/>
          <w:lang w:val="en-US"/>
        </w:rPr>
        <w:tab/>
      </w:r>
      <w:r w:rsidRPr="005D0BA1">
        <w:rPr>
          <w:rFonts w:eastAsia="Times New Roman"/>
          <w:color w:val="000000"/>
          <w:szCs w:val="24"/>
          <w:lang w:val="en-US"/>
        </w:rPr>
        <w:t>if there is no such response within the period specified in subparagraph (A)(III), supply the copy in any one of the forms referred to in subparagraph (A)(II) as the data user thinks fit.</w:t>
      </w:r>
    </w:p>
    <w:p w:rsidR="00960E4F" w:rsidRPr="008B3DFA" w:rsidRDefault="00960E4F" w:rsidP="00BC6EDE">
      <w:pPr>
        <w:pStyle w:val="ar-quotation"/>
        <w:ind w:left="1985" w:firstLine="425"/>
        <w:rPr>
          <w:color w:val="000000"/>
          <w:szCs w:val="24"/>
          <w:lang w:val="en-US"/>
        </w:rPr>
      </w:pPr>
      <w:r>
        <w:rPr>
          <w:color w:val="000000"/>
          <w:szCs w:val="24"/>
          <w:lang w:val="en-US"/>
        </w:rPr>
        <w:t>…”</w:t>
      </w:r>
    </w:p>
    <w:p w:rsidR="00960E4F" w:rsidRDefault="00960E4F" w:rsidP="003A25DD">
      <w:pPr>
        <w:pStyle w:val="ar-quotation"/>
        <w:rPr>
          <w:color w:val="000000"/>
          <w:szCs w:val="24"/>
          <w:lang w:val="en-US"/>
        </w:rPr>
      </w:pPr>
      <w:r>
        <w:rPr>
          <w:rFonts w:hint="eastAsia"/>
          <w:color w:val="000000"/>
          <w:szCs w:val="24"/>
          <w:lang w:val="en-US"/>
        </w:rPr>
        <w:t>(Emphasis supplied)</w:t>
      </w:r>
    </w:p>
    <w:p w:rsidR="00960E4F" w:rsidRPr="00700DB1" w:rsidRDefault="00960E4F" w:rsidP="00E05F38">
      <w:pPr>
        <w:pStyle w:val="ar-heading1"/>
      </w:pPr>
      <w:r w:rsidRPr="00700DB1">
        <w:rPr>
          <w:rFonts w:hint="eastAsia"/>
        </w:rPr>
        <w:t xml:space="preserve">The approach </w:t>
      </w:r>
      <w:r>
        <w:rPr>
          <w:rFonts w:hint="eastAsia"/>
        </w:rPr>
        <w:t>to</w:t>
      </w:r>
      <w:r w:rsidRPr="00700DB1">
        <w:rPr>
          <w:rFonts w:hint="eastAsia"/>
        </w:rPr>
        <w:t xml:space="preserve"> statutory interpretation</w:t>
      </w:r>
    </w:p>
    <w:p w:rsidR="00960E4F" w:rsidRDefault="00960E4F" w:rsidP="00030908">
      <w:pPr>
        <w:pStyle w:val="ar-draft"/>
        <w:rPr>
          <w:color w:val="000000"/>
          <w:szCs w:val="24"/>
          <w:lang w:val="en-US"/>
        </w:rPr>
      </w:pPr>
      <w:r>
        <w:rPr>
          <w:color w:val="000000"/>
          <w:szCs w:val="24"/>
          <w:lang w:val="en-US"/>
        </w:rPr>
        <w:t>The</w:t>
      </w:r>
      <w:r>
        <w:rPr>
          <w:rFonts w:hint="eastAsia"/>
          <w:color w:val="000000"/>
          <w:szCs w:val="24"/>
          <w:lang w:val="en-US"/>
        </w:rPr>
        <w:t xml:space="preserve"> established principles are conveniently set out in </w:t>
      </w:r>
      <w:r w:rsidRPr="007F464A">
        <w:rPr>
          <w:rFonts w:hint="eastAsia"/>
          <w:i/>
          <w:color w:val="000000"/>
          <w:szCs w:val="24"/>
          <w:lang w:val="en-US"/>
        </w:rPr>
        <w:t xml:space="preserve">HKSAR v Cheung </w:t>
      </w:r>
      <w:proofErr w:type="spellStart"/>
      <w:r w:rsidRPr="007F464A">
        <w:rPr>
          <w:rFonts w:hint="eastAsia"/>
          <w:i/>
          <w:color w:val="000000"/>
          <w:szCs w:val="24"/>
          <w:lang w:val="en-US"/>
        </w:rPr>
        <w:t>Kwun</w:t>
      </w:r>
      <w:proofErr w:type="spellEnd"/>
      <w:r w:rsidRPr="007F464A">
        <w:rPr>
          <w:rFonts w:hint="eastAsia"/>
          <w:i/>
          <w:color w:val="000000"/>
          <w:szCs w:val="24"/>
          <w:lang w:val="en-US"/>
        </w:rPr>
        <w:t xml:space="preserve"> Yin</w:t>
      </w:r>
      <w:r>
        <w:rPr>
          <w:rFonts w:hint="eastAsia"/>
          <w:color w:val="000000"/>
          <w:szCs w:val="24"/>
          <w:lang w:val="en-US"/>
        </w:rPr>
        <w:t xml:space="preserve"> (2009) 12 HKCFAR 568 at </w:t>
      </w:r>
      <w:proofErr w:type="spellStart"/>
      <w:r>
        <w:rPr>
          <w:rFonts w:hint="eastAsia"/>
          <w:color w:val="000000"/>
          <w:szCs w:val="24"/>
          <w:lang w:val="en-US"/>
        </w:rPr>
        <w:t>paras</w:t>
      </w:r>
      <w:proofErr w:type="spellEnd"/>
      <w:r>
        <w:rPr>
          <w:rFonts w:hint="eastAsia"/>
          <w:color w:val="000000"/>
          <w:szCs w:val="24"/>
          <w:lang w:val="en-US"/>
        </w:rPr>
        <w:t xml:space="preserve"> 12 to 14</w:t>
      </w:r>
      <w:r w:rsidR="00CB1837">
        <w:t xml:space="preserve">.  </w:t>
      </w:r>
      <w:r>
        <w:rPr>
          <w:rFonts w:hint="eastAsia"/>
          <w:color w:val="000000"/>
          <w:szCs w:val="24"/>
          <w:lang w:val="en-US"/>
        </w:rPr>
        <w:t>In summary, the court adopts a purposive interpretation</w:t>
      </w:r>
      <w:r w:rsidR="00CB1837">
        <w:t xml:space="preserve">.  </w:t>
      </w:r>
      <w:r>
        <w:rPr>
          <w:rFonts w:hint="eastAsia"/>
          <w:color w:val="000000"/>
          <w:szCs w:val="24"/>
          <w:lang w:val="en-US"/>
        </w:rPr>
        <w:t>The statutory language is construed having regard to its context and purpose, and words are given their natural and ordinary meaning unless the context or purpose points to a different meaning</w:t>
      </w:r>
      <w:r w:rsidR="00CB1837">
        <w:t xml:space="preserve">.  </w:t>
      </w:r>
      <w:r>
        <w:rPr>
          <w:rFonts w:hint="eastAsia"/>
          <w:color w:val="000000"/>
          <w:szCs w:val="24"/>
          <w:lang w:val="en-US"/>
        </w:rPr>
        <w:t xml:space="preserve">Context and purpose are considered when interpreting the words used, not only when an ambiguity may be thought to arise. </w:t>
      </w:r>
    </w:p>
    <w:p w:rsidR="00960E4F" w:rsidRDefault="00960E4F" w:rsidP="00030908">
      <w:pPr>
        <w:pStyle w:val="ar-draft"/>
        <w:rPr>
          <w:color w:val="000000"/>
          <w:szCs w:val="24"/>
          <w:lang w:val="en-US"/>
        </w:rPr>
      </w:pPr>
      <w:r>
        <w:rPr>
          <w:color w:val="000000"/>
          <w:szCs w:val="24"/>
          <w:lang w:val="en-US"/>
        </w:rPr>
        <w:t>T</w:t>
      </w:r>
      <w:r>
        <w:rPr>
          <w:rFonts w:hint="eastAsia"/>
          <w:color w:val="000000"/>
          <w:szCs w:val="24"/>
          <w:lang w:val="en-US"/>
        </w:rPr>
        <w:t xml:space="preserve">he context of a statutory provision should be taken in its widest sense and certainly includes the other provisions of the statute and </w:t>
      </w:r>
      <w:r>
        <w:rPr>
          <w:rFonts w:hint="eastAsia"/>
          <w:color w:val="000000"/>
          <w:szCs w:val="24"/>
          <w:lang w:val="en-US"/>
        </w:rPr>
        <w:lastRenderedPageBreak/>
        <w:t>the existing state of the law</w:t>
      </w:r>
      <w:r w:rsidR="00CB1837">
        <w:t xml:space="preserve">.  </w:t>
      </w:r>
      <w:r>
        <w:rPr>
          <w:color w:val="000000"/>
          <w:szCs w:val="24"/>
          <w:lang w:val="en-US"/>
        </w:rPr>
        <w:t>T</w:t>
      </w:r>
      <w:r>
        <w:rPr>
          <w:rFonts w:hint="eastAsia"/>
          <w:color w:val="000000"/>
          <w:szCs w:val="24"/>
          <w:lang w:val="en-US"/>
        </w:rPr>
        <w:t>he purpose of a statutory provision may be evident from the provision itself</w:t>
      </w:r>
      <w:r w:rsidR="00CB1837">
        <w:t xml:space="preserve">.  </w:t>
      </w:r>
      <w:r>
        <w:rPr>
          <w:color w:val="000000"/>
          <w:szCs w:val="24"/>
          <w:lang w:val="en-US"/>
        </w:rPr>
        <w:t>T</w:t>
      </w:r>
      <w:r>
        <w:rPr>
          <w:rFonts w:hint="eastAsia"/>
          <w:color w:val="000000"/>
          <w:szCs w:val="24"/>
          <w:lang w:val="en-US"/>
        </w:rPr>
        <w:t xml:space="preserve">he purpose may also be ascertained from a report where the legislation implements the recommendations of the report, the explanatory memorandum to </w:t>
      </w:r>
      <w:r>
        <w:rPr>
          <w:color w:val="000000"/>
          <w:szCs w:val="24"/>
          <w:lang w:val="en-US"/>
        </w:rPr>
        <w:t>the</w:t>
      </w:r>
      <w:r>
        <w:rPr>
          <w:rFonts w:hint="eastAsia"/>
          <w:color w:val="000000"/>
          <w:szCs w:val="24"/>
          <w:lang w:val="en-US"/>
        </w:rPr>
        <w:t xml:space="preserve"> bill, a statement in the Legislative Council by </w:t>
      </w:r>
      <w:r>
        <w:rPr>
          <w:color w:val="000000"/>
          <w:szCs w:val="24"/>
          <w:lang w:val="en-US"/>
        </w:rPr>
        <w:t>the</w:t>
      </w:r>
      <w:r>
        <w:rPr>
          <w:rFonts w:hint="eastAsia"/>
          <w:color w:val="000000"/>
          <w:szCs w:val="24"/>
          <w:lang w:val="en-US"/>
        </w:rPr>
        <w:t xml:space="preserve"> responsible Government official in relation to </w:t>
      </w:r>
      <w:r>
        <w:rPr>
          <w:color w:val="000000"/>
          <w:szCs w:val="24"/>
          <w:lang w:val="en-US"/>
        </w:rPr>
        <w:t>the</w:t>
      </w:r>
      <w:r>
        <w:rPr>
          <w:rFonts w:hint="eastAsia"/>
          <w:color w:val="000000"/>
          <w:szCs w:val="24"/>
          <w:lang w:val="en-US"/>
        </w:rPr>
        <w:t xml:space="preserve"> bill. </w:t>
      </w:r>
    </w:p>
    <w:p w:rsidR="00960E4F" w:rsidRDefault="00960E4F" w:rsidP="00030908">
      <w:pPr>
        <w:pStyle w:val="ar-draft"/>
        <w:rPr>
          <w:color w:val="000000"/>
          <w:szCs w:val="24"/>
          <w:lang w:val="en-US"/>
        </w:rPr>
      </w:pPr>
      <w:r>
        <w:rPr>
          <w:rFonts w:hint="eastAsia"/>
          <w:color w:val="000000"/>
          <w:szCs w:val="24"/>
          <w:lang w:val="en-US"/>
        </w:rPr>
        <w:t>Our attention was also drawn to the general interpretative principle that the court presumes, unless the contrary intention appears, that the legislator intended to conform to legal policy, which is based on public policy (</w:t>
      </w:r>
      <w:proofErr w:type="spellStart"/>
      <w:r w:rsidRPr="004A35C3">
        <w:rPr>
          <w:rFonts w:hint="eastAsia"/>
          <w:i/>
          <w:color w:val="000000"/>
          <w:szCs w:val="24"/>
          <w:lang w:val="en-US"/>
        </w:rPr>
        <w:t>Bennion</w:t>
      </w:r>
      <w:proofErr w:type="spellEnd"/>
      <w:r w:rsidRPr="004A35C3">
        <w:rPr>
          <w:rFonts w:hint="eastAsia"/>
          <w:i/>
          <w:color w:val="000000"/>
          <w:szCs w:val="24"/>
          <w:lang w:val="en-US"/>
        </w:rPr>
        <w:t xml:space="preserve"> on Statutory Interpretation</w:t>
      </w:r>
      <w:r>
        <w:rPr>
          <w:rFonts w:hint="eastAsia"/>
          <w:color w:val="000000"/>
          <w:szCs w:val="24"/>
          <w:lang w:val="en-US"/>
        </w:rPr>
        <w:t>, 5</w:t>
      </w:r>
      <w:r w:rsidRPr="004A35C3">
        <w:rPr>
          <w:rFonts w:hint="eastAsia"/>
          <w:color w:val="000000"/>
          <w:szCs w:val="24"/>
          <w:vertAlign w:val="superscript"/>
          <w:lang w:val="en-US"/>
        </w:rPr>
        <w:t>th</w:t>
      </w:r>
      <w:r>
        <w:rPr>
          <w:rFonts w:hint="eastAsia"/>
          <w:color w:val="000000"/>
          <w:szCs w:val="24"/>
          <w:lang w:val="en-US"/>
        </w:rPr>
        <w:t xml:space="preserve"> </w:t>
      </w:r>
      <w:proofErr w:type="spellStart"/>
      <w:proofErr w:type="gramStart"/>
      <w:r>
        <w:rPr>
          <w:rFonts w:hint="eastAsia"/>
          <w:color w:val="000000"/>
          <w:szCs w:val="24"/>
          <w:lang w:val="en-US"/>
        </w:rPr>
        <w:t>ed</w:t>
      </w:r>
      <w:proofErr w:type="spellEnd"/>
      <w:proofErr w:type="gramEnd"/>
      <w:r>
        <w:rPr>
          <w:rFonts w:hint="eastAsia"/>
          <w:color w:val="000000"/>
          <w:szCs w:val="24"/>
          <w:lang w:val="en-US"/>
        </w:rPr>
        <w:t>, page 769)</w:t>
      </w:r>
      <w:r w:rsidR="00CB1837">
        <w:t xml:space="preserve">.  </w:t>
      </w:r>
      <w:r>
        <w:rPr>
          <w:rFonts w:hint="eastAsia"/>
          <w:color w:val="000000"/>
          <w:szCs w:val="24"/>
          <w:lang w:val="en-US"/>
        </w:rPr>
        <w:t xml:space="preserve">Relevant aspects of legal policy for present purpose would include </w:t>
      </w:r>
      <w:r>
        <w:rPr>
          <w:color w:val="000000"/>
          <w:szCs w:val="24"/>
          <w:lang w:val="en-US"/>
        </w:rPr>
        <w:t>the</w:t>
      </w:r>
      <w:r>
        <w:rPr>
          <w:rFonts w:hint="eastAsia"/>
          <w:color w:val="000000"/>
          <w:szCs w:val="24"/>
          <w:lang w:val="en-US"/>
        </w:rPr>
        <w:t xml:space="preserve"> basic principles that law should serve the public interest (</w:t>
      </w:r>
      <w:proofErr w:type="spellStart"/>
      <w:r w:rsidRPr="00BE0170">
        <w:rPr>
          <w:rFonts w:hint="eastAsia"/>
          <w:i/>
          <w:color w:val="000000"/>
          <w:szCs w:val="24"/>
          <w:lang w:val="en-US"/>
        </w:rPr>
        <w:t>Bennion</w:t>
      </w:r>
      <w:proofErr w:type="spellEnd"/>
      <w:r w:rsidRPr="00BE0170">
        <w:rPr>
          <w:rFonts w:hint="eastAsia"/>
          <w:i/>
          <w:color w:val="000000"/>
          <w:szCs w:val="24"/>
          <w:lang w:val="en-US"/>
        </w:rPr>
        <w:t xml:space="preserve">, </w:t>
      </w:r>
      <w:r>
        <w:rPr>
          <w:rFonts w:hint="eastAsia"/>
          <w:color w:val="000000"/>
          <w:szCs w:val="24"/>
          <w:lang w:val="en-US"/>
        </w:rPr>
        <w:t>pages 779 and 786) and that it should be certain and predictable (</w:t>
      </w:r>
      <w:proofErr w:type="spellStart"/>
      <w:r w:rsidRPr="00BE0170">
        <w:rPr>
          <w:rFonts w:hint="eastAsia"/>
          <w:i/>
          <w:color w:val="000000"/>
          <w:szCs w:val="24"/>
          <w:lang w:val="en-US"/>
        </w:rPr>
        <w:t>Bennion</w:t>
      </w:r>
      <w:proofErr w:type="spellEnd"/>
      <w:r w:rsidRPr="00BE0170">
        <w:rPr>
          <w:rFonts w:hint="eastAsia"/>
          <w:i/>
          <w:color w:val="000000"/>
          <w:szCs w:val="24"/>
          <w:lang w:val="en-US"/>
        </w:rPr>
        <w:t xml:space="preserve">, </w:t>
      </w:r>
      <w:r>
        <w:rPr>
          <w:rFonts w:hint="eastAsia"/>
          <w:color w:val="000000"/>
          <w:szCs w:val="24"/>
          <w:lang w:val="en-US"/>
        </w:rPr>
        <w:t xml:space="preserve">page 799 and the principle against doubtful </w:t>
      </w:r>
      <w:proofErr w:type="spellStart"/>
      <w:r>
        <w:rPr>
          <w:color w:val="000000"/>
          <w:szCs w:val="24"/>
          <w:lang w:val="en-US"/>
        </w:rPr>
        <w:t>penali</w:t>
      </w:r>
      <w:r>
        <w:rPr>
          <w:rFonts w:hint="eastAsia"/>
          <w:color w:val="000000"/>
          <w:szCs w:val="24"/>
          <w:lang w:val="en-US"/>
        </w:rPr>
        <w:t>s</w:t>
      </w:r>
      <w:r>
        <w:rPr>
          <w:color w:val="000000"/>
          <w:szCs w:val="24"/>
          <w:lang w:val="en-US"/>
        </w:rPr>
        <w:t>ation</w:t>
      </w:r>
      <w:proofErr w:type="spellEnd"/>
      <w:r>
        <w:rPr>
          <w:rFonts w:hint="eastAsia"/>
          <w:color w:val="000000"/>
          <w:szCs w:val="24"/>
          <w:lang w:val="en-US"/>
        </w:rPr>
        <w:t xml:space="preserve">, namely that a person should not be </w:t>
      </w:r>
      <w:proofErr w:type="spellStart"/>
      <w:r>
        <w:rPr>
          <w:rFonts w:hint="eastAsia"/>
          <w:color w:val="000000"/>
          <w:szCs w:val="24"/>
          <w:lang w:val="en-US"/>
        </w:rPr>
        <w:t>penalised</w:t>
      </w:r>
      <w:proofErr w:type="spellEnd"/>
      <w:r>
        <w:rPr>
          <w:rFonts w:hint="eastAsia"/>
          <w:color w:val="000000"/>
          <w:szCs w:val="24"/>
          <w:lang w:val="en-US"/>
        </w:rPr>
        <w:t xml:space="preserve"> except under clear law (</w:t>
      </w:r>
      <w:proofErr w:type="spellStart"/>
      <w:r w:rsidRPr="00BE0170">
        <w:rPr>
          <w:rFonts w:hint="eastAsia"/>
          <w:i/>
          <w:color w:val="000000"/>
          <w:szCs w:val="24"/>
          <w:lang w:val="en-US"/>
        </w:rPr>
        <w:t>Bennion</w:t>
      </w:r>
      <w:proofErr w:type="spellEnd"/>
      <w:r w:rsidRPr="00BE0170">
        <w:rPr>
          <w:rFonts w:hint="eastAsia"/>
          <w:i/>
          <w:color w:val="000000"/>
          <w:szCs w:val="24"/>
          <w:lang w:val="en-US"/>
        </w:rPr>
        <w:t xml:space="preserve">, </w:t>
      </w:r>
      <w:r>
        <w:rPr>
          <w:rFonts w:hint="eastAsia"/>
          <w:color w:val="000000"/>
          <w:szCs w:val="24"/>
          <w:lang w:val="en-US"/>
        </w:rPr>
        <w:t xml:space="preserve">pages 784 </w:t>
      </w:r>
      <w:r>
        <w:rPr>
          <w:color w:val="000000"/>
          <w:szCs w:val="24"/>
          <w:lang w:val="en-US"/>
        </w:rPr>
        <w:t>and</w:t>
      </w:r>
      <w:r>
        <w:rPr>
          <w:rFonts w:hint="eastAsia"/>
          <w:color w:val="000000"/>
          <w:szCs w:val="24"/>
          <w:lang w:val="en-US"/>
        </w:rPr>
        <w:t xml:space="preserve"> 825 to 831)</w:t>
      </w:r>
      <w:r w:rsidR="00CB1837">
        <w:t xml:space="preserve">.  </w:t>
      </w:r>
    </w:p>
    <w:p w:rsidR="00960E4F" w:rsidRPr="003B6991" w:rsidRDefault="00960E4F" w:rsidP="00E05F38">
      <w:pPr>
        <w:pStyle w:val="ar-heading1"/>
      </w:pPr>
      <w:r w:rsidRPr="00F273CA">
        <w:rPr>
          <w:rFonts w:hint="eastAsia"/>
          <w:color w:val="000000"/>
          <w:szCs w:val="24"/>
          <w:lang w:val="en-US"/>
        </w:rPr>
        <w:t>Construing the</w:t>
      </w:r>
      <w:r>
        <w:rPr>
          <w:rFonts w:hint="eastAsia"/>
          <w:color w:val="000000"/>
          <w:szCs w:val="24"/>
          <w:lang w:val="en-US"/>
        </w:rPr>
        <w:t xml:space="preserve"> </w:t>
      </w:r>
      <w:r w:rsidRPr="003B6991">
        <w:rPr>
          <w:rFonts w:hint="eastAsia"/>
        </w:rPr>
        <w:t>statutory provisions</w:t>
      </w:r>
    </w:p>
    <w:p w:rsidR="00960E4F" w:rsidRDefault="00960E4F" w:rsidP="00030908">
      <w:pPr>
        <w:pStyle w:val="ar-draft"/>
        <w:rPr>
          <w:color w:val="000000"/>
          <w:szCs w:val="24"/>
        </w:rPr>
      </w:pPr>
      <w:r>
        <w:rPr>
          <w:rFonts w:hint="eastAsia"/>
          <w:color w:val="000000"/>
          <w:szCs w:val="24"/>
        </w:rPr>
        <w:t xml:space="preserve">Miss Ismail, who appeared for the Commissioner of Police, in a well reasoned submission, took us through the construction exercise with regard to the natural and ordinary meaning of </w:t>
      </w:r>
      <w:proofErr w:type="spellStart"/>
      <w:r>
        <w:rPr>
          <w:rFonts w:hint="eastAsia"/>
          <w:color w:val="000000"/>
          <w:szCs w:val="24"/>
        </w:rPr>
        <w:t>ss</w:t>
      </w:r>
      <w:proofErr w:type="spellEnd"/>
      <w:r>
        <w:rPr>
          <w:rFonts w:hint="eastAsia"/>
          <w:color w:val="000000"/>
          <w:szCs w:val="24"/>
        </w:rPr>
        <w:t xml:space="preserve"> 18 and 19, the context of</w:t>
      </w:r>
      <w:r w:rsidRPr="00932CD5">
        <w:rPr>
          <w:rFonts w:hint="eastAsia"/>
          <w:color w:val="000000"/>
          <w:szCs w:val="24"/>
        </w:rPr>
        <w:t xml:space="preserve"> </w:t>
      </w:r>
      <w:r>
        <w:rPr>
          <w:rFonts w:hint="eastAsia"/>
          <w:color w:val="000000"/>
          <w:szCs w:val="24"/>
        </w:rPr>
        <w:t xml:space="preserve">these provisions, and the purpose and public policy of </w:t>
      </w:r>
      <w:r>
        <w:rPr>
          <w:color w:val="000000"/>
          <w:szCs w:val="24"/>
        </w:rPr>
        <w:t>the</w:t>
      </w:r>
      <w:r>
        <w:rPr>
          <w:rFonts w:hint="eastAsia"/>
          <w:color w:val="000000"/>
          <w:szCs w:val="24"/>
        </w:rPr>
        <w:t>se provisions</w:t>
      </w:r>
      <w:r w:rsidR="00CB1837">
        <w:t xml:space="preserve">.  </w:t>
      </w:r>
      <w:r>
        <w:rPr>
          <w:rFonts w:hint="eastAsia"/>
          <w:color w:val="000000"/>
          <w:szCs w:val="24"/>
        </w:rPr>
        <w:t>I shall follow the same scheme in her submission.</w:t>
      </w:r>
    </w:p>
    <w:p w:rsidR="00960E4F" w:rsidRPr="00932CD5" w:rsidRDefault="00960E4F" w:rsidP="00E05F38">
      <w:pPr>
        <w:pStyle w:val="ar-heading1"/>
      </w:pPr>
      <w:r w:rsidRPr="00932CD5">
        <w:t>T</w:t>
      </w:r>
      <w:r w:rsidRPr="00932CD5">
        <w:rPr>
          <w:rFonts w:hint="eastAsia"/>
        </w:rPr>
        <w:t xml:space="preserve">he </w:t>
      </w:r>
      <w:r w:rsidRPr="00932CD5">
        <w:t>natural</w:t>
      </w:r>
      <w:r w:rsidRPr="00932CD5">
        <w:rPr>
          <w:rFonts w:hint="eastAsia"/>
        </w:rPr>
        <w:t xml:space="preserve"> and ordinary meaning </w:t>
      </w:r>
    </w:p>
    <w:p w:rsidR="00960E4F" w:rsidRDefault="00960E4F" w:rsidP="00030908">
      <w:pPr>
        <w:pStyle w:val="ar-draft"/>
        <w:rPr>
          <w:color w:val="000000"/>
          <w:szCs w:val="24"/>
        </w:rPr>
      </w:pPr>
      <w:r>
        <w:rPr>
          <w:rFonts w:hint="eastAsia"/>
          <w:color w:val="000000"/>
          <w:szCs w:val="24"/>
        </w:rPr>
        <w:t>Miss Ismail submitted where compliance with a data access request under s 18(1</w:t>
      </w:r>
      <w:proofErr w:type="gramStart"/>
      <w:r>
        <w:rPr>
          <w:rFonts w:hint="eastAsia"/>
          <w:color w:val="000000"/>
          <w:szCs w:val="24"/>
        </w:rPr>
        <w:t>)(</w:t>
      </w:r>
      <w:proofErr w:type="gramEnd"/>
      <w:r>
        <w:rPr>
          <w:rFonts w:hint="eastAsia"/>
          <w:color w:val="000000"/>
          <w:szCs w:val="24"/>
        </w:rPr>
        <w:t xml:space="preserve">a) is required by s 19(1), the request would be complied with by the data user once the requestor is </w:t>
      </w:r>
      <w:r>
        <w:rPr>
          <w:color w:val="000000"/>
          <w:szCs w:val="24"/>
        </w:rPr>
        <w:t>“</w:t>
      </w:r>
      <w:r>
        <w:rPr>
          <w:rFonts w:hint="eastAsia"/>
          <w:color w:val="000000"/>
          <w:szCs w:val="24"/>
        </w:rPr>
        <w:t>informed</w:t>
      </w:r>
      <w:r>
        <w:rPr>
          <w:color w:val="000000"/>
          <w:szCs w:val="24"/>
        </w:rPr>
        <w:t>”</w:t>
      </w:r>
      <w:r w:rsidR="00CB1837">
        <w:t xml:space="preserve">.  </w:t>
      </w:r>
      <w:r>
        <w:rPr>
          <w:rFonts w:hint="eastAsia"/>
          <w:color w:val="000000"/>
          <w:szCs w:val="24"/>
        </w:rPr>
        <w:t xml:space="preserve">Neither s </w:t>
      </w:r>
      <w:r>
        <w:rPr>
          <w:rFonts w:hint="eastAsia"/>
          <w:color w:val="000000"/>
          <w:szCs w:val="24"/>
        </w:rPr>
        <w:lastRenderedPageBreak/>
        <w:t>18(1</w:t>
      </w:r>
      <w:proofErr w:type="gramStart"/>
      <w:r>
        <w:rPr>
          <w:rFonts w:hint="eastAsia"/>
          <w:color w:val="000000"/>
          <w:szCs w:val="24"/>
        </w:rPr>
        <w:t>)(</w:t>
      </w:r>
      <w:proofErr w:type="gramEnd"/>
      <w:r>
        <w:rPr>
          <w:rFonts w:hint="eastAsia"/>
          <w:color w:val="000000"/>
          <w:szCs w:val="24"/>
        </w:rPr>
        <w:t xml:space="preserve">a) nor s 19(1) makes provision for the manner of compliance with a data access request beyond what is stated in s 18(1)(a), namely, that </w:t>
      </w:r>
      <w:r>
        <w:rPr>
          <w:color w:val="000000"/>
          <w:szCs w:val="24"/>
        </w:rPr>
        <w:t>the</w:t>
      </w:r>
      <w:r>
        <w:rPr>
          <w:rFonts w:hint="eastAsia"/>
          <w:color w:val="000000"/>
          <w:szCs w:val="24"/>
        </w:rPr>
        <w:t xml:space="preserve"> requestor is </w:t>
      </w:r>
      <w:r>
        <w:rPr>
          <w:color w:val="000000"/>
          <w:szCs w:val="24"/>
        </w:rPr>
        <w:t>“</w:t>
      </w:r>
      <w:r>
        <w:rPr>
          <w:rFonts w:hint="eastAsia"/>
          <w:color w:val="000000"/>
          <w:szCs w:val="24"/>
        </w:rPr>
        <w:t>to be informed</w:t>
      </w:r>
      <w:r>
        <w:rPr>
          <w:color w:val="000000"/>
          <w:szCs w:val="24"/>
        </w:rPr>
        <w:t>”</w:t>
      </w:r>
      <w:r w:rsidR="00CB1837">
        <w:t xml:space="preserve">.  </w:t>
      </w:r>
      <w:r>
        <w:rPr>
          <w:color w:val="000000"/>
          <w:szCs w:val="24"/>
        </w:rPr>
        <w:t>The</w:t>
      </w:r>
      <w:r>
        <w:rPr>
          <w:rFonts w:hint="eastAsia"/>
          <w:color w:val="000000"/>
          <w:szCs w:val="24"/>
        </w:rPr>
        <w:t xml:space="preserve"> natural and ordinary meaning of </w:t>
      </w:r>
      <w:r>
        <w:rPr>
          <w:color w:val="000000"/>
          <w:szCs w:val="24"/>
        </w:rPr>
        <w:t>“</w:t>
      </w:r>
      <w:r>
        <w:rPr>
          <w:rFonts w:hint="eastAsia"/>
          <w:color w:val="000000"/>
          <w:szCs w:val="24"/>
        </w:rPr>
        <w:t>to be informed</w:t>
      </w:r>
      <w:r>
        <w:rPr>
          <w:color w:val="000000"/>
          <w:szCs w:val="24"/>
        </w:rPr>
        <w:t>”</w:t>
      </w:r>
      <w:r>
        <w:rPr>
          <w:rFonts w:hint="eastAsia"/>
          <w:color w:val="000000"/>
          <w:szCs w:val="24"/>
        </w:rPr>
        <w:t xml:space="preserve"> is to be told or given information, whether in writing or verbally or otherwise (</w:t>
      </w:r>
      <w:r w:rsidRPr="00F429A2">
        <w:rPr>
          <w:rFonts w:hint="eastAsia"/>
          <w:i/>
          <w:color w:val="000000"/>
          <w:szCs w:val="24"/>
        </w:rPr>
        <w:t>The Oxford English Dictionary</w:t>
      </w:r>
      <w:r>
        <w:rPr>
          <w:rFonts w:hint="eastAsia"/>
          <w:color w:val="000000"/>
          <w:szCs w:val="24"/>
        </w:rPr>
        <w:t>, 2</w:t>
      </w:r>
      <w:r w:rsidRPr="00F429A2">
        <w:rPr>
          <w:rFonts w:hint="eastAsia"/>
          <w:color w:val="000000"/>
          <w:szCs w:val="24"/>
          <w:vertAlign w:val="superscript"/>
        </w:rPr>
        <w:t>nd</w:t>
      </w:r>
      <w:r>
        <w:rPr>
          <w:rFonts w:hint="eastAsia"/>
          <w:color w:val="000000"/>
          <w:szCs w:val="24"/>
        </w:rPr>
        <w:t xml:space="preserve"> </w:t>
      </w:r>
      <w:proofErr w:type="spellStart"/>
      <w:r>
        <w:rPr>
          <w:rFonts w:hint="eastAsia"/>
          <w:color w:val="000000"/>
          <w:szCs w:val="24"/>
        </w:rPr>
        <w:t>ed</w:t>
      </w:r>
      <w:proofErr w:type="spellEnd"/>
      <w:r>
        <w:rPr>
          <w:rFonts w:hint="eastAsia"/>
          <w:color w:val="000000"/>
          <w:szCs w:val="24"/>
        </w:rPr>
        <w:t xml:space="preserve">, </w:t>
      </w:r>
      <w:proofErr w:type="spellStart"/>
      <w:r>
        <w:rPr>
          <w:rFonts w:hint="eastAsia"/>
          <w:color w:val="000000"/>
          <w:szCs w:val="24"/>
        </w:rPr>
        <w:t>Vol</w:t>
      </w:r>
      <w:proofErr w:type="spellEnd"/>
      <w:r>
        <w:rPr>
          <w:rFonts w:hint="eastAsia"/>
          <w:color w:val="000000"/>
          <w:szCs w:val="24"/>
        </w:rPr>
        <w:t xml:space="preserve"> VII, definitions of </w:t>
      </w:r>
      <w:r>
        <w:rPr>
          <w:color w:val="000000"/>
          <w:szCs w:val="24"/>
        </w:rPr>
        <w:t>“</w:t>
      </w:r>
      <w:r>
        <w:rPr>
          <w:rFonts w:hint="eastAsia"/>
          <w:color w:val="000000"/>
          <w:szCs w:val="24"/>
        </w:rPr>
        <w:t>inform</w:t>
      </w:r>
      <w:r>
        <w:rPr>
          <w:color w:val="000000"/>
          <w:szCs w:val="24"/>
        </w:rPr>
        <w:t>”</w:t>
      </w:r>
      <w:r>
        <w:rPr>
          <w:rFonts w:hint="eastAsia"/>
          <w:color w:val="000000"/>
          <w:szCs w:val="24"/>
        </w:rPr>
        <w:t xml:space="preserve"> at pages 942 to 943 and </w:t>
      </w:r>
      <w:r>
        <w:rPr>
          <w:color w:val="000000"/>
          <w:szCs w:val="24"/>
        </w:rPr>
        <w:t>“</w:t>
      </w:r>
      <w:r>
        <w:rPr>
          <w:rFonts w:hint="eastAsia"/>
          <w:color w:val="000000"/>
          <w:szCs w:val="24"/>
        </w:rPr>
        <w:t>informed</w:t>
      </w:r>
      <w:r>
        <w:rPr>
          <w:color w:val="000000"/>
          <w:szCs w:val="24"/>
        </w:rPr>
        <w:t>”</w:t>
      </w:r>
      <w:r>
        <w:rPr>
          <w:rFonts w:hint="eastAsia"/>
          <w:color w:val="000000"/>
          <w:szCs w:val="24"/>
        </w:rPr>
        <w:t xml:space="preserve"> at page 947). </w:t>
      </w:r>
    </w:p>
    <w:p w:rsidR="00960E4F" w:rsidRDefault="00960E4F" w:rsidP="00030908">
      <w:pPr>
        <w:pStyle w:val="ar-draft"/>
        <w:rPr>
          <w:color w:val="000000"/>
          <w:szCs w:val="24"/>
        </w:rPr>
      </w:pPr>
      <w:r>
        <w:rPr>
          <w:rFonts w:hint="eastAsia"/>
          <w:color w:val="000000"/>
          <w:szCs w:val="24"/>
        </w:rPr>
        <w:t>I do not understand Mr Kwok Sui Hay, who appeared for the Privacy Commissioner, to have contended otherwise.</w:t>
      </w:r>
    </w:p>
    <w:p w:rsidR="00960E4F" w:rsidRPr="001D6084" w:rsidRDefault="00960E4F" w:rsidP="00E05F38">
      <w:pPr>
        <w:pStyle w:val="ar-heading1"/>
      </w:pPr>
      <w:r w:rsidRPr="00A7280C">
        <w:rPr>
          <w:rFonts w:hint="eastAsia"/>
        </w:rPr>
        <w:t>The context</w:t>
      </w:r>
    </w:p>
    <w:p w:rsidR="00960E4F" w:rsidRDefault="00960E4F" w:rsidP="00030908">
      <w:pPr>
        <w:pStyle w:val="ar-draft"/>
        <w:rPr>
          <w:color w:val="000000"/>
          <w:szCs w:val="24"/>
        </w:rPr>
      </w:pPr>
      <w:r>
        <w:rPr>
          <w:color w:val="000000"/>
          <w:szCs w:val="24"/>
        </w:rPr>
        <w:t>S</w:t>
      </w:r>
      <w:r>
        <w:rPr>
          <w:rFonts w:hint="eastAsia"/>
          <w:color w:val="000000"/>
          <w:szCs w:val="24"/>
        </w:rPr>
        <w:t xml:space="preserve"> 19(1) requires a data user to comply with a data access request within 40 days unless</w:t>
      </w:r>
      <w:r>
        <w:rPr>
          <w:color w:val="000000"/>
          <w:szCs w:val="24"/>
        </w:rPr>
        <w:t>:</w:t>
      </w:r>
      <w:r>
        <w:rPr>
          <w:rFonts w:hint="eastAsia"/>
          <w:color w:val="000000"/>
          <w:szCs w:val="24"/>
        </w:rPr>
        <w:t xml:space="preserve"> (a) the data user is unable to comply </w:t>
      </w:r>
      <w:r>
        <w:rPr>
          <w:color w:val="000000"/>
          <w:szCs w:val="24"/>
        </w:rPr>
        <w:t xml:space="preserve">with this </w:t>
      </w:r>
      <w:r>
        <w:rPr>
          <w:rFonts w:hint="eastAsia"/>
          <w:color w:val="000000"/>
          <w:szCs w:val="24"/>
        </w:rPr>
        <w:t>temporarily (</w:t>
      </w:r>
      <w:r>
        <w:rPr>
          <w:color w:val="000000"/>
          <w:szCs w:val="24"/>
        </w:rPr>
        <w:t>a</w:t>
      </w:r>
      <w:r>
        <w:rPr>
          <w:rFonts w:hint="eastAsia"/>
          <w:color w:val="000000"/>
          <w:szCs w:val="24"/>
        </w:rPr>
        <w:t xml:space="preserve">s addressed in s 19(2)); or (b) where s 20 applies, namely, </w:t>
      </w:r>
      <w:r>
        <w:rPr>
          <w:color w:val="000000"/>
          <w:szCs w:val="24"/>
        </w:rPr>
        <w:t xml:space="preserve">if </w:t>
      </w:r>
      <w:r>
        <w:rPr>
          <w:rFonts w:hint="eastAsia"/>
          <w:color w:val="000000"/>
          <w:szCs w:val="24"/>
        </w:rPr>
        <w:t xml:space="preserve">one or more of the circumstances exist in which a data user shall or may refuse to comply with a data access request; or (c) where s 28(5) applies, in which a data user may refuse to comply with a data access request unless and until any fee imposed by the data user for complying with </w:t>
      </w:r>
      <w:r>
        <w:rPr>
          <w:color w:val="000000"/>
          <w:szCs w:val="24"/>
        </w:rPr>
        <w:t>the</w:t>
      </w:r>
      <w:r>
        <w:rPr>
          <w:rFonts w:hint="eastAsia"/>
          <w:color w:val="000000"/>
          <w:szCs w:val="24"/>
        </w:rPr>
        <w:t xml:space="preserve"> request has been paid. </w:t>
      </w:r>
    </w:p>
    <w:p w:rsidR="00960E4F" w:rsidRDefault="00960E4F" w:rsidP="00030908">
      <w:pPr>
        <w:pStyle w:val="ar-draft"/>
        <w:rPr>
          <w:color w:val="000000"/>
          <w:szCs w:val="24"/>
        </w:rPr>
      </w:pPr>
      <w:r>
        <w:rPr>
          <w:rFonts w:hint="eastAsia"/>
          <w:color w:val="000000"/>
          <w:szCs w:val="24"/>
        </w:rPr>
        <w:t>Miss Ismail submitted i</w:t>
      </w:r>
      <w:r>
        <w:rPr>
          <w:color w:val="000000"/>
          <w:szCs w:val="24"/>
        </w:rPr>
        <w:t>t is clear that none of the above exceptions apply</w:t>
      </w:r>
      <w:r w:rsidRPr="00DE4959">
        <w:rPr>
          <w:color w:val="000000"/>
          <w:szCs w:val="24"/>
        </w:rPr>
        <w:t xml:space="preserve"> </w:t>
      </w:r>
      <w:r>
        <w:rPr>
          <w:color w:val="000000"/>
          <w:szCs w:val="24"/>
        </w:rPr>
        <w:t>in the present case</w:t>
      </w:r>
      <w:r w:rsidR="00CB1837">
        <w:t xml:space="preserve">.  </w:t>
      </w:r>
      <w:r>
        <w:rPr>
          <w:rFonts w:hint="eastAsia"/>
          <w:color w:val="000000"/>
          <w:szCs w:val="24"/>
        </w:rPr>
        <w:t xml:space="preserve">There is no controversy about </w:t>
      </w:r>
      <w:r>
        <w:rPr>
          <w:color w:val="000000"/>
          <w:szCs w:val="24"/>
        </w:rPr>
        <w:t>the</w:t>
      </w:r>
      <w:r>
        <w:rPr>
          <w:rFonts w:hint="eastAsia"/>
          <w:color w:val="000000"/>
          <w:szCs w:val="24"/>
        </w:rPr>
        <w:t xml:space="preserve"> situations in (b) and (c)</w:t>
      </w:r>
      <w:r w:rsidR="00CB1837">
        <w:t xml:space="preserve">.  </w:t>
      </w:r>
      <w:r>
        <w:rPr>
          <w:rFonts w:hint="eastAsia"/>
          <w:color w:val="000000"/>
          <w:szCs w:val="24"/>
        </w:rPr>
        <w:t>But Mr Kwok argued that the present case does fall within (a)</w:t>
      </w:r>
      <w:r w:rsidR="00CB1837">
        <w:t xml:space="preserve">.  </w:t>
      </w:r>
      <w:r>
        <w:rPr>
          <w:rFonts w:hint="eastAsia"/>
          <w:color w:val="000000"/>
          <w:szCs w:val="24"/>
        </w:rPr>
        <w:t xml:space="preserve">I will come back to his argument. </w:t>
      </w:r>
    </w:p>
    <w:p w:rsidR="00960E4F" w:rsidRDefault="00960E4F" w:rsidP="00030908">
      <w:pPr>
        <w:pStyle w:val="ar-draft"/>
        <w:rPr>
          <w:color w:val="000000"/>
          <w:szCs w:val="24"/>
        </w:rPr>
      </w:pPr>
      <w:r>
        <w:rPr>
          <w:color w:val="000000"/>
          <w:szCs w:val="24"/>
        </w:rPr>
        <w:t xml:space="preserve">Miss Ismail </w:t>
      </w:r>
      <w:r>
        <w:rPr>
          <w:rFonts w:hint="eastAsia"/>
          <w:color w:val="000000"/>
          <w:szCs w:val="24"/>
        </w:rPr>
        <w:t xml:space="preserve">went on to </w:t>
      </w:r>
      <w:r>
        <w:rPr>
          <w:color w:val="000000"/>
          <w:szCs w:val="24"/>
        </w:rPr>
        <w:t xml:space="preserve">submit that whilst various provisions in s 19 contain express requirements for certain matters to be notified in writing to the requestor in particular instances, no such requirement is expressed in respect of providing information as to </w:t>
      </w:r>
      <w:r w:rsidRPr="00DE4959">
        <w:rPr>
          <w:i/>
          <w:color w:val="000000"/>
          <w:szCs w:val="24"/>
        </w:rPr>
        <w:t>a lack of</w:t>
      </w:r>
      <w:r>
        <w:rPr>
          <w:color w:val="000000"/>
          <w:szCs w:val="24"/>
        </w:rPr>
        <w:t xml:space="preserve"> personal data </w:t>
      </w:r>
      <w:r>
        <w:rPr>
          <w:color w:val="000000"/>
          <w:szCs w:val="24"/>
        </w:rPr>
        <w:lastRenderedPageBreak/>
        <w:t xml:space="preserve">pursuant to a </w:t>
      </w:r>
      <w:r>
        <w:rPr>
          <w:rFonts w:hint="eastAsia"/>
          <w:color w:val="000000"/>
          <w:szCs w:val="24"/>
        </w:rPr>
        <w:t>data access request under s 18(1)(a)</w:t>
      </w:r>
      <w:r w:rsidR="00CB1837">
        <w:t xml:space="preserve">.  </w:t>
      </w:r>
      <w:r>
        <w:rPr>
          <w:rFonts w:hint="eastAsia"/>
          <w:color w:val="000000"/>
          <w:szCs w:val="24"/>
        </w:rPr>
        <w:t xml:space="preserve">We were taken through </w:t>
      </w:r>
      <w:r>
        <w:rPr>
          <w:color w:val="000000"/>
          <w:szCs w:val="24"/>
        </w:rPr>
        <w:t>the</w:t>
      </w:r>
      <w:r>
        <w:rPr>
          <w:rFonts w:hint="eastAsia"/>
          <w:color w:val="000000"/>
          <w:szCs w:val="24"/>
        </w:rPr>
        <w:t xml:space="preserve"> relevant provisions in s 19(2) to (4). </w:t>
      </w:r>
    </w:p>
    <w:p w:rsidR="00960E4F" w:rsidRDefault="00960E4F" w:rsidP="00030908">
      <w:pPr>
        <w:pStyle w:val="ar-draft"/>
        <w:rPr>
          <w:color w:val="000000"/>
          <w:szCs w:val="24"/>
        </w:rPr>
      </w:pPr>
      <w:r>
        <w:rPr>
          <w:color w:val="000000"/>
          <w:szCs w:val="24"/>
        </w:rPr>
        <w:t>S 19(2</w:t>
      </w:r>
      <w:proofErr w:type="gramStart"/>
      <w:r>
        <w:rPr>
          <w:color w:val="000000"/>
          <w:szCs w:val="24"/>
        </w:rPr>
        <w:t>)(</w:t>
      </w:r>
      <w:proofErr w:type="gramEnd"/>
      <w:r>
        <w:rPr>
          <w:color w:val="000000"/>
          <w:szCs w:val="24"/>
        </w:rPr>
        <w:t>a)(</w:t>
      </w:r>
      <w:proofErr w:type="spellStart"/>
      <w:r>
        <w:rPr>
          <w:color w:val="000000"/>
          <w:szCs w:val="24"/>
        </w:rPr>
        <w:t>i</w:t>
      </w:r>
      <w:proofErr w:type="spellEnd"/>
      <w:r>
        <w:rPr>
          <w:color w:val="000000"/>
          <w:szCs w:val="24"/>
        </w:rPr>
        <w:t xml:space="preserve">) provides for the situation where the data user is temporarily unable to comply with the </w:t>
      </w:r>
      <w:r>
        <w:rPr>
          <w:rFonts w:hint="eastAsia"/>
          <w:color w:val="000000"/>
          <w:szCs w:val="24"/>
        </w:rPr>
        <w:t>data access request</w:t>
      </w:r>
      <w:r>
        <w:rPr>
          <w:color w:val="000000"/>
          <w:szCs w:val="24"/>
        </w:rPr>
        <w:t xml:space="preserve"> within 40 days after receiving the request</w:t>
      </w:r>
      <w:r w:rsidR="00CB1837">
        <w:t xml:space="preserve">.  </w:t>
      </w:r>
      <w:r>
        <w:rPr>
          <w:color w:val="000000"/>
          <w:szCs w:val="24"/>
        </w:rPr>
        <w:t>In that case, the data user shall before the expiration of the 40-day period, by notice in writing inform the requestor he is so unable and the reasons why he is so unable</w:t>
      </w:r>
      <w:r w:rsidR="00CB1837">
        <w:t xml:space="preserve">.  </w:t>
      </w:r>
      <w:r>
        <w:rPr>
          <w:color w:val="000000"/>
          <w:szCs w:val="24"/>
        </w:rPr>
        <w:t>S 19(3</w:t>
      </w:r>
      <w:proofErr w:type="gramStart"/>
      <w:r>
        <w:rPr>
          <w:color w:val="000000"/>
          <w:szCs w:val="24"/>
        </w:rPr>
        <w:t>)(</w:t>
      </w:r>
      <w:proofErr w:type="gramEnd"/>
      <w:r>
        <w:rPr>
          <w:color w:val="000000"/>
          <w:szCs w:val="24"/>
        </w:rPr>
        <w:t>b) covers the situation in which personal data are to be supplied and where correction has been made to the data</w:t>
      </w:r>
      <w:r w:rsidR="00CB1837">
        <w:t xml:space="preserve">.  </w:t>
      </w:r>
      <w:r>
        <w:rPr>
          <w:color w:val="000000"/>
          <w:szCs w:val="24"/>
        </w:rPr>
        <w:t>In that case, the data supplied to the requestor are to be accompanied by a notice stating that the data have been corrected</w:t>
      </w:r>
      <w:r w:rsidR="00CB1837">
        <w:t xml:space="preserve">.  </w:t>
      </w:r>
      <w:r>
        <w:rPr>
          <w:color w:val="000000"/>
          <w:szCs w:val="24"/>
        </w:rPr>
        <w:t>S</w:t>
      </w:r>
      <w:r w:rsidR="00CB1837">
        <w:rPr>
          <w:color w:val="000000"/>
          <w:szCs w:val="24"/>
        </w:rPr>
        <w:t> </w:t>
      </w:r>
      <w:r>
        <w:rPr>
          <w:color w:val="000000"/>
          <w:szCs w:val="24"/>
        </w:rPr>
        <w:t>19(4</w:t>
      </w:r>
      <w:proofErr w:type="gramStart"/>
      <w:r>
        <w:rPr>
          <w:color w:val="000000"/>
          <w:szCs w:val="24"/>
        </w:rPr>
        <w:t>)(</w:t>
      </w:r>
      <w:proofErr w:type="gramEnd"/>
      <w:r>
        <w:rPr>
          <w:color w:val="000000"/>
          <w:szCs w:val="24"/>
        </w:rPr>
        <w:t xml:space="preserve">b) governs the situation where the </w:t>
      </w:r>
      <w:r>
        <w:rPr>
          <w:rFonts w:hint="eastAsia"/>
          <w:color w:val="000000"/>
          <w:szCs w:val="24"/>
        </w:rPr>
        <w:t>data access request</w:t>
      </w:r>
      <w:r>
        <w:rPr>
          <w:color w:val="000000"/>
          <w:szCs w:val="24"/>
        </w:rPr>
        <w:t xml:space="preserve"> specifies the form or forms in which a copy of the personal data to be supplied is sought and the data user is unable to supply the copy in that form or any of those forms</w:t>
      </w:r>
      <w:r w:rsidR="00CB1837">
        <w:t xml:space="preserve">.  </w:t>
      </w:r>
      <w:r>
        <w:rPr>
          <w:color w:val="000000"/>
          <w:szCs w:val="24"/>
        </w:rPr>
        <w:t>Where there is only one form in which it is practicable for the data user to supply the copy, the data user shall supply the copy in that form accompanied by a notice in writing informing the requestor of this</w:t>
      </w:r>
      <w:r w:rsidR="00CB1837">
        <w:t xml:space="preserve">.  </w:t>
      </w:r>
      <w:r>
        <w:rPr>
          <w:color w:val="000000"/>
          <w:szCs w:val="24"/>
        </w:rPr>
        <w:t xml:space="preserve">In any other case, the data user shall by notice in writing inform the requestor it is not practicable to supply the copy of the personal data in the form or any of the forms specified in the request, and of the forms in which it is practicable to supply the copy. </w:t>
      </w:r>
    </w:p>
    <w:p w:rsidR="00960E4F" w:rsidRDefault="00960E4F" w:rsidP="00030908">
      <w:pPr>
        <w:pStyle w:val="ar-draft"/>
        <w:rPr>
          <w:color w:val="000000"/>
          <w:szCs w:val="24"/>
        </w:rPr>
      </w:pPr>
      <w:r>
        <w:rPr>
          <w:rFonts w:hint="eastAsia"/>
          <w:color w:val="000000"/>
          <w:szCs w:val="24"/>
        </w:rPr>
        <w:t>Hence, n</w:t>
      </w:r>
      <w:r>
        <w:rPr>
          <w:color w:val="000000"/>
          <w:szCs w:val="24"/>
        </w:rPr>
        <w:t xml:space="preserve">one of the </w:t>
      </w:r>
      <w:r>
        <w:rPr>
          <w:rFonts w:hint="eastAsia"/>
          <w:color w:val="000000"/>
          <w:szCs w:val="24"/>
        </w:rPr>
        <w:t xml:space="preserve">above </w:t>
      </w:r>
      <w:r>
        <w:rPr>
          <w:color w:val="000000"/>
          <w:szCs w:val="24"/>
        </w:rPr>
        <w:t xml:space="preserve">situations in which notice in writing is required </w:t>
      </w:r>
      <w:r>
        <w:rPr>
          <w:rFonts w:hint="eastAsia"/>
          <w:color w:val="000000"/>
          <w:szCs w:val="24"/>
        </w:rPr>
        <w:t xml:space="preserve">would appear to </w:t>
      </w:r>
      <w:r>
        <w:rPr>
          <w:color w:val="000000"/>
          <w:szCs w:val="24"/>
        </w:rPr>
        <w:t>apply to the present case, where the Police do not hold the relevant personal data requested under s 18(1</w:t>
      </w:r>
      <w:proofErr w:type="gramStart"/>
      <w:r>
        <w:rPr>
          <w:color w:val="000000"/>
          <w:szCs w:val="24"/>
        </w:rPr>
        <w:t>)(</w:t>
      </w:r>
      <w:proofErr w:type="gramEnd"/>
      <w:r>
        <w:rPr>
          <w:color w:val="000000"/>
          <w:szCs w:val="24"/>
        </w:rPr>
        <w:t>a)</w:t>
      </w:r>
      <w:r w:rsidR="00CB1837">
        <w:t xml:space="preserve">.  </w:t>
      </w:r>
      <w:r>
        <w:rPr>
          <w:color w:val="000000"/>
          <w:szCs w:val="24"/>
        </w:rPr>
        <w:t xml:space="preserve">In </w:t>
      </w:r>
      <w:proofErr w:type="spellStart"/>
      <w:r>
        <w:rPr>
          <w:color w:val="000000"/>
          <w:szCs w:val="24"/>
        </w:rPr>
        <w:t>paras</w:t>
      </w:r>
      <w:proofErr w:type="spellEnd"/>
      <w:r>
        <w:rPr>
          <w:color w:val="000000"/>
          <w:szCs w:val="24"/>
        </w:rPr>
        <w:t xml:space="preserve"> 17 and 18 of the decision in the 1</w:t>
      </w:r>
      <w:r w:rsidRPr="006864FD">
        <w:rPr>
          <w:color w:val="000000"/>
          <w:szCs w:val="24"/>
          <w:vertAlign w:val="superscript"/>
        </w:rPr>
        <w:t>st</w:t>
      </w:r>
      <w:r>
        <w:rPr>
          <w:color w:val="000000"/>
          <w:szCs w:val="24"/>
        </w:rPr>
        <w:t xml:space="preserve"> Appeal, the Board reasoned that as notice to the requestor is required to be given in writing in various situations in s 19(2), (3) and (4), and as the data access request is required to be in writing, it would be unreasonable if not absurd to suggest that the requestor would </w:t>
      </w:r>
      <w:r>
        <w:rPr>
          <w:color w:val="000000"/>
          <w:szCs w:val="24"/>
        </w:rPr>
        <w:lastRenderedPageBreak/>
        <w:t>only need to be verbally informed in the present case where no relevant personal date are held without being inconsistent with the requirements of section 19</w:t>
      </w:r>
      <w:r w:rsidR="00CB1837">
        <w:t xml:space="preserve">.  </w:t>
      </w:r>
      <w:r>
        <w:rPr>
          <w:color w:val="000000"/>
          <w:szCs w:val="24"/>
        </w:rPr>
        <w:t>I do not agree with this reasoning</w:t>
      </w:r>
      <w:r w:rsidR="009E00F7">
        <w:t xml:space="preserve">.  </w:t>
      </w:r>
      <w:r>
        <w:rPr>
          <w:color w:val="000000"/>
          <w:szCs w:val="24"/>
        </w:rPr>
        <w:t>There is no unreasonableness, absurdity or inconsistency involved</w:t>
      </w:r>
      <w:r w:rsidR="009E00F7">
        <w:t xml:space="preserve">.  </w:t>
      </w:r>
      <w:r>
        <w:rPr>
          <w:color w:val="000000"/>
          <w:szCs w:val="24"/>
        </w:rPr>
        <w:t>The situations in which written notice is required do not apply to the present case</w:t>
      </w:r>
      <w:r w:rsidR="009E00F7">
        <w:t xml:space="preserve">.  </w:t>
      </w:r>
      <w:r>
        <w:rPr>
          <w:rFonts w:hint="eastAsia"/>
          <w:color w:val="000000"/>
          <w:szCs w:val="24"/>
        </w:rPr>
        <w:t>I should add that the Board in the 1</w:t>
      </w:r>
      <w:r w:rsidRPr="00167A94">
        <w:rPr>
          <w:rFonts w:hint="eastAsia"/>
          <w:color w:val="000000"/>
          <w:szCs w:val="24"/>
          <w:vertAlign w:val="superscript"/>
        </w:rPr>
        <w:t>st</w:t>
      </w:r>
      <w:r>
        <w:rPr>
          <w:rFonts w:hint="eastAsia"/>
          <w:color w:val="000000"/>
          <w:szCs w:val="24"/>
        </w:rPr>
        <w:t xml:space="preserve"> Appeal did not have the benefit of full legal submissions as the Police were not legally represented. </w:t>
      </w:r>
    </w:p>
    <w:p w:rsidR="00960E4F" w:rsidRDefault="00960E4F" w:rsidP="00030908">
      <w:pPr>
        <w:pStyle w:val="ar-draft"/>
        <w:rPr>
          <w:color w:val="000000"/>
          <w:szCs w:val="24"/>
        </w:rPr>
      </w:pPr>
      <w:r>
        <w:rPr>
          <w:color w:val="000000"/>
          <w:szCs w:val="24"/>
        </w:rPr>
        <w:t xml:space="preserve">Next, Miss Ismail pointed out that in the Ordinance, the draftsman has adopted at least four different formulae: (a) “be informed”, “to inform” (as in </w:t>
      </w:r>
      <w:proofErr w:type="spellStart"/>
      <w:r>
        <w:rPr>
          <w:color w:val="000000"/>
          <w:szCs w:val="24"/>
        </w:rPr>
        <w:t>ss</w:t>
      </w:r>
      <w:proofErr w:type="spellEnd"/>
      <w:r>
        <w:rPr>
          <w:color w:val="000000"/>
          <w:szCs w:val="24"/>
        </w:rPr>
        <w:t xml:space="preserve"> 18(1)(a), 34(1)(</w:t>
      </w:r>
      <w:proofErr w:type="spellStart"/>
      <w:r>
        <w:rPr>
          <w:color w:val="000000"/>
          <w:szCs w:val="24"/>
        </w:rPr>
        <w:t>i</w:t>
      </w:r>
      <w:proofErr w:type="spellEnd"/>
      <w:r>
        <w:rPr>
          <w:color w:val="000000"/>
          <w:szCs w:val="24"/>
        </w:rPr>
        <w:t xml:space="preserve">), Schedule 1 </w:t>
      </w:r>
      <w:proofErr w:type="spellStart"/>
      <w:r>
        <w:rPr>
          <w:color w:val="000000"/>
          <w:szCs w:val="24"/>
        </w:rPr>
        <w:t>paras</w:t>
      </w:r>
      <w:proofErr w:type="spellEnd"/>
      <w:r>
        <w:rPr>
          <w:color w:val="000000"/>
          <w:szCs w:val="24"/>
        </w:rPr>
        <w:t xml:space="preserve"> 1(3), 2(1)(c), 5(b) and (c), Schedule 5 para 6); (b) “informed in writing” (as in </w:t>
      </w:r>
      <w:proofErr w:type="spellStart"/>
      <w:r>
        <w:rPr>
          <w:color w:val="000000"/>
          <w:szCs w:val="24"/>
        </w:rPr>
        <w:t>ss</w:t>
      </w:r>
      <w:proofErr w:type="spellEnd"/>
      <w:r>
        <w:rPr>
          <w:color w:val="000000"/>
          <w:szCs w:val="24"/>
        </w:rPr>
        <w:t xml:space="preserve"> 56(</w:t>
      </w:r>
      <w:proofErr w:type="spellStart"/>
      <w:r>
        <w:rPr>
          <w:color w:val="000000"/>
          <w:szCs w:val="24"/>
        </w:rPr>
        <w:t>i</w:t>
      </w:r>
      <w:proofErr w:type="spellEnd"/>
      <w:r>
        <w:rPr>
          <w:color w:val="000000"/>
          <w:szCs w:val="24"/>
        </w:rPr>
        <w:t xml:space="preserve">) and (ii)); (c) “by notice in writing inform” (as in </w:t>
      </w:r>
      <w:proofErr w:type="spellStart"/>
      <w:r>
        <w:rPr>
          <w:color w:val="000000"/>
          <w:szCs w:val="24"/>
        </w:rPr>
        <w:t>ss</w:t>
      </w:r>
      <w:proofErr w:type="spellEnd"/>
      <w:r>
        <w:rPr>
          <w:color w:val="000000"/>
          <w:szCs w:val="24"/>
        </w:rPr>
        <w:t xml:space="preserve"> 19(2)(a)(</w:t>
      </w:r>
      <w:proofErr w:type="spellStart"/>
      <w:r>
        <w:rPr>
          <w:color w:val="000000"/>
          <w:szCs w:val="24"/>
        </w:rPr>
        <w:t>i</w:t>
      </w:r>
      <w:proofErr w:type="spellEnd"/>
      <w:r>
        <w:rPr>
          <w:color w:val="000000"/>
          <w:szCs w:val="24"/>
        </w:rPr>
        <w:t>), 19(4)(</w:t>
      </w:r>
      <w:proofErr w:type="spellStart"/>
      <w:r>
        <w:rPr>
          <w:color w:val="000000"/>
          <w:szCs w:val="24"/>
        </w:rPr>
        <w:t>i</w:t>
      </w:r>
      <w:proofErr w:type="spellEnd"/>
      <w:r>
        <w:rPr>
          <w:color w:val="000000"/>
          <w:szCs w:val="24"/>
        </w:rPr>
        <w:t xml:space="preserve">) and (ii), 21(1), 23(2)(a), 25(1), 39(3), 41(1), 42(3), 46(5) – which formula is the subject of further provisions at </w:t>
      </w:r>
      <w:proofErr w:type="spellStart"/>
      <w:r>
        <w:rPr>
          <w:color w:val="000000"/>
          <w:szCs w:val="24"/>
        </w:rPr>
        <w:t>ss</w:t>
      </w:r>
      <w:proofErr w:type="spellEnd"/>
      <w:r>
        <w:rPr>
          <w:color w:val="000000"/>
          <w:szCs w:val="24"/>
        </w:rPr>
        <w:t xml:space="preserve"> 29 and 68 in respect of the language and manner of service of such notices; and (d) “in such manner and at such time as he thinks fit, inform” (as in </w:t>
      </w:r>
      <w:proofErr w:type="spellStart"/>
      <w:r>
        <w:rPr>
          <w:color w:val="000000"/>
          <w:szCs w:val="24"/>
        </w:rPr>
        <w:t>ss</w:t>
      </w:r>
      <w:proofErr w:type="spellEnd"/>
      <w:r>
        <w:rPr>
          <w:color w:val="000000"/>
          <w:szCs w:val="24"/>
        </w:rPr>
        <w:t xml:space="preserve"> 47(1), (2) and (3), 49(ii)(A))</w:t>
      </w:r>
      <w:r w:rsidR="009E00F7">
        <w:t xml:space="preserve">.  </w:t>
      </w:r>
      <w:r>
        <w:rPr>
          <w:color w:val="000000"/>
          <w:szCs w:val="24"/>
        </w:rPr>
        <w:t>She submitted that if written notification had been required for compliance with a s 18(1</w:t>
      </w:r>
      <w:proofErr w:type="gramStart"/>
      <w:r>
        <w:rPr>
          <w:color w:val="000000"/>
          <w:szCs w:val="24"/>
        </w:rPr>
        <w:t>)(</w:t>
      </w:r>
      <w:proofErr w:type="gramEnd"/>
      <w:r>
        <w:rPr>
          <w:color w:val="000000"/>
          <w:szCs w:val="24"/>
        </w:rPr>
        <w:t>a) request, this could easily have been expressly stated, but it was not</w:t>
      </w:r>
      <w:r w:rsidR="009E00F7">
        <w:t xml:space="preserve">.  </w:t>
      </w:r>
      <w:r>
        <w:rPr>
          <w:color w:val="000000"/>
          <w:szCs w:val="24"/>
        </w:rPr>
        <w:t>Hence, the context of s 18(1</w:t>
      </w:r>
      <w:proofErr w:type="gramStart"/>
      <w:r>
        <w:rPr>
          <w:color w:val="000000"/>
          <w:szCs w:val="24"/>
        </w:rPr>
        <w:t>)(</w:t>
      </w:r>
      <w:proofErr w:type="gramEnd"/>
      <w:r>
        <w:rPr>
          <w:color w:val="000000"/>
          <w:szCs w:val="24"/>
        </w:rPr>
        <w:t>a) and 19 is that if written notification is required by the Ordinance, that is expressly stated</w:t>
      </w:r>
      <w:r w:rsidR="009E00F7">
        <w:t xml:space="preserve">.  </w:t>
      </w:r>
      <w:r>
        <w:rPr>
          <w:color w:val="000000"/>
          <w:szCs w:val="24"/>
        </w:rPr>
        <w:t>Accordingly, the context supports the natural and ordinary meaning of “informed” being attributed to that word in s 18(1</w:t>
      </w:r>
      <w:proofErr w:type="gramStart"/>
      <w:r>
        <w:rPr>
          <w:color w:val="000000"/>
          <w:szCs w:val="24"/>
        </w:rPr>
        <w:t>)(</w:t>
      </w:r>
      <w:proofErr w:type="gramEnd"/>
      <w:r>
        <w:rPr>
          <w:color w:val="000000"/>
          <w:szCs w:val="24"/>
        </w:rPr>
        <w:t>a)</w:t>
      </w:r>
      <w:r w:rsidR="009E00F7">
        <w:t xml:space="preserve">.  </w:t>
      </w:r>
      <w:r>
        <w:rPr>
          <w:color w:val="000000"/>
          <w:szCs w:val="24"/>
        </w:rPr>
        <w:t xml:space="preserve">In further support of this, she referred us to </w:t>
      </w:r>
      <w:r w:rsidRPr="00D0698C">
        <w:rPr>
          <w:i/>
          <w:color w:val="000000"/>
          <w:szCs w:val="24"/>
        </w:rPr>
        <w:t>Hong Kong Data Privacy Law</w:t>
      </w:r>
      <w:r>
        <w:rPr>
          <w:color w:val="000000"/>
          <w:szCs w:val="24"/>
        </w:rPr>
        <w:t xml:space="preserve"> by Berthold and </w:t>
      </w:r>
      <w:proofErr w:type="spellStart"/>
      <w:r>
        <w:rPr>
          <w:color w:val="000000"/>
          <w:szCs w:val="24"/>
        </w:rPr>
        <w:t>Wacks</w:t>
      </w:r>
      <w:proofErr w:type="spellEnd"/>
      <w:r>
        <w:rPr>
          <w:color w:val="000000"/>
          <w:szCs w:val="24"/>
        </w:rPr>
        <w:t>, 2</w:t>
      </w:r>
      <w:r w:rsidRPr="00D0698C">
        <w:rPr>
          <w:color w:val="000000"/>
          <w:szCs w:val="24"/>
          <w:vertAlign w:val="superscript"/>
        </w:rPr>
        <w:t>nd</w:t>
      </w:r>
      <w:r>
        <w:rPr>
          <w:color w:val="000000"/>
          <w:szCs w:val="24"/>
        </w:rPr>
        <w:t xml:space="preserve"> </w:t>
      </w:r>
      <w:proofErr w:type="spellStart"/>
      <w:r>
        <w:rPr>
          <w:color w:val="000000"/>
          <w:szCs w:val="24"/>
        </w:rPr>
        <w:t>ed</w:t>
      </w:r>
      <w:proofErr w:type="spellEnd"/>
      <w:r>
        <w:rPr>
          <w:color w:val="000000"/>
          <w:szCs w:val="24"/>
        </w:rPr>
        <w:t xml:space="preserve">, </w:t>
      </w:r>
      <w:proofErr w:type="spellStart"/>
      <w:r>
        <w:rPr>
          <w:color w:val="000000"/>
          <w:szCs w:val="24"/>
        </w:rPr>
        <w:t>para</w:t>
      </w:r>
      <w:proofErr w:type="spellEnd"/>
      <w:r>
        <w:rPr>
          <w:color w:val="000000"/>
          <w:szCs w:val="24"/>
        </w:rPr>
        <w:t xml:space="preserve"> 8.48; </w:t>
      </w:r>
      <w:r w:rsidRPr="00874DA4">
        <w:rPr>
          <w:i/>
          <w:color w:val="000000"/>
          <w:szCs w:val="24"/>
        </w:rPr>
        <w:t>Data Protection Principles in the Personal Data (Privacy) Ordinance – from the Privacy Commissioner’s Perspective</w:t>
      </w:r>
      <w:r>
        <w:rPr>
          <w:color w:val="000000"/>
          <w:szCs w:val="24"/>
        </w:rPr>
        <w:t xml:space="preserve">, 2006 and 2010 </w:t>
      </w:r>
      <w:proofErr w:type="spellStart"/>
      <w:r>
        <w:rPr>
          <w:color w:val="000000"/>
          <w:szCs w:val="24"/>
        </w:rPr>
        <w:t>ed</w:t>
      </w:r>
      <w:proofErr w:type="spellEnd"/>
      <w:r>
        <w:rPr>
          <w:color w:val="000000"/>
          <w:szCs w:val="24"/>
        </w:rPr>
        <w:t xml:space="preserve">, </w:t>
      </w:r>
      <w:proofErr w:type="spellStart"/>
      <w:r>
        <w:rPr>
          <w:color w:val="000000"/>
          <w:szCs w:val="24"/>
        </w:rPr>
        <w:t>para</w:t>
      </w:r>
      <w:proofErr w:type="spellEnd"/>
      <w:r>
        <w:rPr>
          <w:color w:val="000000"/>
          <w:szCs w:val="24"/>
        </w:rPr>
        <w:t xml:space="preserve"> 10.23;</w:t>
      </w:r>
      <w:r w:rsidRPr="00874DA4">
        <w:rPr>
          <w:i/>
          <w:color w:val="000000"/>
          <w:szCs w:val="24"/>
        </w:rPr>
        <w:t xml:space="preserve"> PCPD’s Information Paper on Review of the Personal Data (Privacy) Ordinance</w:t>
      </w:r>
      <w:r>
        <w:rPr>
          <w:color w:val="000000"/>
          <w:szCs w:val="24"/>
        </w:rPr>
        <w:t xml:space="preserve">, 2009, Proposal No 55. </w:t>
      </w:r>
    </w:p>
    <w:p w:rsidR="00960E4F" w:rsidRDefault="00960E4F" w:rsidP="00030908">
      <w:pPr>
        <w:pStyle w:val="ar-draft"/>
        <w:rPr>
          <w:color w:val="000000"/>
          <w:szCs w:val="24"/>
        </w:rPr>
      </w:pPr>
      <w:r>
        <w:rPr>
          <w:color w:val="000000"/>
          <w:szCs w:val="24"/>
        </w:rPr>
        <w:lastRenderedPageBreak/>
        <w:t xml:space="preserve">I agree with </w:t>
      </w:r>
      <w:r>
        <w:rPr>
          <w:rFonts w:hint="eastAsia"/>
          <w:color w:val="000000"/>
          <w:szCs w:val="24"/>
        </w:rPr>
        <w:t xml:space="preserve">all </w:t>
      </w:r>
      <w:r>
        <w:rPr>
          <w:color w:val="000000"/>
          <w:szCs w:val="24"/>
        </w:rPr>
        <w:t>her submissions</w:t>
      </w:r>
      <w:r w:rsidRPr="00874DA4">
        <w:rPr>
          <w:color w:val="000000"/>
          <w:szCs w:val="24"/>
        </w:rPr>
        <w:t xml:space="preserve"> </w:t>
      </w:r>
      <w:r>
        <w:rPr>
          <w:color w:val="000000"/>
          <w:szCs w:val="24"/>
        </w:rPr>
        <w:t>above.</w:t>
      </w:r>
    </w:p>
    <w:p w:rsidR="00960E4F" w:rsidRDefault="00960E4F" w:rsidP="00030908">
      <w:pPr>
        <w:pStyle w:val="ar-draft"/>
        <w:rPr>
          <w:color w:val="000000"/>
          <w:szCs w:val="24"/>
        </w:rPr>
      </w:pPr>
      <w:r>
        <w:rPr>
          <w:rFonts w:hint="eastAsia"/>
          <w:color w:val="000000"/>
          <w:szCs w:val="24"/>
        </w:rPr>
        <w:t>I turn to Mr Kwok</w:t>
      </w:r>
      <w:r>
        <w:rPr>
          <w:color w:val="000000"/>
          <w:szCs w:val="24"/>
        </w:rPr>
        <w:t>’</w:t>
      </w:r>
      <w:r>
        <w:rPr>
          <w:rFonts w:hint="eastAsia"/>
          <w:color w:val="000000"/>
          <w:szCs w:val="24"/>
        </w:rPr>
        <w:t xml:space="preserve">s submission that </w:t>
      </w:r>
      <w:r>
        <w:rPr>
          <w:color w:val="000000"/>
          <w:szCs w:val="24"/>
        </w:rPr>
        <w:t>as a data access request under s 18(1) is treated as a single request by virtue of s 18(2) and (3), the only permissible way to comply with a s 18(1</w:t>
      </w:r>
      <w:proofErr w:type="gramStart"/>
      <w:r>
        <w:rPr>
          <w:color w:val="000000"/>
          <w:szCs w:val="24"/>
        </w:rPr>
        <w:t>)(</w:t>
      </w:r>
      <w:proofErr w:type="gramEnd"/>
      <w:r>
        <w:rPr>
          <w:color w:val="000000"/>
          <w:szCs w:val="24"/>
        </w:rPr>
        <w:t xml:space="preserve">a) data access request must be in writing, “given that s 19 stipulates that a data request must be complied with in writing”. </w:t>
      </w:r>
    </w:p>
    <w:p w:rsidR="00960E4F" w:rsidRDefault="00960E4F" w:rsidP="00030908">
      <w:pPr>
        <w:pStyle w:val="ar-draft"/>
        <w:rPr>
          <w:color w:val="000000"/>
          <w:szCs w:val="24"/>
        </w:rPr>
      </w:pPr>
      <w:r>
        <w:rPr>
          <w:color w:val="000000"/>
          <w:szCs w:val="24"/>
        </w:rPr>
        <w:t>Mr Kwok referred us to s 18(2) which provides that a data access request under both s 18(1</w:t>
      </w:r>
      <w:proofErr w:type="gramStart"/>
      <w:r>
        <w:rPr>
          <w:color w:val="000000"/>
          <w:szCs w:val="24"/>
        </w:rPr>
        <w:t>)(</w:t>
      </w:r>
      <w:proofErr w:type="gramEnd"/>
      <w:r>
        <w:rPr>
          <w:color w:val="000000"/>
          <w:szCs w:val="24"/>
        </w:rPr>
        <w:t>a) and (b) shall be treated as a single request, and s 18(3) which provides that a data request under s 18(1)(a) may, in the absence of evidence to the contrary, be treated as a request under both s 18(1)(a) and (b)</w:t>
      </w:r>
      <w:r w:rsidR="009E00F7">
        <w:t xml:space="preserve">.  </w:t>
      </w:r>
      <w:r>
        <w:rPr>
          <w:rFonts w:hint="eastAsia"/>
          <w:color w:val="000000"/>
          <w:szCs w:val="24"/>
        </w:rPr>
        <w:t xml:space="preserve">He submitted that as </w:t>
      </w:r>
      <w:r>
        <w:rPr>
          <w:color w:val="000000"/>
          <w:szCs w:val="24"/>
        </w:rPr>
        <w:t>the</w:t>
      </w:r>
      <w:r>
        <w:rPr>
          <w:rFonts w:hint="eastAsia"/>
          <w:color w:val="000000"/>
          <w:szCs w:val="24"/>
        </w:rPr>
        <w:t xml:space="preserve"> DARs in the present case sought </w:t>
      </w:r>
      <w:r>
        <w:rPr>
          <w:color w:val="000000"/>
          <w:szCs w:val="24"/>
        </w:rPr>
        <w:t>“</w:t>
      </w:r>
      <w:r>
        <w:rPr>
          <w:rFonts w:hint="eastAsia"/>
          <w:color w:val="000000"/>
          <w:szCs w:val="24"/>
        </w:rPr>
        <w:t>police data regarding offences or convictions</w:t>
      </w:r>
      <w:r>
        <w:rPr>
          <w:color w:val="000000"/>
          <w:szCs w:val="24"/>
        </w:rPr>
        <w:t>”</w:t>
      </w:r>
      <w:r>
        <w:rPr>
          <w:rFonts w:hint="eastAsia"/>
          <w:color w:val="000000"/>
          <w:szCs w:val="24"/>
        </w:rPr>
        <w:t xml:space="preserve"> and </w:t>
      </w:r>
      <w:r>
        <w:rPr>
          <w:color w:val="000000"/>
          <w:szCs w:val="24"/>
        </w:rPr>
        <w:t>the</w:t>
      </w:r>
      <w:r>
        <w:rPr>
          <w:rFonts w:hint="eastAsia"/>
          <w:color w:val="000000"/>
          <w:szCs w:val="24"/>
        </w:rPr>
        <w:t xml:space="preserve"> Police were requested to supply the date and nature of the offence if they hold any criminal records for </w:t>
      </w:r>
      <w:r>
        <w:rPr>
          <w:color w:val="000000"/>
          <w:szCs w:val="24"/>
        </w:rPr>
        <w:t>the</w:t>
      </w:r>
      <w:r>
        <w:rPr>
          <w:rFonts w:hint="eastAsia"/>
          <w:color w:val="000000"/>
          <w:szCs w:val="24"/>
        </w:rPr>
        <w:t xml:space="preserve"> complainant and his family, the DARs were requests made under both </w:t>
      </w:r>
      <w:r>
        <w:rPr>
          <w:color w:val="000000"/>
          <w:szCs w:val="24"/>
        </w:rPr>
        <w:t>s 18(1</w:t>
      </w:r>
      <w:proofErr w:type="gramStart"/>
      <w:r>
        <w:rPr>
          <w:color w:val="000000"/>
          <w:szCs w:val="24"/>
        </w:rPr>
        <w:t>)(</w:t>
      </w:r>
      <w:proofErr w:type="gramEnd"/>
      <w:r>
        <w:rPr>
          <w:color w:val="000000"/>
          <w:szCs w:val="24"/>
        </w:rPr>
        <w:t>a) and (b)</w:t>
      </w:r>
      <w:r>
        <w:rPr>
          <w:rFonts w:hint="eastAsia"/>
          <w:color w:val="000000"/>
          <w:szCs w:val="24"/>
        </w:rPr>
        <w:t xml:space="preserve"> and should be treated as a single request by virtue of s 18(2), and possibly s 18(3)</w:t>
      </w:r>
      <w:r w:rsidR="009E00F7">
        <w:t xml:space="preserve">.  </w:t>
      </w:r>
      <w:r>
        <w:rPr>
          <w:rFonts w:hint="eastAsia"/>
          <w:color w:val="000000"/>
          <w:szCs w:val="24"/>
        </w:rPr>
        <w:t>I have no problem with that.</w:t>
      </w:r>
    </w:p>
    <w:p w:rsidR="00960E4F" w:rsidRPr="00831DD1" w:rsidRDefault="00960E4F" w:rsidP="00030908">
      <w:pPr>
        <w:pStyle w:val="ar-draft"/>
        <w:rPr>
          <w:color w:val="000000"/>
          <w:spacing w:val="-2"/>
          <w:szCs w:val="24"/>
        </w:rPr>
      </w:pPr>
      <w:r w:rsidRPr="00831DD1">
        <w:rPr>
          <w:rFonts w:hint="eastAsia"/>
          <w:color w:val="000000"/>
          <w:spacing w:val="-2"/>
          <w:szCs w:val="24"/>
        </w:rPr>
        <w:t>Next, Mr Kwok submitted that as b</w:t>
      </w:r>
      <w:r w:rsidRPr="00831DD1">
        <w:rPr>
          <w:color w:val="000000"/>
          <w:spacing w:val="-2"/>
          <w:szCs w:val="24"/>
        </w:rPr>
        <w:t>oth s 18(2) and (3) stipulate “the provisions of this Ordinance shall be construed accordingly</w:t>
      </w:r>
      <w:proofErr w:type="gramStart"/>
      <w:r w:rsidRPr="00831DD1">
        <w:rPr>
          <w:color w:val="000000"/>
          <w:spacing w:val="-2"/>
          <w:szCs w:val="24"/>
        </w:rPr>
        <w:t>”</w:t>
      </w:r>
      <w:r w:rsidRPr="00831DD1">
        <w:rPr>
          <w:rFonts w:hint="eastAsia"/>
          <w:color w:val="000000"/>
          <w:spacing w:val="-2"/>
          <w:szCs w:val="24"/>
        </w:rPr>
        <w:t>, that</w:t>
      </w:r>
      <w:proofErr w:type="gramEnd"/>
      <w:r w:rsidRPr="00831DD1">
        <w:rPr>
          <w:rFonts w:hint="eastAsia"/>
          <w:color w:val="000000"/>
          <w:spacing w:val="-2"/>
          <w:szCs w:val="24"/>
        </w:rPr>
        <w:t xml:space="preserve"> would include the provisions in s 19</w:t>
      </w:r>
      <w:r w:rsidR="009E00F7" w:rsidRPr="00831DD1">
        <w:rPr>
          <w:spacing w:val="-2"/>
        </w:rPr>
        <w:t xml:space="preserve">.  </w:t>
      </w:r>
      <w:r w:rsidRPr="00831DD1">
        <w:rPr>
          <w:color w:val="000000"/>
          <w:spacing w:val="-2"/>
          <w:szCs w:val="24"/>
        </w:rPr>
        <w:t xml:space="preserve">He </w:t>
      </w:r>
      <w:r w:rsidRPr="00831DD1">
        <w:rPr>
          <w:rFonts w:hint="eastAsia"/>
          <w:color w:val="000000"/>
          <w:spacing w:val="-2"/>
          <w:szCs w:val="24"/>
        </w:rPr>
        <w:t>relied on s 19(2) and argued that</w:t>
      </w:r>
      <w:r w:rsidRPr="00831DD1">
        <w:rPr>
          <w:color w:val="000000"/>
          <w:spacing w:val="-2"/>
          <w:szCs w:val="24"/>
        </w:rPr>
        <w:t xml:space="preserve"> </w:t>
      </w:r>
      <w:r w:rsidRPr="00831DD1">
        <w:rPr>
          <w:rFonts w:hint="eastAsia"/>
          <w:color w:val="000000"/>
          <w:spacing w:val="-2"/>
          <w:szCs w:val="24"/>
        </w:rPr>
        <w:t xml:space="preserve">the present case would fall within that provision as the data user </w:t>
      </w:r>
      <w:r w:rsidRPr="00831DD1">
        <w:rPr>
          <w:color w:val="000000"/>
          <w:spacing w:val="-2"/>
          <w:szCs w:val="24"/>
        </w:rPr>
        <w:t>“</w:t>
      </w:r>
      <w:r w:rsidRPr="00831DD1">
        <w:rPr>
          <w:rFonts w:hint="eastAsia"/>
          <w:color w:val="000000"/>
          <w:spacing w:val="-2"/>
          <w:szCs w:val="24"/>
        </w:rPr>
        <w:t>is unable to comply</w:t>
      </w:r>
      <w:r w:rsidRPr="00831DD1">
        <w:rPr>
          <w:color w:val="000000"/>
          <w:spacing w:val="-2"/>
          <w:szCs w:val="24"/>
        </w:rPr>
        <w:t>”</w:t>
      </w:r>
      <w:r w:rsidRPr="00831DD1">
        <w:rPr>
          <w:rFonts w:hint="eastAsia"/>
          <w:color w:val="000000"/>
          <w:spacing w:val="-2"/>
          <w:szCs w:val="24"/>
        </w:rPr>
        <w:t xml:space="preserve"> with the single request in that </w:t>
      </w:r>
      <w:r w:rsidRPr="00831DD1">
        <w:rPr>
          <w:color w:val="000000"/>
          <w:spacing w:val="-2"/>
          <w:szCs w:val="24"/>
        </w:rPr>
        <w:t>the</w:t>
      </w:r>
      <w:r w:rsidRPr="00831DD1">
        <w:rPr>
          <w:rFonts w:hint="eastAsia"/>
          <w:color w:val="000000"/>
          <w:spacing w:val="-2"/>
          <w:szCs w:val="24"/>
        </w:rPr>
        <w:t xml:space="preserve"> Police do not hold any relevant criminal record</w:t>
      </w:r>
      <w:r w:rsidR="009E00F7" w:rsidRPr="00831DD1">
        <w:rPr>
          <w:spacing w:val="-2"/>
        </w:rPr>
        <w:t xml:space="preserve">.  </w:t>
      </w:r>
      <w:r w:rsidRPr="00831DD1">
        <w:rPr>
          <w:rFonts w:hint="eastAsia"/>
          <w:color w:val="000000"/>
          <w:spacing w:val="-2"/>
          <w:szCs w:val="24"/>
        </w:rPr>
        <w:t>But that is to misread s 19(2)</w:t>
      </w:r>
      <w:r w:rsidR="009E00F7" w:rsidRPr="00831DD1">
        <w:rPr>
          <w:spacing w:val="-2"/>
        </w:rPr>
        <w:t xml:space="preserve">.  </w:t>
      </w:r>
      <w:r w:rsidRPr="00831DD1">
        <w:rPr>
          <w:rFonts w:hint="eastAsia"/>
          <w:color w:val="000000"/>
          <w:spacing w:val="-2"/>
          <w:szCs w:val="24"/>
        </w:rPr>
        <w:t>It is clear from the wording of s 19(2</w:t>
      </w:r>
      <w:proofErr w:type="gramStart"/>
      <w:r w:rsidRPr="00831DD1">
        <w:rPr>
          <w:rFonts w:hint="eastAsia"/>
          <w:color w:val="000000"/>
          <w:spacing w:val="-2"/>
          <w:szCs w:val="24"/>
        </w:rPr>
        <w:t>)(</w:t>
      </w:r>
      <w:proofErr w:type="gramEnd"/>
      <w:r w:rsidRPr="00831DD1">
        <w:rPr>
          <w:rFonts w:hint="eastAsia"/>
          <w:color w:val="000000"/>
          <w:spacing w:val="-2"/>
          <w:szCs w:val="24"/>
        </w:rPr>
        <w:t xml:space="preserve">b) that this provision covers the situation where the data user is unable to comply with the data access request within the specified period of 40 days in s 19(1), namely, temporarily, as s 19(2)(b) stipulates that </w:t>
      </w:r>
      <w:r w:rsidRPr="00831DD1">
        <w:rPr>
          <w:color w:val="000000"/>
          <w:spacing w:val="-2"/>
          <w:szCs w:val="24"/>
        </w:rPr>
        <w:t>“</w:t>
      </w:r>
      <w:r w:rsidRPr="00831DD1">
        <w:rPr>
          <w:rFonts w:hint="eastAsia"/>
          <w:color w:val="000000"/>
          <w:spacing w:val="-2"/>
          <w:szCs w:val="24"/>
        </w:rPr>
        <w:t>as soon as practicable after the expiration of that period</w:t>
      </w:r>
      <w:r w:rsidRPr="00831DD1">
        <w:rPr>
          <w:color w:val="000000"/>
          <w:spacing w:val="-2"/>
          <w:szCs w:val="24"/>
        </w:rPr>
        <w:t>”</w:t>
      </w:r>
      <w:r w:rsidRPr="00831DD1">
        <w:rPr>
          <w:rFonts w:hint="eastAsia"/>
          <w:color w:val="000000"/>
          <w:spacing w:val="-2"/>
          <w:szCs w:val="24"/>
        </w:rPr>
        <w:t xml:space="preserve">, the data user shall comply </w:t>
      </w:r>
      <w:r w:rsidRPr="00831DD1">
        <w:rPr>
          <w:rFonts w:hint="eastAsia"/>
          <w:color w:val="000000"/>
          <w:spacing w:val="-2"/>
          <w:szCs w:val="24"/>
        </w:rPr>
        <w:lastRenderedPageBreak/>
        <w:t xml:space="preserve">or fully comply with </w:t>
      </w:r>
      <w:r w:rsidRPr="00831DD1">
        <w:rPr>
          <w:color w:val="000000"/>
          <w:spacing w:val="-2"/>
          <w:szCs w:val="24"/>
        </w:rPr>
        <w:t>the</w:t>
      </w:r>
      <w:r w:rsidRPr="00831DD1">
        <w:rPr>
          <w:rFonts w:hint="eastAsia"/>
          <w:color w:val="000000"/>
          <w:spacing w:val="-2"/>
          <w:szCs w:val="24"/>
        </w:rPr>
        <w:t xml:space="preserve"> request</w:t>
      </w:r>
      <w:r w:rsidR="009E00F7" w:rsidRPr="00831DD1">
        <w:rPr>
          <w:spacing w:val="-2"/>
        </w:rPr>
        <w:t xml:space="preserve">.  </w:t>
      </w:r>
      <w:r w:rsidRPr="00831DD1">
        <w:rPr>
          <w:rFonts w:hint="eastAsia"/>
          <w:color w:val="000000"/>
          <w:spacing w:val="-2"/>
          <w:szCs w:val="24"/>
        </w:rPr>
        <w:t>Besides, the Police were not unable to comply with the single request</w:t>
      </w:r>
      <w:r w:rsidR="009E00F7" w:rsidRPr="00831DD1">
        <w:rPr>
          <w:spacing w:val="-2"/>
        </w:rPr>
        <w:t xml:space="preserve">.  </w:t>
      </w:r>
      <w:r w:rsidRPr="00831DD1">
        <w:rPr>
          <w:rFonts w:hint="eastAsia"/>
          <w:color w:val="000000"/>
          <w:spacing w:val="-2"/>
          <w:szCs w:val="24"/>
        </w:rPr>
        <w:t xml:space="preserve">They would have complied with it by informing the complainant that they do not hold any relevant criminal record. </w:t>
      </w:r>
    </w:p>
    <w:p w:rsidR="00960E4F" w:rsidRDefault="00960E4F" w:rsidP="00030908">
      <w:pPr>
        <w:pStyle w:val="ar-draft"/>
        <w:rPr>
          <w:color w:val="000000"/>
          <w:szCs w:val="24"/>
        </w:rPr>
      </w:pPr>
      <w:r>
        <w:rPr>
          <w:color w:val="000000"/>
          <w:szCs w:val="24"/>
        </w:rPr>
        <w:t>I fail to see the basis on which Mr Kwok derived the premise that s 19 stipulates that a data request must be complied with in writing</w:t>
      </w:r>
      <w:r w:rsidR="009E00F7">
        <w:t xml:space="preserve">.  </w:t>
      </w:r>
      <w:r>
        <w:rPr>
          <w:color w:val="000000"/>
          <w:szCs w:val="24"/>
        </w:rPr>
        <w:t>I do not agree with his contention</w:t>
      </w:r>
      <w:r w:rsidR="009E00F7">
        <w:t xml:space="preserve">.  </w:t>
      </w:r>
      <w:r>
        <w:rPr>
          <w:color w:val="000000"/>
          <w:szCs w:val="24"/>
        </w:rPr>
        <w:t>As has been analysed earlier, s 19(2), (3) and (4) contain provisions laying down the requirement of written notification in specific situations</w:t>
      </w:r>
      <w:r w:rsidR="009E00F7">
        <w:t xml:space="preserve">.  </w:t>
      </w:r>
      <w:r>
        <w:rPr>
          <w:color w:val="000000"/>
          <w:szCs w:val="24"/>
        </w:rPr>
        <w:t xml:space="preserve">These provisions do not stipulate that a data access request must be complied with in writing, nor do they apply to the situation where the data user does not hold the personal data being the subject of the request.  </w:t>
      </w:r>
    </w:p>
    <w:p w:rsidR="00960E4F" w:rsidRPr="00A7280C" w:rsidRDefault="00960E4F" w:rsidP="00E05F38">
      <w:pPr>
        <w:pStyle w:val="ar-heading1"/>
      </w:pPr>
      <w:r w:rsidRPr="00A7280C">
        <w:t>T</w:t>
      </w:r>
      <w:r w:rsidRPr="00A7280C">
        <w:rPr>
          <w:rFonts w:hint="eastAsia"/>
        </w:rPr>
        <w:t>he purpose and public policy</w:t>
      </w:r>
    </w:p>
    <w:p w:rsidR="00960E4F" w:rsidRDefault="00960E4F" w:rsidP="00030908">
      <w:pPr>
        <w:pStyle w:val="ar-draft"/>
        <w:rPr>
          <w:color w:val="000000"/>
          <w:szCs w:val="24"/>
        </w:rPr>
      </w:pPr>
      <w:r>
        <w:rPr>
          <w:color w:val="000000"/>
          <w:szCs w:val="24"/>
        </w:rPr>
        <w:t>Miss Ismail took us first to the Ordinance</w:t>
      </w:r>
      <w:r w:rsidR="009E00F7">
        <w:t xml:space="preserve">.  </w:t>
      </w:r>
      <w:r>
        <w:rPr>
          <w:color w:val="000000"/>
          <w:szCs w:val="24"/>
        </w:rPr>
        <w:t>S 4 provides that a data user shall not do an act that contravenes a data protection principle unless required or permitted by the Ordinance</w:t>
      </w:r>
      <w:r w:rsidR="009E00F7">
        <w:t xml:space="preserve">.  </w:t>
      </w:r>
      <w:r>
        <w:rPr>
          <w:color w:val="000000"/>
          <w:szCs w:val="24"/>
        </w:rPr>
        <w:t>Data Protection Principle 6, which is concerned with access to personal data, provides that a data subject shall be entitled to ascertain whether a data user holds personal data of which he is the data subject</w:t>
      </w:r>
      <w:r w:rsidR="009E00F7">
        <w:t xml:space="preserve">.  </w:t>
      </w:r>
      <w:r>
        <w:rPr>
          <w:color w:val="000000"/>
          <w:szCs w:val="24"/>
        </w:rPr>
        <w:t>Miss Ismail ma</w:t>
      </w:r>
      <w:r>
        <w:rPr>
          <w:rFonts w:hint="eastAsia"/>
          <w:color w:val="000000"/>
          <w:szCs w:val="24"/>
        </w:rPr>
        <w:t>de</w:t>
      </w:r>
      <w:r>
        <w:rPr>
          <w:color w:val="000000"/>
          <w:szCs w:val="24"/>
        </w:rPr>
        <w:t xml:space="preserve"> the valid point that nothing in Principle 6 indicates that such information should be provided in writing, as opposed to simply being provided.</w:t>
      </w:r>
    </w:p>
    <w:p w:rsidR="00960E4F" w:rsidRDefault="00960E4F" w:rsidP="00030908">
      <w:pPr>
        <w:pStyle w:val="ar-draft"/>
        <w:rPr>
          <w:color w:val="000000"/>
          <w:szCs w:val="24"/>
        </w:rPr>
      </w:pPr>
      <w:r>
        <w:rPr>
          <w:color w:val="000000"/>
          <w:szCs w:val="24"/>
        </w:rPr>
        <w:t>As stated in the explanatory memorandum to the Personal Data (Privacy) Bill 1995, the bill gives effect to the majority of the recommendations contained in the report of the Law Reform Commission on Reform of the Law Relating to the Protection of Personal Data published in 1994</w:t>
      </w:r>
      <w:r w:rsidR="009E00F7">
        <w:t xml:space="preserve">.  </w:t>
      </w:r>
      <w:r>
        <w:rPr>
          <w:color w:val="000000"/>
          <w:szCs w:val="24"/>
        </w:rPr>
        <w:t>Chapter 14 of the report deals with data subjects’ rights of access and correction</w:t>
      </w:r>
      <w:r w:rsidR="009E00F7">
        <w:t xml:space="preserve">.  </w:t>
      </w:r>
      <w:r>
        <w:rPr>
          <w:color w:val="000000"/>
          <w:szCs w:val="24"/>
        </w:rPr>
        <w:t xml:space="preserve">As pointed out by Miss Ismail, no </w:t>
      </w:r>
      <w:r>
        <w:rPr>
          <w:color w:val="000000"/>
          <w:szCs w:val="24"/>
        </w:rPr>
        <w:lastRenderedPageBreak/>
        <w:t>recommendation was made as to the form of the information as to whether the data user held relevant data</w:t>
      </w:r>
      <w:r w:rsidR="009E00F7">
        <w:t xml:space="preserve">.  </w:t>
      </w:r>
      <w:r>
        <w:rPr>
          <w:color w:val="000000"/>
          <w:szCs w:val="24"/>
        </w:rPr>
        <w:t>The Commission had regard to the Rehabilitation of Offenders Ordinance, Cap 297 in para 3.15 of the report, and the “forced access” issue, in the context of whether it should be a criminal offence to require a data subject to exercise his data access rights to reveal his criminal record (</w:t>
      </w:r>
      <w:proofErr w:type="spellStart"/>
      <w:r>
        <w:rPr>
          <w:color w:val="000000"/>
          <w:szCs w:val="24"/>
        </w:rPr>
        <w:t>paras</w:t>
      </w:r>
      <w:proofErr w:type="spellEnd"/>
      <w:r>
        <w:rPr>
          <w:color w:val="000000"/>
          <w:szCs w:val="24"/>
        </w:rPr>
        <w:t xml:space="preserve"> 14.40 to 14.42).</w:t>
      </w:r>
    </w:p>
    <w:p w:rsidR="00960E4F" w:rsidRDefault="00960E4F" w:rsidP="00030908">
      <w:pPr>
        <w:pStyle w:val="ar-draft"/>
        <w:rPr>
          <w:color w:val="000000"/>
          <w:szCs w:val="24"/>
        </w:rPr>
      </w:pPr>
      <w:r>
        <w:rPr>
          <w:color w:val="000000"/>
          <w:szCs w:val="24"/>
        </w:rPr>
        <w:t>Miss Ismail submitted there is public policy interest involved in maintaining the natural and ordinary meaning of the statutory provisions</w:t>
      </w:r>
      <w:r w:rsidR="009E00F7">
        <w:t xml:space="preserve">.  </w:t>
      </w:r>
      <w:r>
        <w:rPr>
          <w:color w:val="000000"/>
          <w:szCs w:val="24"/>
        </w:rPr>
        <w:t>The Police have provided details of their concerns relating to the provision of written confirmation of no criminal records in their submission to the Board in the 2</w:t>
      </w:r>
      <w:r w:rsidRPr="009334ED">
        <w:rPr>
          <w:color w:val="000000"/>
          <w:szCs w:val="24"/>
          <w:vertAlign w:val="superscript"/>
        </w:rPr>
        <w:t>nd</w:t>
      </w:r>
      <w:r>
        <w:rPr>
          <w:color w:val="000000"/>
          <w:szCs w:val="24"/>
        </w:rPr>
        <w:t xml:space="preserve"> Appeal, which are similar to the concerns noted in </w:t>
      </w:r>
      <w:proofErr w:type="spellStart"/>
      <w:r>
        <w:rPr>
          <w:color w:val="000000"/>
          <w:szCs w:val="24"/>
        </w:rPr>
        <w:t>paras</w:t>
      </w:r>
      <w:proofErr w:type="spellEnd"/>
      <w:r>
        <w:rPr>
          <w:color w:val="000000"/>
          <w:szCs w:val="24"/>
        </w:rPr>
        <w:t xml:space="preserve"> 14.41 and 14.42 of the Law Reform Commission Report</w:t>
      </w:r>
      <w:r w:rsidR="009E00F7">
        <w:t xml:space="preserve">.  </w:t>
      </w:r>
      <w:r>
        <w:rPr>
          <w:color w:val="000000"/>
          <w:szCs w:val="24"/>
        </w:rPr>
        <w:t>In summary, criminal conviction records are regarded as sensitive personal data to be released in very restrictive circumstances</w:t>
      </w:r>
      <w:r w:rsidR="009E00F7">
        <w:t xml:space="preserve">.  </w:t>
      </w:r>
      <w:r>
        <w:rPr>
          <w:color w:val="000000"/>
          <w:szCs w:val="24"/>
        </w:rPr>
        <w:t>A written confirmation requirement might lead to an abuse of the data access request system by enabling employers to force prospective employees to prove they have no convictions</w:t>
      </w:r>
      <w:r w:rsidR="009E00F7">
        <w:t xml:space="preserve">.  </w:t>
      </w:r>
      <w:r>
        <w:rPr>
          <w:color w:val="000000"/>
          <w:szCs w:val="24"/>
        </w:rPr>
        <w:t>Possible “forced data access” by employees would go against the spirit of the Rehabilitation of Offenders Ordinance, as well as the Ordinance, which is intended to protect rather than discriminate against persons with criminal convictions</w:t>
      </w:r>
      <w:r w:rsidR="009E00F7">
        <w:t xml:space="preserve">.  </w:t>
      </w:r>
      <w:r>
        <w:rPr>
          <w:color w:val="000000"/>
          <w:szCs w:val="24"/>
        </w:rPr>
        <w:t>The consequence of “forced data access” would be to create an unemployable “underclass” unable to provide records of no convictions, with potential impact on social stability</w:t>
      </w:r>
      <w:r w:rsidR="009E00F7">
        <w:t xml:space="preserve">.  </w:t>
      </w:r>
      <w:r>
        <w:rPr>
          <w:color w:val="000000"/>
          <w:szCs w:val="24"/>
        </w:rPr>
        <w:t xml:space="preserve">See also </w:t>
      </w:r>
      <w:r w:rsidRPr="00D0698C">
        <w:rPr>
          <w:i/>
          <w:color w:val="000000"/>
          <w:szCs w:val="24"/>
        </w:rPr>
        <w:t>Hong Kong Data Privacy Law</w:t>
      </w:r>
      <w:r>
        <w:rPr>
          <w:color w:val="000000"/>
          <w:szCs w:val="24"/>
        </w:rPr>
        <w:t xml:space="preserve"> by Berthold and </w:t>
      </w:r>
      <w:proofErr w:type="spellStart"/>
      <w:r>
        <w:rPr>
          <w:color w:val="000000"/>
          <w:szCs w:val="24"/>
        </w:rPr>
        <w:t>Wacks</w:t>
      </w:r>
      <w:proofErr w:type="spellEnd"/>
      <w:r>
        <w:rPr>
          <w:color w:val="000000"/>
          <w:szCs w:val="24"/>
        </w:rPr>
        <w:t xml:space="preserve">, paras12.47 to 12.51. </w:t>
      </w:r>
    </w:p>
    <w:p w:rsidR="00960E4F" w:rsidRDefault="00960E4F" w:rsidP="00030908">
      <w:pPr>
        <w:pStyle w:val="ar-draft"/>
        <w:rPr>
          <w:color w:val="000000"/>
          <w:szCs w:val="24"/>
        </w:rPr>
      </w:pPr>
      <w:r>
        <w:rPr>
          <w:color w:val="000000"/>
          <w:szCs w:val="24"/>
        </w:rPr>
        <w:t>I agree these public interest concerns are powerful considerations.</w:t>
      </w:r>
    </w:p>
    <w:p w:rsidR="00960E4F" w:rsidRDefault="00960E4F" w:rsidP="00030908">
      <w:pPr>
        <w:pStyle w:val="ar-draft"/>
        <w:rPr>
          <w:color w:val="000000"/>
          <w:szCs w:val="24"/>
        </w:rPr>
      </w:pPr>
      <w:r>
        <w:rPr>
          <w:color w:val="000000"/>
          <w:szCs w:val="24"/>
        </w:rPr>
        <w:t>There is also the principle against doubtful penalisation</w:t>
      </w:r>
      <w:r w:rsidR="009E00F7">
        <w:t xml:space="preserve">.  </w:t>
      </w:r>
      <w:r>
        <w:rPr>
          <w:color w:val="000000"/>
          <w:szCs w:val="24"/>
        </w:rPr>
        <w:t xml:space="preserve">A contravention of s 19(1) without reasonable excuse is an offence under s </w:t>
      </w:r>
      <w:r>
        <w:rPr>
          <w:color w:val="000000"/>
          <w:szCs w:val="24"/>
        </w:rPr>
        <w:lastRenderedPageBreak/>
        <w:t>64(10)</w:t>
      </w:r>
      <w:r w:rsidR="009E00F7">
        <w:t xml:space="preserve">.  </w:t>
      </w:r>
      <w:r>
        <w:rPr>
          <w:color w:val="000000"/>
          <w:szCs w:val="24"/>
        </w:rPr>
        <w:t xml:space="preserve">This is another reason why </w:t>
      </w:r>
      <w:proofErr w:type="spellStart"/>
      <w:r>
        <w:rPr>
          <w:color w:val="000000"/>
          <w:szCs w:val="24"/>
        </w:rPr>
        <w:t>ss</w:t>
      </w:r>
      <w:proofErr w:type="spellEnd"/>
      <w:r>
        <w:rPr>
          <w:color w:val="000000"/>
          <w:szCs w:val="24"/>
        </w:rPr>
        <w:t xml:space="preserve"> 18(1)(a) and 19(1) should not be construed so as to penalise a person for giving information orally, where it is not clearly stated by the legislature that the information must be in writing</w:t>
      </w:r>
      <w:r w:rsidR="009E00F7">
        <w:t xml:space="preserve">.  </w:t>
      </w:r>
      <w:r>
        <w:rPr>
          <w:color w:val="000000"/>
          <w:szCs w:val="24"/>
        </w:rPr>
        <w:t xml:space="preserve">See </w:t>
      </w:r>
      <w:r w:rsidRPr="00874DA4">
        <w:rPr>
          <w:i/>
          <w:color w:val="000000"/>
          <w:szCs w:val="24"/>
        </w:rPr>
        <w:t>PCPD’s Information Paper on Review of the Personal Data (Privacy) Ordinance</w:t>
      </w:r>
      <w:r>
        <w:rPr>
          <w:color w:val="000000"/>
          <w:szCs w:val="24"/>
        </w:rPr>
        <w:t xml:space="preserve">, 2009, Proposal No 55 para 6. </w:t>
      </w:r>
    </w:p>
    <w:p w:rsidR="00960E4F" w:rsidRDefault="00960E4F" w:rsidP="00030908">
      <w:pPr>
        <w:pStyle w:val="ar-draft"/>
        <w:rPr>
          <w:color w:val="000000"/>
          <w:szCs w:val="24"/>
        </w:rPr>
      </w:pPr>
      <w:r>
        <w:rPr>
          <w:rFonts w:hint="eastAsia"/>
          <w:color w:val="000000"/>
          <w:szCs w:val="24"/>
        </w:rPr>
        <w:t xml:space="preserve">I note that there is legislative amendment in the pipeline regarding s 19(1) in the Personal Data (Privacy) (Amendment) Bill 2011, the effect of which is to provide expressly for the manner of compliance with a data access request in writing and to permit </w:t>
      </w:r>
      <w:r>
        <w:rPr>
          <w:color w:val="000000"/>
          <w:szCs w:val="24"/>
        </w:rPr>
        <w:t>the</w:t>
      </w:r>
      <w:r>
        <w:rPr>
          <w:rFonts w:hint="eastAsia"/>
          <w:color w:val="000000"/>
          <w:szCs w:val="24"/>
        </w:rPr>
        <w:t xml:space="preserve"> Police to inform </w:t>
      </w:r>
      <w:r>
        <w:rPr>
          <w:color w:val="000000"/>
          <w:szCs w:val="24"/>
        </w:rPr>
        <w:t>the</w:t>
      </w:r>
      <w:r>
        <w:rPr>
          <w:rFonts w:hint="eastAsia"/>
          <w:color w:val="000000"/>
          <w:szCs w:val="24"/>
        </w:rPr>
        <w:t xml:space="preserve"> requestor orally they do not hold any record of criminal conviction of an individual</w:t>
      </w:r>
      <w:r w:rsidR="009E00F7">
        <w:t xml:space="preserve">.  </w:t>
      </w:r>
      <w:r>
        <w:rPr>
          <w:rFonts w:hint="eastAsia"/>
          <w:color w:val="000000"/>
          <w:szCs w:val="24"/>
        </w:rPr>
        <w:t>I have not relied on this in the construction of the existing statutory regime</w:t>
      </w:r>
      <w:r w:rsidR="009E00F7">
        <w:t xml:space="preserve">.  </w:t>
      </w:r>
      <w:r>
        <w:rPr>
          <w:rFonts w:hint="eastAsia"/>
          <w:color w:val="000000"/>
          <w:szCs w:val="24"/>
        </w:rPr>
        <w:t xml:space="preserve">However, whilst </w:t>
      </w:r>
      <w:r>
        <w:rPr>
          <w:color w:val="000000"/>
          <w:szCs w:val="24"/>
        </w:rPr>
        <w:t>the</w:t>
      </w:r>
      <w:r>
        <w:rPr>
          <w:rFonts w:hint="eastAsia"/>
          <w:color w:val="000000"/>
          <w:szCs w:val="24"/>
        </w:rPr>
        <w:t xml:space="preserve"> post-enactment development of the proposed amendment to s 19 of the Ordinance by clause 12 of that Bill is, of course, not relevant to </w:t>
      </w:r>
      <w:r>
        <w:rPr>
          <w:color w:val="000000"/>
          <w:szCs w:val="24"/>
        </w:rPr>
        <w:t>the</w:t>
      </w:r>
      <w:r>
        <w:rPr>
          <w:rFonts w:hint="eastAsia"/>
          <w:color w:val="000000"/>
          <w:szCs w:val="24"/>
        </w:rPr>
        <w:t xml:space="preserve"> construction of s 19 of the Ordinance as it stands at present, the proposed amendment does clearly support </w:t>
      </w:r>
      <w:r>
        <w:rPr>
          <w:color w:val="000000"/>
          <w:szCs w:val="24"/>
        </w:rPr>
        <w:t>the</w:t>
      </w:r>
      <w:r>
        <w:rPr>
          <w:rFonts w:hint="eastAsia"/>
          <w:color w:val="000000"/>
          <w:szCs w:val="24"/>
        </w:rPr>
        <w:t xml:space="preserve"> public policy concerns of the Police as reflected in </w:t>
      </w:r>
      <w:proofErr w:type="spellStart"/>
      <w:r>
        <w:rPr>
          <w:rFonts w:hint="eastAsia"/>
          <w:color w:val="000000"/>
          <w:szCs w:val="24"/>
        </w:rPr>
        <w:t>paras</w:t>
      </w:r>
      <w:proofErr w:type="spellEnd"/>
      <w:r>
        <w:rPr>
          <w:rFonts w:hint="eastAsia"/>
          <w:color w:val="000000"/>
          <w:szCs w:val="24"/>
        </w:rPr>
        <w:t xml:space="preserve"> </w:t>
      </w:r>
      <w:r>
        <w:rPr>
          <w:color w:val="000000"/>
          <w:szCs w:val="24"/>
        </w:rPr>
        <w:t>14.41 and 14.42 of the Law Reform Commission Report</w:t>
      </w:r>
      <w:r>
        <w:rPr>
          <w:rFonts w:hint="eastAsia"/>
          <w:color w:val="000000"/>
          <w:szCs w:val="24"/>
        </w:rPr>
        <w:t>.</w:t>
      </w:r>
    </w:p>
    <w:p w:rsidR="00960E4F" w:rsidRPr="00392ECF" w:rsidRDefault="00960E4F" w:rsidP="00AD14B0">
      <w:pPr>
        <w:pStyle w:val="ar-heading1"/>
      </w:pPr>
      <w:r w:rsidRPr="00392ECF">
        <w:t>Conclusion and orders</w:t>
      </w:r>
    </w:p>
    <w:p w:rsidR="00960E4F" w:rsidRDefault="00960E4F" w:rsidP="00030908">
      <w:pPr>
        <w:pStyle w:val="ar-draft"/>
        <w:rPr>
          <w:color w:val="000000"/>
          <w:szCs w:val="24"/>
        </w:rPr>
      </w:pPr>
      <w:r>
        <w:rPr>
          <w:color w:val="000000"/>
          <w:szCs w:val="24"/>
        </w:rPr>
        <w:t xml:space="preserve">For the above reasons, </w:t>
      </w:r>
      <w:r>
        <w:rPr>
          <w:rFonts w:hint="eastAsia"/>
          <w:color w:val="000000"/>
          <w:szCs w:val="24"/>
        </w:rPr>
        <w:t>I have</w:t>
      </w:r>
      <w:r>
        <w:rPr>
          <w:color w:val="000000"/>
          <w:szCs w:val="24"/>
        </w:rPr>
        <w:t xml:space="preserve"> answer</w:t>
      </w:r>
      <w:r>
        <w:rPr>
          <w:rFonts w:hint="eastAsia"/>
          <w:color w:val="000000"/>
          <w:szCs w:val="24"/>
        </w:rPr>
        <w:t>ed</w:t>
      </w:r>
      <w:r>
        <w:rPr>
          <w:color w:val="000000"/>
          <w:szCs w:val="24"/>
        </w:rPr>
        <w:t xml:space="preserve"> the question of law referred by the Board in the affirmative, that on the true construction of s</w:t>
      </w:r>
      <w:r w:rsidR="00ED706F">
        <w:rPr>
          <w:color w:val="000000"/>
          <w:szCs w:val="24"/>
        </w:rPr>
        <w:t> </w:t>
      </w:r>
      <w:r>
        <w:rPr>
          <w:color w:val="000000"/>
          <w:szCs w:val="24"/>
        </w:rPr>
        <w:t>19(1) of the Ordinance, it is legally permissible for a data user, in compliance with s</w:t>
      </w:r>
      <w:r w:rsidR="00493781">
        <w:rPr>
          <w:color w:val="000000"/>
          <w:szCs w:val="24"/>
        </w:rPr>
        <w:t> </w:t>
      </w:r>
      <w:r>
        <w:rPr>
          <w:color w:val="000000"/>
          <w:szCs w:val="24"/>
        </w:rPr>
        <w:t>18(1</w:t>
      </w:r>
      <w:proofErr w:type="gramStart"/>
      <w:r>
        <w:rPr>
          <w:color w:val="000000"/>
          <w:szCs w:val="24"/>
        </w:rPr>
        <w:t>)(</w:t>
      </w:r>
      <w:proofErr w:type="gramEnd"/>
      <w:r>
        <w:rPr>
          <w:color w:val="000000"/>
          <w:szCs w:val="24"/>
        </w:rPr>
        <w:t xml:space="preserve">a), to inform the requestor verbally that the data user does not hold personal data of which the requestor is the subject. </w:t>
      </w:r>
    </w:p>
    <w:p w:rsidR="00960E4F" w:rsidRDefault="00960E4F" w:rsidP="00030908">
      <w:pPr>
        <w:pStyle w:val="ar-draft"/>
        <w:rPr>
          <w:color w:val="000000"/>
          <w:szCs w:val="24"/>
        </w:rPr>
      </w:pPr>
      <w:r>
        <w:rPr>
          <w:color w:val="000000"/>
          <w:szCs w:val="24"/>
        </w:rPr>
        <w:t>T</w:t>
      </w:r>
      <w:r>
        <w:rPr>
          <w:rFonts w:hint="eastAsia"/>
          <w:color w:val="000000"/>
          <w:szCs w:val="24"/>
        </w:rPr>
        <w:t xml:space="preserve">here is no reason to depart from the usual rule that costs should follow the event and we have so ordered at </w:t>
      </w:r>
      <w:r>
        <w:rPr>
          <w:color w:val="000000"/>
          <w:szCs w:val="24"/>
        </w:rPr>
        <w:t>the</w:t>
      </w:r>
      <w:r>
        <w:rPr>
          <w:rFonts w:hint="eastAsia"/>
          <w:color w:val="000000"/>
          <w:szCs w:val="24"/>
        </w:rPr>
        <w:t xml:space="preserve"> conclusion of the hearing.</w:t>
      </w:r>
    </w:p>
    <w:p w:rsidR="00960E4F" w:rsidRDefault="00960E4F" w:rsidP="00030908">
      <w:pPr>
        <w:pStyle w:val="ar-draft"/>
        <w:keepNext/>
        <w:numPr>
          <w:ilvl w:val="0"/>
          <w:numId w:val="0"/>
        </w:numPr>
      </w:pPr>
      <w:r>
        <w:rPr>
          <w:rFonts w:hint="eastAsia"/>
        </w:rPr>
        <w:lastRenderedPageBreak/>
        <w:t xml:space="preserve">Hon </w:t>
      </w:r>
      <w:proofErr w:type="spellStart"/>
      <w:r>
        <w:rPr>
          <w:rFonts w:hint="eastAsia"/>
        </w:rPr>
        <w:t>Fok</w:t>
      </w:r>
      <w:proofErr w:type="spellEnd"/>
      <w:r>
        <w:rPr>
          <w:rFonts w:hint="eastAsia"/>
        </w:rPr>
        <w:t xml:space="preserve"> JA:</w:t>
      </w:r>
    </w:p>
    <w:p w:rsidR="00960E4F" w:rsidRDefault="006A3959" w:rsidP="00030908">
      <w:pPr>
        <w:pStyle w:val="ar-draft"/>
      </w:pPr>
      <w:r>
        <w:rPr>
          <w:rFonts w:hint="eastAsia"/>
        </w:rPr>
        <w:t xml:space="preserve">I </w:t>
      </w:r>
      <w:r>
        <w:rPr>
          <w:rFonts w:eastAsiaTheme="minorEastAsia" w:hint="eastAsia"/>
        </w:rPr>
        <w:t>fully</w:t>
      </w:r>
      <w:r>
        <w:rPr>
          <w:rFonts w:hint="eastAsia"/>
        </w:rPr>
        <w:t xml:space="preserve"> agree</w:t>
      </w:r>
      <w:r w:rsidR="00960E4F">
        <w:rPr>
          <w:rFonts w:hint="eastAsia"/>
        </w:rPr>
        <w:t xml:space="preserve"> </w:t>
      </w:r>
      <w:r w:rsidR="00960E4F">
        <w:t>with the</w:t>
      </w:r>
      <w:r w:rsidR="00960E4F">
        <w:rPr>
          <w:rFonts w:hint="eastAsia"/>
        </w:rPr>
        <w:t xml:space="preserve"> r</w:t>
      </w:r>
      <w:r>
        <w:rPr>
          <w:rFonts w:hint="eastAsia"/>
        </w:rPr>
        <w:t xml:space="preserve">easons for judgment </w:t>
      </w:r>
      <w:r>
        <w:rPr>
          <w:rFonts w:eastAsiaTheme="minorEastAsia" w:hint="eastAsia"/>
        </w:rPr>
        <w:t>of</w:t>
      </w:r>
      <w:r w:rsidR="00960E4F">
        <w:rPr>
          <w:rFonts w:hint="eastAsia"/>
        </w:rPr>
        <w:t xml:space="preserve"> Kwan JA</w:t>
      </w:r>
      <w:r>
        <w:rPr>
          <w:rFonts w:eastAsiaTheme="minorEastAsia" w:hint="eastAsia"/>
        </w:rPr>
        <w:t xml:space="preserve"> and there is nothing further I wish to add</w:t>
      </w:r>
      <w:r w:rsidR="00960E4F">
        <w:rPr>
          <w:rFonts w:hint="eastAsia"/>
        </w:rPr>
        <w:t>.</w:t>
      </w:r>
    </w:p>
    <w:p w:rsidR="00960E4F" w:rsidRDefault="00960E4F" w:rsidP="00030908">
      <w:pPr>
        <w:pStyle w:val="ar-draft"/>
        <w:keepNext/>
        <w:numPr>
          <w:ilvl w:val="0"/>
          <w:numId w:val="0"/>
        </w:numPr>
      </w:pPr>
      <w:r>
        <w:rPr>
          <w:rFonts w:hint="eastAsia"/>
        </w:rPr>
        <w:t xml:space="preserve">Hon </w:t>
      </w:r>
      <w:proofErr w:type="spellStart"/>
      <w:r>
        <w:rPr>
          <w:rFonts w:hint="eastAsia"/>
        </w:rPr>
        <w:t>Bharwaney</w:t>
      </w:r>
      <w:proofErr w:type="spellEnd"/>
      <w:r>
        <w:rPr>
          <w:rFonts w:hint="eastAsia"/>
        </w:rPr>
        <w:t xml:space="preserve"> J:</w:t>
      </w:r>
    </w:p>
    <w:p w:rsidR="00960E4F" w:rsidRDefault="00960E4F" w:rsidP="00030908">
      <w:pPr>
        <w:pStyle w:val="ar-draft"/>
      </w:pPr>
      <w:r>
        <w:rPr>
          <w:rFonts w:hint="eastAsia"/>
        </w:rPr>
        <w:t>I agree with the judgment of Kwan JA.</w:t>
      </w:r>
    </w:p>
    <w:p w:rsidR="004B4C1A" w:rsidRDefault="004B4C1A" w:rsidP="008948C4">
      <w:pPr>
        <w:pStyle w:val="ar-draft"/>
        <w:numPr>
          <w:ilvl w:val="0"/>
          <w:numId w:val="0"/>
        </w:numPr>
        <w:spacing w:before="0" w:line="240" w:lineRule="auto"/>
        <w:rPr>
          <w:rFonts w:eastAsiaTheme="minorEastAsia"/>
        </w:rPr>
      </w:pPr>
    </w:p>
    <w:p w:rsidR="004B4C1A" w:rsidRDefault="004B4C1A" w:rsidP="008948C4">
      <w:pPr>
        <w:pStyle w:val="ar-draft"/>
        <w:numPr>
          <w:ilvl w:val="0"/>
          <w:numId w:val="0"/>
        </w:numPr>
        <w:spacing w:before="0" w:line="240" w:lineRule="auto"/>
        <w:rPr>
          <w:rFonts w:eastAsiaTheme="minorEastAsia"/>
        </w:rPr>
      </w:pPr>
    </w:p>
    <w:p w:rsidR="008948C4" w:rsidRDefault="008948C4" w:rsidP="008948C4">
      <w:pPr>
        <w:pStyle w:val="ar-draft"/>
        <w:numPr>
          <w:ilvl w:val="0"/>
          <w:numId w:val="0"/>
        </w:numPr>
        <w:spacing w:before="0" w:line="240" w:lineRule="auto"/>
        <w:rPr>
          <w:rFonts w:eastAsiaTheme="minorEastAsia"/>
        </w:rPr>
      </w:pPr>
    </w:p>
    <w:p w:rsidR="008948C4" w:rsidRDefault="008948C4" w:rsidP="008948C4">
      <w:pPr>
        <w:pStyle w:val="ar-draft"/>
        <w:numPr>
          <w:ilvl w:val="0"/>
          <w:numId w:val="0"/>
        </w:numPr>
        <w:spacing w:before="0" w:line="240" w:lineRule="auto"/>
        <w:rPr>
          <w:rFonts w:eastAsiaTheme="minorEastAsia"/>
        </w:rPr>
      </w:pPr>
    </w:p>
    <w:p w:rsidR="008948C4" w:rsidRDefault="008948C4" w:rsidP="008948C4">
      <w:pPr>
        <w:pStyle w:val="ar-draft"/>
        <w:numPr>
          <w:ilvl w:val="0"/>
          <w:numId w:val="0"/>
        </w:numPr>
        <w:spacing w:before="0" w:line="240" w:lineRule="auto"/>
        <w:rPr>
          <w:rFonts w:eastAsiaTheme="minorEastAsia"/>
        </w:rPr>
      </w:pPr>
    </w:p>
    <w:p w:rsidR="008948C4" w:rsidRDefault="008948C4" w:rsidP="008948C4">
      <w:pPr>
        <w:pStyle w:val="ar-draft"/>
        <w:numPr>
          <w:ilvl w:val="0"/>
          <w:numId w:val="0"/>
        </w:numPr>
        <w:spacing w:before="0" w:line="240" w:lineRule="auto"/>
        <w:rPr>
          <w:rFonts w:eastAsiaTheme="minorEastAsia"/>
        </w:rPr>
      </w:pPr>
    </w:p>
    <w:tbl>
      <w:tblPr>
        <w:tblW w:w="8400" w:type="dxa"/>
        <w:tblInd w:w="108" w:type="dxa"/>
        <w:tblLook w:val="0000"/>
      </w:tblPr>
      <w:tblGrid>
        <w:gridCol w:w="2835"/>
        <w:gridCol w:w="2905"/>
        <w:gridCol w:w="2660"/>
      </w:tblGrid>
      <w:tr w:rsidR="00053745" w:rsidTr="00053745">
        <w:tc>
          <w:tcPr>
            <w:tcW w:w="2835" w:type="dxa"/>
          </w:tcPr>
          <w:p w:rsidR="00053745" w:rsidRDefault="00053745" w:rsidP="00053745">
            <w:pPr>
              <w:keepNext/>
              <w:ind w:left="144"/>
              <w:jc w:val="center"/>
            </w:pPr>
            <w:r>
              <w:rPr>
                <w:rFonts w:hint="eastAsia"/>
              </w:rPr>
              <w:t>(Susan</w:t>
            </w:r>
            <w:r>
              <w:t xml:space="preserve"> </w:t>
            </w:r>
            <w:r>
              <w:rPr>
                <w:rFonts w:hint="eastAsia"/>
              </w:rPr>
              <w:t>Kwan)</w:t>
            </w:r>
          </w:p>
        </w:tc>
        <w:tc>
          <w:tcPr>
            <w:tcW w:w="2905" w:type="dxa"/>
          </w:tcPr>
          <w:p w:rsidR="00053745" w:rsidRDefault="00053745" w:rsidP="00053745">
            <w:pPr>
              <w:jc w:val="center"/>
            </w:pPr>
            <w:r>
              <w:rPr>
                <w:rFonts w:hint="eastAsia"/>
              </w:rPr>
              <w:t>(Joseph</w:t>
            </w:r>
            <w:r>
              <w:t xml:space="preserve"> </w:t>
            </w:r>
            <w:proofErr w:type="spellStart"/>
            <w:r>
              <w:rPr>
                <w:rFonts w:hint="eastAsia"/>
              </w:rPr>
              <w:t>Fok</w:t>
            </w:r>
            <w:proofErr w:type="spellEnd"/>
            <w:r>
              <w:rPr>
                <w:rFonts w:hint="eastAsia"/>
              </w:rPr>
              <w:t>)</w:t>
            </w:r>
          </w:p>
        </w:tc>
        <w:tc>
          <w:tcPr>
            <w:tcW w:w="2660" w:type="dxa"/>
          </w:tcPr>
          <w:p w:rsidR="00053745" w:rsidRDefault="00053745" w:rsidP="00053745">
            <w:pPr>
              <w:jc w:val="center"/>
            </w:pPr>
            <w:r>
              <w:rPr>
                <w:rFonts w:hint="eastAsia"/>
              </w:rPr>
              <w:t>(Mohan</w:t>
            </w:r>
            <w:r>
              <w:t xml:space="preserve"> </w:t>
            </w:r>
            <w:proofErr w:type="spellStart"/>
            <w:r>
              <w:rPr>
                <w:rFonts w:hint="eastAsia"/>
              </w:rPr>
              <w:t>Bharwaney</w:t>
            </w:r>
            <w:proofErr w:type="spellEnd"/>
            <w:r>
              <w:rPr>
                <w:rFonts w:hint="eastAsia"/>
              </w:rPr>
              <w:t>)</w:t>
            </w:r>
          </w:p>
        </w:tc>
      </w:tr>
      <w:tr w:rsidR="00053745" w:rsidTr="00053745">
        <w:tc>
          <w:tcPr>
            <w:tcW w:w="2835" w:type="dxa"/>
          </w:tcPr>
          <w:p w:rsidR="00053745" w:rsidRDefault="00053745" w:rsidP="00053745">
            <w:pPr>
              <w:keepNext/>
              <w:ind w:left="144"/>
              <w:jc w:val="center"/>
            </w:pPr>
            <w:r>
              <w:rPr>
                <w:rFonts w:hint="eastAsia"/>
              </w:rPr>
              <w:t>Justice</w:t>
            </w:r>
            <w:r>
              <w:t xml:space="preserve"> </w:t>
            </w:r>
            <w:r>
              <w:rPr>
                <w:rFonts w:hint="eastAsia"/>
              </w:rPr>
              <w:t>of</w:t>
            </w:r>
            <w:r>
              <w:t xml:space="preserve"> </w:t>
            </w:r>
            <w:r>
              <w:rPr>
                <w:rFonts w:hint="eastAsia"/>
              </w:rPr>
              <w:t>Appeal</w:t>
            </w:r>
          </w:p>
        </w:tc>
        <w:tc>
          <w:tcPr>
            <w:tcW w:w="2905" w:type="dxa"/>
          </w:tcPr>
          <w:p w:rsidR="00053745" w:rsidRDefault="00053745" w:rsidP="00053745">
            <w:pPr>
              <w:jc w:val="center"/>
            </w:pPr>
            <w:r>
              <w:rPr>
                <w:rFonts w:hint="eastAsia"/>
              </w:rPr>
              <w:t>Justice</w:t>
            </w:r>
            <w:r>
              <w:t xml:space="preserve"> </w:t>
            </w:r>
            <w:r>
              <w:rPr>
                <w:rFonts w:hint="eastAsia"/>
              </w:rPr>
              <w:t>of</w:t>
            </w:r>
            <w:r>
              <w:t xml:space="preserve"> </w:t>
            </w:r>
            <w:r>
              <w:rPr>
                <w:rFonts w:hint="eastAsia"/>
              </w:rPr>
              <w:t>Appeal</w:t>
            </w:r>
          </w:p>
        </w:tc>
        <w:tc>
          <w:tcPr>
            <w:tcW w:w="2660" w:type="dxa"/>
          </w:tcPr>
          <w:p w:rsidR="00053745" w:rsidRDefault="00053745" w:rsidP="00053745">
            <w:pPr>
              <w:jc w:val="center"/>
            </w:pPr>
            <w:r>
              <w:rPr>
                <w:rFonts w:hint="eastAsia"/>
              </w:rPr>
              <w:t>Judge</w:t>
            </w:r>
            <w:r>
              <w:t xml:space="preserve"> </w:t>
            </w:r>
            <w:r>
              <w:rPr>
                <w:rFonts w:hint="eastAsia"/>
              </w:rPr>
              <w:t>of</w:t>
            </w:r>
            <w:r>
              <w:t xml:space="preserve"> </w:t>
            </w:r>
            <w:r>
              <w:rPr>
                <w:rFonts w:hint="eastAsia"/>
              </w:rPr>
              <w:t>the</w:t>
            </w:r>
            <w:r>
              <w:t xml:space="preserve"> </w:t>
            </w:r>
            <w:r>
              <w:rPr>
                <w:rFonts w:hint="eastAsia"/>
              </w:rPr>
              <w:t>Court</w:t>
            </w:r>
            <w:r>
              <w:t xml:space="preserve"> </w:t>
            </w:r>
            <w:r>
              <w:rPr>
                <w:rFonts w:hint="eastAsia"/>
              </w:rPr>
              <w:t>of</w:t>
            </w:r>
          </w:p>
          <w:p w:rsidR="00053745" w:rsidRDefault="00053745" w:rsidP="00053745">
            <w:pPr>
              <w:jc w:val="center"/>
            </w:pPr>
            <w:r>
              <w:rPr>
                <w:rFonts w:hint="eastAsia"/>
              </w:rPr>
              <w:t>First</w:t>
            </w:r>
            <w:r>
              <w:t xml:space="preserve"> </w:t>
            </w:r>
            <w:r>
              <w:rPr>
                <w:rFonts w:hint="eastAsia"/>
              </w:rPr>
              <w:t>Instance</w:t>
            </w:r>
          </w:p>
        </w:tc>
      </w:tr>
    </w:tbl>
    <w:p w:rsidR="00FD4A74" w:rsidRDefault="00FD4A74"/>
    <w:p w:rsidR="00FD4A74" w:rsidRDefault="00FD4A74"/>
    <w:p w:rsidR="008F5DBA" w:rsidRDefault="008F5DBA" w:rsidP="008F5DBA">
      <w:pPr>
        <w:ind w:left="284" w:hanging="284"/>
      </w:pPr>
      <w:r>
        <w:t>Miss Roxanne Ismail, instructed by the Department of Justice, for the appellant (appellant)</w:t>
      </w:r>
    </w:p>
    <w:p w:rsidR="008F5DBA" w:rsidRDefault="008F5DBA" w:rsidP="008F5DBA">
      <w:pPr>
        <w:ind w:left="284" w:hanging="284"/>
      </w:pPr>
    </w:p>
    <w:p w:rsidR="008F5DBA" w:rsidRDefault="008F5DBA" w:rsidP="008F5DBA">
      <w:pPr>
        <w:ind w:left="284" w:hanging="284"/>
      </w:pPr>
      <w:r>
        <w:t xml:space="preserve">Mr Kwok Sui Hay, instructed by Oldham, Li &amp; </w:t>
      </w:r>
      <w:proofErr w:type="spellStart"/>
      <w:r>
        <w:t>Nie</w:t>
      </w:r>
      <w:proofErr w:type="spellEnd"/>
      <w:r>
        <w:t>, for the respondent (respondent)</w:t>
      </w:r>
    </w:p>
    <w:sectPr w:rsidR="008F5DBA" w:rsidSect="00782DB2">
      <w:headerReference w:type="even" r:id="rId10"/>
      <w:headerReference w:type="default" r:id="rId11"/>
      <w:type w:val="continuous"/>
      <w:pgSz w:w="11909" w:h="16834" w:code="9"/>
      <w:pgMar w:top="1418" w:right="1701" w:bottom="1418" w:left="1701" w:header="737" w:footer="737" w:gutter="0"/>
      <w:cols w:space="708"/>
      <w:docGrid w:linePitch="380"/>
    </w:sectPr>
  </w:body>
</w:document>
</file>

<file path=word/customizations.xml><?xml version="1.0" encoding="utf-8"?>
<wne:tcg xmlns:r="http://schemas.openxmlformats.org/officeDocument/2006/relationships" xmlns:wne="http://schemas.microsoft.com/office/word/2006/wordml">
  <wne:keymaps>
    <wne:keymap wne:kcmPrimary="0261">
      <wne:acd wne:acdName="acd0"/>
    </wne:keymap>
    <wne:keymap wne:kcmPrimary="0262">
      <wne:acd wne:acdName="acd1"/>
    </wne:keymap>
    <wne:keymap wne:kcmPrimary="0263">
      <wne:acd wne:acdName="acd3"/>
    </wne:keymap>
    <wne:keymap wne:kcmPrimary="0266">
      <wne:acd wne:acdName="acd4"/>
    </wne:keymap>
    <wne:keymap wne:kcmPrimary="0268">
      <wne:acd wne:acdName="acd2"/>
    </wne:keymap>
  </wne:keymaps>
  <wne:toolbars>
    <wne:acdManifest>
      <wne:acdEntry wne:acdName="acd0"/>
      <wne:acdEntry wne:acdName="acd1"/>
      <wne:acdEntry wne:acdName="acd2"/>
      <wne:acdEntry wne:acdName="acd3"/>
      <wne:acdEntry wne:acdName="acd4"/>
    </wne:acdManifest>
  </wne:toolbars>
  <wne:acds>
    <wne:acd wne:argValue="AgBhAHIALQBkAHIAYQBmAHQA" wne:acdName="acd0" wne:fciIndexBasedOn="0065"/>
    <wne:acd wne:argValue="AgBhAHIALQBoAGUAYQBkAGkAbgBnADEA" wne:acdName="acd1" wne:fciIndexBasedOn="0065"/>
    <wne:acd wne:argValue="AgBhAHIALQBzAHUAYgBoAGUAYQBkAGkAbgBnAA==" wne:acdName="acd2" wne:fciIndexBasedOn="0065"/>
    <wne:acd wne:argValue="AgBhAHIALQBxAHUAbwB0AGEAdABpAG8AbgA=" wne:acdName="acd3" wne:fciIndexBasedOn="0065"/>
    <wne:acd wne:argValue="AgBhAHIALQBoAGEAbgBnAC0AcQB1AG8A" wne:acdName="acd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1E" w:rsidRDefault="00B57D1E">
      <w:r>
        <w:separator/>
      </w:r>
    </w:p>
  </w:endnote>
  <w:endnote w:type="continuationSeparator" w:id="0">
    <w:p w:rsidR="00B57D1E" w:rsidRDefault="00B57D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1E" w:rsidRDefault="00B57D1E">
      <w:r>
        <w:separator/>
      </w:r>
    </w:p>
  </w:footnote>
  <w:footnote w:type="continuationSeparator" w:id="0">
    <w:p w:rsidR="00B57D1E" w:rsidRDefault="00B57D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A74" w:rsidRDefault="00AB0384">
    <w:pPr>
      <w:snapToGrid w:val="0"/>
      <w:ind w:firstLine="1440"/>
    </w:pPr>
    <w:r w:rsidRPr="00AB0384">
      <w:rPr>
        <w:noProof/>
        <w:sz w:val="20"/>
      </w:rPr>
      <w:pict>
        <v:shapetype id="_x0000_t202" coordsize="21600,21600" o:spt="202" path="m,l,21600r21600,l21600,xe">
          <v:stroke joinstyle="miter"/>
          <v:path gradientshapeok="t" o:connecttype="rect"/>
        </v:shapetype>
        <v:shape id="_x0000_s2061" type="#_x0000_t202" style="position:absolute;left:0;text-align:left;margin-left:-69.3pt;margin-top:16.3pt;width:27pt;height:783pt;z-index:251658240" stroked="f">
          <v:textbox style="mso-next-textbox:#_x0000_s2061">
            <w:txbxContent>
              <w:p w:rsidR="00FD4A74" w:rsidRDefault="00FD4A74">
                <w:pPr>
                  <w:pStyle w:val="Heading2"/>
                  <w:rPr>
                    <w:bCs w:val="0"/>
                  </w:rPr>
                </w:pPr>
                <w:r>
                  <w:rPr>
                    <w:rFonts w:hint="eastAsia"/>
                    <w:bCs w:val="0"/>
                  </w:rPr>
                  <w:t>A</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B</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C</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pPr>
                <w:r>
                  <w:rPr>
                    <w:rFonts w:hint="eastAsia"/>
                  </w:rPr>
                  <w:t>D</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E</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F</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G</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4"/>
                  <w:rPr>
                    <w:sz w:val="20"/>
                  </w:rPr>
                </w:pPr>
                <w:r>
                  <w:rPr>
                    <w:rFonts w:hint="eastAsia"/>
                    <w:sz w:val="20"/>
                  </w:rPr>
                  <w:t>H</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I</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J</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K</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L</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M</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N</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O</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P</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Q</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R</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S</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T</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U</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3"/>
                  <w:jc w:val="left"/>
                </w:pPr>
                <w:r>
                  <w:rPr>
                    <w:rFonts w:hint="eastAsia"/>
                  </w:rPr>
                  <w:t>V</w:t>
                </w:r>
              </w:p>
            </w:txbxContent>
          </v:textbox>
        </v:shape>
      </w:pict>
    </w:r>
    <w:r w:rsidRPr="00AB0384">
      <w:rPr>
        <w:noProof/>
        <w:sz w:val="20"/>
      </w:rPr>
      <w:pict>
        <v:shape id="_x0000_s2062" type="#_x0000_t202" style="position:absolute;left:0;text-align:left;margin-left:469pt;margin-top:6.8pt;width:32.6pt;height:11in;z-index:251659264" stroked="f">
          <v:textbox style="mso-next-textbox:#_x0000_s2062">
            <w:txbxContent>
              <w:p w:rsidR="00FD4A74" w:rsidRDefault="00FD4A74">
                <w:pPr>
                  <w:pStyle w:val="Heading2"/>
                  <w:spacing w:before="240"/>
                  <w:rPr>
                    <w:bCs w:val="0"/>
                  </w:rPr>
                </w:pPr>
                <w:r>
                  <w:rPr>
                    <w:rFonts w:hint="eastAsia"/>
                    <w:bCs w:val="0"/>
                  </w:rPr>
                  <w:t>A</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B</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C</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pPr>
                <w:r>
                  <w:rPr>
                    <w:rFonts w:hint="eastAsia"/>
                  </w:rPr>
                  <w:t>D</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E</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F</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G</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H</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I</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J</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4"/>
                  <w:rPr>
                    <w:sz w:val="20"/>
                  </w:rPr>
                </w:pPr>
                <w:r>
                  <w:rPr>
                    <w:rFonts w:hint="eastAsia"/>
                    <w:sz w:val="20"/>
                  </w:rPr>
                  <w:t>K</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L</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M</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N</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O</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P</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Q</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R</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S</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T</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U</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3"/>
                  <w:jc w:val="left"/>
                </w:pPr>
                <w:r>
                  <w:rPr>
                    <w:rFonts w:hint="eastAsia"/>
                  </w:rP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A74" w:rsidRDefault="00FD4A7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A74" w:rsidRDefault="00AB0384">
    <w:pPr>
      <w:snapToGrid w:val="0"/>
      <w:spacing w:before="240"/>
      <w:jc w:val="center"/>
    </w:pPr>
    <w:r w:rsidRPr="00AB0384">
      <w:rPr>
        <w:noProof/>
        <w:sz w:val="20"/>
      </w:rPr>
      <w:pict>
        <v:shapetype id="_x0000_t202" coordsize="21600,21600" o:spt="202" path="m,l,21600r21600,l21600,xe">
          <v:stroke joinstyle="miter"/>
          <v:path gradientshapeok="t" o:connecttype="rect"/>
        </v:shapetype>
        <v:shape id="_x0000_s2058" type="#_x0000_t202" style="position:absolute;left:0;text-align:left;margin-left:-71.4pt;margin-top:16.3pt;width:27pt;height:783pt;z-index:251655168" stroked="f">
          <v:textbox style="mso-next-textbox:#_x0000_s2058">
            <w:txbxContent>
              <w:p w:rsidR="00FD4A74" w:rsidRDefault="00FD4A74">
                <w:pPr>
                  <w:pStyle w:val="Heading2"/>
                  <w:rPr>
                    <w:bCs w:val="0"/>
                  </w:rPr>
                </w:pPr>
                <w:r>
                  <w:rPr>
                    <w:rFonts w:hint="eastAsia"/>
                    <w:bCs w:val="0"/>
                  </w:rPr>
                  <w:t>A</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B</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C</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pPr>
                <w:r>
                  <w:rPr>
                    <w:rFonts w:hint="eastAsia"/>
                  </w:rPr>
                  <w:t>D</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E</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F</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G</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4"/>
                  <w:rPr>
                    <w:sz w:val="20"/>
                  </w:rPr>
                </w:pPr>
                <w:r>
                  <w:rPr>
                    <w:rFonts w:hint="eastAsia"/>
                    <w:sz w:val="20"/>
                  </w:rPr>
                  <w:t>H</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I</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J</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K</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L</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M</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N</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O</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P</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Q</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R</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S</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T</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U</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3"/>
                  <w:jc w:val="left"/>
                </w:pPr>
                <w:r>
                  <w:rPr>
                    <w:rFonts w:hint="eastAsia"/>
                  </w:rPr>
                  <w:t>V</w:t>
                </w:r>
              </w:p>
            </w:txbxContent>
          </v:textbox>
        </v:shape>
      </w:pict>
    </w:r>
    <w:r w:rsidRPr="00AB0384">
      <w:rPr>
        <w:noProof/>
        <w:sz w:val="20"/>
      </w:rPr>
      <w:pict>
        <v:shape id="_x0000_s2059" type="#_x0000_t202" style="position:absolute;left:0;text-align:left;margin-left:469pt;margin-top:6.8pt;width:32.6pt;height:11in;z-index:251656192" stroked="f">
          <v:textbox style="mso-next-textbox:#_x0000_s2059">
            <w:txbxContent>
              <w:p w:rsidR="00FD4A74" w:rsidRDefault="00FD4A74">
                <w:pPr>
                  <w:pStyle w:val="Heading2"/>
                  <w:spacing w:before="240"/>
                  <w:rPr>
                    <w:bCs w:val="0"/>
                  </w:rPr>
                </w:pPr>
                <w:r>
                  <w:rPr>
                    <w:rFonts w:hint="eastAsia"/>
                    <w:bCs w:val="0"/>
                  </w:rPr>
                  <w:t>A</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B</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C</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pPr>
                <w:r>
                  <w:rPr>
                    <w:rFonts w:hint="eastAsia"/>
                  </w:rPr>
                  <w:t>D</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E</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F</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G</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H</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I</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J</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4"/>
                  <w:rPr>
                    <w:sz w:val="20"/>
                  </w:rPr>
                </w:pPr>
                <w:r>
                  <w:rPr>
                    <w:rFonts w:hint="eastAsia"/>
                    <w:sz w:val="20"/>
                  </w:rPr>
                  <w:t>K</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L</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M</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N</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O</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P</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Q</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R</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S</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T</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2"/>
                  <w:rPr>
                    <w:bCs w:val="0"/>
                  </w:rPr>
                </w:pPr>
                <w:r>
                  <w:rPr>
                    <w:rFonts w:hint="eastAsia"/>
                    <w:bCs w:val="0"/>
                  </w:rPr>
                  <w:t>U</w:t>
                </w:r>
              </w:p>
              <w:p w:rsidR="00FD4A74" w:rsidRDefault="00FD4A74">
                <w:pPr>
                  <w:rPr>
                    <w:b/>
                    <w:sz w:val="10"/>
                  </w:rPr>
                </w:pPr>
              </w:p>
              <w:p w:rsidR="00FD4A74" w:rsidRDefault="00FD4A74">
                <w:pPr>
                  <w:rPr>
                    <w:b/>
                    <w:sz w:val="16"/>
                  </w:rPr>
                </w:pPr>
              </w:p>
              <w:p w:rsidR="00FD4A74" w:rsidRDefault="00FD4A74">
                <w:pPr>
                  <w:rPr>
                    <w:b/>
                    <w:sz w:val="16"/>
                  </w:rPr>
                </w:pPr>
              </w:p>
              <w:p w:rsidR="00FD4A74" w:rsidRDefault="00FD4A74">
                <w:pPr>
                  <w:pStyle w:val="Heading3"/>
                  <w:jc w:val="left"/>
                </w:pPr>
                <w:r>
                  <w:rPr>
                    <w:rFonts w:hint="eastAsia"/>
                  </w:rPr>
                  <w:t>V</w:t>
                </w:r>
              </w:p>
            </w:txbxContent>
          </v:textbox>
        </v:shape>
      </w:pict>
    </w:r>
    <w:r w:rsidR="00FD4A74">
      <w:rPr>
        <w:rFonts w:hint="eastAsia"/>
      </w:rPr>
      <w:t xml:space="preserve">- </w:t>
    </w:r>
    <w:fldSimple w:instr=" PAGE ">
      <w:r w:rsidR="006A3959">
        <w:rPr>
          <w:noProof/>
        </w:rPr>
        <w:t>18</w:t>
      </w:r>
    </w:fldSimple>
    <w:r w:rsidR="00FD4A74">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4CB266"/>
    <w:lvl w:ilvl="0">
      <w:start w:val="1"/>
      <w:numFmt w:val="decimal"/>
      <w:lvlText w:val="%1."/>
      <w:lvlJc w:val="left"/>
      <w:pPr>
        <w:tabs>
          <w:tab w:val="num" w:pos="1492"/>
        </w:tabs>
        <w:ind w:left="1492" w:hanging="360"/>
      </w:pPr>
    </w:lvl>
  </w:abstractNum>
  <w:abstractNum w:abstractNumId="1">
    <w:nsid w:val="FFFFFF7D"/>
    <w:multiLevelType w:val="singleLevel"/>
    <w:tmpl w:val="079C451C"/>
    <w:lvl w:ilvl="0">
      <w:start w:val="1"/>
      <w:numFmt w:val="decimal"/>
      <w:lvlText w:val="%1."/>
      <w:lvlJc w:val="left"/>
      <w:pPr>
        <w:tabs>
          <w:tab w:val="num" w:pos="1209"/>
        </w:tabs>
        <w:ind w:left="1209" w:hanging="360"/>
      </w:pPr>
    </w:lvl>
  </w:abstractNum>
  <w:abstractNum w:abstractNumId="2">
    <w:nsid w:val="FFFFFF7E"/>
    <w:multiLevelType w:val="singleLevel"/>
    <w:tmpl w:val="DC728078"/>
    <w:lvl w:ilvl="0">
      <w:start w:val="1"/>
      <w:numFmt w:val="decimal"/>
      <w:lvlText w:val="%1."/>
      <w:lvlJc w:val="left"/>
      <w:pPr>
        <w:tabs>
          <w:tab w:val="num" w:pos="926"/>
        </w:tabs>
        <w:ind w:left="926" w:hanging="360"/>
      </w:pPr>
    </w:lvl>
  </w:abstractNum>
  <w:abstractNum w:abstractNumId="3">
    <w:nsid w:val="FFFFFF7F"/>
    <w:multiLevelType w:val="singleLevel"/>
    <w:tmpl w:val="8C9CE89A"/>
    <w:lvl w:ilvl="0">
      <w:start w:val="1"/>
      <w:numFmt w:val="decimal"/>
      <w:lvlText w:val="%1."/>
      <w:lvlJc w:val="left"/>
      <w:pPr>
        <w:tabs>
          <w:tab w:val="num" w:pos="643"/>
        </w:tabs>
        <w:ind w:left="643" w:hanging="360"/>
      </w:pPr>
    </w:lvl>
  </w:abstractNum>
  <w:abstractNum w:abstractNumId="4">
    <w:nsid w:val="FFFFFF80"/>
    <w:multiLevelType w:val="singleLevel"/>
    <w:tmpl w:val="470E580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664EE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6CA83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20488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BA40D2"/>
    <w:lvl w:ilvl="0">
      <w:start w:val="1"/>
      <w:numFmt w:val="decimal"/>
      <w:lvlText w:val="%1."/>
      <w:lvlJc w:val="left"/>
      <w:pPr>
        <w:tabs>
          <w:tab w:val="num" w:pos="360"/>
        </w:tabs>
        <w:ind w:left="360" w:hanging="360"/>
      </w:pPr>
    </w:lvl>
  </w:abstractNum>
  <w:abstractNum w:abstractNumId="9">
    <w:nsid w:val="FFFFFF89"/>
    <w:multiLevelType w:val="singleLevel"/>
    <w:tmpl w:val="D9DC57D8"/>
    <w:lvl w:ilvl="0">
      <w:start w:val="1"/>
      <w:numFmt w:val="bullet"/>
      <w:lvlText w:val=""/>
      <w:lvlJc w:val="left"/>
      <w:pPr>
        <w:tabs>
          <w:tab w:val="num" w:pos="360"/>
        </w:tabs>
        <w:ind w:left="360" w:hanging="360"/>
      </w:pPr>
      <w:rPr>
        <w:rFonts w:ascii="Symbol" w:hAnsi="Symbol" w:hint="default"/>
      </w:rPr>
    </w:lvl>
  </w:abstractNum>
  <w:abstractNum w:abstractNumId="1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nsid w:val="262469AB"/>
    <w:multiLevelType w:val="singleLevel"/>
    <w:tmpl w:val="00BEDBD0"/>
    <w:lvl w:ilvl="0">
      <w:start w:val="1"/>
      <w:numFmt w:val="decimal"/>
      <w:pStyle w:val="T-Draft"/>
      <w:lvlText w:val="%1."/>
      <w:lvlJc w:val="left"/>
      <w:pPr>
        <w:tabs>
          <w:tab w:val="num" w:pos="360"/>
        </w:tabs>
        <w:ind w:left="0" w:firstLine="0"/>
      </w:pPr>
      <w:rPr>
        <w:rFonts w:hint="eastAsia"/>
      </w:rPr>
    </w:lvl>
  </w:abstractNum>
  <w:abstractNum w:abstractNumId="12">
    <w:nsid w:val="3E810ACF"/>
    <w:multiLevelType w:val="hybridMultilevel"/>
    <w:tmpl w:val="1AB26AE2"/>
    <w:lvl w:ilvl="0" w:tplc="BEA421B2">
      <w:start w:val="1"/>
      <w:numFmt w:val="lowerLetter"/>
      <w:lvlText w:val="(%1)"/>
      <w:lvlJc w:val="left"/>
      <w:pPr>
        <w:tabs>
          <w:tab w:val="num" w:pos="2385"/>
        </w:tabs>
        <w:ind w:left="2385" w:hanging="705"/>
      </w:pPr>
      <w:rPr>
        <w:rFonts w:hint="eastAsia"/>
      </w:rPr>
    </w:lvl>
    <w:lvl w:ilvl="1" w:tplc="04090019" w:tentative="1">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13">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4">
    <w:nsid w:val="73AA1EBF"/>
    <w:multiLevelType w:val="hybridMultilevel"/>
    <w:tmpl w:val="9A728E8E"/>
    <w:lvl w:ilvl="0" w:tplc="A3AC68A2">
      <w:start w:val="1"/>
      <w:numFmt w:val="lowerLetter"/>
      <w:lvlText w:val="(%1)"/>
      <w:lvlJc w:val="left"/>
      <w:pPr>
        <w:tabs>
          <w:tab w:val="num" w:pos="2860"/>
        </w:tabs>
        <w:ind w:left="2860" w:hanging="360"/>
      </w:pPr>
      <w:rPr>
        <w:rFonts w:hint="eastAsia"/>
      </w:rPr>
    </w:lvl>
    <w:lvl w:ilvl="1" w:tplc="04090019" w:tentative="1">
      <w:start w:val="1"/>
      <w:numFmt w:val="lowerLetter"/>
      <w:lvlText w:val="%2."/>
      <w:lvlJc w:val="left"/>
      <w:pPr>
        <w:tabs>
          <w:tab w:val="num" w:pos="3580"/>
        </w:tabs>
        <w:ind w:left="3580" w:hanging="360"/>
      </w:pPr>
    </w:lvl>
    <w:lvl w:ilvl="2" w:tplc="0409001B" w:tentative="1">
      <w:start w:val="1"/>
      <w:numFmt w:val="lowerRoman"/>
      <w:lvlText w:val="%3."/>
      <w:lvlJc w:val="right"/>
      <w:pPr>
        <w:tabs>
          <w:tab w:val="num" w:pos="4300"/>
        </w:tabs>
        <w:ind w:left="4300" w:hanging="180"/>
      </w:pPr>
    </w:lvl>
    <w:lvl w:ilvl="3" w:tplc="0409000F" w:tentative="1">
      <w:start w:val="1"/>
      <w:numFmt w:val="decimal"/>
      <w:lvlText w:val="%4."/>
      <w:lvlJc w:val="left"/>
      <w:pPr>
        <w:tabs>
          <w:tab w:val="num" w:pos="5020"/>
        </w:tabs>
        <w:ind w:left="5020" w:hanging="360"/>
      </w:pPr>
    </w:lvl>
    <w:lvl w:ilvl="4" w:tplc="04090019" w:tentative="1">
      <w:start w:val="1"/>
      <w:numFmt w:val="lowerLetter"/>
      <w:lvlText w:val="%5."/>
      <w:lvlJc w:val="left"/>
      <w:pPr>
        <w:tabs>
          <w:tab w:val="num" w:pos="5740"/>
        </w:tabs>
        <w:ind w:left="5740" w:hanging="360"/>
      </w:pPr>
    </w:lvl>
    <w:lvl w:ilvl="5" w:tplc="0409001B" w:tentative="1">
      <w:start w:val="1"/>
      <w:numFmt w:val="lowerRoman"/>
      <w:lvlText w:val="%6."/>
      <w:lvlJc w:val="right"/>
      <w:pPr>
        <w:tabs>
          <w:tab w:val="num" w:pos="6460"/>
        </w:tabs>
        <w:ind w:left="6460" w:hanging="180"/>
      </w:pPr>
    </w:lvl>
    <w:lvl w:ilvl="6" w:tplc="0409000F" w:tentative="1">
      <w:start w:val="1"/>
      <w:numFmt w:val="decimal"/>
      <w:lvlText w:val="%7."/>
      <w:lvlJc w:val="left"/>
      <w:pPr>
        <w:tabs>
          <w:tab w:val="num" w:pos="7180"/>
        </w:tabs>
        <w:ind w:left="7180" w:hanging="360"/>
      </w:pPr>
    </w:lvl>
    <w:lvl w:ilvl="7" w:tplc="04090019" w:tentative="1">
      <w:start w:val="1"/>
      <w:numFmt w:val="lowerLetter"/>
      <w:lvlText w:val="%8."/>
      <w:lvlJc w:val="left"/>
      <w:pPr>
        <w:tabs>
          <w:tab w:val="num" w:pos="7900"/>
        </w:tabs>
        <w:ind w:left="7900" w:hanging="360"/>
      </w:pPr>
    </w:lvl>
    <w:lvl w:ilvl="8" w:tplc="0409001B" w:tentative="1">
      <w:start w:val="1"/>
      <w:numFmt w:val="lowerRoman"/>
      <w:lvlText w:val="%9."/>
      <w:lvlJc w:val="right"/>
      <w:pPr>
        <w:tabs>
          <w:tab w:val="num" w:pos="8620"/>
        </w:tabs>
        <w:ind w:left="8620" w:hanging="180"/>
      </w:pPr>
    </w:lvl>
  </w:abstractNum>
  <w:num w:numId="1">
    <w:abstractNumId w:val="11"/>
  </w:num>
  <w:num w:numId="2">
    <w:abstractNumId w:val="13"/>
  </w:num>
  <w:num w:numId="3">
    <w:abstractNumId w:val="12"/>
  </w:num>
  <w:num w:numId="4">
    <w:abstractNumId w:val="14"/>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0"/>
  </w:num>
  <w:num w:numId="16">
    <w:abstractNumId w:val="10"/>
  </w:num>
  <w:num w:numId="17">
    <w:abstractNumId w:val="10"/>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41986"/>
    <o:shapelayout v:ext="edit">
      <o:idmap v:ext="edit" data="2"/>
    </o:shapelayout>
  </w:hdrShapeDefaults>
  <w:footnotePr>
    <w:footnote w:id="-1"/>
    <w:footnote w:id="0"/>
  </w:footnotePr>
  <w:endnotePr>
    <w:endnote w:id="-1"/>
    <w:endnote w:id="0"/>
  </w:endnotePr>
  <w:compat>
    <w:useFELayout/>
  </w:compat>
  <w:rsids>
    <w:rsidRoot w:val="00EA1154"/>
    <w:rsid w:val="00010069"/>
    <w:rsid w:val="00016CA0"/>
    <w:rsid w:val="00017B51"/>
    <w:rsid w:val="00030908"/>
    <w:rsid w:val="0004451F"/>
    <w:rsid w:val="00047AEA"/>
    <w:rsid w:val="00053745"/>
    <w:rsid w:val="00065C90"/>
    <w:rsid w:val="00075CC4"/>
    <w:rsid w:val="00077B28"/>
    <w:rsid w:val="00087EEE"/>
    <w:rsid w:val="000A0FA1"/>
    <w:rsid w:val="000B462F"/>
    <w:rsid w:val="000C109D"/>
    <w:rsid w:val="000D14B0"/>
    <w:rsid w:val="000D155F"/>
    <w:rsid w:val="000D5DD5"/>
    <w:rsid w:val="000D66EC"/>
    <w:rsid w:val="000E7266"/>
    <w:rsid w:val="00130548"/>
    <w:rsid w:val="0014192D"/>
    <w:rsid w:val="00142631"/>
    <w:rsid w:val="00157DFB"/>
    <w:rsid w:val="00164A03"/>
    <w:rsid w:val="001907FF"/>
    <w:rsid w:val="001A1EB7"/>
    <w:rsid w:val="001A5CB9"/>
    <w:rsid w:val="001B0876"/>
    <w:rsid w:val="001E2970"/>
    <w:rsid w:val="001F1F6E"/>
    <w:rsid w:val="002211C0"/>
    <w:rsid w:val="0024000C"/>
    <w:rsid w:val="00243365"/>
    <w:rsid w:val="00251CD3"/>
    <w:rsid w:val="002562B3"/>
    <w:rsid w:val="00260C48"/>
    <w:rsid w:val="00267F2C"/>
    <w:rsid w:val="00284B01"/>
    <w:rsid w:val="002A664B"/>
    <w:rsid w:val="002A7014"/>
    <w:rsid w:val="002B2081"/>
    <w:rsid w:val="002D6400"/>
    <w:rsid w:val="002E07F7"/>
    <w:rsid w:val="002E148D"/>
    <w:rsid w:val="002F2DDA"/>
    <w:rsid w:val="00316472"/>
    <w:rsid w:val="003318BB"/>
    <w:rsid w:val="00392924"/>
    <w:rsid w:val="0039583C"/>
    <w:rsid w:val="0039717A"/>
    <w:rsid w:val="003A25DD"/>
    <w:rsid w:val="003E4CFC"/>
    <w:rsid w:val="00402B2C"/>
    <w:rsid w:val="00410F46"/>
    <w:rsid w:val="00412C83"/>
    <w:rsid w:val="00435598"/>
    <w:rsid w:val="00436814"/>
    <w:rsid w:val="004417F4"/>
    <w:rsid w:val="00450ED3"/>
    <w:rsid w:val="00451D3B"/>
    <w:rsid w:val="00453587"/>
    <w:rsid w:val="0046203F"/>
    <w:rsid w:val="00477D68"/>
    <w:rsid w:val="00483CF4"/>
    <w:rsid w:val="00485CDA"/>
    <w:rsid w:val="00493781"/>
    <w:rsid w:val="00497499"/>
    <w:rsid w:val="004A2107"/>
    <w:rsid w:val="004A6CBA"/>
    <w:rsid w:val="004B4C1A"/>
    <w:rsid w:val="004E0188"/>
    <w:rsid w:val="004E47B4"/>
    <w:rsid w:val="004F68D0"/>
    <w:rsid w:val="00512765"/>
    <w:rsid w:val="00541E77"/>
    <w:rsid w:val="00555145"/>
    <w:rsid w:val="00561CDB"/>
    <w:rsid w:val="005756ED"/>
    <w:rsid w:val="00580AA7"/>
    <w:rsid w:val="0058228C"/>
    <w:rsid w:val="005A711B"/>
    <w:rsid w:val="005B423F"/>
    <w:rsid w:val="005C3A58"/>
    <w:rsid w:val="005D7A42"/>
    <w:rsid w:val="005E7EBB"/>
    <w:rsid w:val="00625708"/>
    <w:rsid w:val="006377A8"/>
    <w:rsid w:val="0064711B"/>
    <w:rsid w:val="00655B4E"/>
    <w:rsid w:val="00657C78"/>
    <w:rsid w:val="00666B50"/>
    <w:rsid w:val="0067014A"/>
    <w:rsid w:val="00674A64"/>
    <w:rsid w:val="006777D3"/>
    <w:rsid w:val="006A1644"/>
    <w:rsid w:val="006A3959"/>
    <w:rsid w:val="006D1E2F"/>
    <w:rsid w:val="006D7FEA"/>
    <w:rsid w:val="006E14CF"/>
    <w:rsid w:val="006E54CC"/>
    <w:rsid w:val="006F0DEE"/>
    <w:rsid w:val="006F7601"/>
    <w:rsid w:val="007025DD"/>
    <w:rsid w:val="00707A65"/>
    <w:rsid w:val="00743D0A"/>
    <w:rsid w:val="00743D2E"/>
    <w:rsid w:val="007469E2"/>
    <w:rsid w:val="00782DB2"/>
    <w:rsid w:val="007A096D"/>
    <w:rsid w:val="007E2D9D"/>
    <w:rsid w:val="007E3818"/>
    <w:rsid w:val="007E59EE"/>
    <w:rsid w:val="00817A63"/>
    <w:rsid w:val="00831DD1"/>
    <w:rsid w:val="00833207"/>
    <w:rsid w:val="00834592"/>
    <w:rsid w:val="00834DFA"/>
    <w:rsid w:val="00857DF6"/>
    <w:rsid w:val="008948C4"/>
    <w:rsid w:val="008B2D91"/>
    <w:rsid w:val="008C7C4F"/>
    <w:rsid w:val="008D4135"/>
    <w:rsid w:val="008F5DBA"/>
    <w:rsid w:val="009338C1"/>
    <w:rsid w:val="00946397"/>
    <w:rsid w:val="00956264"/>
    <w:rsid w:val="00960E4F"/>
    <w:rsid w:val="0096789F"/>
    <w:rsid w:val="00987D28"/>
    <w:rsid w:val="009E00F7"/>
    <w:rsid w:val="009F53E0"/>
    <w:rsid w:val="009F55BC"/>
    <w:rsid w:val="00A23B19"/>
    <w:rsid w:val="00A307CF"/>
    <w:rsid w:val="00A35AFF"/>
    <w:rsid w:val="00A41D9E"/>
    <w:rsid w:val="00A470F9"/>
    <w:rsid w:val="00A65076"/>
    <w:rsid w:val="00A73B32"/>
    <w:rsid w:val="00A8030B"/>
    <w:rsid w:val="00AB0384"/>
    <w:rsid w:val="00AD14B0"/>
    <w:rsid w:val="00AE6E37"/>
    <w:rsid w:val="00AF55F0"/>
    <w:rsid w:val="00AF66F3"/>
    <w:rsid w:val="00B25B3C"/>
    <w:rsid w:val="00B320D6"/>
    <w:rsid w:val="00B47C2A"/>
    <w:rsid w:val="00B57D1E"/>
    <w:rsid w:val="00B663BB"/>
    <w:rsid w:val="00B738ED"/>
    <w:rsid w:val="00BB0D44"/>
    <w:rsid w:val="00BB1A6D"/>
    <w:rsid w:val="00BC6EDE"/>
    <w:rsid w:val="00BD6792"/>
    <w:rsid w:val="00C3064A"/>
    <w:rsid w:val="00C35744"/>
    <w:rsid w:val="00C455BC"/>
    <w:rsid w:val="00C610BA"/>
    <w:rsid w:val="00C70D8F"/>
    <w:rsid w:val="00C820BB"/>
    <w:rsid w:val="00CA21F8"/>
    <w:rsid w:val="00CB1837"/>
    <w:rsid w:val="00CB7AA8"/>
    <w:rsid w:val="00CC1306"/>
    <w:rsid w:val="00CC5BF0"/>
    <w:rsid w:val="00CD2ACD"/>
    <w:rsid w:val="00CD4C5D"/>
    <w:rsid w:val="00CE3C4C"/>
    <w:rsid w:val="00CE707C"/>
    <w:rsid w:val="00D04F9A"/>
    <w:rsid w:val="00D06F92"/>
    <w:rsid w:val="00D34BA4"/>
    <w:rsid w:val="00D5049C"/>
    <w:rsid w:val="00D6656D"/>
    <w:rsid w:val="00D7113F"/>
    <w:rsid w:val="00DB4B52"/>
    <w:rsid w:val="00DB7AC2"/>
    <w:rsid w:val="00DC2610"/>
    <w:rsid w:val="00E057FE"/>
    <w:rsid w:val="00E05F38"/>
    <w:rsid w:val="00E3714F"/>
    <w:rsid w:val="00E53932"/>
    <w:rsid w:val="00E91F74"/>
    <w:rsid w:val="00EA1154"/>
    <w:rsid w:val="00EA2CAD"/>
    <w:rsid w:val="00EA4EC6"/>
    <w:rsid w:val="00EA5647"/>
    <w:rsid w:val="00EB122F"/>
    <w:rsid w:val="00ED4495"/>
    <w:rsid w:val="00ED706F"/>
    <w:rsid w:val="00EE43F7"/>
    <w:rsid w:val="00F17F51"/>
    <w:rsid w:val="00F55E85"/>
    <w:rsid w:val="00F638D8"/>
    <w:rsid w:val="00F70D83"/>
    <w:rsid w:val="00FA0339"/>
    <w:rsid w:val="00FA4CE5"/>
    <w:rsid w:val="00FB39E5"/>
    <w:rsid w:val="00FD4A74"/>
    <w:rsid w:val="00FE22F7"/>
    <w:rsid w:val="00FF74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B2"/>
    <w:pPr>
      <w:jc w:val="both"/>
    </w:pPr>
    <w:rPr>
      <w:kern w:val="2"/>
      <w:sz w:val="28"/>
    </w:rPr>
  </w:style>
  <w:style w:type="paragraph" w:styleId="Heading1">
    <w:name w:val="heading 1"/>
    <w:basedOn w:val="Normal"/>
    <w:next w:val="Normal"/>
    <w:qFormat/>
    <w:rsid w:val="00782DB2"/>
    <w:pPr>
      <w:keepNext/>
      <w:spacing w:line="360" w:lineRule="auto"/>
      <w:jc w:val="center"/>
      <w:outlineLvl w:val="0"/>
    </w:pPr>
    <w:rPr>
      <w:b/>
    </w:rPr>
  </w:style>
  <w:style w:type="paragraph" w:styleId="Heading2">
    <w:name w:val="heading 2"/>
    <w:basedOn w:val="Normal"/>
    <w:next w:val="Normal"/>
    <w:qFormat/>
    <w:rsid w:val="00782DB2"/>
    <w:pPr>
      <w:keepNext/>
      <w:outlineLvl w:val="1"/>
    </w:pPr>
    <w:rPr>
      <w:b/>
      <w:bCs/>
      <w:sz w:val="20"/>
    </w:rPr>
  </w:style>
  <w:style w:type="paragraph" w:styleId="Heading3">
    <w:name w:val="heading 3"/>
    <w:basedOn w:val="Normal"/>
    <w:next w:val="Normal"/>
    <w:qFormat/>
    <w:rsid w:val="00782DB2"/>
    <w:pPr>
      <w:keepNext/>
      <w:jc w:val="center"/>
      <w:outlineLvl w:val="2"/>
    </w:pPr>
    <w:rPr>
      <w:b/>
      <w:bCs/>
      <w:sz w:val="20"/>
    </w:rPr>
  </w:style>
  <w:style w:type="paragraph" w:styleId="Heading4">
    <w:name w:val="heading 4"/>
    <w:basedOn w:val="Normal"/>
    <w:next w:val="Normal"/>
    <w:qFormat/>
    <w:rsid w:val="00782DB2"/>
    <w:pPr>
      <w:keepNext/>
      <w:outlineLvl w:val="3"/>
    </w:pPr>
    <w:rPr>
      <w:b/>
      <w:sz w:val="21"/>
    </w:rPr>
  </w:style>
  <w:style w:type="paragraph" w:styleId="Heading5">
    <w:name w:val="heading 5"/>
    <w:basedOn w:val="Normal"/>
    <w:next w:val="Normal"/>
    <w:qFormat/>
    <w:rsid w:val="00782DB2"/>
    <w:pPr>
      <w:keepNext/>
      <w:tabs>
        <w:tab w:val="left" w:pos="720"/>
      </w:tabs>
      <w:kinsoku w:val="0"/>
      <w:overflowPunct w:val="0"/>
      <w:autoSpaceDE w:val="0"/>
      <w:autoSpaceDN w:val="0"/>
      <w:adjustRightInd w:val="0"/>
      <w:snapToGrid w:val="0"/>
      <w:jc w:val="left"/>
      <w:outlineLvl w:val="4"/>
    </w:pPr>
    <w:rPr>
      <w:snapToGrid w:val="0"/>
      <w:kern w:val="0"/>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782DB2"/>
    <w:pPr>
      <w:spacing w:after="120"/>
      <w:ind w:left="1440" w:right="1440"/>
    </w:pPr>
  </w:style>
  <w:style w:type="character" w:styleId="CommentReference">
    <w:name w:val="annotation reference"/>
    <w:basedOn w:val="DefaultParagraphFont"/>
    <w:semiHidden/>
    <w:rsid w:val="00782DB2"/>
    <w:rPr>
      <w:sz w:val="16"/>
      <w:szCs w:val="16"/>
    </w:rPr>
  </w:style>
  <w:style w:type="paragraph" w:styleId="CommentText">
    <w:name w:val="annotation text"/>
    <w:basedOn w:val="Normal"/>
    <w:semiHidden/>
    <w:rsid w:val="00782DB2"/>
    <w:rPr>
      <w:sz w:val="20"/>
    </w:rPr>
  </w:style>
  <w:style w:type="paragraph" w:customStyle="1" w:styleId="normal1">
    <w:name w:val="normal1"/>
    <w:basedOn w:val="Normal"/>
    <w:rsid w:val="00782DB2"/>
    <w:pPr>
      <w:tabs>
        <w:tab w:val="left" w:pos="1411"/>
      </w:tabs>
      <w:kinsoku w:val="0"/>
      <w:overflowPunct w:val="0"/>
      <w:autoSpaceDE w:val="0"/>
      <w:autoSpaceDN w:val="0"/>
      <w:adjustRightInd w:val="0"/>
      <w:snapToGrid w:val="0"/>
      <w:jc w:val="center"/>
    </w:pPr>
    <w:rPr>
      <w:rFonts w:eastAsia="MingLiU"/>
      <w:snapToGrid w:val="0"/>
      <w:kern w:val="0"/>
      <w:lang w:val="en-GB"/>
    </w:rPr>
  </w:style>
  <w:style w:type="paragraph" w:customStyle="1" w:styleId="T-Draft">
    <w:name w:val="T-Draft"/>
    <w:basedOn w:val="Normal"/>
    <w:rsid w:val="00477D68"/>
    <w:pPr>
      <w:numPr>
        <w:numId w:val="1"/>
      </w:numPr>
      <w:tabs>
        <w:tab w:val="clear" w:pos="360"/>
        <w:tab w:val="num" w:pos="1400"/>
      </w:tabs>
      <w:snapToGrid w:val="0"/>
      <w:spacing w:before="120" w:line="360" w:lineRule="auto"/>
    </w:pPr>
    <w:rPr>
      <w:kern w:val="0"/>
      <w:lang w:val="en-GB"/>
    </w:rPr>
  </w:style>
  <w:style w:type="paragraph" w:styleId="Header">
    <w:name w:val="header"/>
    <w:basedOn w:val="Normal"/>
    <w:link w:val="HeaderChar"/>
    <w:uiPriority w:val="99"/>
    <w:semiHidden/>
    <w:rsid w:val="00782DB2"/>
    <w:pPr>
      <w:tabs>
        <w:tab w:val="center" w:pos="4320"/>
        <w:tab w:val="right" w:pos="8640"/>
      </w:tabs>
    </w:pPr>
  </w:style>
  <w:style w:type="paragraph" w:styleId="Footer">
    <w:name w:val="footer"/>
    <w:basedOn w:val="Normal"/>
    <w:link w:val="FooterChar"/>
    <w:uiPriority w:val="99"/>
    <w:rsid w:val="00782DB2"/>
    <w:pPr>
      <w:tabs>
        <w:tab w:val="center" w:pos="4320"/>
        <w:tab w:val="right" w:pos="8640"/>
      </w:tabs>
    </w:pPr>
  </w:style>
  <w:style w:type="paragraph" w:customStyle="1" w:styleId="normal3">
    <w:name w:val="normal3"/>
    <w:basedOn w:val="Normal"/>
    <w:rsid w:val="00782DB2"/>
    <w:pPr>
      <w:tabs>
        <w:tab w:val="left" w:pos="1440"/>
        <w:tab w:val="center" w:pos="4320"/>
        <w:tab w:val="center" w:pos="4500"/>
        <w:tab w:val="right" w:pos="8467"/>
        <w:tab w:val="right" w:pos="9000"/>
      </w:tabs>
      <w:overflowPunct w:val="0"/>
      <w:autoSpaceDE w:val="0"/>
      <w:autoSpaceDN w:val="0"/>
      <w:snapToGrid w:val="0"/>
      <w:spacing w:line="360" w:lineRule="auto"/>
      <w:jc w:val="left"/>
    </w:pPr>
    <w:rPr>
      <w:rFonts w:eastAsia="MingLiU"/>
      <w:kern w:val="0"/>
      <w:lang w:val="en-GB"/>
    </w:rPr>
  </w:style>
  <w:style w:type="paragraph" w:customStyle="1" w:styleId="Draft">
    <w:name w:val="Draft"/>
    <w:basedOn w:val="Normal"/>
    <w:rsid w:val="00782DB2"/>
    <w:pPr>
      <w:tabs>
        <w:tab w:val="left" w:pos="1440"/>
        <w:tab w:val="center" w:pos="4320"/>
        <w:tab w:val="right" w:pos="8467"/>
      </w:tabs>
      <w:snapToGrid w:val="0"/>
      <w:spacing w:line="600" w:lineRule="exact"/>
    </w:pPr>
    <w:rPr>
      <w:kern w:val="0"/>
      <w:lang w:val="en-GB"/>
    </w:rPr>
  </w:style>
  <w:style w:type="paragraph" w:customStyle="1" w:styleId="hspace">
    <w:name w:val="hspace"/>
    <w:basedOn w:val="Normal"/>
    <w:rsid w:val="00782DB2"/>
    <w:pPr>
      <w:tabs>
        <w:tab w:val="left" w:pos="1440"/>
        <w:tab w:val="center" w:pos="4320"/>
        <w:tab w:val="right" w:pos="8467"/>
      </w:tabs>
      <w:snapToGrid w:val="0"/>
      <w:spacing w:line="200" w:lineRule="exact"/>
    </w:pPr>
    <w:rPr>
      <w:kern w:val="0"/>
      <w:lang w:val="en-GB"/>
    </w:rPr>
  </w:style>
  <w:style w:type="paragraph" w:customStyle="1" w:styleId="ar-draft">
    <w:name w:val="ar-draft"/>
    <w:basedOn w:val="Normal"/>
    <w:rsid w:val="00030908"/>
    <w:pPr>
      <w:numPr>
        <w:numId w:val="15"/>
      </w:numPr>
      <w:tabs>
        <w:tab w:val="clear" w:pos="360"/>
        <w:tab w:val="left" w:pos="1440"/>
      </w:tabs>
      <w:snapToGrid w:val="0"/>
      <w:spacing w:before="360" w:line="360" w:lineRule="auto"/>
    </w:pPr>
    <w:rPr>
      <w:rFonts w:eastAsia="MingLiU"/>
      <w:kern w:val="0"/>
      <w:lang w:val="en-GB"/>
    </w:rPr>
  </w:style>
  <w:style w:type="paragraph" w:customStyle="1" w:styleId="ar-hang-quo">
    <w:name w:val="ar-hang-quo"/>
    <w:basedOn w:val="Normal"/>
    <w:next w:val="ar-draft"/>
    <w:rsid w:val="00782DB2"/>
    <w:pPr>
      <w:tabs>
        <w:tab w:val="left" w:pos="1440"/>
        <w:tab w:val="center" w:pos="4320"/>
        <w:tab w:val="right" w:pos="9072"/>
      </w:tabs>
      <w:snapToGrid w:val="0"/>
      <w:spacing w:before="240"/>
      <w:ind w:left="2160" w:right="720" w:hanging="720"/>
    </w:pPr>
    <w:rPr>
      <w:rFonts w:eastAsia="MingLiU"/>
      <w:kern w:val="0"/>
      <w:sz w:val="24"/>
      <w:lang w:val="en-GB"/>
    </w:rPr>
  </w:style>
  <w:style w:type="paragraph" w:customStyle="1" w:styleId="ar-heading1">
    <w:name w:val="ar-heading1"/>
    <w:basedOn w:val="Normal"/>
    <w:rsid w:val="00555145"/>
    <w:pPr>
      <w:keepNext/>
      <w:tabs>
        <w:tab w:val="left" w:pos="1440"/>
        <w:tab w:val="center" w:pos="4320"/>
        <w:tab w:val="right" w:pos="9072"/>
      </w:tabs>
      <w:snapToGrid w:val="0"/>
      <w:spacing w:before="360" w:line="360" w:lineRule="auto"/>
      <w:jc w:val="left"/>
    </w:pPr>
    <w:rPr>
      <w:rFonts w:eastAsia="MingLiU"/>
      <w:i/>
      <w:kern w:val="0"/>
      <w:lang w:val="en-GB"/>
    </w:rPr>
  </w:style>
  <w:style w:type="paragraph" w:customStyle="1" w:styleId="ar-quotation">
    <w:name w:val="ar-quotation"/>
    <w:basedOn w:val="Normal"/>
    <w:rsid w:val="0058228C"/>
    <w:pPr>
      <w:tabs>
        <w:tab w:val="left" w:pos="1440"/>
        <w:tab w:val="left" w:pos="2160"/>
      </w:tabs>
      <w:snapToGrid w:val="0"/>
      <w:spacing w:before="240"/>
      <w:ind w:left="1418" w:right="737"/>
    </w:pPr>
    <w:rPr>
      <w:rFonts w:eastAsia="MingLiU"/>
      <w:kern w:val="0"/>
      <w:sz w:val="24"/>
      <w:lang w:val="en-GB"/>
    </w:rPr>
  </w:style>
  <w:style w:type="paragraph" w:customStyle="1" w:styleId="ar-subheading">
    <w:name w:val="ar-subheading"/>
    <w:basedOn w:val="Normal"/>
    <w:rsid w:val="00782DB2"/>
    <w:pPr>
      <w:tabs>
        <w:tab w:val="left" w:pos="1440"/>
        <w:tab w:val="center" w:pos="4320"/>
        <w:tab w:val="right" w:pos="9072"/>
      </w:tabs>
      <w:snapToGrid w:val="0"/>
      <w:spacing w:before="600" w:line="600" w:lineRule="exact"/>
      <w:ind w:left="720"/>
      <w:jc w:val="left"/>
    </w:pPr>
    <w:rPr>
      <w:rFonts w:eastAsia="MingLiU"/>
      <w:i/>
      <w:kern w:val="0"/>
      <w:lang w:val="en-GB"/>
    </w:rPr>
  </w:style>
  <w:style w:type="character" w:customStyle="1" w:styleId="HeaderChar">
    <w:name w:val="Header Char"/>
    <w:basedOn w:val="DefaultParagraphFont"/>
    <w:link w:val="Header"/>
    <w:uiPriority w:val="99"/>
    <w:semiHidden/>
    <w:rsid w:val="00AF66F3"/>
    <w:rPr>
      <w:kern w:val="2"/>
      <w:sz w:val="28"/>
    </w:rPr>
  </w:style>
  <w:style w:type="character" w:customStyle="1" w:styleId="FooterChar">
    <w:name w:val="Footer Char"/>
    <w:basedOn w:val="DefaultParagraphFont"/>
    <w:link w:val="Footer"/>
    <w:uiPriority w:val="99"/>
    <w:rsid w:val="00AF66F3"/>
    <w:rPr>
      <w:kern w:val="2"/>
      <w:sz w:val="28"/>
    </w:rPr>
  </w:style>
  <w:style w:type="table" w:styleId="TableGrid">
    <w:name w:val="Table Grid"/>
    <w:basedOn w:val="TableNormal"/>
    <w:uiPriority w:val="59"/>
    <w:rsid w:val="00AF6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66F3"/>
    <w:pPr>
      <w:jc w:val="left"/>
    </w:pPr>
    <w:rPr>
      <w:rFonts w:ascii="Tahoma" w:hAnsi="Tahoma" w:cs="Tahoma"/>
      <w:kern w:val="0"/>
      <w:sz w:val="16"/>
      <w:szCs w:val="16"/>
      <w:lang w:val="en-GB"/>
    </w:rPr>
  </w:style>
  <w:style w:type="character" w:customStyle="1" w:styleId="BalloonTextChar">
    <w:name w:val="Balloon Text Char"/>
    <w:basedOn w:val="DefaultParagraphFont"/>
    <w:link w:val="BalloonText"/>
    <w:uiPriority w:val="99"/>
    <w:semiHidden/>
    <w:rsid w:val="00AF66F3"/>
    <w:rPr>
      <w:rFonts w:ascii="Tahoma" w:hAnsi="Tahoma" w:cs="Tahoma"/>
      <w:sz w:val="16"/>
      <w:szCs w:val="16"/>
      <w:lang w:val="en-GB"/>
    </w:rPr>
  </w:style>
  <w:style w:type="paragraph" w:customStyle="1" w:styleId="points">
    <w:name w:val="points"/>
    <w:basedOn w:val="Normal"/>
    <w:rsid w:val="00AF66F3"/>
    <w:pPr>
      <w:tabs>
        <w:tab w:val="left" w:pos="1400"/>
        <w:tab w:val="left" w:pos="1960"/>
      </w:tabs>
      <w:snapToGrid w:val="0"/>
      <w:spacing w:before="120" w:line="360" w:lineRule="auto"/>
      <w:ind w:left="1417" w:hanging="680"/>
    </w:pPr>
    <w:rPr>
      <w:kern w:val="0"/>
      <w:lang w:val="en-GB"/>
    </w:rPr>
  </w:style>
  <w:style w:type="paragraph" w:customStyle="1" w:styleId="para">
    <w:name w:val="para"/>
    <w:rsid w:val="00AF66F3"/>
    <w:pPr>
      <w:tabs>
        <w:tab w:val="num" w:pos="1400"/>
      </w:tabs>
      <w:snapToGrid w:val="0"/>
      <w:spacing w:before="480" w:line="360" w:lineRule="auto"/>
      <w:jc w:val="both"/>
    </w:pPr>
    <w:rPr>
      <w:sz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9E9F3-5D68-4289-84C6-E499B33F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4391</Words>
  <Characters>25030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29363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 Kwok Kuen, Arison</dc:creator>
  <cp:lastModifiedBy>kwokkuen bau</cp:lastModifiedBy>
  <cp:revision>3</cp:revision>
  <cp:lastPrinted>2012-05-04T03:54:00Z</cp:lastPrinted>
  <dcterms:created xsi:type="dcterms:W3CDTF">2012-06-13T08:11:00Z</dcterms:created>
  <dcterms:modified xsi:type="dcterms:W3CDTF">2012-06-14T01:20:00Z</dcterms:modified>
</cp:coreProperties>
</file>