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08C" w:rsidRDefault="00310FFA" w:rsidP="009623CC">
      <w:pPr>
        <w:pStyle w:val="Heading4"/>
        <w:spacing w:line="360" w:lineRule="auto"/>
        <w:rPr>
          <w:lang w:eastAsia="zh-CN"/>
        </w:rPr>
      </w:pPr>
      <w:r>
        <w:rPr>
          <w:rFonts w:hint="eastAsia"/>
          <w:lang w:eastAsia="zh-CN"/>
        </w:rPr>
        <w:t xml:space="preserve"> </w:t>
      </w:r>
      <w:r w:rsidR="0000608C" w:rsidRPr="004434EA">
        <w:t xml:space="preserve">DCCJ </w:t>
      </w:r>
      <w:r w:rsidR="00B83BEE">
        <w:rPr>
          <w:lang w:eastAsia="zh-CN"/>
        </w:rPr>
        <w:t>1988/2017</w:t>
      </w:r>
    </w:p>
    <w:p w:rsidR="00502672" w:rsidRPr="00E3580F" w:rsidRDefault="00E22460" w:rsidP="00502672">
      <w:pPr>
        <w:jc w:val="right"/>
        <w:rPr>
          <w:sz w:val="28"/>
          <w:szCs w:val="28"/>
          <w:lang w:val="en-GB"/>
        </w:rPr>
      </w:pPr>
      <w:sdt>
        <w:sdtPr>
          <w:rPr>
            <w:rStyle w:val="PlaceholderText"/>
            <w:color w:val="auto"/>
            <w:sz w:val="28"/>
            <w:szCs w:val="28"/>
          </w:rPr>
          <w:alias w:val="neutral citation number"/>
          <w:tag w:val="neutral citation number"/>
          <w:id w:val="210003420"/>
          <w:placeholder>
            <w:docPart w:val="64D8B2D7928845C692066B5D98F182E0"/>
          </w:placeholder>
          <w:text/>
        </w:sdtPr>
        <w:sdtEndPr>
          <w:rPr>
            <w:rStyle w:val="PlaceholderText"/>
          </w:rPr>
        </w:sdtEndPr>
        <w:sdtContent>
          <w:r w:rsidR="00C03333" w:rsidRPr="00E3580F">
            <w:rPr>
              <w:rStyle w:val="PlaceholderText"/>
              <w:color w:val="auto"/>
              <w:sz w:val="28"/>
              <w:szCs w:val="28"/>
            </w:rPr>
            <w:t>[2018] HKDC 445</w:t>
          </w:r>
        </w:sdtContent>
      </w:sdt>
    </w:p>
    <w:p w:rsidR="00B83BEE" w:rsidRPr="00502672" w:rsidRDefault="00B83BEE" w:rsidP="00502672">
      <w:pPr>
        <w:pStyle w:val="Heading3"/>
        <w:spacing w:line="360" w:lineRule="auto"/>
        <w:jc w:val="both"/>
        <w:rPr>
          <w:b w:val="0"/>
          <w:bCs/>
          <w:szCs w:val="24"/>
          <w:lang w:eastAsia="zh-CN"/>
        </w:rPr>
      </w:pPr>
    </w:p>
    <w:p w:rsidR="0000608C" w:rsidRPr="005B0B6B" w:rsidRDefault="0000608C" w:rsidP="009623CC">
      <w:pPr>
        <w:pStyle w:val="Heading3"/>
        <w:spacing w:line="360" w:lineRule="auto"/>
        <w:rPr>
          <w:bCs/>
          <w:szCs w:val="24"/>
          <w:lang w:eastAsia="zh-CN"/>
        </w:rPr>
      </w:pPr>
      <w:r w:rsidRPr="005B0B6B">
        <w:rPr>
          <w:bCs/>
          <w:szCs w:val="24"/>
          <w:lang w:eastAsia="zh-CN"/>
        </w:rPr>
        <w:t>IN THE DISTRICT COURT OF THE</w:t>
      </w:r>
    </w:p>
    <w:p w:rsidR="0000608C" w:rsidRPr="005B0B6B" w:rsidRDefault="0000608C" w:rsidP="009623CC">
      <w:pPr>
        <w:pStyle w:val="Heading3"/>
        <w:spacing w:line="360" w:lineRule="auto"/>
        <w:rPr>
          <w:bCs/>
        </w:rPr>
      </w:pPr>
      <w:r w:rsidRPr="005B0B6B">
        <w:rPr>
          <w:bCs/>
        </w:rPr>
        <w:t>HONG KONG SPECIAL ADMINISTRATIVE REGION</w:t>
      </w:r>
    </w:p>
    <w:p w:rsidR="0000608C" w:rsidRDefault="0000608C" w:rsidP="009623CC">
      <w:pPr>
        <w:pStyle w:val="Heading2"/>
        <w:spacing w:line="360" w:lineRule="auto"/>
        <w:rPr>
          <w:szCs w:val="24"/>
          <w:lang w:eastAsia="zh-CN"/>
        </w:rPr>
      </w:pPr>
      <w:r>
        <w:t>CIVIL</w:t>
      </w:r>
      <w:r>
        <w:rPr>
          <w:szCs w:val="24"/>
          <w:lang w:eastAsia="zh-CN"/>
        </w:rPr>
        <w:t xml:space="preserve"> ACTION NO</w:t>
      </w:r>
      <w:r w:rsidR="00D225F0">
        <w:rPr>
          <w:rFonts w:hint="eastAsia"/>
          <w:szCs w:val="24"/>
          <w:lang w:eastAsia="zh-CN"/>
        </w:rPr>
        <w:t xml:space="preserve"> </w:t>
      </w:r>
      <w:r w:rsidR="00B83BEE">
        <w:rPr>
          <w:rFonts w:hint="eastAsia"/>
          <w:szCs w:val="24"/>
          <w:lang w:eastAsia="zh-CN"/>
        </w:rPr>
        <w:t>1988</w:t>
      </w:r>
      <w:r w:rsidR="00216DA0">
        <w:rPr>
          <w:rFonts w:hint="eastAsia"/>
          <w:szCs w:val="24"/>
          <w:lang w:eastAsia="zh-CN"/>
        </w:rPr>
        <w:t xml:space="preserve"> </w:t>
      </w:r>
      <w:r w:rsidR="00E85F09">
        <w:rPr>
          <w:szCs w:val="24"/>
          <w:lang w:eastAsia="zh-CN"/>
        </w:rPr>
        <w:t>OF 20</w:t>
      </w:r>
      <w:r w:rsidR="00216DA0">
        <w:rPr>
          <w:rFonts w:hint="eastAsia"/>
          <w:szCs w:val="24"/>
          <w:lang w:eastAsia="zh-CN"/>
        </w:rPr>
        <w:t>1</w:t>
      </w:r>
      <w:r w:rsidR="00B83BEE">
        <w:rPr>
          <w:rFonts w:hint="eastAsia"/>
          <w:szCs w:val="24"/>
          <w:lang w:eastAsia="zh-CN"/>
        </w:rPr>
        <w:t>7</w:t>
      </w:r>
    </w:p>
    <w:p w:rsidR="004434EA" w:rsidRPr="004434EA" w:rsidRDefault="000936A5" w:rsidP="009623CC">
      <w:pPr>
        <w:spacing w:line="360" w:lineRule="auto"/>
        <w:rPr>
          <w:lang w:val="en-GB"/>
        </w:rPr>
      </w:pPr>
      <w:r>
        <w:rPr>
          <w:rFonts w:hint="eastAsia"/>
          <w:lang w:val="en-GB"/>
        </w:rPr>
        <w:t xml:space="preserve"> </w:t>
      </w:r>
    </w:p>
    <w:p w:rsidR="004434EA" w:rsidRDefault="004434EA" w:rsidP="009623CC">
      <w:pPr>
        <w:spacing w:line="360" w:lineRule="auto"/>
        <w:jc w:val="center"/>
        <w:rPr>
          <w:lang w:val="en-GB"/>
        </w:rPr>
      </w:pPr>
      <w:r>
        <w:rPr>
          <w:lang w:val="en-GB"/>
        </w:rPr>
        <w:t>-------------------------------</w:t>
      </w:r>
    </w:p>
    <w:p w:rsidR="0000608C" w:rsidRDefault="0000608C" w:rsidP="009623CC">
      <w:pPr>
        <w:spacing w:line="360" w:lineRule="auto"/>
        <w:jc w:val="both"/>
        <w:rPr>
          <w:bCs/>
          <w:sz w:val="28"/>
          <w:lang w:val="en-GB"/>
        </w:rPr>
      </w:pPr>
      <w:r>
        <w:rPr>
          <w:bCs/>
          <w:sz w:val="28"/>
          <w:lang w:val="en-GB"/>
        </w:rPr>
        <w:t>BETWEEN</w:t>
      </w:r>
    </w:p>
    <w:p w:rsidR="00E85F09" w:rsidRDefault="0000608C" w:rsidP="006F7E17">
      <w:pPr>
        <w:tabs>
          <w:tab w:val="center" w:pos="4140"/>
          <w:tab w:val="right" w:pos="8280"/>
        </w:tabs>
        <w:spacing w:line="360" w:lineRule="auto"/>
        <w:jc w:val="both"/>
        <w:rPr>
          <w:bCs/>
          <w:sz w:val="28"/>
          <w:lang w:val="en-GB"/>
        </w:rPr>
      </w:pPr>
      <w:r>
        <w:rPr>
          <w:bCs/>
          <w:sz w:val="28"/>
          <w:lang w:val="en-GB"/>
        </w:rPr>
        <w:tab/>
      </w:r>
      <w:r w:rsidR="004F6A3D">
        <w:rPr>
          <w:bCs/>
          <w:sz w:val="28"/>
          <w:lang w:val="en-GB"/>
        </w:rPr>
        <w:t>LEE CHICK CHOI</w:t>
      </w:r>
      <w:r w:rsidR="005B0B6B">
        <w:rPr>
          <w:bCs/>
          <w:sz w:val="28"/>
          <w:lang w:val="en-GB"/>
        </w:rPr>
        <w:tab/>
        <w:t>Plaintiff</w:t>
      </w:r>
    </w:p>
    <w:p w:rsidR="0000608C" w:rsidRDefault="0000608C" w:rsidP="006F7E17">
      <w:pPr>
        <w:tabs>
          <w:tab w:val="center" w:pos="4140"/>
        </w:tabs>
        <w:spacing w:line="360" w:lineRule="auto"/>
        <w:jc w:val="center"/>
        <w:rPr>
          <w:bCs/>
          <w:sz w:val="28"/>
          <w:lang w:val="en-GB"/>
        </w:rPr>
      </w:pPr>
      <w:r>
        <w:rPr>
          <w:bCs/>
          <w:sz w:val="28"/>
          <w:lang w:val="en-GB"/>
        </w:rPr>
        <w:t>and</w:t>
      </w:r>
    </w:p>
    <w:p w:rsidR="00216DA0" w:rsidRDefault="004434EA" w:rsidP="006F7E17">
      <w:pPr>
        <w:tabs>
          <w:tab w:val="center" w:pos="4140"/>
          <w:tab w:val="right" w:pos="8280"/>
        </w:tabs>
        <w:spacing w:line="360" w:lineRule="auto"/>
        <w:rPr>
          <w:bCs/>
          <w:sz w:val="28"/>
          <w:lang w:val="en-GB"/>
        </w:rPr>
      </w:pPr>
      <w:r>
        <w:rPr>
          <w:bCs/>
          <w:sz w:val="28"/>
          <w:lang w:val="en-GB"/>
        </w:rPr>
        <w:tab/>
      </w:r>
      <w:r w:rsidR="000F00BF">
        <w:rPr>
          <w:rFonts w:hint="eastAsia"/>
          <w:bCs/>
          <w:sz w:val="28"/>
          <w:lang w:val="en-GB"/>
        </w:rPr>
        <w:t>BEST SPIRITS COMPANY LTD.</w:t>
      </w:r>
      <w:r>
        <w:rPr>
          <w:bCs/>
          <w:sz w:val="28"/>
          <w:lang w:val="en-GB"/>
        </w:rPr>
        <w:tab/>
      </w:r>
      <w:r w:rsidR="00216DA0">
        <w:rPr>
          <w:bCs/>
          <w:sz w:val="28"/>
          <w:lang w:val="en-GB"/>
        </w:rPr>
        <w:t>Defendant</w:t>
      </w:r>
    </w:p>
    <w:p w:rsidR="004434EA" w:rsidRDefault="004434EA" w:rsidP="009623CC">
      <w:pPr>
        <w:spacing w:line="360" w:lineRule="auto"/>
        <w:jc w:val="center"/>
        <w:rPr>
          <w:lang w:val="en-GB"/>
        </w:rPr>
      </w:pPr>
      <w:r>
        <w:rPr>
          <w:lang w:val="en-GB"/>
        </w:rPr>
        <w:t>-------------------------------</w:t>
      </w:r>
    </w:p>
    <w:p w:rsidR="0000608C" w:rsidRDefault="0000608C" w:rsidP="009623CC">
      <w:pPr>
        <w:pStyle w:val="Heading5"/>
      </w:pPr>
    </w:p>
    <w:p w:rsidR="0000608C" w:rsidRDefault="00E85F09" w:rsidP="009623CC">
      <w:pPr>
        <w:pStyle w:val="Heading5"/>
        <w:tabs>
          <w:tab w:val="left" w:pos="1440"/>
        </w:tabs>
      </w:pPr>
      <w:r>
        <w:rPr>
          <w:rFonts w:hint="eastAsia"/>
          <w:lang w:eastAsia="zh-CN"/>
        </w:rPr>
        <w:t>Before</w:t>
      </w:r>
      <w:r w:rsidR="0000608C">
        <w:t>:</w:t>
      </w:r>
      <w:r w:rsidR="00E71796">
        <w:t xml:space="preserve">  His</w:t>
      </w:r>
      <w:r w:rsidR="0000608C">
        <w:t xml:space="preserve"> Honour </w:t>
      </w:r>
      <w:bookmarkStart w:id="0" w:name="_GoBack"/>
      <w:r w:rsidR="0000608C">
        <w:t xml:space="preserve">Judge </w:t>
      </w:r>
      <w:r w:rsidR="00E71796">
        <w:t xml:space="preserve">Andrew Li </w:t>
      </w:r>
      <w:bookmarkEnd w:id="0"/>
      <w:r w:rsidR="0000608C">
        <w:t xml:space="preserve">in </w:t>
      </w:r>
      <w:r w:rsidR="00216DA0">
        <w:rPr>
          <w:rFonts w:hint="eastAsia"/>
          <w:lang w:eastAsia="zh-CN"/>
        </w:rPr>
        <w:t>C</w:t>
      </w:r>
      <w:r w:rsidR="00CE05E9">
        <w:rPr>
          <w:rFonts w:hint="eastAsia"/>
          <w:lang w:eastAsia="zh-CN"/>
        </w:rPr>
        <w:t>hambers</w:t>
      </w:r>
      <w:r w:rsidR="00216DA0">
        <w:rPr>
          <w:rFonts w:hint="eastAsia"/>
          <w:lang w:eastAsia="zh-CN"/>
        </w:rPr>
        <w:t xml:space="preserve"> </w:t>
      </w:r>
      <w:r w:rsidR="00DC25C9">
        <w:rPr>
          <w:lang w:eastAsia="zh-CN"/>
        </w:rPr>
        <w:t>(open to public)</w:t>
      </w:r>
    </w:p>
    <w:p w:rsidR="0000608C" w:rsidRPr="00575814" w:rsidRDefault="0000608C" w:rsidP="009623CC">
      <w:pPr>
        <w:tabs>
          <w:tab w:val="left" w:pos="2160"/>
        </w:tabs>
        <w:spacing w:line="360" w:lineRule="auto"/>
        <w:ind w:left="2160" w:hanging="2160"/>
        <w:jc w:val="both"/>
        <w:rPr>
          <w:bCs/>
          <w:sz w:val="28"/>
          <w:szCs w:val="28"/>
          <w:lang w:val="en-GB"/>
        </w:rPr>
      </w:pPr>
      <w:r>
        <w:rPr>
          <w:bCs/>
          <w:sz w:val="28"/>
          <w:lang w:val="en-GB"/>
        </w:rPr>
        <w:t>Da</w:t>
      </w:r>
      <w:r w:rsidRPr="00575814">
        <w:rPr>
          <w:bCs/>
          <w:sz w:val="28"/>
          <w:szCs w:val="28"/>
          <w:lang w:val="en-GB"/>
        </w:rPr>
        <w:t>te</w:t>
      </w:r>
      <w:r w:rsidR="002607AF">
        <w:rPr>
          <w:rFonts w:hint="eastAsia"/>
          <w:bCs/>
          <w:sz w:val="28"/>
          <w:szCs w:val="28"/>
          <w:lang w:val="en-GB"/>
        </w:rPr>
        <w:t>s</w:t>
      </w:r>
      <w:r w:rsidRPr="00575814">
        <w:rPr>
          <w:rFonts w:hint="eastAsia"/>
          <w:bCs/>
          <w:sz w:val="28"/>
          <w:szCs w:val="28"/>
          <w:lang w:val="en-GB"/>
        </w:rPr>
        <w:t xml:space="preserve"> of Hearing</w:t>
      </w:r>
      <w:r w:rsidRPr="00575814">
        <w:rPr>
          <w:bCs/>
          <w:sz w:val="28"/>
          <w:szCs w:val="28"/>
          <w:lang w:val="en-GB"/>
        </w:rPr>
        <w:t>:</w:t>
      </w:r>
      <w:r w:rsidR="00E71796">
        <w:rPr>
          <w:bCs/>
          <w:sz w:val="28"/>
          <w:szCs w:val="28"/>
          <w:lang w:val="en-GB"/>
        </w:rPr>
        <w:t xml:space="preserve">  </w:t>
      </w:r>
      <w:r w:rsidR="004F6A3D">
        <w:rPr>
          <w:bCs/>
          <w:sz w:val="28"/>
          <w:szCs w:val="28"/>
          <w:lang w:val="en-GB"/>
        </w:rPr>
        <w:t>3 January 2018</w:t>
      </w:r>
      <w:r w:rsidR="002607AF">
        <w:rPr>
          <w:rFonts w:hint="eastAsia"/>
          <w:bCs/>
          <w:sz w:val="28"/>
          <w:szCs w:val="28"/>
          <w:lang w:val="en-GB"/>
        </w:rPr>
        <w:t xml:space="preserve"> </w:t>
      </w:r>
    </w:p>
    <w:p w:rsidR="0000608C" w:rsidRPr="00575814" w:rsidRDefault="0000608C" w:rsidP="009623CC">
      <w:pPr>
        <w:tabs>
          <w:tab w:val="left" w:pos="2160"/>
        </w:tabs>
        <w:spacing w:line="360" w:lineRule="auto"/>
        <w:ind w:left="2160" w:hanging="2160"/>
        <w:jc w:val="both"/>
        <w:rPr>
          <w:bCs/>
          <w:sz w:val="28"/>
          <w:szCs w:val="28"/>
          <w:lang w:val="en-GB"/>
        </w:rPr>
      </w:pPr>
      <w:r w:rsidRPr="00575814">
        <w:rPr>
          <w:bCs/>
          <w:sz w:val="28"/>
          <w:szCs w:val="28"/>
          <w:lang w:val="en-GB"/>
        </w:rPr>
        <w:t>Date</w:t>
      </w:r>
      <w:r w:rsidRPr="00575814">
        <w:rPr>
          <w:rFonts w:hint="eastAsia"/>
          <w:bCs/>
          <w:sz w:val="28"/>
          <w:szCs w:val="28"/>
          <w:lang w:val="en-GB"/>
        </w:rPr>
        <w:t xml:space="preserve"> of</w:t>
      </w:r>
      <w:r w:rsidRPr="00575814">
        <w:rPr>
          <w:bCs/>
          <w:sz w:val="28"/>
          <w:szCs w:val="28"/>
          <w:lang w:val="en-GB"/>
        </w:rPr>
        <w:t xml:space="preserve"> </w:t>
      </w:r>
      <w:r w:rsidR="00DC25C9">
        <w:rPr>
          <w:rFonts w:hint="eastAsia"/>
          <w:bCs/>
          <w:sz w:val="28"/>
          <w:szCs w:val="28"/>
          <w:lang w:val="en-GB"/>
        </w:rPr>
        <w:t>Decision</w:t>
      </w:r>
      <w:r w:rsidRPr="00575814">
        <w:rPr>
          <w:bCs/>
          <w:sz w:val="28"/>
          <w:szCs w:val="28"/>
          <w:lang w:val="en-GB"/>
        </w:rPr>
        <w:t xml:space="preserve">: </w:t>
      </w:r>
      <w:r w:rsidR="00E71796">
        <w:rPr>
          <w:bCs/>
          <w:sz w:val="28"/>
          <w:szCs w:val="28"/>
          <w:lang w:val="en-GB"/>
        </w:rPr>
        <w:t xml:space="preserve"> </w:t>
      </w:r>
      <w:r w:rsidR="00463787">
        <w:rPr>
          <w:bCs/>
          <w:sz w:val="28"/>
          <w:szCs w:val="28"/>
          <w:lang w:val="en-GB"/>
        </w:rPr>
        <w:t xml:space="preserve">24 </w:t>
      </w:r>
      <w:r w:rsidR="006A518A">
        <w:rPr>
          <w:bCs/>
          <w:sz w:val="28"/>
          <w:szCs w:val="28"/>
          <w:lang w:val="en-GB"/>
        </w:rPr>
        <w:t>April 2018</w:t>
      </w:r>
    </w:p>
    <w:p w:rsidR="00216DA0" w:rsidRDefault="00216DA0" w:rsidP="009623CC">
      <w:pPr>
        <w:tabs>
          <w:tab w:val="left" w:pos="2340"/>
        </w:tabs>
        <w:spacing w:line="360" w:lineRule="auto"/>
        <w:ind w:left="2340" w:hanging="2340"/>
        <w:jc w:val="both"/>
        <w:rPr>
          <w:bCs/>
          <w:sz w:val="28"/>
          <w:lang w:val="en-GB"/>
        </w:rPr>
      </w:pPr>
    </w:p>
    <w:p w:rsidR="00E71796" w:rsidRDefault="006F7E17" w:rsidP="009623CC">
      <w:pPr>
        <w:spacing w:line="360" w:lineRule="auto"/>
        <w:jc w:val="center"/>
        <w:rPr>
          <w:lang w:val="en-GB"/>
        </w:rPr>
      </w:pPr>
      <w:r>
        <w:rPr>
          <w:lang w:val="en-GB"/>
        </w:rPr>
        <w:t>----------------------------</w:t>
      </w:r>
    </w:p>
    <w:p w:rsidR="0000608C" w:rsidRDefault="00DC25C9" w:rsidP="009623CC">
      <w:pPr>
        <w:pStyle w:val="Heading2"/>
        <w:spacing w:line="360" w:lineRule="auto"/>
      </w:pPr>
      <w:r>
        <w:t>DECISION</w:t>
      </w:r>
    </w:p>
    <w:p w:rsidR="00E71796" w:rsidRDefault="006F7E17" w:rsidP="009623CC">
      <w:pPr>
        <w:spacing w:line="360" w:lineRule="auto"/>
        <w:jc w:val="center"/>
        <w:rPr>
          <w:lang w:val="en-GB"/>
        </w:rPr>
      </w:pPr>
      <w:r>
        <w:rPr>
          <w:lang w:val="en-GB"/>
        </w:rPr>
        <w:t>----------------------------</w:t>
      </w:r>
    </w:p>
    <w:p w:rsidR="002607AF" w:rsidRPr="006F7E17" w:rsidRDefault="002607AF" w:rsidP="006F7E17">
      <w:pPr>
        <w:spacing w:line="360" w:lineRule="auto"/>
        <w:jc w:val="both"/>
        <w:rPr>
          <w:sz w:val="28"/>
          <w:szCs w:val="28"/>
        </w:rPr>
      </w:pPr>
    </w:p>
    <w:p w:rsidR="002607AF" w:rsidRPr="006F7E17" w:rsidRDefault="0088632C" w:rsidP="006F7E17">
      <w:pPr>
        <w:spacing w:line="360" w:lineRule="auto"/>
        <w:jc w:val="both"/>
        <w:rPr>
          <w:i/>
          <w:sz w:val="28"/>
          <w:szCs w:val="28"/>
        </w:rPr>
      </w:pPr>
      <w:r w:rsidRPr="006F7E17">
        <w:rPr>
          <w:i/>
          <w:sz w:val="28"/>
          <w:szCs w:val="28"/>
        </w:rPr>
        <w:t>INTRODUCTION</w:t>
      </w:r>
    </w:p>
    <w:p w:rsidR="00530B49" w:rsidRPr="006F7E17" w:rsidRDefault="00530B49" w:rsidP="006F7E17">
      <w:pPr>
        <w:tabs>
          <w:tab w:val="left" w:pos="1440"/>
        </w:tabs>
        <w:spacing w:line="360" w:lineRule="auto"/>
        <w:jc w:val="both"/>
        <w:rPr>
          <w:sz w:val="28"/>
          <w:szCs w:val="28"/>
        </w:rPr>
      </w:pPr>
    </w:p>
    <w:p w:rsidR="0092496C" w:rsidRPr="006F7E17" w:rsidRDefault="00151243" w:rsidP="006B1634">
      <w:pPr>
        <w:numPr>
          <w:ilvl w:val="0"/>
          <w:numId w:val="40"/>
        </w:numPr>
        <w:tabs>
          <w:tab w:val="left" w:pos="1440"/>
        </w:tabs>
        <w:spacing w:line="360" w:lineRule="auto"/>
        <w:ind w:left="0" w:firstLine="0"/>
        <w:jc w:val="both"/>
        <w:rPr>
          <w:i/>
          <w:sz w:val="28"/>
          <w:szCs w:val="28"/>
        </w:rPr>
      </w:pPr>
      <w:r w:rsidRPr="006F7E17">
        <w:rPr>
          <w:sz w:val="28"/>
          <w:szCs w:val="28"/>
        </w:rPr>
        <w:t>By a</w:t>
      </w:r>
      <w:r w:rsidR="00DC25C9" w:rsidRPr="006F7E17">
        <w:rPr>
          <w:sz w:val="28"/>
          <w:szCs w:val="28"/>
        </w:rPr>
        <w:t xml:space="preserve"> summons dated 10 May 2017 (“the </w:t>
      </w:r>
      <w:r w:rsidR="006A518A" w:rsidRPr="006F7E17">
        <w:rPr>
          <w:sz w:val="28"/>
          <w:szCs w:val="28"/>
        </w:rPr>
        <w:t>S</w:t>
      </w:r>
      <w:r w:rsidR="00DC25C9" w:rsidRPr="006F7E17">
        <w:rPr>
          <w:sz w:val="28"/>
          <w:szCs w:val="28"/>
        </w:rPr>
        <w:t>ummons”)</w:t>
      </w:r>
      <w:r w:rsidRPr="006F7E17">
        <w:rPr>
          <w:sz w:val="28"/>
          <w:szCs w:val="28"/>
        </w:rPr>
        <w:t xml:space="preserve">, the defendant applies </w:t>
      </w:r>
      <w:r w:rsidR="00DC25C9" w:rsidRPr="006F7E17">
        <w:rPr>
          <w:sz w:val="28"/>
          <w:szCs w:val="28"/>
        </w:rPr>
        <w:t>to (</w:t>
      </w:r>
      <w:proofErr w:type="spellStart"/>
      <w:r w:rsidR="00DC25C9" w:rsidRPr="006F7E17">
        <w:rPr>
          <w:sz w:val="28"/>
          <w:szCs w:val="28"/>
        </w:rPr>
        <w:t>i</w:t>
      </w:r>
      <w:proofErr w:type="spellEnd"/>
      <w:r w:rsidR="00DC25C9" w:rsidRPr="006F7E17">
        <w:rPr>
          <w:sz w:val="28"/>
          <w:szCs w:val="28"/>
        </w:rPr>
        <w:t xml:space="preserve">) strike out the plaintiff’s writ of summons filed in these proceedings; </w:t>
      </w:r>
      <w:r w:rsidR="005F13EF" w:rsidRPr="006F7E17">
        <w:rPr>
          <w:sz w:val="28"/>
          <w:szCs w:val="28"/>
        </w:rPr>
        <w:t xml:space="preserve">and </w:t>
      </w:r>
      <w:r w:rsidR="00DC25C9" w:rsidRPr="006F7E17">
        <w:rPr>
          <w:sz w:val="28"/>
          <w:szCs w:val="28"/>
        </w:rPr>
        <w:t>(ii) for a restrictive proceedings orde</w:t>
      </w:r>
      <w:r w:rsidR="002B2FBA">
        <w:rPr>
          <w:sz w:val="28"/>
          <w:szCs w:val="28"/>
        </w:rPr>
        <w:t xml:space="preserve">r (“RPO”) </w:t>
      </w:r>
      <w:r w:rsidR="00DC25C9" w:rsidRPr="006F7E17">
        <w:rPr>
          <w:sz w:val="28"/>
          <w:szCs w:val="28"/>
        </w:rPr>
        <w:t>pursuant to Practice Direction 11.3 (“PD 11.3”).</w:t>
      </w:r>
    </w:p>
    <w:p w:rsidR="005F13EF" w:rsidRPr="006F7E17" w:rsidRDefault="005F13EF" w:rsidP="006B1634">
      <w:pPr>
        <w:tabs>
          <w:tab w:val="left" w:pos="1440"/>
          <w:tab w:val="left" w:pos="1530"/>
        </w:tabs>
        <w:spacing w:line="360" w:lineRule="auto"/>
        <w:jc w:val="both"/>
        <w:rPr>
          <w:sz w:val="28"/>
          <w:szCs w:val="28"/>
        </w:rPr>
      </w:pPr>
    </w:p>
    <w:p w:rsidR="005F13EF" w:rsidRPr="006F7E17" w:rsidRDefault="005F13EF" w:rsidP="006B1634">
      <w:pPr>
        <w:tabs>
          <w:tab w:val="left" w:pos="1440"/>
        </w:tabs>
        <w:spacing w:line="360" w:lineRule="auto"/>
        <w:jc w:val="both"/>
        <w:rPr>
          <w:i/>
          <w:sz w:val="28"/>
          <w:szCs w:val="28"/>
        </w:rPr>
      </w:pPr>
      <w:r w:rsidRPr="006F7E17">
        <w:rPr>
          <w:i/>
          <w:sz w:val="28"/>
          <w:szCs w:val="28"/>
        </w:rPr>
        <w:lastRenderedPageBreak/>
        <w:t>BACKGROUND</w:t>
      </w:r>
    </w:p>
    <w:p w:rsidR="005F13EF" w:rsidRPr="006F7E17" w:rsidRDefault="005F13EF" w:rsidP="006B1634">
      <w:pPr>
        <w:tabs>
          <w:tab w:val="left" w:pos="1440"/>
          <w:tab w:val="left" w:pos="1530"/>
        </w:tabs>
        <w:spacing w:line="360" w:lineRule="auto"/>
        <w:jc w:val="both"/>
        <w:rPr>
          <w:i/>
          <w:sz w:val="28"/>
          <w:szCs w:val="28"/>
        </w:rPr>
      </w:pPr>
    </w:p>
    <w:p w:rsidR="005F13EF" w:rsidRPr="006F7E17" w:rsidRDefault="005F13EF" w:rsidP="006B1634">
      <w:pPr>
        <w:numPr>
          <w:ilvl w:val="0"/>
          <w:numId w:val="40"/>
        </w:numPr>
        <w:tabs>
          <w:tab w:val="left" w:pos="1440"/>
          <w:tab w:val="left" w:pos="1530"/>
        </w:tabs>
        <w:spacing w:line="360" w:lineRule="auto"/>
        <w:ind w:left="0" w:firstLine="0"/>
        <w:jc w:val="both"/>
        <w:rPr>
          <w:i/>
          <w:sz w:val="28"/>
          <w:szCs w:val="28"/>
        </w:rPr>
      </w:pPr>
      <w:r w:rsidRPr="006F7E17">
        <w:rPr>
          <w:sz w:val="28"/>
          <w:szCs w:val="28"/>
        </w:rPr>
        <w:t>The plaintiff is a well-known litigant in our courts.  Since 2011, he</w:t>
      </w:r>
      <w:r w:rsidR="00463787">
        <w:rPr>
          <w:sz w:val="28"/>
          <w:szCs w:val="28"/>
        </w:rPr>
        <w:t>, together with his wife,</w:t>
      </w:r>
      <w:r w:rsidR="00062151">
        <w:rPr>
          <w:sz w:val="28"/>
          <w:szCs w:val="28"/>
        </w:rPr>
        <w:t xml:space="preserve"> have</w:t>
      </w:r>
      <w:r w:rsidRPr="006F7E17">
        <w:rPr>
          <w:sz w:val="28"/>
          <w:szCs w:val="28"/>
        </w:rPr>
        <w:t xml:space="preserve"> commenced multiple actions and proceedings against the defendant.  So far, </w:t>
      </w:r>
      <w:r w:rsidR="00463787">
        <w:rPr>
          <w:sz w:val="28"/>
          <w:szCs w:val="28"/>
        </w:rPr>
        <w:t>they have</w:t>
      </w:r>
      <w:r w:rsidRPr="006F7E17">
        <w:rPr>
          <w:sz w:val="28"/>
          <w:szCs w:val="28"/>
        </w:rPr>
        <w:t xml:space="preserve"> lost each and </w:t>
      </w:r>
      <w:r w:rsidR="00463787">
        <w:rPr>
          <w:sz w:val="28"/>
          <w:szCs w:val="28"/>
        </w:rPr>
        <w:t>every single one of them and have</w:t>
      </w:r>
      <w:r w:rsidRPr="006F7E17">
        <w:rPr>
          <w:sz w:val="28"/>
          <w:szCs w:val="28"/>
        </w:rPr>
        <w:t xml:space="preserve"> repeatedly been </w:t>
      </w:r>
      <w:r w:rsidR="00F40BE8" w:rsidRPr="006F7E17">
        <w:rPr>
          <w:sz w:val="28"/>
          <w:szCs w:val="28"/>
        </w:rPr>
        <w:t>criticized</w:t>
      </w:r>
      <w:r w:rsidRPr="006F7E17">
        <w:rPr>
          <w:sz w:val="28"/>
          <w:szCs w:val="28"/>
        </w:rPr>
        <w:t xml:space="preserve"> by the court</w:t>
      </w:r>
      <w:r w:rsidR="002B2FBA">
        <w:rPr>
          <w:sz w:val="28"/>
          <w:szCs w:val="28"/>
        </w:rPr>
        <w:t>s at different levels</w:t>
      </w:r>
      <w:r w:rsidRPr="006F7E17">
        <w:rPr>
          <w:sz w:val="28"/>
          <w:szCs w:val="28"/>
        </w:rPr>
        <w:t xml:space="preserve"> </w:t>
      </w:r>
      <w:r w:rsidR="00F40BE8" w:rsidRPr="006F7E17">
        <w:rPr>
          <w:sz w:val="28"/>
          <w:szCs w:val="28"/>
        </w:rPr>
        <w:t xml:space="preserve">for having </w:t>
      </w:r>
      <w:r w:rsidRPr="006F7E17">
        <w:rPr>
          <w:sz w:val="28"/>
          <w:szCs w:val="28"/>
        </w:rPr>
        <w:t xml:space="preserve">abused the court’s process.  </w:t>
      </w:r>
    </w:p>
    <w:p w:rsidR="005F13EF" w:rsidRPr="006F7E17" w:rsidRDefault="005F13EF" w:rsidP="006F7E17">
      <w:pPr>
        <w:tabs>
          <w:tab w:val="left" w:pos="1440"/>
          <w:tab w:val="left" w:pos="1530"/>
        </w:tabs>
        <w:spacing w:line="360" w:lineRule="auto"/>
        <w:jc w:val="both"/>
        <w:rPr>
          <w:i/>
          <w:sz w:val="28"/>
          <w:szCs w:val="28"/>
        </w:rPr>
      </w:pPr>
    </w:p>
    <w:p w:rsidR="005C69B7" w:rsidRPr="006F7E17" w:rsidRDefault="005F13EF" w:rsidP="007C50FD">
      <w:pPr>
        <w:numPr>
          <w:ilvl w:val="0"/>
          <w:numId w:val="40"/>
        </w:numPr>
        <w:tabs>
          <w:tab w:val="left" w:pos="1440"/>
        </w:tabs>
        <w:spacing w:line="360" w:lineRule="auto"/>
        <w:ind w:left="0" w:firstLine="0"/>
        <w:jc w:val="both"/>
        <w:rPr>
          <w:i/>
          <w:sz w:val="28"/>
          <w:szCs w:val="28"/>
        </w:rPr>
      </w:pPr>
      <w:r w:rsidRPr="006F7E17">
        <w:rPr>
          <w:sz w:val="28"/>
          <w:szCs w:val="28"/>
        </w:rPr>
        <w:t xml:space="preserve">The present claim against the defendant is for </w:t>
      </w:r>
      <w:r w:rsidR="005C69B7" w:rsidRPr="006F7E17">
        <w:rPr>
          <w:sz w:val="28"/>
          <w:szCs w:val="28"/>
        </w:rPr>
        <w:t>a ridiculous</w:t>
      </w:r>
      <w:r w:rsidR="002B2FBA">
        <w:rPr>
          <w:sz w:val="28"/>
          <w:szCs w:val="28"/>
        </w:rPr>
        <w:t xml:space="preserve"> sum</w:t>
      </w:r>
      <w:r w:rsidRPr="006F7E17">
        <w:rPr>
          <w:sz w:val="28"/>
          <w:szCs w:val="28"/>
        </w:rPr>
        <w:t xml:space="preserve"> of HK$14,475,849.00 </w:t>
      </w:r>
      <w:r w:rsidR="005C69B7" w:rsidRPr="006F7E17">
        <w:rPr>
          <w:sz w:val="28"/>
          <w:szCs w:val="28"/>
        </w:rPr>
        <w:t xml:space="preserve">purportedly </w:t>
      </w:r>
      <w:r w:rsidRPr="006F7E17">
        <w:rPr>
          <w:sz w:val="28"/>
          <w:szCs w:val="28"/>
        </w:rPr>
        <w:t xml:space="preserve">under </w:t>
      </w:r>
      <w:r w:rsidR="005C69B7" w:rsidRPr="006F7E17">
        <w:rPr>
          <w:sz w:val="28"/>
          <w:szCs w:val="28"/>
        </w:rPr>
        <w:t xml:space="preserve">section </w:t>
      </w:r>
      <w:r w:rsidRPr="006F7E17">
        <w:rPr>
          <w:sz w:val="28"/>
          <w:szCs w:val="28"/>
        </w:rPr>
        <w:t>66 of the Personal Data (Privacy) Ordinance</w:t>
      </w:r>
      <w:r w:rsidR="00062151">
        <w:rPr>
          <w:sz w:val="28"/>
          <w:szCs w:val="28"/>
        </w:rPr>
        <w:t>, Cap 486</w:t>
      </w:r>
      <w:r w:rsidRPr="006F7E17">
        <w:rPr>
          <w:sz w:val="28"/>
          <w:szCs w:val="28"/>
        </w:rPr>
        <w:t xml:space="preserve"> (“PDPO”)</w:t>
      </w:r>
      <w:r w:rsidR="005C69B7" w:rsidRPr="006F7E17">
        <w:rPr>
          <w:sz w:val="28"/>
          <w:szCs w:val="28"/>
        </w:rPr>
        <w:t>.</w:t>
      </w:r>
      <w:r w:rsidR="005C69B7" w:rsidRPr="006F7E17">
        <w:rPr>
          <w:i/>
          <w:sz w:val="28"/>
          <w:szCs w:val="28"/>
        </w:rPr>
        <w:t xml:space="preserve">  </w:t>
      </w:r>
      <w:r w:rsidR="002B2FBA">
        <w:rPr>
          <w:sz w:val="28"/>
          <w:szCs w:val="28"/>
        </w:rPr>
        <w:t xml:space="preserve">It </w:t>
      </w:r>
      <w:r w:rsidR="005C69B7" w:rsidRPr="006F7E17">
        <w:rPr>
          <w:sz w:val="28"/>
          <w:szCs w:val="28"/>
        </w:rPr>
        <w:t>involves a re-litigation of a dispute which has been rejected by the court</w:t>
      </w:r>
      <w:r w:rsidR="002B2FBA">
        <w:rPr>
          <w:sz w:val="28"/>
          <w:szCs w:val="28"/>
        </w:rPr>
        <w:t>s</w:t>
      </w:r>
      <w:r w:rsidR="005C69B7" w:rsidRPr="006F7E17">
        <w:rPr>
          <w:sz w:val="28"/>
          <w:szCs w:val="28"/>
        </w:rPr>
        <w:t xml:space="preserve"> on multiple occasions.  The defendant submits that this claim is doomed to fail and therefore ought to be struck out.</w:t>
      </w:r>
    </w:p>
    <w:p w:rsidR="005C69B7" w:rsidRPr="006F7E17" w:rsidRDefault="005C69B7" w:rsidP="006F7E17">
      <w:pPr>
        <w:pStyle w:val="ListParagraph"/>
        <w:tabs>
          <w:tab w:val="left" w:pos="1440"/>
        </w:tabs>
        <w:spacing w:line="360" w:lineRule="auto"/>
        <w:ind w:left="0"/>
        <w:jc w:val="both"/>
        <w:rPr>
          <w:i/>
          <w:sz w:val="28"/>
          <w:szCs w:val="28"/>
        </w:rPr>
      </w:pPr>
    </w:p>
    <w:p w:rsidR="005C69B7" w:rsidRPr="006F7E17" w:rsidRDefault="005C69B7" w:rsidP="007C50FD">
      <w:pPr>
        <w:numPr>
          <w:ilvl w:val="0"/>
          <w:numId w:val="40"/>
        </w:numPr>
        <w:tabs>
          <w:tab w:val="left" w:pos="1440"/>
        </w:tabs>
        <w:spacing w:line="360" w:lineRule="auto"/>
        <w:ind w:left="0" w:firstLine="0"/>
        <w:jc w:val="both"/>
        <w:rPr>
          <w:i/>
          <w:sz w:val="28"/>
          <w:szCs w:val="28"/>
        </w:rPr>
      </w:pPr>
      <w:r w:rsidRPr="006F7E17">
        <w:rPr>
          <w:sz w:val="28"/>
          <w:szCs w:val="28"/>
        </w:rPr>
        <w:t xml:space="preserve">The $14.4m </w:t>
      </w:r>
      <w:r w:rsidR="00E85357" w:rsidRPr="006F7E17">
        <w:rPr>
          <w:sz w:val="28"/>
          <w:szCs w:val="28"/>
        </w:rPr>
        <w:t>c</w:t>
      </w:r>
      <w:r w:rsidRPr="006F7E17">
        <w:rPr>
          <w:sz w:val="28"/>
          <w:szCs w:val="28"/>
        </w:rPr>
        <w:t xml:space="preserve">laim was first raised by </w:t>
      </w:r>
      <w:r w:rsidR="00E85357" w:rsidRPr="006F7E17">
        <w:rPr>
          <w:sz w:val="28"/>
          <w:szCs w:val="28"/>
        </w:rPr>
        <w:t xml:space="preserve">the plaintiff </w:t>
      </w:r>
      <w:r w:rsidR="005011B6" w:rsidRPr="006F7E17">
        <w:rPr>
          <w:sz w:val="28"/>
          <w:szCs w:val="28"/>
        </w:rPr>
        <w:t>over</w:t>
      </w:r>
      <w:r w:rsidRPr="006F7E17">
        <w:rPr>
          <w:b/>
          <w:sz w:val="28"/>
          <w:szCs w:val="28"/>
        </w:rPr>
        <w:t xml:space="preserve"> </w:t>
      </w:r>
      <w:r w:rsidRPr="006F7E17">
        <w:rPr>
          <w:sz w:val="28"/>
          <w:szCs w:val="28"/>
        </w:rPr>
        <w:t xml:space="preserve">5 years ago, by way of </w:t>
      </w:r>
      <w:r w:rsidR="00E85357" w:rsidRPr="006F7E17">
        <w:rPr>
          <w:sz w:val="28"/>
          <w:szCs w:val="28"/>
        </w:rPr>
        <w:t>w</w:t>
      </w:r>
      <w:r w:rsidRPr="006F7E17">
        <w:rPr>
          <w:sz w:val="28"/>
          <w:szCs w:val="28"/>
        </w:rPr>
        <w:t xml:space="preserve">rit in HCA 2045/2012 </w:t>
      </w:r>
      <w:r w:rsidR="00E85357" w:rsidRPr="006F7E17">
        <w:rPr>
          <w:sz w:val="28"/>
          <w:szCs w:val="28"/>
        </w:rPr>
        <w:t xml:space="preserve">commenced </w:t>
      </w:r>
      <w:r w:rsidRPr="006F7E17">
        <w:rPr>
          <w:sz w:val="28"/>
          <w:szCs w:val="28"/>
        </w:rPr>
        <w:t xml:space="preserve">on </w:t>
      </w:r>
      <w:r w:rsidR="00E85357" w:rsidRPr="006F7E17">
        <w:rPr>
          <w:sz w:val="28"/>
          <w:szCs w:val="28"/>
        </w:rPr>
        <w:t xml:space="preserve">2 November </w:t>
      </w:r>
      <w:r w:rsidRPr="006F7E17">
        <w:rPr>
          <w:sz w:val="28"/>
          <w:szCs w:val="28"/>
        </w:rPr>
        <w:t>2012 (</w:t>
      </w:r>
      <w:r w:rsidR="002B2FBA">
        <w:rPr>
          <w:sz w:val="28"/>
          <w:szCs w:val="28"/>
        </w:rPr>
        <w:t xml:space="preserve">“the </w:t>
      </w:r>
      <w:r w:rsidRPr="006F7E17">
        <w:rPr>
          <w:sz w:val="28"/>
          <w:szCs w:val="28"/>
        </w:rPr>
        <w:t xml:space="preserve">HCA Action”).  By </w:t>
      </w:r>
      <w:r w:rsidR="00E85357" w:rsidRPr="006F7E17">
        <w:rPr>
          <w:sz w:val="28"/>
          <w:szCs w:val="28"/>
        </w:rPr>
        <w:t>a s</w:t>
      </w:r>
      <w:r w:rsidRPr="006F7E17">
        <w:rPr>
          <w:sz w:val="28"/>
          <w:szCs w:val="28"/>
        </w:rPr>
        <w:t>ummons dated 18</w:t>
      </w:r>
      <w:r w:rsidR="00E85357" w:rsidRPr="006F7E17">
        <w:rPr>
          <w:sz w:val="28"/>
          <w:szCs w:val="28"/>
        </w:rPr>
        <w:t xml:space="preserve"> November </w:t>
      </w:r>
      <w:r w:rsidRPr="006F7E17">
        <w:rPr>
          <w:sz w:val="28"/>
          <w:szCs w:val="28"/>
        </w:rPr>
        <w:t>2014</w:t>
      </w:r>
      <w:r w:rsidRPr="006F7E17">
        <w:rPr>
          <w:b/>
          <w:sz w:val="28"/>
          <w:szCs w:val="28"/>
        </w:rPr>
        <w:t xml:space="preserve"> </w:t>
      </w:r>
      <w:r w:rsidRPr="006F7E17">
        <w:rPr>
          <w:sz w:val="28"/>
          <w:szCs w:val="28"/>
        </w:rPr>
        <w:t xml:space="preserve">(some 2 years after the </w:t>
      </w:r>
      <w:r w:rsidR="00E85357" w:rsidRPr="006F7E17">
        <w:rPr>
          <w:sz w:val="28"/>
          <w:szCs w:val="28"/>
        </w:rPr>
        <w:t>issue of the w</w:t>
      </w:r>
      <w:r w:rsidRPr="006F7E17">
        <w:rPr>
          <w:sz w:val="28"/>
          <w:szCs w:val="28"/>
        </w:rPr>
        <w:t xml:space="preserve">rit), </w:t>
      </w:r>
      <w:r w:rsidR="00062151">
        <w:rPr>
          <w:sz w:val="28"/>
          <w:szCs w:val="28"/>
        </w:rPr>
        <w:t>the plaintiff</w:t>
      </w:r>
      <w:r w:rsidR="00E85357" w:rsidRPr="006F7E17">
        <w:rPr>
          <w:sz w:val="28"/>
          <w:szCs w:val="28"/>
        </w:rPr>
        <w:t>,</w:t>
      </w:r>
      <w:r w:rsidRPr="006F7E17">
        <w:rPr>
          <w:sz w:val="28"/>
          <w:szCs w:val="28"/>
        </w:rPr>
        <w:t xml:space="preserve"> </w:t>
      </w:r>
      <w:r w:rsidRPr="006F7E17">
        <w:rPr>
          <w:i/>
          <w:sz w:val="28"/>
          <w:szCs w:val="28"/>
        </w:rPr>
        <w:t>inter alia</w:t>
      </w:r>
      <w:r w:rsidR="00E85357" w:rsidRPr="006F7E17">
        <w:rPr>
          <w:i/>
          <w:sz w:val="28"/>
          <w:szCs w:val="28"/>
        </w:rPr>
        <w:t>,</w:t>
      </w:r>
      <w:r w:rsidRPr="006F7E17">
        <w:rPr>
          <w:i/>
          <w:sz w:val="28"/>
          <w:szCs w:val="28"/>
        </w:rPr>
        <w:t xml:space="preserve"> </w:t>
      </w:r>
      <w:r w:rsidRPr="006F7E17">
        <w:rPr>
          <w:sz w:val="28"/>
          <w:szCs w:val="28"/>
        </w:rPr>
        <w:t xml:space="preserve">applied to “replace” the </w:t>
      </w:r>
      <w:r w:rsidR="00E85357" w:rsidRPr="006F7E17">
        <w:rPr>
          <w:sz w:val="28"/>
          <w:szCs w:val="28"/>
        </w:rPr>
        <w:t>s</w:t>
      </w:r>
      <w:r w:rsidRPr="006F7E17">
        <w:rPr>
          <w:sz w:val="28"/>
          <w:szCs w:val="28"/>
        </w:rPr>
        <w:t xml:space="preserve">tatement of </w:t>
      </w:r>
      <w:r w:rsidR="00E85357" w:rsidRPr="006F7E17">
        <w:rPr>
          <w:sz w:val="28"/>
          <w:szCs w:val="28"/>
        </w:rPr>
        <w:t>c</w:t>
      </w:r>
      <w:r w:rsidRPr="006F7E17">
        <w:rPr>
          <w:sz w:val="28"/>
          <w:szCs w:val="28"/>
        </w:rPr>
        <w:t xml:space="preserve">laim in the HCA Action by a “proposed” </w:t>
      </w:r>
      <w:r w:rsidR="00E85357" w:rsidRPr="006F7E17">
        <w:rPr>
          <w:sz w:val="28"/>
          <w:szCs w:val="28"/>
        </w:rPr>
        <w:t>s</w:t>
      </w:r>
      <w:r w:rsidRPr="006F7E17">
        <w:rPr>
          <w:sz w:val="28"/>
          <w:szCs w:val="28"/>
        </w:rPr>
        <w:t xml:space="preserve">tatement of </w:t>
      </w:r>
      <w:r w:rsidR="00E85357" w:rsidRPr="006F7E17">
        <w:rPr>
          <w:sz w:val="28"/>
          <w:szCs w:val="28"/>
        </w:rPr>
        <w:t>c</w:t>
      </w:r>
      <w:r w:rsidRPr="006F7E17">
        <w:rPr>
          <w:sz w:val="28"/>
          <w:szCs w:val="28"/>
        </w:rPr>
        <w:t xml:space="preserve">laim, under which the $14.4m </w:t>
      </w:r>
      <w:r w:rsidR="00E85357" w:rsidRPr="006F7E17">
        <w:rPr>
          <w:sz w:val="28"/>
          <w:szCs w:val="28"/>
        </w:rPr>
        <w:t>c</w:t>
      </w:r>
      <w:r w:rsidRPr="006F7E17">
        <w:rPr>
          <w:sz w:val="28"/>
          <w:szCs w:val="28"/>
        </w:rPr>
        <w:t xml:space="preserve">laim was framed as a claim under </w:t>
      </w:r>
      <w:r w:rsidR="00E85357" w:rsidRPr="006F7E17">
        <w:rPr>
          <w:sz w:val="28"/>
          <w:szCs w:val="28"/>
        </w:rPr>
        <w:t xml:space="preserve">s </w:t>
      </w:r>
      <w:r w:rsidRPr="006F7E17">
        <w:rPr>
          <w:sz w:val="28"/>
          <w:szCs w:val="28"/>
        </w:rPr>
        <w:t xml:space="preserve">66 of the PDPO (the “PDPO Claim”).  </w:t>
      </w:r>
    </w:p>
    <w:p w:rsidR="00E85357" w:rsidRPr="006F7E17" w:rsidRDefault="00E85357" w:rsidP="006F7E17">
      <w:pPr>
        <w:pStyle w:val="ListParagraph"/>
        <w:tabs>
          <w:tab w:val="left" w:pos="1440"/>
        </w:tabs>
        <w:spacing w:line="360" w:lineRule="auto"/>
        <w:ind w:left="0"/>
        <w:jc w:val="both"/>
        <w:rPr>
          <w:i/>
          <w:sz w:val="28"/>
          <w:szCs w:val="28"/>
        </w:rPr>
      </w:pPr>
    </w:p>
    <w:p w:rsidR="005C69B7" w:rsidRPr="006F7E17" w:rsidRDefault="00E85357" w:rsidP="007C50FD">
      <w:pPr>
        <w:numPr>
          <w:ilvl w:val="0"/>
          <w:numId w:val="40"/>
        </w:numPr>
        <w:tabs>
          <w:tab w:val="left" w:pos="1440"/>
        </w:tabs>
        <w:spacing w:line="360" w:lineRule="auto"/>
        <w:ind w:left="0" w:firstLine="0"/>
        <w:jc w:val="both"/>
        <w:rPr>
          <w:i/>
          <w:sz w:val="28"/>
          <w:szCs w:val="28"/>
        </w:rPr>
      </w:pPr>
      <w:r w:rsidRPr="006F7E17">
        <w:rPr>
          <w:sz w:val="28"/>
          <w:szCs w:val="28"/>
        </w:rPr>
        <w:t xml:space="preserve">The defendant </w:t>
      </w:r>
      <w:r w:rsidR="005C69B7" w:rsidRPr="006F7E17">
        <w:rPr>
          <w:sz w:val="28"/>
          <w:szCs w:val="28"/>
        </w:rPr>
        <w:t>applied to strike out the $14.4</w:t>
      </w:r>
      <w:r w:rsidRPr="006F7E17">
        <w:rPr>
          <w:sz w:val="28"/>
          <w:szCs w:val="28"/>
        </w:rPr>
        <w:t>m c</w:t>
      </w:r>
      <w:r w:rsidR="005C69B7" w:rsidRPr="006F7E17">
        <w:rPr>
          <w:sz w:val="28"/>
          <w:szCs w:val="28"/>
        </w:rPr>
        <w:t xml:space="preserve">laim in the HCA Action by </w:t>
      </w:r>
      <w:r w:rsidRPr="006F7E17">
        <w:rPr>
          <w:sz w:val="28"/>
          <w:szCs w:val="28"/>
        </w:rPr>
        <w:t>s</w:t>
      </w:r>
      <w:r w:rsidR="005C69B7" w:rsidRPr="006F7E17">
        <w:rPr>
          <w:sz w:val="28"/>
          <w:szCs w:val="28"/>
        </w:rPr>
        <w:t>ummons dated 17</w:t>
      </w:r>
      <w:r w:rsidRPr="006F7E17">
        <w:rPr>
          <w:sz w:val="28"/>
          <w:szCs w:val="28"/>
        </w:rPr>
        <w:t xml:space="preserve"> July </w:t>
      </w:r>
      <w:r w:rsidR="005C69B7" w:rsidRPr="006F7E17">
        <w:rPr>
          <w:sz w:val="28"/>
          <w:szCs w:val="28"/>
        </w:rPr>
        <w:t xml:space="preserve">2013.  By the </w:t>
      </w:r>
      <w:r w:rsidRPr="006F7E17">
        <w:rPr>
          <w:sz w:val="28"/>
          <w:szCs w:val="28"/>
        </w:rPr>
        <w:t>d</w:t>
      </w:r>
      <w:r w:rsidR="005C69B7" w:rsidRPr="006F7E17">
        <w:rPr>
          <w:sz w:val="28"/>
          <w:szCs w:val="28"/>
        </w:rPr>
        <w:t>ecision of D</w:t>
      </w:r>
      <w:r w:rsidR="002B2FBA">
        <w:rPr>
          <w:sz w:val="28"/>
          <w:szCs w:val="28"/>
        </w:rPr>
        <w:t xml:space="preserve">eputy </w:t>
      </w:r>
      <w:r w:rsidR="005C69B7" w:rsidRPr="006F7E17">
        <w:rPr>
          <w:sz w:val="28"/>
          <w:szCs w:val="28"/>
        </w:rPr>
        <w:t>H</w:t>
      </w:r>
      <w:r w:rsidR="002B2FBA">
        <w:rPr>
          <w:sz w:val="28"/>
          <w:szCs w:val="28"/>
        </w:rPr>
        <w:t xml:space="preserve">igh </w:t>
      </w:r>
      <w:r w:rsidR="005C69B7" w:rsidRPr="006F7E17">
        <w:rPr>
          <w:sz w:val="28"/>
          <w:szCs w:val="28"/>
        </w:rPr>
        <w:t>C</w:t>
      </w:r>
      <w:r w:rsidR="002B2FBA">
        <w:rPr>
          <w:sz w:val="28"/>
          <w:szCs w:val="28"/>
        </w:rPr>
        <w:t xml:space="preserve">ourt </w:t>
      </w:r>
      <w:r w:rsidR="005C69B7" w:rsidRPr="006F7E17">
        <w:rPr>
          <w:sz w:val="28"/>
          <w:szCs w:val="28"/>
        </w:rPr>
        <w:t>J</w:t>
      </w:r>
      <w:r w:rsidR="002B2FBA">
        <w:rPr>
          <w:sz w:val="28"/>
          <w:szCs w:val="28"/>
        </w:rPr>
        <w:t>udge</w:t>
      </w:r>
      <w:r w:rsidR="005C69B7" w:rsidRPr="006F7E17">
        <w:rPr>
          <w:sz w:val="28"/>
          <w:szCs w:val="28"/>
        </w:rPr>
        <w:t xml:space="preserve"> Kent Yee </w:t>
      </w:r>
      <w:r w:rsidR="002B2FBA">
        <w:rPr>
          <w:sz w:val="28"/>
          <w:szCs w:val="28"/>
        </w:rPr>
        <w:t xml:space="preserve">(“DHCJ Yee”) </w:t>
      </w:r>
      <w:r w:rsidR="005C69B7" w:rsidRPr="006F7E17">
        <w:rPr>
          <w:sz w:val="28"/>
          <w:szCs w:val="28"/>
        </w:rPr>
        <w:t>dated 1</w:t>
      </w:r>
      <w:r w:rsidRPr="006F7E17">
        <w:rPr>
          <w:sz w:val="28"/>
          <w:szCs w:val="28"/>
        </w:rPr>
        <w:t xml:space="preserve"> December </w:t>
      </w:r>
      <w:r w:rsidR="005C69B7" w:rsidRPr="006F7E17">
        <w:rPr>
          <w:sz w:val="28"/>
          <w:szCs w:val="28"/>
        </w:rPr>
        <w:t>2014</w:t>
      </w:r>
      <w:r w:rsidR="005C69B7" w:rsidRPr="006F7E17">
        <w:rPr>
          <w:rStyle w:val="FootnoteReference"/>
          <w:sz w:val="28"/>
          <w:szCs w:val="28"/>
        </w:rPr>
        <w:footnoteReference w:id="1"/>
      </w:r>
      <w:r w:rsidR="005C69B7" w:rsidRPr="006F7E17">
        <w:rPr>
          <w:sz w:val="28"/>
          <w:szCs w:val="28"/>
        </w:rPr>
        <w:t xml:space="preserve">, </w:t>
      </w:r>
      <w:r w:rsidRPr="006F7E17">
        <w:rPr>
          <w:sz w:val="28"/>
          <w:szCs w:val="28"/>
        </w:rPr>
        <w:t xml:space="preserve">the </w:t>
      </w:r>
      <w:r w:rsidR="005C69B7" w:rsidRPr="006F7E17">
        <w:rPr>
          <w:sz w:val="28"/>
          <w:szCs w:val="28"/>
        </w:rPr>
        <w:t>HCA Action was struck out</w:t>
      </w:r>
      <w:r w:rsidRPr="006F7E17">
        <w:rPr>
          <w:sz w:val="28"/>
          <w:szCs w:val="28"/>
        </w:rPr>
        <w:t xml:space="preserve"> and his proposed s</w:t>
      </w:r>
      <w:r w:rsidR="005C69B7" w:rsidRPr="006F7E17">
        <w:rPr>
          <w:sz w:val="28"/>
          <w:szCs w:val="28"/>
        </w:rPr>
        <w:t xml:space="preserve">tatement of </w:t>
      </w:r>
      <w:r w:rsidRPr="006F7E17">
        <w:rPr>
          <w:sz w:val="28"/>
          <w:szCs w:val="28"/>
        </w:rPr>
        <w:t>c</w:t>
      </w:r>
      <w:r w:rsidR="005C69B7" w:rsidRPr="006F7E17">
        <w:rPr>
          <w:sz w:val="28"/>
          <w:szCs w:val="28"/>
        </w:rPr>
        <w:t xml:space="preserve">laim to advance </w:t>
      </w:r>
      <w:r w:rsidR="005C69B7" w:rsidRPr="006F7E17">
        <w:rPr>
          <w:sz w:val="28"/>
          <w:szCs w:val="28"/>
        </w:rPr>
        <w:lastRenderedPageBreak/>
        <w:t xml:space="preserve">the PDPO Claim was disallowed (“DHCJ </w:t>
      </w:r>
      <w:r w:rsidR="00D20924" w:rsidRPr="006F7E17">
        <w:rPr>
          <w:sz w:val="28"/>
          <w:szCs w:val="28"/>
        </w:rPr>
        <w:t>Yee</w:t>
      </w:r>
      <w:r w:rsidR="005C69B7" w:rsidRPr="006F7E17">
        <w:rPr>
          <w:sz w:val="28"/>
          <w:szCs w:val="28"/>
        </w:rPr>
        <w:t>’s Decision”)</w:t>
      </w:r>
      <w:r w:rsidRPr="006F7E17">
        <w:rPr>
          <w:sz w:val="28"/>
          <w:szCs w:val="28"/>
        </w:rPr>
        <w:t>.</w:t>
      </w:r>
      <w:r w:rsidR="005C69B7" w:rsidRPr="006F7E17">
        <w:rPr>
          <w:sz w:val="28"/>
          <w:szCs w:val="28"/>
        </w:rPr>
        <w:t xml:space="preserve">  DHCJ Yee also refused to transfer the claim to the District Court given his </w:t>
      </w:r>
      <w:r w:rsidR="005C69B7" w:rsidRPr="00F92D7A">
        <w:rPr>
          <w:sz w:val="28"/>
          <w:szCs w:val="28"/>
        </w:rPr>
        <w:t>“dim view of the merit”</w:t>
      </w:r>
      <w:r w:rsidR="005C69B7" w:rsidRPr="006F7E17">
        <w:rPr>
          <w:sz w:val="28"/>
          <w:szCs w:val="28"/>
        </w:rPr>
        <w:t xml:space="preserve"> of the claim (§§19-20).  </w:t>
      </w:r>
    </w:p>
    <w:p w:rsidR="00FB1A72" w:rsidRPr="006F7E17" w:rsidRDefault="00FB1A72" w:rsidP="006F7E17">
      <w:pPr>
        <w:pStyle w:val="ListParagraph"/>
        <w:tabs>
          <w:tab w:val="left" w:pos="1440"/>
        </w:tabs>
        <w:spacing w:line="360" w:lineRule="auto"/>
        <w:ind w:left="0"/>
        <w:jc w:val="both"/>
        <w:rPr>
          <w:i/>
          <w:sz w:val="28"/>
          <w:szCs w:val="28"/>
        </w:rPr>
      </w:pPr>
    </w:p>
    <w:p w:rsidR="005C69B7" w:rsidRPr="006F7E17" w:rsidRDefault="005C69B7" w:rsidP="007C50FD">
      <w:pPr>
        <w:numPr>
          <w:ilvl w:val="0"/>
          <w:numId w:val="40"/>
        </w:numPr>
        <w:tabs>
          <w:tab w:val="left" w:pos="1440"/>
        </w:tabs>
        <w:spacing w:line="360" w:lineRule="auto"/>
        <w:ind w:left="0" w:firstLine="0"/>
        <w:jc w:val="both"/>
        <w:rPr>
          <w:i/>
          <w:sz w:val="28"/>
          <w:szCs w:val="28"/>
        </w:rPr>
      </w:pPr>
      <w:r w:rsidRPr="006F7E17">
        <w:rPr>
          <w:sz w:val="28"/>
          <w:szCs w:val="28"/>
        </w:rPr>
        <w:t xml:space="preserve">In DHCJ Yee’s Decision, </w:t>
      </w:r>
      <w:r w:rsidR="002B2FBA">
        <w:rPr>
          <w:sz w:val="28"/>
          <w:szCs w:val="28"/>
        </w:rPr>
        <w:t xml:space="preserve">he </w:t>
      </w:r>
      <w:r w:rsidR="00FB1A72" w:rsidRPr="006F7E17">
        <w:rPr>
          <w:sz w:val="28"/>
          <w:szCs w:val="28"/>
        </w:rPr>
        <w:t xml:space="preserve">made the following </w:t>
      </w:r>
      <w:r w:rsidRPr="006F7E17">
        <w:rPr>
          <w:sz w:val="28"/>
          <w:szCs w:val="28"/>
        </w:rPr>
        <w:t>observations in relation to the PDPO Claim</w:t>
      </w:r>
      <w:r w:rsidR="00FB1A72" w:rsidRPr="006F7E17">
        <w:rPr>
          <w:sz w:val="28"/>
          <w:szCs w:val="28"/>
        </w:rPr>
        <w:t xml:space="preserve"> </w:t>
      </w:r>
      <w:r w:rsidR="00D20924" w:rsidRPr="006F7E17">
        <w:rPr>
          <w:sz w:val="28"/>
          <w:szCs w:val="28"/>
        </w:rPr>
        <w:t>in</w:t>
      </w:r>
      <w:r w:rsidRPr="006F7E17">
        <w:rPr>
          <w:sz w:val="28"/>
          <w:szCs w:val="28"/>
        </w:rPr>
        <w:t xml:space="preserve"> §</w:t>
      </w:r>
      <w:proofErr w:type="gramStart"/>
      <w:r w:rsidRPr="006F7E17">
        <w:rPr>
          <w:sz w:val="28"/>
          <w:szCs w:val="28"/>
        </w:rPr>
        <w:t>18:-</w:t>
      </w:r>
      <w:proofErr w:type="gramEnd"/>
    </w:p>
    <w:p w:rsidR="005C69B7" w:rsidRPr="006F7E17" w:rsidRDefault="005C69B7" w:rsidP="006F7E17">
      <w:pPr>
        <w:pStyle w:val="ListParagraph"/>
        <w:tabs>
          <w:tab w:val="left" w:pos="1440"/>
        </w:tabs>
        <w:spacing w:line="360" w:lineRule="auto"/>
        <w:ind w:left="0"/>
        <w:jc w:val="both"/>
        <w:rPr>
          <w:sz w:val="28"/>
          <w:szCs w:val="28"/>
        </w:rPr>
      </w:pPr>
    </w:p>
    <w:p w:rsidR="005C69B7" w:rsidRPr="008957CA" w:rsidRDefault="005C69B7" w:rsidP="008957CA">
      <w:pPr>
        <w:pStyle w:val="ListParagraph"/>
        <w:tabs>
          <w:tab w:val="left" w:pos="1440"/>
        </w:tabs>
        <w:ind w:left="1440" w:right="747"/>
        <w:jc w:val="both"/>
      </w:pPr>
      <w:r w:rsidRPr="008957CA">
        <w:t xml:space="preserve">“... I fail to see any </w:t>
      </w:r>
      <w:r w:rsidRPr="008957CA">
        <w:rPr>
          <w:i/>
        </w:rPr>
        <w:t>causal link</w:t>
      </w:r>
      <w:r w:rsidRPr="008957CA">
        <w:t xml:space="preserve"> between the alleged breach of DPP</w:t>
      </w:r>
      <w:r w:rsidR="003304B8">
        <w:rPr>
          <w:rFonts w:hint="eastAsia"/>
        </w:rPr>
        <w:t>5</w:t>
      </w:r>
      <w:r w:rsidRPr="008957CA">
        <w:t xml:space="preserve"> on the one hand and the alleged income loss sustained on the other.  The alleged breach had nothing to do with the dismissal of [</w:t>
      </w:r>
      <w:r w:rsidR="00FB1A72" w:rsidRPr="008957CA">
        <w:t>the plaintiff</w:t>
      </w:r>
      <w:r w:rsidRPr="008957CA">
        <w:t xml:space="preserve">] to start with.  It is also </w:t>
      </w:r>
      <w:r w:rsidRPr="008957CA">
        <w:rPr>
          <w:i/>
        </w:rPr>
        <w:t>far-fetched</w:t>
      </w:r>
      <w:r w:rsidRPr="008957CA">
        <w:t xml:space="preserve"> to attribute his inability to secure a s</w:t>
      </w:r>
      <w:r w:rsidR="00FB1A72" w:rsidRPr="008957CA">
        <w:t>imi</w:t>
      </w:r>
      <w:r w:rsidR="003304B8">
        <w:t xml:space="preserve">lar job to his dismissal by </w:t>
      </w:r>
      <w:r w:rsidR="00FB1A72" w:rsidRPr="008957CA">
        <w:t>[the defendant</w:t>
      </w:r>
      <w:r w:rsidRPr="008957CA">
        <w:t xml:space="preserve">].  As the proposed/draft Statement of Claim now stands, I am convinced that it would also be doomed to failure” (emphasis added).  </w:t>
      </w:r>
    </w:p>
    <w:p w:rsidR="00794123" w:rsidRPr="006F7E17" w:rsidRDefault="00794123" w:rsidP="006F7E17">
      <w:pPr>
        <w:pStyle w:val="ListParagraph"/>
        <w:tabs>
          <w:tab w:val="left" w:pos="1440"/>
        </w:tabs>
        <w:spacing w:line="360" w:lineRule="auto"/>
        <w:ind w:left="0"/>
        <w:jc w:val="both"/>
        <w:rPr>
          <w:sz w:val="28"/>
          <w:szCs w:val="28"/>
        </w:rPr>
      </w:pPr>
    </w:p>
    <w:p w:rsidR="005C69B7" w:rsidRPr="006F7E17" w:rsidRDefault="005C69B7" w:rsidP="007C50FD">
      <w:pPr>
        <w:numPr>
          <w:ilvl w:val="0"/>
          <w:numId w:val="40"/>
        </w:numPr>
        <w:tabs>
          <w:tab w:val="left" w:pos="1440"/>
        </w:tabs>
        <w:spacing w:line="360" w:lineRule="auto"/>
        <w:ind w:left="0" w:firstLine="0"/>
        <w:jc w:val="both"/>
        <w:rPr>
          <w:sz w:val="28"/>
          <w:szCs w:val="28"/>
        </w:rPr>
      </w:pPr>
      <w:r w:rsidRPr="006F7E17">
        <w:rPr>
          <w:sz w:val="28"/>
          <w:szCs w:val="28"/>
        </w:rPr>
        <w:t xml:space="preserve">Subsequently, </w:t>
      </w:r>
      <w:r w:rsidR="00D20924" w:rsidRPr="006F7E17">
        <w:rPr>
          <w:sz w:val="28"/>
          <w:szCs w:val="28"/>
        </w:rPr>
        <w:t xml:space="preserve">the plaintiff </w:t>
      </w:r>
      <w:r w:rsidRPr="006F7E17">
        <w:rPr>
          <w:sz w:val="28"/>
          <w:szCs w:val="28"/>
        </w:rPr>
        <w:t xml:space="preserve">made an application for leave to appeal against DHCJ Yee’s Decision, which was refused by the Court of Appeal </w:t>
      </w:r>
      <w:r w:rsidR="00AF18E7">
        <w:rPr>
          <w:sz w:val="28"/>
          <w:szCs w:val="28"/>
        </w:rPr>
        <w:t xml:space="preserve">(“the CA”) </w:t>
      </w:r>
      <w:r w:rsidRPr="006F7E17">
        <w:rPr>
          <w:sz w:val="28"/>
          <w:szCs w:val="28"/>
        </w:rPr>
        <w:t>in HCMP 371/2015</w:t>
      </w:r>
      <w:r w:rsidRPr="006F7E17">
        <w:rPr>
          <w:rStyle w:val="FootnoteReference"/>
          <w:sz w:val="28"/>
          <w:szCs w:val="28"/>
        </w:rPr>
        <w:footnoteReference w:id="2"/>
      </w:r>
      <w:r w:rsidRPr="006F7E17">
        <w:rPr>
          <w:sz w:val="28"/>
          <w:szCs w:val="28"/>
        </w:rPr>
        <w:t xml:space="preserve">.  In its Decision, </w:t>
      </w:r>
      <w:r w:rsidR="00062151">
        <w:rPr>
          <w:sz w:val="28"/>
          <w:szCs w:val="28"/>
        </w:rPr>
        <w:t xml:space="preserve">the </w:t>
      </w:r>
      <w:r w:rsidR="00AF18E7">
        <w:rPr>
          <w:sz w:val="28"/>
          <w:szCs w:val="28"/>
        </w:rPr>
        <w:t>CA</w:t>
      </w:r>
      <w:r w:rsidRPr="006F7E17">
        <w:rPr>
          <w:sz w:val="28"/>
          <w:szCs w:val="28"/>
        </w:rPr>
        <w:t xml:space="preserve"> observed the following in respect of the PDPO </w:t>
      </w:r>
      <w:proofErr w:type="gramStart"/>
      <w:r w:rsidRPr="006F7E17">
        <w:rPr>
          <w:sz w:val="28"/>
          <w:szCs w:val="28"/>
        </w:rPr>
        <w:t>Claim:-</w:t>
      </w:r>
      <w:proofErr w:type="gramEnd"/>
    </w:p>
    <w:p w:rsidR="005C69B7" w:rsidRPr="006F7E17" w:rsidRDefault="005C69B7" w:rsidP="006F7E17">
      <w:pPr>
        <w:pStyle w:val="ListParagraph"/>
        <w:tabs>
          <w:tab w:val="left" w:pos="1440"/>
        </w:tabs>
        <w:spacing w:line="360" w:lineRule="auto"/>
        <w:ind w:left="0"/>
        <w:jc w:val="both"/>
        <w:rPr>
          <w:sz w:val="28"/>
          <w:szCs w:val="28"/>
        </w:rPr>
      </w:pPr>
    </w:p>
    <w:p w:rsidR="00D20924" w:rsidRPr="008957CA" w:rsidRDefault="00D20924" w:rsidP="008957CA">
      <w:pPr>
        <w:pStyle w:val="ListParagraph"/>
        <w:tabs>
          <w:tab w:val="left" w:pos="2160"/>
        </w:tabs>
        <w:ind w:left="2160" w:right="747" w:hanging="720"/>
        <w:jc w:val="both"/>
        <w:rPr>
          <w:i/>
        </w:rPr>
      </w:pPr>
      <w:r w:rsidRPr="008957CA">
        <w:t>“</w:t>
      </w:r>
      <w:r w:rsidRPr="008957CA">
        <w:rPr>
          <w:b/>
        </w:rPr>
        <w:t>[</w:t>
      </w:r>
      <w:r w:rsidRPr="008957CA">
        <w:t>25]</w:t>
      </w:r>
      <w:r w:rsidRPr="008957CA">
        <w:tab/>
        <w:t xml:space="preserve">We find the judge’s reasoning in §18 of his judgment unassailable.  He is obviously right there </w:t>
      </w:r>
      <w:proofErr w:type="gramStart"/>
      <w:r w:rsidRPr="008957CA">
        <w:t>is</w:t>
      </w:r>
      <w:proofErr w:type="gramEnd"/>
      <w:r w:rsidRPr="008957CA">
        <w:t xml:space="preserve"> no conceivable </w:t>
      </w:r>
      <w:r w:rsidRPr="00AF18E7">
        <w:rPr>
          <w:i/>
        </w:rPr>
        <w:t>causal link</w:t>
      </w:r>
      <w:r w:rsidRPr="008957CA">
        <w:t xml:space="preserve"> between the defendant’s breach of DPP5 and the events which led to the defendant maintaining the stance that the plaintiff was dismissed for misconduct.  He is right to say that it is </w:t>
      </w:r>
      <w:r w:rsidRPr="008957CA">
        <w:rPr>
          <w:i/>
        </w:rPr>
        <w:t>far-fetched</w:t>
      </w:r>
      <w:r w:rsidRPr="008957CA">
        <w:t xml:space="preserve"> to attribute the plaintiff’s failure to secure a similar job in future to his dismissal by the defendant.  </w:t>
      </w:r>
      <w:r w:rsidRPr="008957CA">
        <w:rPr>
          <w:i/>
        </w:rPr>
        <w:t xml:space="preserve">Besides, the </w:t>
      </w:r>
      <w:proofErr w:type="spellStart"/>
      <w:r w:rsidRPr="008957CA">
        <w:rPr>
          <w:i/>
        </w:rPr>
        <w:t>Labour</w:t>
      </w:r>
      <w:proofErr w:type="spellEnd"/>
      <w:r w:rsidRPr="008957CA">
        <w:rPr>
          <w:i/>
        </w:rPr>
        <w:t xml:space="preserve"> Tribunal had decided the plaintiff was dismissed for valid reasons</w:t>
      </w:r>
      <w:r w:rsidRPr="008957CA">
        <w:t xml:space="preserve"> because it was dissatisfied with the plaintiff’s performance and his rude outburst during a meeting on 4 November 2010.  </w:t>
      </w:r>
      <w:r w:rsidRPr="008957CA">
        <w:rPr>
          <w:i/>
        </w:rPr>
        <w:t>The plaintiff cannot re-litigate an issue already decided against him.</w:t>
      </w:r>
    </w:p>
    <w:p w:rsidR="00D20924" w:rsidRPr="008957CA" w:rsidRDefault="00D20924" w:rsidP="008957CA">
      <w:pPr>
        <w:pStyle w:val="ListParagraph"/>
        <w:tabs>
          <w:tab w:val="left" w:pos="2160"/>
        </w:tabs>
        <w:ind w:left="2160" w:right="747" w:hanging="720"/>
        <w:jc w:val="both"/>
      </w:pPr>
    </w:p>
    <w:p w:rsidR="00D20924" w:rsidRPr="008957CA" w:rsidRDefault="00D20924" w:rsidP="008957CA">
      <w:pPr>
        <w:pStyle w:val="ListParagraph"/>
        <w:tabs>
          <w:tab w:val="left" w:pos="2160"/>
        </w:tabs>
        <w:ind w:left="2160" w:right="747" w:hanging="720"/>
        <w:jc w:val="both"/>
      </w:pPr>
      <w:r w:rsidRPr="008957CA">
        <w:t xml:space="preserve">[26] </w:t>
      </w:r>
      <w:r w:rsidRPr="008957CA">
        <w:tab/>
        <w:t xml:space="preserve">The plaintiff contended that the judge should not have formed his view on the draft pleading without giving him </w:t>
      </w:r>
      <w:r w:rsidRPr="008957CA">
        <w:lastRenderedPageBreak/>
        <w:t xml:space="preserve">an opportunity to substantiate his claim with proofs and evidence.  We do not think there is any error in the judge’s approach, as </w:t>
      </w:r>
      <w:r w:rsidRPr="008957CA">
        <w:rPr>
          <w:i/>
        </w:rPr>
        <w:t>it is clear beyond peradventure that the claim for damages for loss of earnings for the rest of the plaintiff’s working life is unsustainable at law as being far too remote</w:t>
      </w:r>
      <w:r w:rsidRPr="008957CA">
        <w:t>.</w:t>
      </w:r>
    </w:p>
    <w:p w:rsidR="00D20924" w:rsidRPr="008957CA" w:rsidRDefault="00D20924" w:rsidP="008957CA">
      <w:pPr>
        <w:pStyle w:val="ListParagraph"/>
        <w:tabs>
          <w:tab w:val="left" w:pos="2160"/>
        </w:tabs>
        <w:ind w:left="2160" w:right="747" w:hanging="720"/>
        <w:jc w:val="both"/>
      </w:pPr>
      <w:r w:rsidRPr="008957CA">
        <w:tab/>
        <w:t>...</w:t>
      </w:r>
    </w:p>
    <w:p w:rsidR="00D20924" w:rsidRPr="008957CA" w:rsidRDefault="00D20924" w:rsidP="008957CA">
      <w:pPr>
        <w:pStyle w:val="ListParagraph"/>
        <w:tabs>
          <w:tab w:val="left" w:pos="2160"/>
        </w:tabs>
        <w:ind w:left="2160" w:right="747" w:hanging="720"/>
        <w:jc w:val="both"/>
      </w:pPr>
      <w:r w:rsidRPr="008957CA">
        <w:t xml:space="preserve">[28] </w:t>
      </w:r>
      <w:r w:rsidRPr="008957CA">
        <w:tab/>
        <w:t xml:space="preserve">... The lack of a causal link between the contravention of DPP5 and the damages allegedly suffered in the new claim is still </w:t>
      </w:r>
      <w:r w:rsidRPr="008957CA">
        <w:rPr>
          <w:i/>
        </w:rPr>
        <w:t>an insurmountable hurdle</w:t>
      </w:r>
      <w:r w:rsidRPr="008957CA">
        <w:t xml:space="preserve">.” (emphasis added).  </w:t>
      </w:r>
    </w:p>
    <w:p w:rsidR="00D20924" w:rsidRPr="006F7E17" w:rsidRDefault="00D20924" w:rsidP="006F7E17">
      <w:pPr>
        <w:pStyle w:val="ListParagraph"/>
        <w:tabs>
          <w:tab w:val="left" w:pos="1440"/>
        </w:tabs>
        <w:spacing w:line="360" w:lineRule="auto"/>
        <w:ind w:left="0"/>
        <w:jc w:val="both"/>
        <w:rPr>
          <w:sz w:val="28"/>
          <w:szCs w:val="28"/>
        </w:rPr>
      </w:pPr>
    </w:p>
    <w:p w:rsidR="009C51DC" w:rsidRPr="006F7E17" w:rsidRDefault="009C51DC" w:rsidP="007C50FD">
      <w:pPr>
        <w:numPr>
          <w:ilvl w:val="0"/>
          <w:numId w:val="40"/>
        </w:numPr>
        <w:tabs>
          <w:tab w:val="left" w:pos="1440"/>
        </w:tabs>
        <w:spacing w:line="360" w:lineRule="auto"/>
        <w:ind w:left="0" w:firstLine="0"/>
        <w:jc w:val="both"/>
        <w:rPr>
          <w:sz w:val="28"/>
          <w:szCs w:val="28"/>
        </w:rPr>
      </w:pPr>
      <w:r w:rsidRPr="006F7E17">
        <w:rPr>
          <w:sz w:val="28"/>
          <w:szCs w:val="28"/>
        </w:rPr>
        <w:t xml:space="preserve">However, notwithstanding the </w:t>
      </w:r>
      <w:r w:rsidR="00AF18E7">
        <w:rPr>
          <w:sz w:val="28"/>
          <w:szCs w:val="28"/>
        </w:rPr>
        <w:t xml:space="preserve">very </w:t>
      </w:r>
      <w:r w:rsidRPr="006F7E17">
        <w:rPr>
          <w:sz w:val="28"/>
          <w:szCs w:val="28"/>
        </w:rPr>
        <w:t>clear finding</w:t>
      </w:r>
      <w:r w:rsidR="001E0123" w:rsidRPr="006F7E17">
        <w:rPr>
          <w:sz w:val="28"/>
          <w:szCs w:val="28"/>
        </w:rPr>
        <w:t xml:space="preserve">s </w:t>
      </w:r>
      <w:r w:rsidR="00AF18E7">
        <w:rPr>
          <w:sz w:val="28"/>
          <w:szCs w:val="28"/>
        </w:rPr>
        <w:t xml:space="preserve">made </w:t>
      </w:r>
      <w:r w:rsidR="001E0123" w:rsidRPr="006F7E17">
        <w:rPr>
          <w:sz w:val="28"/>
          <w:szCs w:val="28"/>
        </w:rPr>
        <w:t xml:space="preserve">by the CA and DHCJ </w:t>
      </w:r>
      <w:r w:rsidR="00AD39CA" w:rsidRPr="006F7E17">
        <w:rPr>
          <w:sz w:val="28"/>
          <w:szCs w:val="28"/>
        </w:rPr>
        <w:t xml:space="preserve">Yee, the plaintiff </w:t>
      </w:r>
      <w:r w:rsidRPr="006F7E17">
        <w:rPr>
          <w:sz w:val="28"/>
          <w:szCs w:val="28"/>
        </w:rPr>
        <w:t>nevertheless</w:t>
      </w:r>
      <w:r w:rsidR="00AF18E7">
        <w:rPr>
          <w:sz w:val="28"/>
          <w:szCs w:val="28"/>
        </w:rPr>
        <w:t xml:space="preserve"> proceeded to issue a </w:t>
      </w:r>
      <w:r w:rsidRPr="006F7E17">
        <w:rPr>
          <w:sz w:val="28"/>
          <w:szCs w:val="28"/>
        </w:rPr>
        <w:t xml:space="preserve">fresh claim in this present </w:t>
      </w:r>
      <w:r w:rsidR="001E0123" w:rsidRPr="006F7E17">
        <w:rPr>
          <w:sz w:val="28"/>
          <w:szCs w:val="28"/>
        </w:rPr>
        <w:t>a</w:t>
      </w:r>
      <w:r w:rsidRPr="006F7E17">
        <w:rPr>
          <w:sz w:val="28"/>
          <w:szCs w:val="28"/>
        </w:rPr>
        <w:t>ction on 26</w:t>
      </w:r>
      <w:r w:rsidR="00AD39CA" w:rsidRPr="006F7E17">
        <w:rPr>
          <w:sz w:val="28"/>
          <w:szCs w:val="28"/>
        </w:rPr>
        <w:t xml:space="preserve"> April </w:t>
      </w:r>
      <w:r w:rsidRPr="006F7E17">
        <w:rPr>
          <w:sz w:val="28"/>
          <w:szCs w:val="28"/>
        </w:rPr>
        <w:t xml:space="preserve">2017, essentially seeking to re-litigate the PDPO Claim for the </w:t>
      </w:r>
      <w:r w:rsidR="00AF18E7">
        <w:rPr>
          <w:sz w:val="28"/>
          <w:szCs w:val="28"/>
        </w:rPr>
        <w:t>sum</w:t>
      </w:r>
      <w:r w:rsidRPr="006F7E17">
        <w:rPr>
          <w:sz w:val="28"/>
          <w:szCs w:val="28"/>
        </w:rPr>
        <w:t xml:space="preserve"> of $14</w:t>
      </w:r>
      <w:r w:rsidR="001E0123" w:rsidRPr="006F7E17">
        <w:rPr>
          <w:sz w:val="28"/>
          <w:szCs w:val="28"/>
        </w:rPr>
        <w:t>.</w:t>
      </w:r>
      <w:r w:rsidRPr="006F7E17">
        <w:rPr>
          <w:sz w:val="28"/>
          <w:szCs w:val="28"/>
        </w:rPr>
        <w:t>4</w:t>
      </w:r>
      <w:r w:rsidR="001E0123" w:rsidRPr="006F7E17">
        <w:rPr>
          <w:sz w:val="28"/>
          <w:szCs w:val="28"/>
        </w:rPr>
        <w:t xml:space="preserve"> million</w:t>
      </w:r>
      <w:r w:rsidRPr="006F7E17">
        <w:rPr>
          <w:sz w:val="28"/>
          <w:szCs w:val="28"/>
        </w:rPr>
        <w:t xml:space="preserve">.  </w:t>
      </w:r>
    </w:p>
    <w:p w:rsidR="001E0123" w:rsidRPr="006F7E17" w:rsidRDefault="001E0123" w:rsidP="006F7E17">
      <w:pPr>
        <w:pStyle w:val="ListParagraph"/>
        <w:tabs>
          <w:tab w:val="left" w:pos="1440"/>
        </w:tabs>
        <w:spacing w:line="360" w:lineRule="auto"/>
        <w:ind w:left="0"/>
        <w:jc w:val="both"/>
        <w:rPr>
          <w:sz w:val="28"/>
          <w:szCs w:val="28"/>
        </w:rPr>
      </w:pPr>
    </w:p>
    <w:p w:rsidR="00B47FF0" w:rsidRPr="006F7E17" w:rsidRDefault="009C51DC" w:rsidP="007C50FD">
      <w:pPr>
        <w:numPr>
          <w:ilvl w:val="0"/>
          <w:numId w:val="40"/>
        </w:numPr>
        <w:tabs>
          <w:tab w:val="left" w:pos="1440"/>
        </w:tabs>
        <w:spacing w:line="360" w:lineRule="auto"/>
        <w:ind w:left="0" w:firstLine="0"/>
        <w:jc w:val="both"/>
        <w:rPr>
          <w:i/>
          <w:sz w:val="28"/>
          <w:szCs w:val="28"/>
        </w:rPr>
      </w:pPr>
      <w:r w:rsidRPr="006F7E17">
        <w:rPr>
          <w:sz w:val="28"/>
          <w:szCs w:val="28"/>
        </w:rPr>
        <w:t xml:space="preserve">In fact, in </w:t>
      </w:r>
      <w:r w:rsidR="001E0123" w:rsidRPr="006F7E17">
        <w:rPr>
          <w:i/>
          <w:sz w:val="28"/>
          <w:szCs w:val="28"/>
        </w:rPr>
        <w:t xml:space="preserve">Yuen Oi Yee Lisa v. Charoen </w:t>
      </w:r>
      <w:proofErr w:type="spellStart"/>
      <w:r w:rsidR="001E0123" w:rsidRPr="006F7E17">
        <w:rPr>
          <w:i/>
          <w:sz w:val="28"/>
          <w:szCs w:val="28"/>
        </w:rPr>
        <w:t>Sirivadhavanabhakdi</w:t>
      </w:r>
      <w:proofErr w:type="spellEnd"/>
      <w:r w:rsidR="001E0123" w:rsidRPr="006F7E17">
        <w:rPr>
          <w:i/>
          <w:sz w:val="28"/>
          <w:szCs w:val="28"/>
        </w:rPr>
        <w:t xml:space="preserve"> and O</w:t>
      </w:r>
      <w:r w:rsidR="00AF18E7">
        <w:rPr>
          <w:i/>
          <w:sz w:val="28"/>
          <w:szCs w:val="28"/>
        </w:rPr>
        <w:t>thers</w:t>
      </w:r>
      <w:r w:rsidR="00463787">
        <w:rPr>
          <w:i/>
          <w:sz w:val="28"/>
          <w:szCs w:val="28"/>
        </w:rPr>
        <w:t>,</w:t>
      </w:r>
      <w:r w:rsidR="001E0123" w:rsidRPr="006F7E17">
        <w:rPr>
          <w:sz w:val="28"/>
          <w:szCs w:val="28"/>
        </w:rPr>
        <w:t xml:space="preserve"> DCCJ 1914/2015 </w:t>
      </w:r>
      <w:r w:rsidR="001E0123" w:rsidRPr="008957CA">
        <w:rPr>
          <w:sz w:val="28"/>
          <w:szCs w:val="28"/>
        </w:rPr>
        <w:t>(</w:t>
      </w:r>
      <w:proofErr w:type="spellStart"/>
      <w:r w:rsidR="001E0123" w:rsidRPr="008957CA">
        <w:rPr>
          <w:sz w:val="28"/>
          <w:szCs w:val="28"/>
        </w:rPr>
        <w:t>unrep</w:t>
      </w:r>
      <w:proofErr w:type="spellEnd"/>
      <w:r w:rsidR="001E0123" w:rsidRPr="008957CA">
        <w:rPr>
          <w:sz w:val="28"/>
          <w:szCs w:val="28"/>
        </w:rPr>
        <w:t>,</w:t>
      </w:r>
      <w:r w:rsidR="001E0123" w:rsidRPr="006F7E17">
        <w:rPr>
          <w:sz w:val="28"/>
          <w:szCs w:val="28"/>
        </w:rPr>
        <w:t xml:space="preserve"> 16 November 2015)</w:t>
      </w:r>
      <w:r w:rsidR="00AF18E7">
        <w:rPr>
          <w:sz w:val="28"/>
          <w:szCs w:val="28"/>
        </w:rPr>
        <w:t>,</w:t>
      </w:r>
      <w:r w:rsidR="001E0123" w:rsidRPr="006F7E17">
        <w:rPr>
          <w:sz w:val="28"/>
          <w:szCs w:val="28"/>
        </w:rPr>
        <w:t xml:space="preserve"> the plaintiff</w:t>
      </w:r>
      <w:r w:rsidR="00FC08DF" w:rsidRPr="006F7E17">
        <w:rPr>
          <w:sz w:val="28"/>
          <w:szCs w:val="28"/>
        </w:rPr>
        <w:t>’s wife had</w:t>
      </w:r>
      <w:r w:rsidRPr="006F7E17">
        <w:rPr>
          <w:sz w:val="28"/>
          <w:szCs w:val="28"/>
        </w:rPr>
        <w:t xml:space="preserve"> already pursued an unsuccessful </w:t>
      </w:r>
      <w:r w:rsidR="001E0123" w:rsidRPr="006F7E17">
        <w:rPr>
          <w:sz w:val="28"/>
          <w:szCs w:val="28"/>
        </w:rPr>
        <w:t xml:space="preserve">claim </w:t>
      </w:r>
      <w:r w:rsidR="00C941C1" w:rsidRPr="006F7E17">
        <w:rPr>
          <w:sz w:val="28"/>
          <w:szCs w:val="28"/>
        </w:rPr>
        <w:t xml:space="preserve">for and on behalf of the plaintiff </w:t>
      </w:r>
      <w:r w:rsidRPr="006F7E17">
        <w:rPr>
          <w:sz w:val="28"/>
          <w:szCs w:val="28"/>
        </w:rPr>
        <w:t xml:space="preserve">under the PDPO against </w:t>
      </w:r>
      <w:r w:rsidR="00C941C1" w:rsidRPr="006F7E17">
        <w:rPr>
          <w:sz w:val="28"/>
          <w:szCs w:val="28"/>
        </w:rPr>
        <w:t>the defendant</w:t>
      </w:r>
      <w:r w:rsidRPr="006F7E17">
        <w:rPr>
          <w:sz w:val="28"/>
          <w:szCs w:val="28"/>
        </w:rPr>
        <w:t xml:space="preserve">.  This claim was described </w:t>
      </w:r>
      <w:r w:rsidR="00C941C1" w:rsidRPr="006F7E17">
        <w:rPr>
          <w:sz w:val="28"/>
          <w:szCs w:val="28"/>
        </w:rPr>
        <w:t>by the c</w:t>
      </w:r>
      <w:r w:rsidRPr="006F7E17">
        <w:rPr>
          <w:sz w:val="28"/>
          <w:szCs w:val="28"/>
        </w:rPr>
        <w:t xml:space="preserve">ourt as an attempt </w:t>
      </w:r>
      <w:r w:rsidR="003304B8">
        <w:rPr>
          <w:sz w:val="28"/>
          <w:szCs w:val="28"/>
        </w:rPr>
        <w:t xml:space="preserve">“to rerun </w:t>
      </w:r>
      <w:proofErr w:type="spellStart"/>
      <w:r w:rsidR="003304B8">
        <w:rPr>
          <w:sz w:val="28"/>
          <w:szCs w:val="28"/>
        </w:rPr>
        <w:t>Mr</w:t>
      </w:r>
      <w:proofErr w:type="spellEnd"/>
      <w:r w:rsidR="003304B8">
        <w:rPr>
          <w:sz w:val="28"/>
          <w:szCs w:val="28"/>
        </w:rPr>
        <w:t xml:space="preserve"> Lee’s [</w:t>
      </w:r>
      <w:proofErr w:type="spellStart"/>
      <w:r w:rsidR="003304B8">
        <w:rPr>
          <w:sz w:val="28"/>
          <w:szCs w:val="28"/>
        </w:rPr>
        <w:t>ie</w:t>
      </w:r>
      <w:proofErr w:type="spellEnd"/>
      <w:r w:rsidR="003304B8">
        <w:rPr>
          <w:sz w:val="28"/>
          <w:szCs w:val="28"/>
        </w:rPr>
        <w:t xml:space="preserve"> the plaintiff</w:t>
      </w:r>
      <w:r w:rsidRPr="00F92D7A">
        <w:rPr>
          <w:sz w:val="28"/>
          <w:szCs w:val="28"/>
        </w:rPr>
        <w:t xml:space="preserve">’s] case in LBTC 588/2011 in the guise of her own claim under s 66 </w:t>
      </w:r>
      <w:r w:rsidR="003304B8">
        <w:rPr>
          <w:sz w:val="28"/>
          <w:szCs w:val="28"/>
        </w:rPr>
        <w:t xml:space="preserve">of </w:t>
      </w:r>
      <w:r w:rsidRPr="00F92D7A">
        <w:rPr>
          <w:sz w:val="28"/>
          <w:szCs w:val="28"/>
        </w:rPr>
        <w:t>PDPO”, as it was “dependent on her husband’s future of earnings”</w:t>
      </w:r>
      <w:r w:rsidRPr="006F7E17">
        <w:rPr>
          <w:i/>
          <w:sz w:val="28"/>
          <w:szCs w:val="28"/>
        </w:rPr>
        <w:t xml:space="preserve"> </w:t>
      </w:r>
      <w:r w:rsidRPr="006F7E17">
        <w:rPr>
          <w:sz w:val="28"/>
          <w:szCs w:val="28"/>
        </w:rPr>
        <w:t xml:space="preserve">and was </w:t>
      </w:r>
      <w:r w:rsidRPr="00F92D7A">
        <w:rPr>
          <w:sz w:val="28"/>
          <w:szCs w:val="28"/>
        </w:rPr>
        <w:t xml:space="preserve">“identical to </w:t>
      </w:r>
      <w:proofErr w:type="spellStart"/>
      <w:r w:rsidRPr="00F92D7A">
        <w:rPr>
          <w:sz w:val="28"/>
          <w:szCs w:val="28"/>
        </w:rPr>
        <w:t>Mr</w:t>
      </w:r>
      <w:proofErr w:type="spellEnd"/>
      <w:r w:rsidRPr="00F92D7A">
        <w:rPr>
          <w:sz w:val="28"/>
          <w:szCs w:val="28"/>
        </w:rPr>
        <w:t xml:space="preserve"> Lee’s claim in HCA 2045/2012”</w:t>
      </w:r>
      <w:r w:rsidRPr="006F7E17">
        <w:rPr>
          <w:sz w:val="28"/>
          <w:szCs w:val="28"/>
        </w:rPr>
        <w:t xml:space="preserve"> (at §51).  Not surprisingly, the said claim was struck out as an abuse of process (</w:t>
      </w:r>
      <w:r w:rsidRPr="008957CA">
        <w:rPr>
          <w:sz w:val="28"/>
          <w:szCs w:val="28"/>
        </w:rPr>
        <w:t>see</w:t>
      </w:r>
      <w:r w:rsidRPr="006F7E17">
        <w:rPr>
          <w:i/>
          <w:sz w:val="28"/>
          <w:szCs w:val="28"/>
        </w:rPr>
        <w:t xml:space="preserve"> </w:t>
      </w:r>
      <w:r w:rsidRPr="006F7E17">
        <w:rPr>
          <w:sz w:val="28"/>
          <w:szCs w:val="28"/>
        </w:rPr>
        <w:t xml:space="preserve">§§41-66).  </w:t>
      </w:r>
    </w:p>
    <w:p w:rsidR="004F6A3D" w:rsidRPr="006F7E17" w:rsidRDefault="004F6A3D" w:rsidP="006F7E17">
      <w:pPr>
        <w:tabs>
          <w:tab w:val="left" w:pos="1440"/>
        </w:tabs>
        <w:spacing w:line="360" w:lineRule="auto"/>
        <w:jc w:val="both"/>
        <w:rPr>
          <w:i/>
          <w:sz w:val="28"/>
          <w:szCs w:val="28"/>
        </w:rPr>
      </w:pPr>
    </w:p>
    <w:p w:rsidR="0026185C" w:rsidRPr="006F7E17" w:rsidRDefault="00FC08DF" w:rsidP="006F7E17">
      <w:pPr>
        <w:pStyle w:val="ListParagraph"/>
        <w:tabs>
          <w:tab w:val="left" w:pos="1440"/>
        </w:tabs>
        <w:spacing w:line="360" w:lineRule="auto"/>
        <w:ind w:left="0"/>
        <w:jc w:val="both"/>
        <w:rPr>
          <w:i/>
          <w:sz w:val="28"/>
          <w:szCs w:val="28"/>
        </w:rPr>
      </w:pPr>
      <w:r w:rsidRPr="006F7E17">
        <w:rPr>
          <w:i/>
          <w:sz w:val="28"/>
          <w:szCs w:val="28"/>
        </w:rPr>
        <w:t>DISCUSSION</w:t>
      </w:r>
    </w:p>
    <w:p w:rsidR="00E851AC" w:rsidRPr="006F7E17" w:rsidRDefault="00E851AC" w:rsidP="006F7E17">
      <w:pPr>
        <w:pStyle w:val="ListParagraph"/>
        <w:tabs>
          <w:tab w:val="left" w:pos="1440"/>
        </w:tabs>
        <w:spacing w:line="360" w:lineRule="auto"/>
        <w:ind w:left="0"/>
        <w:jc w:val="both"/>
        <w:rPr>
          <w:sz w:val="28"/>
          <w:szCs w:val="28"/>
        </w:rPr>
      </w:pPr>
    </w:p>
    <w:p w:rsidR="00FC08DF" w:rsidRPr="006F7E17" w:rsidRDefault="00FC08DF" w:rsidP="006F7E17">
      <w:pPr>
        <w:tabs>
          <w:tab w:val="left" w:pos="1440"/>
        </w:tabs>
        <w:spacing w:line="360" w:lineRule="auto"/>
        <w:jc w:val="both"/>
        <w:rPr>
          <w:i/>
          <w:sz w:val="28"/>
          <w:szCs w:val="28"/>
        </w:rPr>
      </w:pPr>
      <w:r w:rsidRPr="006F7E17">
        <w:rPr>
          <w:i/>
          <w:sz w:val="28"/>
          <w:szCs w:val="28"/>
        </w:rPr>
        <w:t xml:space="preserve">Relevant Legal Principles </w:t>
      </w:r>
    </w:p>
    <w:p w:rsidR="00FC08DF" w:rsidRPr="006F7E17" w:rsidRDefault="00FC08DF" w:rsidP="006F7E17">
      <w:pPr>
        <w:pStyle w:val="ListParagraph"/>
        <w:tabs>
          <w:tab w:val="left" w:pos="1440"/>
        </w:tabs>
        <w:spacing w:line="360" w:lineRule="auto"/>
        <w:ind w:left="0"/>
        <w:jc w:val="both"/>
        <w:rPr>
          <w:sz w:val="28"/>
          <w:szCs w:val="28"/>
        </w:rPr>
      </w:pPr>
    </w:p>
    <w:p w:rsidR="00AC4532" w:rsidRPr="006F7E17" w:rsidRDefault="00F24572" w:rsidP="007C50FD">
      <w:pPr>
        <w:numPr>
          <w:ilvl w:val="0"/>
          <w:numId w:val="40"/>
        </w:numPr>
        <w:tabs>
          <w:tab w:val="left" w:pos="1440"/>
        </w:tabs>
        <w:spacing w:line="360" w:lineRule="auto"/>
        <w:ind w:left="0" w:firstLine="0"/>
        <w:jc w:val="both"/>
        <w:rPr>
          <w:sz w:val="28"/>
          <w:szCs w:val="28"/>
        </w:rPr>
      </w:pPr>
      <w:r w:rsidRPr="006F7E17">
        <w:rPr>
          <w:sz w:val="28"/>
          <w:szCs w:val="28"/>
        </w:rPr>
        <w:t xml:space="preserve">It is trite that a defendant is entitled to </w:t>
      </w:r>
      <w:r w:rsidR="00AC4532" w:rsidRPr="006F7E17">
        <w:rPr>
          <w:sz w:val="28"/>
          <w:szCs w:val="28"/>
        </w:rPr>
        <w:t>strik</w:t>
      </w:r>
      <w:r w:rsidRPr="006F7E17">
        <w:rPr>
          <w:sz w:val="28"/>
          <w:szCs w:val="28"/>
        </w:rPr>
        <w:t xml:space="preserve">e </w:t>
      </w:r>
      <w:r w:rsidR="00AC4532" w:rsidRPr="006F7E17">
        <w:rPr>
          <w:sz w:val="28"/>
          <w:szCs w:val="28"/>
        </w:rPr>
        <w:t xml:space="preserve">out a plaintiff’s indorsement of writ under </w:t>
      </w:r>
      <w:r w:rsidR="00F92D7A" w:rsidRPr="006F7E17">
        <w:rPr>
          <w:sz w:val="28"/>
          <w:szCs w:val="28"/>
        </w:rPr>
        <w:t>O</w:t>
      </w:r>
      <w:r w:rsidR="00F92D7A">
        <w:rPr>
          <w:sz w:val="28"/>
          <w:szCs w:val="28"/>
        </w:rPr>
        <w:t xml:space="preserve"> </w:t>
      </w:r>
      <w:r w:rsidR="00F92D7A" w:rsidRPr="006F7E17">
        <w:rPr>
          <w:sz w:val="28"/>
          <w:szCs w:val="28"/>
        </w:rPr>
        <w:t>18, r</w:t>
      </w:r>
      <w:r w:rsidR="00F92D7A">
        <w:rPr>
          <w:sz w:val="28"/>
          <w:szCs w:val="28"/>
        </w:rPr>
        <w:t> </w:t>
      </w:r>
      <w:r w:rsidR="00F92D7A" w:rsidRPr="006F7E17">
        <w:rPr>
          <w:sz w:val="28"/>
          <w:szCs w:val="28"/>
        </w:rPr>
        <w:t>19</w:t>
      </w:r>
      <w:r w:rsidR="00F92D7A">
        <w:rPr>
          <w:sz w:val="28"/>
          <w:szCs w:val="28"/>
        </w:rPr>
        <w:t xml:space="preserve"> of t</w:t>
      </w:r>
      <w:r w:rsidRPr="006F7E17">
        <w:rPr>
          <w:sz w:val="28"/>
          <w:szCs w:val="28"/>
        </w:rPr>
        <w:t xml:space="preserve">he Rules of the District Court </w:t>
      </w:r>
      <w:r w:rsidRPr="006F7E17">
        <w:rPr>
          <w:sz w:val="28"/>
          <w:szCs w:val="28"/>
        </w:rPr>
        <w:lastRenderedPageBreak/>
        <w:t>(“RDC”)</w:t>
      </w:r>
      <w:r w:rsidR="00AC4532" w:rsidRPr="006F7E17">
        <w:rPr>
          <w:sz w:val="28"/>
          <w:szCs w:val="28"/>
        </w:rPr>
        <w:t>, on the grounds that (a) it disclose</w:t>
      </w:r>
      <w:r w:rsidR="004B25C1">
        <w:rPr>
          <w:sz w:val="28"/>
          <w:szCs w:val="28"/>
        </w:rPr>
        <w:t>s no reasonable cause of action;</w:t>
      </w:r>
      <w:r w:rsidR="00AC4532" w:rsidRPr="006F7E17">
        <w:rPr>
          <w:sz w:val="28"/>
          <w:szCs w:val="28"/>
        </w:rPr>
        <w:t xml:space="preserve"> (b) it is scandalous, frivolous or vexati</w:t>
      </w:r>
      <w:r w:rsidR="004B25C1">
        <w:rPr>
          <w:sz w:val="28"/>
          <w:szCs w:val="28"/>
        </w:rPr>
        <w:t xml:space="preserve">ous; </w:t>
      </w:r>
      <w:r w:rsidR="00AC4532" w:rsidRPr="006F7E17">
        <w:rPr>
          <w:sz w:val="28"/>
          <w:szCs w:val="28"/>
        </w:rPr>
        <w:t xml:space="preserve">and/or (c) it is otherwise an abuse of the process of the court: </w:t>
      </w:r>
      <w:r w:rsidR="00AC4532" w:rsidRPr="00AE1CC0">
        <w:rPr>
          <w:i/>
          <w:sz w:val="28"/>
          <w:szCs w:val="28"/>
        </w:rPr>
        <w:t>see</w:t>
      </w:r>
      <w:r w:rsidR="00AC4532" w:rsidRPr="008957CA">
        <w:rPr>
          <w:sz w:val="28"/>
          <w:szCs w:val="28"/>
        </w:rPr>
        <w:t xml:space="preserve"> </w:t>
      </w:r>
      <w:r w:rsidR="00AC4532" w:rsidRPr="006F7E17">
        <w:rPr>
          <w:i/>
          <w:sz w:val="28"/>
          <w:szCs w:val="28"/>
        </w:rPr>
        <w:t>Hong Kong Civil Procedure 2018,</w:t>
      </w:r>
      <w:r w:rsidR="00AC4532" w:rsidRPr="006F7E17">
        <w:rPr>
          <w:sz w:val="28"/>
          <w:szCs w:val="28"/>
        </w:rPr>
        <w:t xml:space="preserve"> §§18/19/5-7, 9.  </w:t>
      </w:r>
    </w:p>
    <w:p w:rsidR="00AC4532" w:rsidRPr="006F7E17" w:rsidRDefault="00AC4532" w:rsidP="006F7E17">
      <w:pPr>
        <w:pStyle w:val="ListParagraph"/>
        <w:tabs>
          <w:tab w:val="left" w:pos="1440"/>
          <w:tab w:val="left" w:pos="3225"/>
        </w:tabs>
        <w:spacing w:line="360" w:lineRule="auto"/>
        <w:ind w:left="0"/>
        <w:jc w:val="both"/>
        <w:rPr>
          <w:sz w:val="28"/>
          <w:szCs w:val="28"/>
        </w:rPr>
      </w:pPr>
    </w:p>
    <w:p w:rsidR="00CA6EFC" w:rsidRPr="006F7E17" w:rsidRDefault="00F24572" w:rsidP="007C50FD">
      <w:pPr>
        <w:numPr>
          <w:ilvl w:val="0"/>
          <w:numId w:val="40"/>
        </w:numPr>
        <w:tabs>
          <w:tab w:val="left" w:pos="1440"/>
        </w:tabs>
        <w:spacing w:line="360" w:lineRule="auto"/>
        <w:ind w:left="0" w:firstLine="0"/>
        <w:jc w:val="both"/>
        <w:rPr>
          <w:sz w:val="28"/>
          <w:szCs w:val="28"/>
        </w:rPr>
      </w:pPr>
      <w:r w:rsidRPr="006F7E17">
        <w:rPr>
          <w:sz w:val="28"/>
          <w:szCs w:val="28"/>
        </w:rPr>
        <w:t xml:space="preserve">Further, </w:t>
      </w:r>
      <w:r w:rsidR="00AC4532" w:rsidRPr="006F7E17">
        <w:rPr>
          <w:sz w:val="28"/>
          <w:szCs w:val="28"/>
        </w:rPr>
        <w:t xml:space="preserve">a plaintiff’s case may be struck out on the basis of re-litigation or </w:t>
      </w:r>
      <w:r w:rsidR="00AC4532" w:rsidRPr="006F7E17">
        <w:rPr>
          <w:i/>
          <w:sz w:val="28"/>
          <w:szCs w:val="28"/>
        </w:rPr>
        <w:t>res judicata</w:t>
      </w:r>
      <w:r w:rsidR="00AC4532" w:rsidRPr="006F7E17">
        <w:rPr>
          <w:sz w:val="28"/>
          <w:szCs w:val="28"/>
        </w:rPr>
        <w:t>,</w:t>
      </w:r>
      <w:r w:rsidR="00AC4532" w:rsidRPr="006F7E17">
        <w:rPr>
          <w:i/>
          <w:sz w:val="28"/>
          <w:szCs w:val="28"/>
        </w:rPr>
        <w:t xml:space="preserve"> </w:t>
      </w:r>
      <w:r w:rsidR="00AC4532" w:rsidRPr="006F7E17">
        <w:rPr>
          <w:sz w:val="28"/>
          <w:szCs w:val="28"/>
        </w:rPr>
        <w:t xml:space="preserve">where a party seeks to “litigate matters which have, or could have, been decided in earlier proceedings”: </w:t>
      </w:r>
      <w:r w:rsidR="00AC4532" w:rsidRPr="006F7E17">
        <w:rPr>
          <w:i/>
          <w:sz w:val="28"/>
          <w:szCs w:val="28"/>
        </w:rPr>
        <w:t>Hong Kong Civil Procedure 2018</w:t>
      </w:r>
      <w:r w:rsidR="00CA6EFC" w:rsidRPr="008957CA">
        <w:rPr>
          <w:sz w:val="28"/>
          <w:szCs w:val="28"/>
        </w:rPr>
        <w:t>,</w:t>
      </w:r>
      <w:r w:rsidR="00AC4532" w:rsidRPr="008957CA">
        <w:rPr>
          <w:sz w:val="28"/>
          <w:szCs w:val="28"/>
        </w:rPr>
        <w:t xml:space="preserve"> §§18/19/10, </w:t>
      </w:r>
      <w:r w:rsidR="00AC4532" w:rsidRPr="00AE1CC0">
        <w:rPr>
          <w:i/>
          <w:sz w:val="28"/>
          <w:szCs w:val="28"/>
        </w:rPr>
        <w:t>see</w:t>
      </w:r>
      <w:r w:rsidR="00AC4532" w:rsidRPr="008957CA">
        <w:rPr>
          <w:sz w:val="28"/>
          <w:szCs w:val="28"/>
        </w:rPr>
        <w:t xml:space="preserve"> also</w:t>
      </w:r>
      <w:r w:rsidR="00AC4532" w:rsidRPr="006F7E17">
        <w:rPr>
          <w:i/>
          <w:sz w:val="28"/>
          <w:szCs w:val="28"/>
        </w:rPr>
        <w:t xml:space="preserve"> Yuen Oi Yee Lisa</w:t>
      </w:r>
      <w:r w:rsidR="00463787">
        <w:rPr>
          <w:i/>
          <w:sz w:val="28"/>
          <w:szCs w:val="28"/>
        </w:rPr>
        <w:t>,</w:t>
      </w:r>
      <w:r w:rsidR="00AC4532" w:rsidRPr="006F7E17">
        <w:rPr>
          <w:i/>
          <w:sz w:val="28"/>
          <w:szCs w:val="28"/>
        </w:rPr>
        <w:t xml:space="preserve"> </w:t>
      </w:r>
      <w:r w:rsidR="00CA6EFC" w:rsidRPr="006F7E17">
        <w:rPr>
          <w:i/>
          <w:sz w:val="28"/>
          <w:szCs w:val="28"/>
        </w:rPr>
        <w:t>supra</w:t>
      </w:r>
      <w:r w:rsidR="00AC4532" w:rsidRPr="006F7E17">
        <w:rPr>
          <w:sz w:val="28"/>
          <w:szCs w:val="28"/>
        </w:rPr>
        <w:t xml:space="preserve">, </w:t>
      </w:r>
      <w:r w:rsidR="004B25C1">
        <w:rPr>
          <w:sz w:val="28"/>
          <w:szCs w:val="28"/>
        </w:rPr>
        <w:t xml:space="preserve">at </w:t>
      </w:r>
      <w:r w:rsidR="00AC4532" w:rsidRPr="006F7E17">
        <w:rPr>
          <w:sz w:val="28"/>
          <w:szCs w:val="28"/>
        </w:rPr>
        <w:t xml:space="preserve">§§45-46. </w:t>
      </w:r>
    </w:p>
    <w:p w:rsidR="00CA6EFC" w:rsidRPr="006F7E17" w:rsidRDefault="00CA6EFC" w:rsidP="006F7E17">
      <w:pPr>
        <w:pStyle w:val="ListParagraph"/>
        <w:tabs>
          <w:tab w:val="left" w:pos="1440"/>
        </w:tabs>
        <w:spacing w:line="360" w:lineRule="auto"/>
        <w:ind w:left="0"/>
        <w:jc w:val="both"/>
        <w:rPr>
          <w:sz w:val="28"/>
          <w:szCs w:val="28"/>
        </w:rPr>
      </w:pPr>
    </w:p>
    <w:p w:rsidR="00A71CC9" w:rsidRPr="006F7E17" w:rsidRDefault="004B25C1" w:rsidP="006F7E17">
      <w:pPr>
        <w:pStyle w:val="ListParagraph"/>
        <w:tabs>
          <w:tab w:val="left" w:pos="1440"/>
        </w:tabs>
        <w:spacing w:line="360" w:lineRule="auto"/>
        <w:ind w:left="0"/>
        <w:jc w:val="both"/>
        <w:rPr>
          <w:i/>
          <w:sz w:val="28"/>
          <w:szCs w:val="28"/>
        </w:rPr>
      </w:pPr>
      <w:r>
        <w:rPr>
          <w:i/>
          <w:sz w:val="28"/>
          <w:szCs w:val="28"/>
        </w:rPr>
        <w:t>Findings of this</w:t>
      </w:r>
      <w:r w:rsidR="00CA6EFC" w:rsidRPr="006F7E17">
        <w:rPr>
          <w:i/>
          <w:sz w:val="28"/>
          <w:szCs w:val="28"/>
        </w:rPr>
        <w:t xml:space="preserve"> Court</w:t>
      </w:r>
      <w:r w:rsidR="00AC4532" w:rsidRPr="006F7E17">
        <w:rPr>
          <w:i/>
          <w:sz w:val="28"/>
          <w:szCs w:val="28"/>
        </w:rPr>
        <w:t xml:space="preserve"> </w:t>
      </w:r>
    </w:p>
    <w:p w:rsidR="00400E77" w:rsidRPr="006F7E17" w:rsidRDefault="00400E77" w:rsidP="006F7E17">
      <w:pPr>
        <w:pStyle w:val="ListParagraph"/>
        <w:tabs>
          <w:tab w:val="left" w:pos="1440"/>
        </w:tabs>
        <w:spacing w:line="360" w:lineRule="auto"/>
        <w:ind w:left="0"/>
        <w:jc w:val="both"/>
        <w:rPr>
          <w:i/>
          <w:sz w:val="28"/>
          <w:szCs w:val="28"/>
        </w:rPr>
      </w:pPr>
    </w:p>
    <w:p w:rsidR="00400E77" w:rsidRPr="006F7E17" w:rsidRDefault="00400E77" w:rsidP="007C50FD">
      <w:pPr>
        <w:pStyle w:val="ListParagraph"/>
        <w:numPr>
          <w:ilvl w:val="0"/>
          <w:numId w:val="46"/>
        </w:numPr>
        <w:tabs>
          <w:tab w:val="left" w:pos="720"/>
        </w:tabs>
        <w:spacing w:line="360" w:lineRule="auto"/>
        <w:ind w:left="0" w:firstLine="0"/>
        <w:jc w:val="both"/>
        <w:rPr>
          <w:i/>
          <w:sz w:val="28"/>
          <w:szCs w:val="28"/>
        </w:rPr>
      </w:pPr>
      <w:r w:rsidRPr="006F7E17">
        <w:rPr>
          <w:i/>
          <w:sz w:val="28"/>
          <w:szCs w:val="28"/>
        </w:rPr>
        <w:t xml:space="preserve">The Striking-out Application </w:t>
      </w:r>
    </w:p>
    <w:p w:rsidR="00400E77" w:rsidRPr="006F7E17" w:rsidRDefault="00400E77" w:rsidP="006F7E17">
      <w:pPr>
        <w:pStyle w:val="ListParagraph"/>
        <w:tabs>
          <w:tab w:val="left" w:pos="1440"/>
        </w:tabs>
        <w:spacing w:line="360" w:lineRule="auto"/>
        <w:ind w:left="0"/>
        <w:jc w:val="both"/>
        <w:rPr>
          <w:i/>
          <w:sz w:val="28"/>
          <w:szCs w:val="28"/>
        </w:rPr>
      </w:pPr>
    </w:p>
    <w:p w:rsidR="00A71CC9" w:rsidRPr="006F7E17" w:rsidRDefault="00A71CC9" w:rsidP="007C50FD">
      <w:pPr>
        <w:numPr>
          <w:ilvl w:val="0"/>
          <w:numId w:val="40"/>
        </w:numPr>
        <w:tabs>
          <w:tab w:val="left" w:pos="1440"/>
        </w:tabs>
        <w:spacing w:line="360" w:lineRule="auto"/>
        <w:ind w:left="0" w:firstLine="0"/>
        <w:jc w:val="both"/>
        <w:rPr>
          <w:sz w:val="28"/>
          <w:szCs w:val="28"/>
        </w:rPr>
      </w:pPr>
      <w:r w:rsidRPr="006F7E17">
        <w:rPr>
          <w:sz w:val="28"/>
          <w:szCs w:val="28"/>
        </w:rPr>
        <w:t xml:space="preserve">In my judgment, the plaintiff’s claim </w:t>
      </w:r>
      <w:r w:rsidR="004B25C1">
        <w:rPr>
          <w:sz w:val="28"/>
          <w:szCs w:val="28"/>
        </w:rPr>
        <w:t xml:space="preserve">herein as contained in the writ of summons </w:t>
      </w:r>
      <w:r w:rsidRPr="006F7E17">
        <w:rPr>
          <w:sz w:val="28"/>
          <w:szCs w:val="28"/>
        </w:rPr>
        <w:t>bound to fail and ought to be struck out for the following reasons.</w:t>
      </w:r>
    </w:p>
    <w:p w:rsidR="00A71CC9" w:rsidRPr="006F7E17" w:rsidRDefault="00A71CC9" w:rsidP="006F7E17">
      <w:pPr>
        <w:pStyle w:val="ListParagraph"/>
        <w:tabs>
          <w:tab w:val="left" w:pos="450"/>
          <w:tab w:val="left" w:pos="1440"/>
        </w:tabs>
        <w:spacing w:line="360" w:lineRule="auto"/>
        <w:ind w:left="0"/>
        <w:jc w:val="both"/>
        <w:rPr>
          <w:sz w:val="28"/>
          <w:szCs w:val="28"/>
        </w:rPr>
      </w:pPr>
    </w:p>
    <w:p w:rsidR="00864F50" w:rsidRDefault="00A71CC9" w:rsidP="00BB7EC7">
      <w:pPr>
        <w:numPr>
          <w:ilvl w:val="0"/>
          <w:numId w:val="40"/>
        </w:numPr>
        <w:tabs>
          <w:tab w:val="left" w:pos="1440"/>
        </w:tabs>
        <w:spacing w:line="360" w:lineRule="auto"/>
        <w:ind w:left="0" w:firstLine="0"/>
        <w:jc w:val="both"/>
        <w:rPr>
          <w:sz w:val="28"/>
          <w:szCs w:val="28"/>
        </w:rPr>
      </w:pPr>
      <w:r w:rsidRPr="006F7E17">
        <w:rPr>
          <w:sz w:val="28"/>
          <w:szCs w:val="28"/>
        </w:rPr>
        <w:t>First, this claim is clearly a disguised fresh</w:t>
      </w:r>
      <w:r w:rsidR="003304B8">
        <w:rPr>
          <w:sz w:val="28"/>
          <w:szCs w:val="28"/>
        </w:rPr>
        <w:t xml:space="preserve"> claim to re-litigate on the PDP</w:t>
      </w:r>
      <w:r w:rsidRPr="006F7E17">
        <w:rPr>
          <w:sz w:val="28"/>
          <w:szCs w:val="28"/>
        </w:rPr>
        <w:t xml:space="preserve">O Claim which the plaintiff had lost before DHCJ Yee and the CA.  </w:t>
      </w:r>
      <w:r w:rsidR="004B25C1">
        <w:rPr>
          <w:sz w:val="28"/>
          <w:szCs w:val="28"/>
        </w:rPr>
        <w:t xml:space="preserve">It </w:t>
      </w:r>
      <w:r w:rsidRPr="006F7E17">
        <w:rPr>
          <w:sz w:val="28"/>
          <w:szCs w:val="28"/>
        </w:rPr>
        <w:t>is a clear abuse of the process o</w:t>
      </w:r>
      <w:r w:rsidR="00346DFC" w:rsidRPr="006F7E17">
        <w:rPr>
          <w:sz w:val="28"/>
          <w:szCs w:val="28"/>
        </w:rPr>
        <w:t>f</w:t>
      </w:r>
      <w:r w:rsidRPr="006F7E17">
        <w:rPr>
          <w:sz w:val="28"/>
          <w:szCs w:val="28"/>
        </w:rPr>
        <w:t xml:space="preserve"> the court </w:t>
      </w:r>
      <w:r w:rsidR="004B25C1">
        <w:rPr>
          <w:sz w:val="28"/>
          <w:szCs w:val="28"/>
        </w:rPr>
        <w:t xml:space="preserve">for the plaintiff to re-litigate on the matter </w:t>
      </w:r>
      <w:r w:rsidRPr="006F7E17">
        <w:rPr>
          <w:sz w:val="28"/>
          <w:szCs w:val="28"/>
        </w:rPr>
        <w:t>and</w:t>
      </w:r>
      <w:r w:rsidR="00346DFC" w:rsidRPr="006F7E17">
        <w:rPr>
          <w:sz w:val="28"/>
          <w:szCs w:val="28"/>
        </w:rPr>
        <w:t xml:space="preserve"> therefore the claim should be struck out on this count alone.</w:t>
      </w:r>
    </w:p>
    <w:p w:rsidR="00BB7EC7" w:rsidRPr="00BB7EC7" w:rsidRDefault="00BB7EC7" w:rsidP="00BB7EC7">
      <w:pPr>
        <w:tabs>
          <w:tab w:val="left" w:pos="1440"/>
        </w:tabs>
        <w:spacing w:line="360" w:lineRule="auto"/>
        <w:jc w:val="both"/>
        <w:rPr>
          <w:sz w:val="28"/>
          <w:szCs w:val="28"/>
        </w:rPr>
      </w:pPr>
    </w:p>
    <w:p w:rsidR="00346DFC" w:rsidRPr="003304B8" w:rsidRDefault="00346DFC" w:rsidP="006F7E17">
      <w:pPr>
        <w:numPr>
          <w:ilvl w:val="0"/>
          <w:numId w:val="40"/>
        </w:numPr>
        <w:tabs>
          <w:tab w:val="left" w:pos="1440"/>
        </w:tabs>
        <w:spacing w:line="360" w:lineRule="auto"/>
        <w:ind w:left="0" w:firstLine="0"/>
        <w:jc w:val="both"/>
        <w:rPr>
          <w:sz w:val="28"/>
          <w:szCs w:val="28"/>
        </w:rPr>
      </w:pPr>
      <w:r w:rsidRPr="006F7E17">
        <w:rPr>
          <w:sz w:val="28"/>
          <w:szCs w:val="28"/>
        </w:rPr>
        <w:t xml:space="preserve">Second, this claim is obviously another </w:t>
      </w:r>
      <w:r w:rsidR="00BB7EC7">
        <w:rPr>
          <w:sz w:val="28"/>
          <w:szCs w:val="28"/>
        </w:rPr>
        <w:t xml:space="preserve">foolhardy </w:t>
      </w:r>
      <w:r w:rsidRPr="006F7E17">
        <w:rPr>
          <w:sz w:val="28"/>
          <w:szCs w:val="28"/>
        </w:rPr>
        <w:t xml:space="preserve">attempt to re-run the claim brought by the plaintiff’s wife in </w:t>
      </w:r>
      <w:r w:rsidRPr="006F7E17">
        <w:rPr>
          <w:i/>
          <w:sz w:val="28"/>
          <w:szCs w:val="28"/>
        </w:rPr>
        <w:t>Yuen Oi Yee Lisa, supra</w:t>
      </w:r>
      <w:r w:rsidRPr="006F7E17">
        <w:rPr>
          <w:sz w:val="28"/>
          <w:szCs w:val="28"/>
        </w:rPr>
        <w:t xml:space="preserve">, which was struck out and found to be </w:t>
      </w:r>
      <w:r w:rsidR="004B25C1">
        <w:rPr>
          <w:sz w:val="28"/>
          <w:szCs w:val="28"/>
        </w:rPr>
        <w:t xml:space="preserve">an abuse of process by His </w:t>
      </w:r>
      <w:proofErr w:type="spellStart"/>
      <w:r w:rsidR="004B25C1">
        <w:rPr>
          <w:sz w:val="28"/>
          <w:szCs w:val="28"/>
        </w:rPr>
        <w:t>Honour</w:t>
      </w:r>
      <w:proofErr w:type="spellEnd"/>
      <w:r w:rsidR="004B25C1">
        <w:rPr>
          <w:sz w:val="28"/>
          <w:szCs w:val="28"/>
        </w:rPr>
        <w:t xml:space="preserve"> Judge </w:t>
      </w:r>
      <w:proofErr w:type="spellStart"/>
      <w:r w:rsidR="004B25C1">
        <w:rPr>
          <w:sz w:val="28"/>
          <w:szCs w:val="28"/>
        </w:rPr>
        <w:t>Ko</w:t>
      </w:r>
      <w:proofErr w:type="spellEnd"/>
      <w:r w:rsidR="004B25C1">
        <w:rPr>
          <w:sz w:val="28"/>
          <w:szCs w:val="28"/>
        </w:rPr>
        <w:t xml:space="preserve"> in November 2015.</w:t>
      </w:r>
    </w:p>
    <w:p w:rsidR="00A5669C" w:rsidRPr="006F7E17" w:rsidRDefault="00346DFC" w:rsidP="007C50FD">
      <w:pPr>
        <w:numPr>
          <w:ilvl w:val="0"/>
          <w:numId w:val="40"/>
        </w:numPr>
        <w:tabs>
          <w:tab w:val="left" w:pos="1440"/>
        </w:tabs>
        <w:spacing w:line="360" w:lineRule="auto"/>
        <w:ind w:left="0" w:firstLine="0"/>
        <w:jc w:val="both"/>
        <w:rPr>
          <w:sz w:val="28"/>
          <w:szCs w:val="28"/>
        </w:rPr>
      </w:pPr>
      <w:r w:rsidRPr="006F7E17">
        <w:rPr>
          <w:sz w:val="28"/>
          <w:szCs w:val="28"/>
        </w:rPr>
        <w:lastRenderedPageBreak/>
        <w:t xml:space="preserve">Third, in my view, the PDPO Claim </w:t>
      </w:r>
      <w:r w:rsidR="00B6618B" w:rsidRPr="006F7E17">
        <w:rPr>
          <w:sz w:val="28"/>
          <w:szCs w:val="28"/>
        </w:rPr>
        <w:t xml:space="preserve">in this case </w:t>
      </w:r>
      <w:r w:rsidR="00A5669C" w:rsidRPr="006F7E17">
        <w:rPr>
          <w:sz w:val="28"/>
          <w:szCs w:val="28"/>
        </w:rPr>
        <w:t xml:space="preserve">is doomed </w:t>
      </w:r>
      <w:r w:rsidRPr="006F7E17">
        <w:rPr>
          <w:sz w:val="28"/>
          <w:szCs w:val="28"/>
        </w:rPr>
        <w:t xml:space="preserve">to fail due to </w:t>
      </w:r>
      <w:r w:rsidR="00AF479B">
        <w:rPr>
          <w:sz w:val="28"/>
          <w:szCs w:val="28"/>
        </w:rPr>
        <w:t>a complete</w:t>
      </w:r>
      <w:r w:rsidR="00B6618B" w:rsidRPr="006F7E17">
        <w:rPr>
          <w:sz w:val="28"/>
          <w:szCs w:val="28"/>
        </w:rPr>
        <w:t xml:space="preserve"> </w:t>
      </w:r>
      <w:r w:rsidRPr="006F7E17">
        <w:rPr>
          <w:sz w:val="28"/>
          <w:szCs w:val="28"/>
        </w:rPr>
        <w:t>lack of merits</w:t>
      </w:r>
      <w:r w:rsidR="00A5669C" w:rsidRPr="006F7E17">
        <w:rPr>
          <w:sz w:val="28"/>
          <w:szCs w:val="28"/>
        </w:rPr>
        <w:t>.  B</w:t>
      </w:r>
      <w:r w:rsidRPr="006F7E17">
        <w:rPr>
          <w:sz w:val="28"/>
          <w:szCs w:val="28"/>
        </w:rPr>
        <w:t>ased on the same reasons identified by the CA and DHCJ Yee, viz</w:t>
      </w:r>
      <w:r w:rsidR="00AE1CC0">
        <w:rPr>
          <w:sz w:val="28"/>
          <w:szCs w:val="28"/>
        </w:rPr>
        <w:t>.</w:t>
      </w:r>
      <w:r w:rsidRPr="006F7E17">
        <w:rPr>
          <w:sz w:val="28"/>
          <w:szCs w:val="28"/>
        </w:rPr>
        <w:t>,</w:t>
      </w:r>
      <w:r w:rsidR="00AE1CC0">
        <w:rPr>
          <w:sz w:val="28"/>
          <w:szCs w:val="28"/>
        </w:rPr>
        <w:t xml:space="preserve"> </w:t>
      </w:r>
      <w:r w:rsidRPr="006F7E17">
        <w:rPr>
          <w:sz w:val="28"/>
          <w:szCs w:val="28"/>
        </w:rPr>
        <w:t xml:space="preserve">(a) there being no </w:t>
      </w:r>
      <w:r w:rsidRPr="00F92D7A">
        <w:rPr>
          <w:sz w:val="28"/>
          <w:szCs w:val="28"/>
        </w:rPr>
        <w:t>“conceivable causal link”</w:t>
      </w:r>
      <w:r w:rsidRPr="006F7E17">
        <w:rPr>
          <w:sz w:val="28"/>
          <w:szCs w:val="28"/>
        </w:rPr>
        <w:t xml:space="preserve"> between any breach of DPP under the P</w:t>
      </w:r>
      <w:r w:rsidR="00B6618B" w:rsidRPr="006F7E17">
        <w:rPr>
          <w:sz w:val="28"/>
          <w:szCs w:val="28"/>
        </w:rPr>
        <w:t>DPO and the alleged income loss;</w:t>
      </w:r>
      <w:r w:rsidRPr="006F7E17">
        <w:rPr>
          <w:sz w:val="28"/>
          <w:szCs w:val="28"/>
        </w:rPr>
        <w:t xml:space="preserve"> (b) </w:t>
      </w:r>
      <w:r w:rsidR="00B6618B" w:rsidRPr="006F7E17">
        <w:rPr>
          <w:sz w:val="28"/>
          <w:szCs w:val="28"/>
        </w:rPr>
        <w:t>the plaintiff</w:t>
      </w:r>
      <w:r w:rsidRPr="006F7E17">
        <w:rPr>
          <w:sz w:val="28"/>
          <w:szCs w:val="28"/>
        </w:rPr>
        <w:t xml:space="preserve">’s inability to secure a similar job to his dismissal is </w:t>
      </w:r>
      <w:r w:rsidRPr="00F92D7A">
        <w:rPr>
          <w:sz w:val="28"/>
          <w:szCs w:val="28"/>
        </w:rPr>
        <w:t>“far</w:t>
      </w:r>
      <w:r w:rsidR="00F92D7A">
        <w:rPr>
          <w:sz w:val="28"/>
          <w:szCs w:val="28"/>
        </w:rPr>
        <w:t>-</w:t>
      </w:r>
      <w:r w:rsidRPr="00F92D7A">
        <w:rPr>
          <w:sz w:val="28"/>
          <w:szCs w:val="28"/>
        </w:rPr>
        <w:t>fetched”</w:t>
      </w:r>
      <w:r w:rsidR="00B6618B" w:rsidRPr="00F92D7A">
        <w:rPr>
          <w:sz w:val="28"/>
          <w:szCs w:val="28"/>
        </w:rPr>
        <w:t>;</w:t>
      </w:r>
      <w:r w:rsidR="00B6618B" w:rsidRPr="006F7E17">
        <w:rPr>
          <w:i/>
          <w:sz w:val="28"/>
          <w:szCs w:val="28"/>
        </w:rPr>
        <w:t xml:space="preserve"> </w:t>
      </w:r>
      <w:r w:rsidRPr="006F7E17">
        <w:rPr>
          <w:sz w:val="28"/>
          <w:szCs w:val="28"/>
        </w:rPr>
        <w:t xml:space="preserve">and (c) the </w:t>
      </w:r>
      <w:proofErr w:type="spellStart"/>
      <w:r w:rsidRPr="006F7E17">
        <w:rPr>
          <w:sz w:val="28"/>
          <w:szCs w:val="28"/>
        </w:rPr>
        <w:t>Labour</w:t>
      </w:r>
      <w:proofErr w:type="spellEnd"/>
      <w:r w:rsidRPr="006F7E17">
        <w:rPr>
          <w:sz w:val="28"/>
          <w:szCs w:val="28"/>
        </w:rPr>
        <w:t xml:space="preserve"> Tribunal had already decided that </w:t>
      </w:r>
      <w:r w:rsidR="00B6618B" w:rsidRPr="006F7E17">
        <w:rPr>
          <w:sz w:val="28"/>
          <w:szCs w:val="28"/>
        </w:rPr>
        <w:t>the plaintiff</w:t>
      </w:r>
      <w:r w:rsidRPr="006F7E17">
        <w:rPr>
          <w:sz w:val="28"/>
          <w:szCs w:val="28"/>
        </w:rPr>
        <w:t xml:space="preserve"> was dismissed for valid reasons:</w:t>
      </w:r>
      <w:r w:rsidRPr="00AF479B">
        <w:rPr>
          <w:sz w:val="28"/>
          <w:szCs w:val="28"/>
        </w:rPr>
        <w:t xml:space="preserve"> see</w:t>
      </w:r>
      <w:r w:rsidRPr="006F7E17">
        <w:rPr>
          <w:i/>
          <w:sz w:val="28"/>
          <w:szCs w:val="28"/>
        </w:rPr>
        <w:t xml:space="preserve"> </w:t>
      </w:r>
      <w:r w:rsidRPr="006F7E17">
        <w:rPr>
          <w:sz w:val="28"/>
          <w:szCs w:val="28"/>
        </w:rPr>
        <w:t>Decision in LBTC 588/2011</w:t>
      </w:r>
      <w:r w:rsidRPr="006F7E17">
        <w:rPr>
          <w:rStyle w:val="FootnoteReference"/>
          <w:sz w:val="28"/>
          <w:szCs w:val="28"/>
        </w:rPr>
        <w:footnoteReference w:id="3"/>
      </w:r>
      <w:r w:rsidR="00B6618B" w:rsidRPr="006F7E17">
        <w:rPr>
          <w:sz w:val="28"/>
          <w:szCs w:val="28"/>
        </w:rPr>
        <w:t xml:space="preserve"> at §62</w:t>
      </w:r>
      <w:r w:rsidR="00AF479B">
        <w:rPr>
          <w:sz w:val="28"/>
          <w:szCs w:val="28"/>
        </w:rPr>
        <w:t xml:space="preserve">, I simply cannot see how the plaintiff </w:t>
      </w:r>
      <w:r w:rsidR="00A5669C" w:rsidRPr="006F7E17">
        <w:rPr>
          <w:sz w:val="28"/>
          <w:szCs w:val="28"/>
        </w:rPr>
        <w:t>will able to succeed in this action at all.</w:t>
      </w:r>
      <w:r w:rsidRPr="006F7E17">
        <w:rPr>
          <w:sz w:val="28"/>
          <w:szCs w:val="28"/>
        </w:rPr>
        <w:t xml:space="preserve">  </w:t>
      </w:r>
    </w:p>
    <w:p w:rsidR="00A5669C" w:rsidRPr="006F7E17" w:rsidRDefault="00A5669C" w:rsidP="006F7E17">
      <w:pPr>
        <w:pStyle w:val="ListParagraph"/>
        <w:tabs>
          <w:tab w:val="left" w:pos="1440"/>
        </w:tabs>
        <w:spacing w:line="360" w:lineRule="auto"/>
        <w:ind w:left="0"/>
        <w:jc w:val="both"/>
        <w:rPr>
          <w:sz w:val="28"/>
          <w:szCs w:val="28"/>
        </w:rPr>
      </w:pPr>
    </w:p>
    <w:p w:rsidR="00346DFC" w:rsidRPr="006F7E17" w:rsidRDefault="00A5669C" w:rsidP="00AE1CC0">
      <w:pPr>
        <w:numPr>
          <w:ilvl w:val="0"/>
          <w:numId w:val="40"/>
        </w:numPr>
        <w:tabs>
          <w:tab w:val="left" w:pos="1440"/>
        </w:tabs>
        <w:spacing w:line="360" w:lineRule="auto"/>
        <w:ind w:left="0" w:firstLine="0"/>
        <w:jc w:val="both"/>
        <w:rPr>
          <w:sz w:val="28"/>
          <w:szCs w:val="28"/>
        </w:rPr>
      </w:pPr>
      <w:r w:rsidRPr="006F7E17">
        <w:rPr>
          <w:sz w:val="28"/>
          <w:szCs w:val="28"/>
        </w:rPr>
        <w:t xml:space="preserve">In the aforesaid circumstances, </w:t>
      </w:r>
      <w:r w:rsidR="00B6618B" w:rsidRPr="006F7E17">
        <w:rPr>
          <w:sz w:val="28"/>
          <w:szCs w:val="28"/>
        </w:rPr>
        <w:t xml:space="preserve">I find the plaintiff’s </w:t>
      </w:r>
      <w:r w:rsidR="00346DFC" w:rsidRPr="006F7E17">
        <w:rPr>
          <w:sz w:val="28"/>
          <w:szCs w:val="28"/>
        </w:rPr>
        <w:t xml:space="preserve">claim discloses no reasonable cause of action, is frivolous and vexatious, and otherwise amounts to an abuse of the </w:t>
      </w:r>
      <w:r w:rsidRPr="006F7E17">
        <w:rPr>
          <w:sz w:val="28"/>
          <w:szCs w:val="28"/>
        </w:rPr>
        <w:t>c</w:t>
      </w:r>
      <w:r w:rsidR="00346DFC" w:rsidRPr="006F7E17">
        <w:rPr>
          <w:sz w:val="28"/>
          <w:szCs w:val="28"/>
        </w:rPr>
        <w:t xml:space="preserve">ourt’s process.  </w:t>
      </w:r>
    </w:p>
    <w:p w:rsidR="00A71CC9" w:rsidRPr="006F7E17" w:rsidRDefault="00A71CC9" w:rsidP="006F7E17">
      <w:pPr>
        <w:pStyle w:val="ListParagraph"/>
        <w:tabs>
          <w:tab w:val="left" w:pos="450"/>
          <w:tab w:val="left" w:pos="1440"/>
        </w:tabs>
        <w:spacing w:line="360" w:lineRule="auto"/>
        <w:ind w:left="0"/>
        <w:jc w:val="both"/>
        <w:rPr>
          <w:sz w:val="28"/>
          <w:szCs w:val="28"/>
        </w:rPr>
      </w:pPr>
    </w:p>
    <w:p w:rsidR="004F6A3D" w:rsidRPr="006F7E17" w:rsidRDefault="00A5669C" w:rsidP="00AE1CC0">
      <w:pPr>
        <w:numPr>
          <w:ilvl w:val="0"/>
          <w:numId w:val="40"/>
        </w:numPr>
        <w:tabs>
          <w:tab w:val="left" w:pos="1440"/>
        </w:tabs>
        <w:spacing w:line="360" w:lineRule="auto"/>
        <w:ind w:left="0" w:firstLine="0"/>
        <w:jc w:val="both"/>
        <w:rPr>
          <w:sz w:val="28"/>
          <w:szCs w:val="28"/>
        </w:rPr>
      </w:pPr>
      <w:r w:rsidRPr="006F7E17">
        <w:rPr>
          <w:sz w:val="28"/>
          <w:szCs w:val="28"/>
        </w:rPr>
        <w:t xml:space="preserve">I should also </w:t>
      </w:r>
      <w:r w:rsidR="006D3A4A" w:rsidRPr="006F7E17">
        <w:rPr>
          <w:sz w:val="28"/>
          <w:szCs w:val="28"/>
        </w:rPr>
        <w:t>briefly deal with the plaint</w:t>
      </w:r>
      <w:r w:rsidR="00AF479B">
        <w:rPr>
          <w:sz w:val="28"/>
          <w:szCs w:val="28"/>
        </w:rPr>
        <w:t>iff’s grounds of opposition to the defendants’ striking out application here</w:t>
      </w:r>
      <w:r w:rsidR="006D3A4A" w:rsidRPr="006F7E17">
        <w:rPr>
          <w:sz w:val="28"/>
          <w:szCs w:val="28"/>
        </w:rPr>
        <w:t>.</w:t>
      </w:r>
    </w:p>
    <w:p w:rsidR="006D3A4A" w:rsidRPr="006F7E17" w:rsidRDefault="006D3A4A" w:rsidP="006F7E17">
      <w:pPr>
        <w:pStyle w:val="ListParagraph"/>
        <w:tabs>
          <w:tab w:val="left" w:pos="1440"/>
        </w:tabs>
        <w:spacing w:line="360" w:lineRule="auto"/>
        <w:ind w:left="0"/>
        <w:jc w:val="both"/>
        <w:rPr>
          <w:sz w:val="28"/>
          <w:szCs w:val="28"/>
        </w:rPr>
      </w:pPr>
    </w:p>
    <w:p w:rsidR="00AF479B" w:rsidRDefault="006D3A4A" w:rsidP="00AE1CC0">
      <w:pPr>
        <w:numPr>
          <w:ilvl w:val="0"/>
          <w:numId w:val="40"/>
        </w:numPr>
        <w:tabs>
          <w:tab w:val="left" w:pos="1440"/>
        </w:tabs>
        <w:spacing w:line="360" w:lineRule="auto"/>
        <w:ind w:left="0" w:firstLine="0"/>
        <w:jc w:val="both"/>
        <w:rPr>
          <w:sz w:val="28"/>
          <w:szCs w:val="28"/>
        </w:rPr>
      </w:pPr>
      <w:r w:rsidRPr="006F7E17">
        <w:rPr>
          <w:sz w:val="28"/>
          <w:szCs w:val="28"/>
        </w:rPr>
        <w:t xml:space="preserve">First, I find the plaintiff’s grounds of opposition incoherent and difficult to understand.  I agree with </w:t>
      </w:r>
      <w:proofErr w:type="spellStart"/>
      <w:r w:rsidRPr="006F7E17">
        <w:rPr>
          <w:sz w:val="28"/>
          <w:szCs w:val="28"/>
        </w:rPr>
        <w:t>Mr</w:t>
      </w:r>
      <w:proofErr w:type="spellEnd"/>
      <w:r w:rsidRPr="006F7E17">
        <w:rPr>
          <w:sz w:val="28"/>
          <w:szCs w:val="28"/>
        </w:rPr>
        <w:t xml:space="preserve"> Martin </w:t>
      </w:r>
      <w:proofErr w:type="spellStart"/>
      <w:r w:rsidRPr="006F7E17">
        <w:rPr>
          <w:sz w:val="28"/>
          <w:szCs w:val="28"/>
        </w:rPr>
        <w:t>Kok</w:t>
      </w:r>
      <w:proofErr w:type="spellEnd"/>
      <w:r w:rsidRPr="006F7E17">
        <w:rPr>
          <w:sz w:val="28"/>
          <w:szCs w:val="28"/>
        </w:rPr>
        <w:t>, the defendant’s counsel</w:t>
      </w:r>
      <w:r w:rsidR="00AF479B">
        <w:rPr>
          <w:sz w:val="28"/>
          <w:szCs w:val="28"/>
        </w:rPr>
        <w:t>,</w:t>
      </w:r>
      <w:r w:rsidRPr="006F7E17">
        <w:rPr>
          <w:sz w:val="28"/>
          <w:szCs w:val="28"/>
        </w:rPr>
        <w:t xml:space="preserve"> that the only discernible argument appears to be that the </w:t>
      </w:r>
      <w:proofErr w:type="spellStart"/>
      <w:r w:rsidRPr="006F7E17">
        <w:rPr>
          <w:sz w:val="28"/>
          <w:szCs w:val="28"/>
        </w:rPr>
        <w:t>Labour</w:t>
      </w:r>
      <w:proofErr w:type="spellEnd"/>
      <w:r w:rsidRPr="006F7E17">
        <w:rPr>
          <w:sz w:val="28"/>
          <w:szCs w:val="28"/>
        </w:rPr>
        <w:t xml:space="preserve"> Tribunal and DHCJ Yee did not actually deal with the PDPO Claim</w:t>
      </w:r>
      <w:r w:rsidRPr="006F7E17">
        <w:rPr>
          <w:rStyle w:val="FootnoteReference"/>
          <w:sz w:val="28"/>
          <w:szCs w:val="28"/>
        </w:rPr>
        <w:footnoteReference w:id="4"/>
      </w:r>
      <w:r w:rsidRPr="006F7E17">
        <w:rPr>
          <w:sz w:val="28"/>
          <w:szCs w:val="28"/>
        </w:rPr>
        <w:t xml:space="preserve">.  Such argument in my view has been </w:t>
      </w:r>
      <w:r w:rsidR="00BB7EC7">
        <w:rPr>
          <w:sz w:val="28"/>
          <w:szCs w:val="28"/>
        </w:rPr>
        <w:t xml:space="preserve">totally </w:t>
      </w:r>
      <w:r w:rsidRPr="006F7E17">
        <w:rPr>
          <w:sz w:val="28"/>
          <w:szCs w:val="28"/>
        </w:rPr>
        <w:t xml:space="preserve">misconceived.  </w:t>
      </w:r>
    </w:p>
    <w:p w:rsidR="00AF479B" w:rsidRDefault="00AF479B" w:rsidP="00AF479B">
      <w:pPr>
        <w:pStyle w:val="ListParagraph"/>
        <w:rPr>
          <w:sz w:val="28"/>
          <w:szCs w:val="28"/>
        </w:rPr>
      </w:pPr>
    </w:p>
    <w:p w:rsidR="006D3A4A" w:rsidRPr="006F7E17" w:rsidRDefault="006D3A4A" w:rsidP="00AE1CC0">
      <w:pPr>
        <w:numPr>
          <w:ilvl w:val="0"/>
          <w:numId w:val="40"/>
        </w:numPr>
        <w:tabs>
          <w:tab w:val="left" w:pos="1440"/>
        </w:tabs>
        <w:spacing w:line="360" w:lineRule="auto"/>
        <w:ind w:left="0" w:firstLine="0"/>
        <w:jc w:val="both"/>
        <w:rPr>
          <w:sz w:val="28"/>
          <w:szCs w:val="28"/>
        </w:rPr>
      </w:pPr>
      <w:r w:rsidRPr="006F7E17">
        <w:rPr>
          <w:sz w:val="28"/>
          <w:szCs w:val="28"/>
        </w:rPr>
        <w:t xml:space="preserve">I agree with </w:t>
      </w:r>
      <w:proofErr w:type="spellStart"/>
      <w:r w:rsidRPr="006F7E17">
        <w:rPr>
          <w:sz w:val="28"/>
          <w:szCs w:val="28"/>
        </w:rPr>
        <w:t>Mr</w:t>
      </w:r>
      <w:proofErr w:type="spellEnd"/>
      <w:r w:rsidRPr="006F7E17">
        <w:rPr>
          <w:sz w:val="28"/>
          <w:szCs w:val="28"/>
        </w:rPr>
        <w:t xml:space="preserve"> </w:t>
      </w:r>
      <w:proofErr w:type="spellStart"/>
      <w:r w:rsidRPr="006F7E17">
        <w:rPr>
          <w:sz w:val="28"/>
          <w:szCs w:val="28"/>
        </w:rPr>
        <w:t>Kok</w:t>
      </w:r>
      <w:proofErr w:type="spellEnd"/>
      <w:r w:rsidRPr="006F7E17">
        <w:rPr>
          <w:sz w:val="28"/>
          <w:szCs w:val="28"/>
        </w:rPr>
        <w:t xml:space="preserve"> that, </w:t>
      </w:r>
      <w:r w:rsidRPr="00062151">
        <w:rPr>
          <w:sz w:val="28"/>
          <w:szCs w:val="28"/>
        </w:rPr>
        <w:t>both the</w:t>
      </w:r>
      <w:r w:rsidRPr="006F7E17">
        <w:rPr>
          <w:sz w:val="28"/>
          <w:szCs w:val="28"/>
        </w:rPr>
        <w:t xml:space="preserve"> CA and DHCJ Yee made clear findings against the plaintiff’s PDPO Claim, and in particular</w:t>
      </w:r>
      <w:r w:rsidR="00AF479B">
        <w:rPr>
          <w:sz w:val="28"/>
          <w:szCs w:val="28"/>
        </w:rPr>
        <w:t>,</w:t>
      </w:r>
      <w:r w:rsidRPr="006F7E17">
        <w:rPr>
          <w:sz w:val="28"/>
          <w:szCs w:val="28"/>
        </w:rPr>
        <w:t xml:space="preserve"> I </w:t>
      </w:r>
      <w:r w:rsidRPr="006F7E17">
        <w:rPr>
          <w:sz w:val="28"/>
          <w:szCs w:val="28"/>
        </w:rPr>
        <w:lastRenderedPageBreak/>
        <w:t>accept the following submissions made</w:t>
      </w:r>
      <w:r w:rsidR="00BB7EC7">
        <w:rPr>
          <w:sz w:val="28"/>
          <w:szCs w:val="28"/>
        </w:rPr>
        <w:t xml:space="preserve"> by </w:t>
      </w:r>
      <w:proofErr w:type="spellStart"/>
      <w:r w:rsidR="00BB7EC7">
        <w:rPr>
          <w:sz w:val="28"/>
          <w:szCs w:val="28"/>
        </w:rPr>
        <w:t>Mr</w:t>
      </w:r>
      <w:proofErr w:type="spellEnd"/>
      <w:r w:rsidR="00BB7EC7">
        <w:rPr>
          <w:sz w:val="28"/>
          <w:szCs w:val="28"/>
        </w:rPr>
        <w:t xml:space="preserve"> </w:t>
      </w:r>
      <w:proofErr w:type="spellStart"/>
      <w:r w:rsidR="00BB7EC7">
        <w:rPr>
          <w:sz w:val="28"/>
          <w:szCs w:val="28"/>
        </w:rPr>
        <w:t>Kok</w:t>
      </w:r>
      <w:proofErr w:type="spellEnd"/>
      <w:r w:rsidR="00BB7EC7">
        <w:rPr>
          <w:sz w:val="28"/>
          <w:szCs w:val="28"/>
        </w:rPr>
        <w:t xml:space="preserve"> contained in his written </w:t>
      </w:r>
      <w:proofErr w:type="gramStart"/>
      <w:r w:rsidR="00BB7EC7">
        <w:rPr>
          <w:sz w:val="28"/>
          <w:szCs w:val="28"/>
        </w:rPr>
        <w:t>submissions</w:t>
      </w:r>
      <w:r w:rsidRPr="006F7E17">
        <w:rPr>
          <w:sz w:val="28"/>
          <w:szCs w:val="28"/>
        </w:rPr>
        <w:t>:-</w:t>
      </w:r>
      <w:proofErr w:type="gramEnd"/>
    </w:p>
    <w:p w:rsidR="006D3A4A" w:rsidRPr="006F7E17" w:rsidRDefault="006D3A4A" w:rsidP="006F7E17">
      <w:pPr>
        <w:pStyle w:val="ListParagraph"/>
        <w:tabs>
          <w:tab w:val="left" w:pos="1440"/>
        </w:tabs>
        <w:spacing w:line="360" w:lineRule="auto"/>
        <w:ind w:left="0"/>
        <w:jc w:val="both"/>
        <w:rPr>
          <w:sz w:val="28"/>
          <w:szCs w:val="28"/>
        </w:rPr>
      </w:pPr>
    </w:p>
    <w:p w:rsidR="006D3A4A" w:rsidRPr="006F7E17" w:rsidRDefault="006D3A4A" w:rsidP="00AE1CC0">
      <w:pPr>
        <w:pStyle w:val="ListParagraph"/>
        <w:numPr>
          <w:ilvl w:val="1"/>
          <w:numId w:val="44"/>
        </w:numPr>
        <w:tabs>
          <w:tab w:val="left" w:pos="2160"/>
        </w:tabs>
        <w:spacing w:line="360" w:lineRule="auto"/>
        <w:ind w:left="2160" w:hanging="720"/>
        <w:jc w:val="both"/>
        <w:rPr>
          <w:sz w:val="28"/>
          <w:szCs w:val="28"/>
        </w:rPr>
      </w:pPr>
      <w:r w:rsidRPr="006F7E17">
        <w:rPr>
          <w:sz w:val="28"/>
          <w:szCs w:val="28"/>
        </w:rPr>
        <w:t xml:space="preserve">Even though DHCJ Yee found that the plaintiff’s PDPO Claim </w:t>
      </w:r>
      <w:r w:rsidRPr="00620B61">
        <w:rPr>
          <w:sz w:val="28"/>
          <w:szCs w:val="28"/>
        </w:rPr>
        <w:t>“should be dealt with in the District Court”</w:t>
      </w:r>
      <w:r w:rsidRPr="006F7E17">
        <w:rPr>
          <w:sz w:val="28"/>
          <w:szCs w:val="28"/>
        </w:rPr>
        <w:t xml:space="preserve"> (</w:t>
      </w:r>
      <w:r w:rsidRPr="00AE1CC0">
        <w:rPr>
          <w:i/>
          <w:sz w:val="28"/>
          <w:szCs w:val="28"/>
        </w:rPr>
        <w:t>see</w:t>
      </w:r>
      <w:r w:rsidRPr="00AE1CC0">
        <w:rPr>
          <w:sz w:val="28"/>
          <w:szCs w:val="28"/>
        </w:rPr>
        <w:t xml:space="preserve"> </w:t>
      </w:r>
      <w:r w:rsidRPr="006F7E17">
        <w:rPr>
          <w:sz w:val="28"/>
          <w:szCs w:val="28"/>
        </w:rPr>
        <w:t xml:space="preserve">§17), the learned judge went on to make the pertinent observation that the plaintiff’s claim is </w:t>
      </w:r>
      <w:r w:rsidRPr="00F92D7A">
        <w:rPr>
          <w:sz w:val="28"/>
          <w:szCs w:val="28"/>
        </w:rPr>
        <w:t>“doomed to failure”,</w:t>
      </w:r>
      <w:r w:rsidRPr="006F7E17">
        <w:rPr>
          <w:sz w:val="28"/>
          <w:szCs w:val="28"/>
        </w:rPr>
        <w:t xml:space="preserve"> and in turn rejected the plaintiff’s “proposed” Statement of Claim (</w:t>
      </w:r>
      <w:r w:rsidRPr="006F7E17">
        <w:rPr>
          <w:i/>
          <w:sz w:val="28"/>
          <w:szCs w:val="28"/>
        </w:rPr>
        <w:t xml:space="preserve">see </w:t>
      </w:r>
      <w:r w:rsidRPr="006F7E17">
        <w:rPr>
          <w:sz w:val="28"/>
          <w:szCs w:val="28"/>
        </w:rPr>
        <w:t xml:space="preserve">§18).  </w:t>
      </w:r>
    </w:p>
    <w:p w:rsidR="006D3A4A" w:rsidRPr="006F7E17" w:rsidRDefault="006D3A4A" w:rsidP="00AE1CC0">
      <w:pPr>
        <w:pStyle w:val="ListParagraph"/>
        <w:tabs>
          <w:tab w:val="left" w:pos="2160"/>
        </w:tabs>
        <w:spacing w:line="360" w:lineRule="auto"/>
        <w:ind w:left="2160" w:hanging="720"/>
        <w:jc w:val="both"/>
        <w:rPr>
          <w:sz w:val="28"/>
          <w:szCs w:val="28"/>
        </w:rPr>
      </w:pPr>
    </w:p>
    <w:p w:rsidR="006D3A4A" w:rsidRPr="006F7E17" w:rsidRDefault="00AF479B" w:rsidP="00AE1CC0">
      <w:pPr>
        <w:pStyle w:val="ListParagraph"/>
        <w:numPr>
          <w:ilvl w:val="1"/>
          <w:numId w:val="44"/>
        </w:numPr>
        <w:tabs>
          <w:tab w:val="left" w:pos="2160"/>
        </w:tabs>
        <w:spacing w:line="360" w:lineRule="auto"/>
        <w:ind w:left="2160" w:hanging="720"/>
        <w:jc w:val="both"/>
        <w:rPr>
          <w:sz w:val="28"/>
          <w:szCs w:val="28"/>
        </w:rPr>
      </w:pPr>
      <w:r>
        <w:rPr>
          <w:sz w:val="28"/>
          <w:szCs w:val="28"/>
        </w:rPr>
        <w:t>It is trite law that where the c</w:t>
      </w:r>
      <w:r w:rsidR="006D3A4A" w:rsidRPr="006F7E17">
        <w:rPr>
          <w:sz w:val="28"/>
          <w:szCs w:val="28"/>
        </w:rPr>
        <w:t xml:space="preserve">ourt provides more than one reason for decision, </w:t>
      </w:r>
      <w:r w:rsidR="006D3A4A" w:rsidRPr="006F7E17">
        <w:rPr>
          <w:i/>
          <w:sz w:val="28"/>
          <w:szCs w:val="28"/>
        </w:rPr>
        <w:t xml:space="preserve">both </w:t>
      </w:r>
      <w:r w:rsidR="006D3A4A" w:rsidRPr="006F7E17">
        <w:rPr>
          <w:sz w:val="28"/>
          <w:szCs w:val="28"/>
        </w:rPr>
        <w:t xml:space="preserve">decisions would form part of the </w:t>
      </w:r>
      <w:r w:rsidR="006D3A4A" w:rsidRPr="006F7E17">
        <w:rPr>
          <w:i/>
          <w:sz w:val="28"/>
          <w:szCs w:val="28"/>
        </w:rPr>
        <w:t xml:space="preserve">ratio </w:t>
      </w:r>
      <w:r w:rsidR="006D3A4A" w:rsidRPr="006F7E17">
        <w:rPr>
          <w:sz w:val="28"/>
          <w:szCs w:val="28"/>
        </w:rPr>
        <w:t xml:space="preserve">of the decision: </w:t>
      </w:r>
      <w:r w:rsidR="006D3A4A" w:rsidRPr="006F7E17">
        <w:rPr>
          <w:i/>
          <w:sz w:val="28"/>
          <w:szCs w:val="28"/>
        </w:rPr>
        <w:t>Jacobs v London County Council</w:t>
      </w:r>
      <w:r w:rsidR="006D3A4A" w:rsidRPr="006F7E17">
        <w:rPr>
          <w:sz w:val="28"/>
          <w:szCs w:val="28"/>
        </w:rPr>
        <w:t xml:space="preserve"> [1950] AC 361, §369, </w:t>
      </w:r>
      <w:r w:rsidR="006D3A4A" w:rsidRPr="006F7E17">
        <w:rPr>
          <w:i/>
          <w:sz w:val="28"/>
          <w:szCs w:val="28"/>
        </w:rPr>
        <w:t xml:space="preserve">per </w:t>
      </w:r>
      <w:r w:rsidR="006D3A4A" w:rsidRPr="006F7E17">
        <w:rPr>
          <w:sz w:val="28"/>
          <w:szCs w:val="28"/>
        </w:rPr>
        <w:t xml:space="preserve">Lord Simonds.  It is not open for </w:t>
      </w:r>
      <w:r w:rsidR="002A5289" w:rsidRPr="006F7E17">
        <w:rPr>
          <w:sz w:val="28"/>
          <w:szCs w:val="28"/>
        </w:rPr>
        <w:t>the plaintiff</w:t>
      </w:r>
      <w:r w:rsidR="006D3A4A" w:rsidRPr="006F7E17">
        <w:rPr>
          <w:sz w:val="28"/>
          <w:szCs w:val="28"/>
        </w:rPr>
        <w:t xml:space="preserve"> to disregard DHCJ Yee’s </w:t>
      </w:r>
      <w:r w:rsidR="002A5289" w:rsidRPr="006F7E17">
        <w:rPr>
          <w:sz w:val="28"/>
          <w:szCs w:val="28"/>
        </w:rPr>
        <w:t>find</w:t>
      </w:r>
      <w:r w:rsidR="006D3A4A" w:rsidRPr="006F7E17">
        <w:rPr>
          <w:sz w:val="28"/>
          <w:szCs w:val="28"/>
        </w:rPr>
        <w:t xml:space="preserve">ing in respect of the (lack of) merits of the PDPO Claim.  In any case, the CA </w:t>
      </w:r>
      <w:r w:rsidR="002A5289" w:rsidRPr="006F7E17">
        <w:rPr>
          <w:sz w:val="28"/>
          <w:szCs w:val="28"/>
        </w:rPr>
        <w:t xml:space="preserve">in its Decision </w:t>
      </w:r>
      <w:r w:rsidR="006D3A4A" w:rsidRPr="006F7E17">
        <w:rPr>
          <w:sz w:val="28"/>
          <w:szCs w:val="28"/>
        </w:rPr>
        <w:t xml:space="preserve">went on to </w:t>
      </w:r>
      <w:r w:rsidR="002A5289" w:rsidRPr="006F7E17">
        <w:rPr>
          <w:sz w:val="28"/>
          <w:szCs w:val="28"/>
        </w:rPr>
        <w:t>make</w:t>
      </w:r>
      <w:r w:rsidR="006D3A4A" w:rsidRPr="006F7E17">
        <w:rPr>
          <w:sz w:val="28"/>
          <w:szCs w:val="28"/>
        </w:rPr>
        <w:t xml:space="preserve"> clear observations which amounted</w:t>
      </w:r>
      <w:r>
        <w:rPr>
          <w:sz w:val="28"/>
          <w:szCs w:val="28"/>
        </w:rPr>
        <w:t xml:space="preserve"> to a wholesale rejection of the plaintiff’s</w:t>
      </w:r>
      <w:r w:rsidR="006D3A4A" w:rsidRPr="006F7E17">
        <w:rPr>
          <w:sz w:val="28"/>
          <w:szCs w:val="28"/>
        </w:rPr>
        <w:t xml:space="preserve"> PDPO Claim.  </w:t>
      </w:r>
    </w:p>
    <w:p w:rsidR="006D3A4A" w:rsidRPr="006F7E17" w:rsidRDefault="006D3A4A" w:rsidP="00AE1CC0">
      <w:pPr>
        <w:pStyle w:val="ListParagraph"/>
        <w:tabs>
          <w:tab w:val="left" w:pos="2160"/>
        </w:tabs>
        <w:spacing w:line="360" w:lineRule="auto"/>
        <w:ind w:left="2160" w:hanging="720"/>
        <w:jc w:val="both"/>
        <w:rPr>
          <w:sz w:val="28"/>
          <w:szCs w:val="28"/>
        </w:rPr>
      </w:pPr>
    </w:p>
    <w:p w:rsidR="0080526D" w:rsidRPr="006B1634" w:rsidRDefault="006D3A4A" w:rsidP="006B1634">
      <w:pPr>
        <w:pStyle w:val="ListParagraph"/>
        <w:numPr>
          <w:ilvl w:val="1"/>
          <w:numId w:val="44"/>
        </w:numPr>
        <w:tabs>
          <w:tab w:val="left" w:pos="2160"/>
        </w:tabs>
        <w:spacing w:line="360" w:lineRule="auto"/>
        <w:ind w:left="2160" w:hanging="720"/>
        <w:jc w:val="both"/>
        <w:rPr>
          <w:sz w:val="28"/>
          <w:szCs w:val="28"/>
        </w:rPr>
      </w:pPr>
      <w:r w:rsidRPr="006F7E17">
        <w:rPr>
          <w:sz w:val="28"/>
          <w:szCs w:val="28"/>
        </w:rPr>
        <w:t>Insofar as any technical point is taken that the District Court should have jurisdictio</w:t>
      </w:r>
      <w:r w:rsidR="002A5289" w:rsidRPr="006F7E17">
        <w:rPr>
          <w:sz w:val="28"/>
          <w:szCs w:val="28"/>
        </w:rPr>
        <w:t xml:space="preserve">n over the PDPO Claim, DHCJ </w:t>
      </w:r>
      <w:r w:rsidRPr="006F7E17">
        <w:rPr>
          <w:sz w:val="28"/>
          <w:szCs w:val="28"/>
        </w:rPr>
        <w:t>Yee was well aware of the point, but nevertheless refused to transfer the HCA Action to the District Court (</w:t>
      </w:r>
      <w:r w:rsidRPr="00AF479B">
        <w:rPr>
          <w:sz w:val="28"/>
          <w:szCs w:val="28"/>
        </w:rPr>
        <w:t xml:space="preserve">see </w:t>
      </w:r>
      <w:r w:rsidR="002A5289" w:rsidRPr="006F7E17">
        <w:rPr>
          <w:sz w:val="28"/>
          <w:szCs w:val="28"/>
        </w:rPr>
        <w:t>DHCJ</w:t>
      </w:r>
      <w:r w:rsidRPr="006F7E17">
        <w:rPr>
          <w:sz w:val="28"/>
          <w:szCs w:val="28"/>
        </w:rPr>
        <w:t xml:space="preserve"> Yee</w:t>
      </w:r>
      <w:r w:rsidR="00BB7EC7">
        <w:rPr>
          <w:sz w:val="28"/>
          <w:szCs w:val="28"/>
        </w:rPr>
        <w:t>’s</w:t>
      </w:r>
      <w:r w:rsidRPr="006F7E17">
        <w:rPr>
          <w:sz w:val="28"/>
          <w:szCs w:val="28"/>
        </w:rPr>
        <w:t xml:space="preserve"> Decision, §§19-20).  </w:t>
      </w:r>
      <w:r w:rsidR="002A5289" w:rsidRPr="006F7E17">
        <w:rPr>
          <w:sz w:val="28"/>
          <w:szCs w:val="28"/>
        </w:rPr>
        <w:t>Hence, the plaintiff’s present fresh claim is clearly an abuse of process, and is a mere attempt to side-step DHCJ Yee’s finding</w:t>
      </w:r>
      <w:r w:rsidR="00AF479B">
        <w:rPr>
          <w:sz w:val="28"/>
          <w:szCs w:val="28"/>
        </w:rPr>
        <w:t>s</w:t>
      </w:r>
      <w:r w:rsidR="002A5289" w:rsidRPr="006F7E17">
        <w:rPr>
          <w:sz w:val="28"/>
          <w:szCs w:val="28"/>
        </w:rPr>
        <w:t xml:space="preserve">. </w:t>
      </w:r>
    </w:p>
    <w:p w:rsidR="0080526D" w:rsidRPr="006F7E17" w:rsidRDefault="0080526D" w:rsidP="00AE1CC0">
      <w:pPr>
        <w:numPr>
          <w:ilvl w:val="0"/>
          <w:numId w:val="40"/>
        </w:numPr>
        <w:tabs>
          <w:tab w:val="left" w:pos="1440"/>
        </w:tabs>
        <w:spacing w:line="360" w:lineRule="auto"/>
        <w:ind w:left="0" w:firstLine="0"/>
        <w:jc w:val="both"/>
        <w:rPr>
          <w:sz w:val="28"/>
          <w:szCs w:val="28"/>
        </w:rPr>
      </w:pPr>
      <w:r w:rsidRPr="006F7E17">
        <w:rPr>
          <w:sz w:val="28"/>
          <w:szCs w:val="28"/>
        </w:rPr>
        <w:lastRenderedPageBreak/>
        <w:t xml:space="preserve">In my judgment, another reason why this claim should be struck out is based on the plaintiff’s current status as a bankrupt.  Upon his bankruptcy, the plaintiff’s rights of action became vested in his trustee in bankruptcy: </w:t>
      </w:r>
      <w:r w:rsidRPr="00AF479B">
        <w:rPr>
          <w:sz w:val="28"/>
          <w:szCs w:val="28"/>
        </w:rPr>
        <w:t>see</w:t>
      </w:r>
      <w:r w:rsidRPr="006F7E17">
        <w:rPr>
          <w:i/>
          <w:sz w:val="28"/>
          <w:szCs w:val="28"/>
        </w:rPr>
        <w:t xml:space="preserve"> </w:t>
      </w:r>
      <w:r w:rsidR="00AE1CC0">
        <w:rPr>
          <w:sz w:val="28"/>
          <w:szCs w:val="28"/>
        </w:rPr>
        <w:t xml:space="preserve">SS </w:t>
      </w:r>
      <w:r w:rsidRPr="006F7E17">
        <w:rPr>
          <w:sz w:val="28"/>
          <w:szCs w:val="28"/>
        </w:rPr>
        <w:t>12, 58 and 61(b) of the Bankruptcy Ordinance, Cap 6.  In this case, the plaintiff’s trustees have already indicated that (save as the plaintiff’s claim is for injury to feelings only which does not vest in the trustees</w:t>
      </w:r>
      <w:r w:rsidRPr="006F7E17">
        <w:rPr>
          <w:rStyle w:val="FootnoteReference"/>
          <w:sz w:val="28"/>
          <w:szCs w:val="28"/>
        </w:rPr>
        <w:footnoteReference w:id="5"/>
      </w:r>
      <w:r w:rsidRPr="006F7E17">
        <w:rPr>
          <w:sz w:val="28"/>
          <w:szCs w:val="28"/>
        </w:rPr>
        <w:t xml:space="preserve">) they do not agree to the issue of these proceedings against the defendant.  As stated above, the present claim is a mere re-run of the claim in </w:t>
      </w:r>
      <w:r w:rsidRPr="006F7E17">
        <w:rPr>
          <w:i/>
          <w:sz w:val="28"/>
          <w:szCs w:val="28"/>
        </w:rPr>
        <w:t xml:space="preserve">inter alia </w:t>
      </w:r>
      <w:r w:rsidRPr="006F7E17">
        <w:rPr>
          <w:sz w:val="28"/>
          <w:szCs w:val="28"/>
        </w:rPr>
        <w:t xml:space="preserve">HCA 2045/2012, and is in fact a claim for compensation of loss of income.  As such, in the absence of the trustees’ consent, </w:t>
      </w:r>
      <w:r w:rsidR="00400E77" w:rsidRPr="006F7E17">
        <w:rPr>
          <w:sz w:val="28"/>
          <w:szCs w:val="28"/>
        </w:rPr>
        <w:t xml:space="preserve">the plaintiff </w:t>
      </w:r>
      <w:r w:rsidRPr="006F7E17">
        <w:rPr>
          <w:sz w:val="28"/>
          <w:szCs w:val="28"/>
        </w:rPr>
        <w:t xml:space="preserve">as a bankrupt has no </w:t>
      </w:r>
      <w:r w:rsidRPr="006F7E17">
        <w:rPr>
          <w:i/>
          <w:sz w:val="28"/>
          <w:szCs w:val="28"/>
        </w:rPr>
        <w:t xml:space="preserve">locus </w:t>
      </w:r>
      <w:proofErr w:type="spellStart"/>
      <w:r w:rsidRPr="006F7E17">
        <w:rPr>
          <w:i/>
          <w:sz w:val="28"/>
          <w:szCs w:val="28"/>
        </w:rPr>
        <w:t>standi</w:t>
      </w:r>
      <w:proofErr w:type="spellEnd"/>
      <w:r w:rsidRPr="006F7E17">
        <w:rPr>
          <w:sz w:val="28"/>
          <w:szCs w:val="28"/>
        </w:rPr>
        <w:t xml:space="preserve"> at all to commence the present </w:t>
      </w:r>
      <w:r w:rsidR="00400E77" w:rsidRPr="006F7E17">
        <w:rPr>
          <w:sz w:val="28"/>
          <w:szCs w:val="28"/>
        </w:rPr>
        <w:t>a</w:t>
      </w:r>
      <w:r w:rsidRPr="006F7E17">
        <w:rPr>
          <w:sz w:val="28"/>
          <w:szCs w:val="28"/>
        </w:rPr>
        <w:t xml:space="preserve">ction.  </w:t>
      </w:r>
      <w:r w:rsidR="00400E77" w:rsidRPr="006F7E17">
        <w:rPr>
          <w:sz w:val="28"/>
          <w:szCs w:val="28"/>
        </w:rPr>
        <w:t>Thus, the claim should be dismissed on this ground also</w:t>
      </w:r>
      <w:r w:rsidRPr="006F7E17">
        <w:rPr>
          <w:sz w:val="28"/>
          <w:szCs w:val="28"/>
        </w:rPr>
        <w:t xml:space="preserve">.    </w:t>
      </w:r>
    </w:p>
    <w:p w:rsidR="00400E77" w:rsidRPr="006F7E17" w:rsidRDefault="00400E77" w:rsidP="006F7E17">
      <w:pPr>
        <w:pStyle w:val="ListParagraph"/>
        <w:tabs>
          <w:tab w:val="left" w:pos="450"/>
          <w:tab w:val="left" w:pos="1440"/>
        </w:tabs>
        <w:spacing w:line="360" w:lineRule="auto"/>
        <w:ind w:left="0"/>
        <w:jc w:val="both"/>
        <w:rPr>
          <w:sz w:val="28"/>
          <w:szCs w:val="28"/>
        </w:rPr>
      </w:pPr>
    </w:p>
    <w:p w:rsidR="00400E77" w:rsidRPr="006F7E17" w:rsidRDefault="00400E77" w:rsidP="00AE1CC0">
      <w:pPr>
        <w:numPr>
          <w:ilvl w:val="0"/>
          <w:numId w:val="40"/>
        </w:numPr>
        <w:tabs>
          <w:tab w:val="left" w:pos="1440"/>
        </w:tabs>
        <w:spacing w:line="360" w:lineRule="auto"/>
        <w:ind w:left="0" w:firstLine="0"/>
        <w:jc w:val="both"/>
        <w:rPr>
          <w:sz w:val="28"/>
          <w:szCs w:val="28"/>
        </w:rPr>
      </w:pPr>
      <w:r w:rsidRPr="006F7E17">
        <w:rPr>
          <w:sz w:val="28"/>
          <w:szCs w:val="28"/>
        </w:rPr>
        <w:t xml:space="preserve">For the above reasons, I </w:t>
      </w:r>
      <w:r w:rsidR="00F92D7A">
        <w:rPr>
          <w:sz w:val="28"/>
          <w:szCs w:val="28"/>
        </w:rPr>
        <w:t>am of the view</w:t>
      </w:r>
      <w:r w:rsidRPr="006F7E17">
        <w:rPr>
          <w:sz w:val="28"/>
          <w:szCs w:val="28"/>
        </w:rPr>
        <w:t xml:space="preserve"> </w:t>
      </w:r>
      <w:r w:rsidR="00BB7EC7">
        <w:rPr>
          <w:sz w:val="28"/>
          <w:szCs w:val="28"/>
        </w:rPr>
        <w:t xml:space="preserve">that </w:t>
      </w:r>
      <w:r w:rsidRPr="006F7E17">
        <w:rPr>
          <w:sz w:val="28"/>
          <w:szCs w:val="28"/>
        </w:rPr>
        <w:t xml:space="preserve">the plaintiff’s </w:t>
      </w:r>
      <w:r w:rsidR="00AF479B">
        <w:rPr>
          <w:sz w:val="28"/>
          <w:szCs w:val="28"/>
        </w:rPr>
        <w:t xml:space="preserve">writ of summons </w:t>
      </w:r>
      <w:r w:rsidRPr="006F7E17">
        <w:rPr>
          <w:sz w:val="28"/>
          <w:szCs w:val="28"/>
        </w:rPr>
        <w:t xml:space="preserve">against the defendant </w:t>
      </w:r>
      <w:r w:rsidR="00BB7EC7">
        <w:rPr>
          <w:sz w:val="28"/>
          <w:szCs w:val="28"/>
        </w:rPr>
        <w:t>in the present case</w:t>
      </w:r>
      <w:r w:rsidR="00F92D7A">
        <w:rPr>
          <w:sz w:val="28"/>
          <w:szCs w:val="28"/>
        </w:rPr>
        <w:t xml:space="preserve"> should</w:t>
      </w:r>
      <w:r w:rsidRPr="006F7E17">
        <w:rPr>
          <w:sz w:val="28"/>
          <w:szCs w:val="28"/>
        </w:rPr>
        <w:t xml:space="preserve"> be struck out</w:t>
      </w:r>
      <w:r w:rsidR="00AF479B">
        <w:rPr>
          <w:sz w:val="28"/>
          <w:szCs w:val="28"/>
        </w:rPr>
        <w:t xml:space="preserve"> and the action dismissed</w:t>
      </w:r>
      <w:r w:rsidRPr="006F7E17">
        <w:rPr>
          <w:sz w:val="28"/>
          <w:szCs w:val="28"/>
        </w:rPr>
        <w:t xml:space="preserve">, with costs of the action and the Summons in </w:t>
      </w:r>
      <w:proofErr w:type="spellStart"/>
      <w:r w:rsidRPr="006F7E17">
        <w:rPr>
          <w:sz w:val="28"/>
          <w:szCs w:val="28"/>
        </w:rPr>
        <w:t>favour</w:t>
      </w:r>
      <w:proofErr w:type="spellEnd"/>
      <w:r w:rsidRPr="006F7E17">
        <w:rPr>
          <w:sz w:val="28"/>
          <w:szCs w:val="28"/>
        </w:rPr>
        <w:t xml:space="preserve"> of the defendant on an indemnity basis.</w:t>
      </w:r>
    </w:p>
    <w:p w:rsidR="00395209" w:rsidRPr="006F7E17" w:rsidRDefault="00395209" w:rsidP="00AE1CC0">
      <w:pPr>
        <w:pStyle w:val="ListParagraph"/>
        <w:tabs>
          <w:tab w:val="left" w:pos="1440"/>
        </w:tabs>
        <w:spacing w:line="360" w:lineRule="auto"/>
        <w:ind w:left="0"/>
        <w:jc w:val="both"/>
        <w:rPr>
          <w:sz w:val="28"/>
          <w:szCs w:val="28"/>
        </w:rPr>
      </w:pPr>
    </w:p>
    <w:p w:rsidR="00AE1CC0" w:rsidRDefault="00400E77" w:rsidP="00AE1CC0">
      <w:pPr>
        <w:numPr>
          <w:ilvl w:val="0"/>
          <w:numId w:val="46"/>
        </w:numPr>
        <w:tabs>
          <w:tab w:val="left" w:pos="720"/>
        </w:tabs>
        <w:spacing w:line="360" w:lineRule="auto"/>
        <w:ind w:left="0" w:firstLine="0"/>
        <w:jc w:val="both"/>
        <w:rPr>
          <w:i/>
          <w:sz w:val="28"/>
          <w:szCs w:val="28"/>
        </w:rPr>
      </w:pPr>
      <w:r w:rsidRPr="006F7E17">
        <w:rPr>
          <w:i/>
          <w:sz w:val="28"/>
          <w:szCs w:val="28"/>
        </w:rPr>
        <w:t xml:space="preserve">The Plaintiff’s Appeal on Costs </w:t>
      </w:r>
    </w:p>
    <w:p w:rsidR="004E32F8" w:rsidRPr="00546F60" w:rsidRDefault="004E32F8" w:rsidP="004E32F8">
      <w:pPr>
        <w:tabs>
          <w:tab w:val="left" w:pos="720"/>
        </w:tabs>
        <w:spacing w:line="360" w:lineRule="auto"/>
        <w:jc w:val="both"/>
        <w:rPr>
          <w:i/>
          <w:sz w:val="28"/>
          <w:szCs w:val="28"/>
        </w:rPr>
      </w:pPr>
    </w:p>
    <w:p w:rsidR="00E7510B" w:rsidRPr="006F7E17" w:rsidRDefault="006F7E1C" w:rsidP="006002FA">
      <w:pPr>
        <w:numPr>
          <w:ilvl w:val="0"/>
          <w:numId w:val="40"/>
        </w:numPr>
        <w:tabs>
          <w:tab w:val="left" w:pos="1440"/>
        </w:tabs>
        <w:spacing w:line="360" w:lineRule="auto"/>
        <w:ind w:left="0" w:firstLine="0"/>
        <w:jc w:val="both"/>
        <w:rPr>
          <w:sz w:val="28"/>
          <w:szCs w:val="28"/>
        </w:rPr>
      </w:pPr>
      <w:r w:rsidRPr="006F7E17">
        <w:rPr>
          <w:sz w:val="28"/>
          <w:szCs w:val="28"/>
        </w:rPr>
        <w:t xml:space="preserve">The plaintiff’s notice of </w:t>
      </w:r>
      <w:r w:rsidR="001E6BDE" w:rsidRPr="006F7E17">
        <w:rPr>
          <w:sz w:val="28"/>
          <w:szCs w:val="28"/>
        </w:rPr>
        <w:t xml:space="preserve">appeal </w:t>
      </w:r>
      <w:r w:rsidRPr="006F7E17">
        <w:rPr>
          <w:sz w:val="28"/>
          <w:szCs w:val="28"/>
        </w:rPr>
        <w:t xml:space="preserve">dated 1 September 2017 </w:t>
      </w:r>
      <w:r w:rsidR="00AF479B">
        <w:rPr>
          <w:sz w:val="28"/>
          <w:szCs w:val="28"/>
        </w:rPr>
        <w:t>consisted of no substance</w:t>
      </w:r>
      <w:r w:rsidR="001E6BDE" w:rsidRPr="006F7E17">
        <w:rPr>
          <w:sz w:val="28"/>
          <w:szCs w:val="28"/>
        </w:rPr>
        <w:t xml:space="preserve"> and can be quickly disposed of here.</w:t>
      </w:r>
    </w:p>
    <w:p w:rsidR="001E6BDE" w:rsidRPr="006F7E17" w:rsidRDefault="001E6BDE" w:rsidP="006F7E17">
      <w:pPr>
        <w:tabs>
          <w:tab w:val="left" w:pos="1440"/>
        </w:tabs>
        <w:spacing w:line="360" w:lineRule="auto"/>
        <w:jc w:val="both"/>
        <w:rPr>
          <w:sz w:val="28"/>
          <w:szCs w:val="28"/>
        </w:rPr>
      </w:pPr>
    </w:p>
    <w:p w:rsidR="00204A98" w:rsidRPr="006F7E17" w:rsidRDefault="00204A98" w:rsidP="006002FA">
      <w:pPr>
        <w:numPr>
          <w:ilvl w:val="0"/>
          <w:numId w:val="40"/>
        </w:numPr>
        <w:tabs>
          <w:tab w:val="left" w:pos="1440"/>
        </w:tabs>
        <w:spacing w:line="360" w:lineRule="auto"/>
        <w:ind w:left="0" w:firstLine="0"/>
        <w:jc w:val="both"/>
        <w:rPr>
          <w:sz w:val="28"/>
          <w:szCs w:val="28"/>
        </w:rPr>
      </w:pPr>
      <w:r w:rsidRPr="006F7E17">
        <w:rPr>
          <w:sz w:val="28"/>
          <w:szCs w:val="28"/>
        </w:rPr>
        <w:t xml:space="preserve">The plaintiff </w:t>
      </w:r>
      <w:r w:rsidR="001E6BDE" w:rsidRPr="006F7E17">
        <w:rPr>
          <w:sz w:val="28"/>
          <w:szCs w:val="28"/>
        </w:rPr>
        <w:t xml:space="preserve">appeals against a costs order made by Master D </w:t>
      </w:r>
      <w:proofErr w:type="gramStart"/>
      <w:r w:rsidR="001E6BDE" w:rsidRPr="006F7E17">
        <w:rPr>
          <w:sz w:val="28"/>
          <w:szCs w:val="28"/>
        </w:rPr>
        <w:t>To</w:t>
      </w:r>
      <w:proofErr w:type="gramEnd"/>
      <w:r w:rsidR="001E6BDE" w:rsidRPr="006F7E17">
        <w:rPr>
          <w:sz w:val="28"/>
          <w:szCs w:val="28"/>
        </w:rPr>
        <w:t>, namely</w:t>
      </w:r>
      <w:r w:rsidRPr="006F7E17">
        <w:rPr>
          <w:sz w:val="28"/>
          <w:szCs w:val="28"/>
        </w:rPr>
        <w:t>,</w:t>
      </w:r>
      <w:r w:rsidR="001E6BDE" w:rsidRPr="006F7E17">
        <w:rPr>
          <w:sz w:val="28"/>
          <w:szCs w:val="28"/>
        </w:rPr>
        <w:t xml:space="preserve"> that there be no order as to costs on </w:t>
      </w:r>
      <w:r w:rsidRPr="006F7E17">
        <w:rPr>
          <w:sz w:val="28"/>
          <w:szCs w:val="28"/>
        </w:rPr>
        <w:t xml:space="preserve">the plaintiff’s </w:t>
      </w:r>
      <w:r w:rsidR="001E6BDE" w:rsidRPr="006F7E17">
        <w:rPr>
          <w:sz w:val="28"/>
          <w:szCs w:val="28"/>
        </w:rPr>
        <w:t xml:space="preserve">application </w:t>
      </w:r>
      <w:r w:rsidR="001E6BDE" w:rsidRPr="006F7E17">
        <w:rPr>
          <w:sz w:val="28"/>
          <w:szCs w:val="28"/>
        </w:rPr>
        <w:lastRenderedPageBreak/>
        <w:t xml:space="preserve">for the amendment of Court Orders and </w:t>
      </w:r>
      <w:r w:rsidRPr="006F7E17">
        <w:rPr>
          <w:sz w:val="28"/>
          <w:szCs w:val="28"/>
        </w:rPr>
        <w:t xml:space="preserve">the plaintiff </w:t>
      </w:r>
      <w:r w:rsidR="001E6BDE" w:rsidRPr="006F7E17">
        <w:rPr>
          <w:sz w:val="28"/>
          <w:szCs w:val="28"/>
        </w:rPr>
        <w:t xml:space="preserve">seeks an order that such costs be paid to </w:t>
      </w:r>
      <w:r w:rsidRPr="006F7E17">
        <w:rPr>
          <w:sz w:val="28"/>
          <w:szCs w:val="28"/>
        </w:rPr>
        <w:t xml:space="preserve">the plaintiff by the defendant </w:t>
      </w:r>
      <w:r w:rsidR="001E6BDE" w:rsidRPr="006F7E17">
        <w:rPr>
          <w:sz w:val="28"/>
          <w:szCs w:val="28"/>
        </w:rPr>
        <w:t xml:space="preserve">forthwith. </w:t>
      </w:r>
    </w:p>
    <w:p w:rsidR="00204A98" w:rsidRPr="006F7E17" w:rsidRDefault="00204A98" w:rsidP="006F7E17">
      <w:pPr>
        <w:pStyle w:val="ListParagraph"/>
        <w:tabs>
          <w:tab w:val="left" w:pos="1440"/>
        </w:tabs>
        <w:spacing w:line="360" w:lineRule="auto"/>
        <w:ind w:left="0"/>
        <w:jc w:val="both"/>
        <w:rPr>
          <w:sz w:val="28"/>
          <w:szCs w:val="28"/>
        </w:rPr>
      </w:pPr>
    </w:p>
    <w:p w:rsidR="00204A98" w:rsidRPr="006F7E17" w:rsidRDefault="005E07D0" w:rsidP="006002FA">
      <w:pPr>
        <w:numPr>
          <w:ilvl w:val="0"/>
          <w:numId w:val="40"/>
        </w:numPr>
        <w:tabs>
          <w:tab w:val="left" w:pos="1440"/>
        </w:tabs>
        <w:spacing w:line="360" w:lineRule="auto"/>
        <w:ind w:left="0" w:firstLine="0"/>
        <w:jc w:val="both"/>
        <w:rPr>
          <w:sz w:val="28"/>
          <w:szCs w:val="28"/>
        </w:rPr>
      </w:pPr>
      <w:r>
        <w:rPr>
          <w:sz w:val="28"/>
          <w:szCs w:val="28"/>
        </w:rPr>
        <w:t xml:space="preserve">I agree with </w:t>
      </w:r>
      <w:proofErr w:type="spellStart"/>
      <w:r>
        <w:rPr>
          <w:sz w:val="28"/>
          <w:szCs w:val="28"/>
        </w:rPr>
        <w:t>Mr</w:t>
      </w:r>
      <w:proofErr w:type="spellEnd"/>
      <w:r>
        <w:rPr>
          <w:sz w:val="28"/>
          <w:szCs w:val="28"/>
        </w:rPr>
        <w:t xml:space="preserve"> </w:t>
      </w:r>
      <w:proofErr w:type="spellStart"/>
      <w:r>
        <w:rPr>
          <w:sz w:val="28"/>
          <w:szCs w:val="28"/>
        </w:rPr>
        <w:t>Kok</w:t>
      </w:r>
      <w:proofErr w:type="spellEnd"/>
      <w:r w:rsidR="00204A98" w:rsidRPr="006F7E17">
        <w:rPr>
          <w:sz w:val="28"/>
          <w:szCs w:val="28"/>
        </w:rPr>
        <w:t xml:space="preserve"> that the plaintiff’s appeal is completely misconceived and ought to be dismissed for the following </w:t>
      </w:r>
      <w:proofErr w:type="gramStart"/>
      <w:r w:rsidR="00204A98" w:rsidRPr="006F7E17">
        <w:rPr>
          <w:sz w:val="28"/>
          <w:szCs w:val="28"/>
        </w:rPr>
        <w:t>reasons:-</w:t>
      </w:r>
      <w:proofErr w:type="gramEnd"/>
    </w:p>
    <w:p w:rsidR="00204A98" w:rsidRPr="006F7E17" w:rsidRDefault="00204A98" w:rsidP="006F7E17">
      <w:pPr>
        <w:tabs>
          <w:tab w:val="left" w:pos="1440"/>
        </w:tabs>
        <w:spacing w:line="360" w:lineRule="auto"/>
        <w:jc w:val="both"/>
        <w:rPr>
          <w:sz w:val="28"/>
          <w:szCs w:val="28"/>
        </w:rPr>
      </w:pPr>
    </w:p>
    <w:p w:rsidR="00204A98" w:rsidRPr="006F7E17" w:rsidRDefault="00037625" w:rsidP="00837999">
      <w:pPr>
        <w:pStyle w:val="ListParagraph"/>
        <w:numPr>
          <w:ilvl w:val="1"/>
          <w:numId w:val="42"/>
        </w:numPr>
        <w:tabs>
          <w:tab w:val="left" w:pos="2160"/>
        </w:tabs>
        <w:spacing w:line="360" w:lineRule="auto"/>
        <w:ind w:left="2160" w:hanging="720"/>
        <w:jc w:val="both"/>
        <w:rPr>
          <w:sz w:val="28"/>
          <w:szCs w:val="28"/>
        </w:rPr>
      </w:pPr>
      <w:r w:rsidRPr="006F7E17">
        <w:rPr>
          <w:sz w:val="28"/>
          <w:szCs w:val="28"/>
        </w:rPr>
        <w:t xml:space="preserve">As stated </w:t>
      </w:r>
      <w:r w:rsidR="00204A98" w:rsidRPr="006F7E17">
        <w:rPr>
          <w:sz w:val="28"/>
          <w:szCs w:val="28"/>
        </w:rPr>
        <w:t xml:space="preserve">above, upon </w:t>
      </w:r>
      <w:r w:rsidR="00BB7EC7">
        <w:rPr>
          <w:sz w:val="28"/>
          <w:szCs w:val="28"/>
        </w:rPr>
        <w:t>the plain</w:t>
      </w:r>
      <w:r w:rsidRPr="006F7E17">
        <w:rPr>
          <w:sz w:val="28"/>
          <w:szCs w:val="28"/>
        </w:rPr>
        <w:t>t</w:t>
      </w:r>
      <w:r w:rsidR="00BB7EC7">
        <w:rPr>
          <w:sz w:val="28"/>
          <w:szCs w:val="28"/>
        </w:rPr>
        <w:t>i</w:t>
      </w:r>
      <w:r w:rsidRPr="006F7E17">
        <w:rPr>
          <w:sz w:val="28"/>
          <w:szCs w:val="28"/>
        </w:rPr>
        <w:t>ff</w:t>
      </w:r>
      <w:r w:rsidR="00204A98" w:rsidRPr="006F7E17">
        <w:rPr>
          <w:sz w:val="28"/>
          <w:szCs w:val="28"/>
        </w:rPr>
        <w:t>’s bankruptcy</w:t>
      </w:r>
      <w:r w:rsidRPr="006F7E17">
        <w:rPr>
          <w:sz w:val="28"/>
          <w:szCs w:val="28"/>
        </w:rPr>
        <w:t>,</w:t>
      </w:r>
      <w:r w:rsidR="00204A98" w:rsidRPr="006F7E17">
        <w:rPr>
          <w:sz w:val="28"/>
          <w:szCs w:val="28"/>
        </w:rPr>
        <w:t xml:space="preserve"> his rights of action became vested in his trustee in bankruptcy, and hence </w:t>
      </w:r>
      <w:r w:rsidRPr="006F7E17">
        <w:rPr>
          <w:sz w:val="28"/>
          <w:szCs w:val="28"/>
        </w:rPr>
        <w:t xml:space="preserve">the plaintiff </w:t>
      </w:r>
      <w:r w:rsidR="00204A98" w:rsidRPr="006F7E17">
        <w:rPr>
          <w:sz w:val="28"/>
          <w:szCs w:val="28"/>
        </w:rPr>
        <w:t xml:space="preserve">has no </w:t>
      </w:r>
      <w:r w:rsidR="00204A98" w:rsidRPr="006F7E17">
        <w:rPr>
          <w:i/>
          <w:sz w:val="28"/>
          <w:szCs w:val="28"/>
        </w:rPr>
        <w:t xml:space="preserve">locus </w:t>
      </w:r>
      <w:proofErr w:type="spellStart"/>
      <w:r w:rsidR="00204A98" w:rsidRPr="006F7E17">
        <w:rPr>
          <w:i/>
          <w:sz w:val="28"/>
          <w:szCs w:val="28"/>
        </w:rPr>
        <w:t>standi</w:t>
      </w:r>
      <w:proofErr w:type="spellEnd"/>
      <w:r w:rsidR="00204A98" w:rsidRPr="006F7E17">
        <w:rPr>
          <w:sz w:val="28"/>
          <w:szCs w:val="28"/>
        </w:rPr>
        <w:t xml:space="preserve"> to pursue the appeal by way of </w:t>
      </w:r>
      <w:r w:rsidRPr="006F7E17">
        <w:rPr>
          <w:sz w:val="28"/>
          <w:szCs w:val="28"/>
        </w:rPr>
        <w:t>n</w:t>
      </w:r>
      <w:r w:rsidR="00204A98" w:rsidRPr="006F7E17">
        <w:rPr>
          <w:sz w:val="28"/>
          <w:szCs w:val="28"/>
        </w:rPr>
        <w:t xml:space="preserve">otice of </w:t>
      </w:r>
      <w:r w:rsidRPr="006F7E17">
        <w:rPr>
          <w:sz w:val="28"/>
          <w:szCs w:val="28"/>
        </w:rPr>
        <w:t>a</w:t>
      </w:r>
      <w:r w:rsidR="00204A98" w:rsidRPr="006F7E17">
        <w:rPr>
          <w:sz w:val="28"/>
          <w:szCs w:val="28"/>
        </w:rPr>
        <w:t>ppeal, in the absence of consent from his trustee in bankruptcy.</w:t>
      </w:r>
    </w:p>
    <w:p w:rsidR="00204A98" w:rsidRPr="006F7E17" w:rsidRDefault="00204A98" w:rsidP="00837999">
      <w:pPr>
        <w:pStyle w:val="ListParagraph"/>
        <w:tabs>
          <w:tab w:val="left" w:pos="2160"/>
        </w:tabs>
        <w:spacing w:line="360" w:lineRule="auto"/>
        <w:ind w:left="2160" w:hanging="720"/>
        <w:jc w:val="both"/>
        <w:rPr>
          <w:sz w:val="28"/>
          <w:szCs w:val="28"/>
        </w:rPr>
      </w:pPr>
    </w:p>
    <w:p w:rsidR="00204A98" w:rsidRDefault="00204A98" w:rsidP="00546F60">
      <w:pPr>
        <w:pStyle w:val="ListParagraph"/>
        <w:numPr>
          <w:ilvl w:val="1"/>
          <w:numId w:val="42"/>
        </w:numPr>
        <w:tabs>
          <w:tab w:val="left" w:pos="2160"/>
        </w:tabs>
        <w:spacing w:line="360" w:lineRule="auto"/>
        <w:ind w:left="2160" w:hanging="720"/>
        <w:jc w:val="both"/>
        <w:rPr>
          <w:sz w:val="28"/>
          <w:szCs w:val="28"/>
        </w:rPr>
      </w:pPr>
      <w:r w:rsidRPr="006F7E17">
        <w:rPr>
          <w:sz w:val="28"/>
          <w:szCs w:val="28"/>
        </w:rPr>
        <w:t xml:space="preserve">In any event, it is trite that a </w:t>
      </w:r>
      <w:r w:rsidR="00037625" w:rsidRPr="006F7E17">
        <w:rPr>
          <w:sz w:val="28"/>
          <w:szCs w:val="28"/>
        </w:rPr>
        <w:t>j</w:t>
      </w:r>
      <w:r w:rsidRPr="006F7E17">
        <w:rPr>
          <w:sz w:val="28"/>
          <w:szCs w:val="28"/>
        </w:rPr>
        <w:t xml:space="preserve">udge “will not allow an appeal from a master’s costs order unless it is unreasonable or the master erred in law”: </w:t>
      </w:r>
      <w:r w:rsidRPr="006F7E17">
        <w:rPr>
          <w:i/>
          <w:sz w:val="28"/>
          <w:szCs w:val="28"/>
        </w:rPr>
        <w:t>Hong Kong Civil Procedure 2018</w:t>
      </w:r>
      <w:r w:rsidRPr="006F7E17">
        <w:rPr>
          <w:sz w:val="28"/>
          <w:szCs w:val="28"/>
        </w:rPr>
        <w:t xml:space="preserve">, §58/1/6.  In this case, Master D </w:t>
      </w:r>
      <w:proofErr w:type="gramStart"/>
      <w:r w:rsidRPr="006F7E17">
        <w:rPr>
          <w:sz w:val="28"/>
          <w:szCs w:val="28"/>
        </w:rPr>
        <w:t>To</w:t>
      </w:r>
      <w:proofErr w:type="gramEnd"/>
      <w:r w:rsidRPr="006F7E17">
        <w:rPr>
          <w:sz w:val="28"/>
          <w:szCs w:val="28"/>
        </w:rPr>
        <w:t xml:space="preserve"> in fact dismissed </w:t>
      </w:r>
      <w:r w:rsidR="00037625" w:rsidRPr="006F7E17">
        <w:rPr>
          <w:sz w:val="28"/>
          <w:szCs w:val="28"/>
        </w:rPr>
        <w:t>the plaintiff’s s</w:t>
      </w:r>
      <w:r w:rsidRPr="006F7E17">
        <w:rPr>
          <w:sz w:val="28"/>
          <w:szCs w:val="28"/>
        </w:rPr>
        <w:t>ummons dated 16</w:t>
      </w:r>
      <w:r w:rsidR="00037625" w:rsidRPr="006F7E17">
        <w:rPr>
          <w:sz w:val="28"/>
          <w:szCs w:val="28"/>
        </w:rPr>
        <w:t xml:space="preserve"> August </w:t>
      </w:r>
      <w:r w:rsidR="00F92D7A">
        <w:rPr>
          <w:sz w:val="28"/>
          <w:szCs w:val="28"/>
        </w:rPr>
        <w:t>2017, but made an o</w:t>
      </w:r>
      <w:r w:rsidRPr="006F7E17">
        <w:rPr>
          <w:sz w:val="28"/>
          <w:szCs w:val="28"/>
        </w:rPr>
        <w:t>rder on it</w:t>
      </w:r>
      <w:r w:rsidR="00F92D7A">
        <w:rPr>
          <w:sz w:val="28"/>
          <w:szCs w:val="28"/>
        </w:rPr>
        <w:t>s own motion that the relevant o</w:t>
      </w:r>
      <w:r w:rsidRPr="006F7E17">
        <w:rPr>
          <w:sz w:val="28"/>
          <w:szCs w:val="28"/>
        </w:rPr>
        <w:t xml:space="preserve">rders be amended.  Further and </w:t>
      </w:r>
      <w:r w:rsidR="0002121A" w:rsidRPr="006F7E17">
        <w:rPr>
          <w:sz w:val="28"/>
          <w:szCs w:val="28"/>
        </w:rPr>
        <w:t xml:space="preserve">more </w:t>
      </w:r>
      <w:r w:rsidRPr="006F7E17">
        <w:rPr>
          <w:sz w:val="28"/>
          <w:szCs w:val="28"/>
        </w:rPr>
        <w:t>pertinently, the</w:t>
      </w:r>
      <w:r w:rsidR="00037625" w:rsidRPr="006F7E17">
        <w:rPr>
          <w:sz w:val="28"/>
          <w:szCs w:val="28"/>
        </w:rPr>
        <w:t xml:space="preserve"> c</w:t>
      </w:r>
      <w:r w:rsidRPr="006F7E17">
        <w:rPr>
          <w:sz w:val="28"/>
          <w:szCs w:val="28"/>
        </w:rPr>
        <w:t xml:space="preserve">ourt regarded </w:t>
      </w:r>
      <w:r w:rsidR="00037625" w:rsidRPr="006F7E17">
        <w:rPr>
          <w:sz w:val="28"/>
          <w:szCs w:val="28"/>
        </w:rPr>
        <w:t xml:space="preserve">the plaintiff’s </w:t>
      </w:r>
      <w:r w:rsidRPr="006F7E17">
        <w:rPr>
          <w:sz w:val="28"/>
          <w:szCs w:val="28"/>
        </w:rPr>
        <w:t xml:space="preserve">allegations that </w:t>
      </w:r>
      <w:r w:rsidR="00037625" w:rsidRPr="006F7E17">
        <w:rPr>
          <w:sz w:val="28"/>
          <w:szCs w:val="28"/>
        </w:rPr>
        <w:t>the defendant h</w:t>
      </w:r>
      <w:r w:rsidRPr="006F7E17">
        <w:rPr>
          <w:sz w:val="28"/>
          <w:szCs w:val="28"/>
        </w:rPr>
        <w:t xml:space="preserve">ad acted maliciously as </w:t>
      </w:r>
      <w:r w:rsidRPr="00620B61">
        <w:rPr>
          <w:sz w:val="28"/>
          <w:szCs w:val="28"/>
        </w:rPr>
        <w:t>“unnecessary” and “completely groundless”</w:t>
      </w:r>
      <w:r w:rsidRPr="00620B61">
        <w:rPr>
          <w:rStyle w:val="FootnoteReference"/>
          <w:sz w:val="28"/>
          <w:szCs w:val="28"/>
        </w:rPr>
        <w:footnoteReference w:id="6"/>
      </w:r>
      <w:r w:rsidRPr="00620B61">
        <w:rPr>
          <w:sz w:val="28"/>
          <w:szCs w:val="28"/>
        </w:rPr>
        <w:t>.</w:t>
      </w:r>
    </w:p>
    <w:p w:rsidR="00975E65" w:rsidRPr="00975E65" w:rsidRDefault="00975E65" w:rsidP="00975E65">
      <w:pPr>
        <w:pStyle w:val="ListParagraph"/>
        <w:rPr>
          <w:sz w:val="28"/>
          <w:szCs w:val="28"/>
        </w:rPr>
      </w:pPr>
    </w:p>
    <w:p w:rsidR="00975E65" w:rsidRPr="00975E65" w:rsidRDefault="00975E65" w:rsidP="00975E65">
      <w:pPr>
        <w:tabs>
          <w:tab w:val="left" w:pos="2160"/>
        </w:tabs>
        <w:spacing w:line="360" w:lineRule="auto"/>
        <w:jc w:val="both"/>
        <w:rPr>
          <w:sz w:val="28"/>
          <w:szCs w:val="28"/>
        </w:rPr>
      </w:pPr>
    </w:p>
    <w:p w:rsidR="0002121A" w:rsidRPr="005E07D0" w:rsidRDefault="00204A98" w:rsidP="005E07D0">
      <w:pPr>
        <w:pStyle w:val="ListParagraph"/>
        <w:numPr>
          <w:ilvl w:val="0"/>
          <w:numId w:val="40"/>
        </w:numPr>
        <w:tabs>
          <w:tab w:val="left" w:pos="1440"/>
        </w:tabs>
        <w:spacing w:line="360" w:lineRule="auto"/>
        <w:ind w:left="0" w:firstLine="0"/>
        <w:jc w:val="both"/>
        <w:rPr>
          <w:sz w:val="28"/>
          <w:szCs w:val="28"/>
        </w:rPr>
      </w:pPr>
      <w:r w:rsidRPr="005E07D0">
        <w:rPr>
          <w:sz w:val="28"/>
          <w:szCs w:val="28"/>
        </w:rPr>
        <w:t xml:space="preserve">In the premises, it was neither unreasonable nor an error in law for the </w:t>
      </w:r>
      <w:r w:rsidR="0002121A" w:rsidRPr="005E07D0">
        <w:rPr>
          <w:sz w:val="28"/>
          <w:szCs w:val="28"/>
        </w:rPr>
        <w:t>m</w:t>
      </w:r>
      <w:r w:rsidRPr="005E07D0">
        <w:rPr>
          <w:sz w:val="28"/>
          <w:szCs w:val="28"/>
        </w:rPr>
        <w:t xml:space="preserve">aster to make no order as to costs on </w:t>
      </w:r>
      <w:r w:rsidR="0002121A" w:rsidRPr="005E07D0">
        <w:rPr>
          <w:sz w:val="28"/>
          <w:szCs w:val="28"/>
        </w:rPr>
        <w:t>the plaintiff’s</w:t>
      </w:r>
      <w:r w:rsidRPr="005E07D0">
        <w:rPr>
          <w:sz w:val="28"/>
          <w:szCs w:val="28"/>
        </w:rPr>
        <w:t xml:space="preserve"> application.</w:t>
      </w:r>
    </w:p>
    <w:p w:rsidR="00204A98" w:rsidRPr="006F7E17" w:rsidRDefault="00204A98" w:rsidP="006F7E17">
      <w:pPr>
        <w:pStyle w:val="ListParagraph"/>
        <w:tabs>
          <w:tab w:val="left" w:pos="1440"/>
        </w:tabs>
        <w:spacing w:line="360" w:lineRule="auto"/>
        <w:ind w:left="0"/>
        <w:jc w:val="both"/>
        <w:rPr>
          <w:sz w:val="28"/>
          <w:szCs w:val="28"/>
        </w:rPr>
      </w:pPr>
    </w:p>
    <w:p w:rsidR="0002121A" w:rsidRPr="006F7E17" w:rsidRDefault="00F92D7A" w:rsidP="008976A2">
      <w:pPr>
        <w:numPr>
          <w:ilvl w:val="0"/>
          <w:numId w:val="40"/>
        </w:numPr>
        <w:tabs>
          <w:tab w:val="left" w:pos="1440"/>
        </w:tabs>
        <w:spacing w:line="360" w:lineRule="auto"/>
        <w:ind w:left="0" w:firstLine="0"/>
        <w:jc w:val="both"/>
        <w:rPr>
          <w:sz w:val="28"/>
          <w:szCs w:val="28"/>
        </w:rPr>
      </w:pPr>
      <w:r>
        <w:rPr>
          <w:sz w:val="28"/>
          <w:szCs w:val="28"/>
        </w:rPr>
        <w:lastRenderedPageBreak/>
        <w:t>Based on the above, I would also</w:t>
      </w:r>
      <w:r w:rsidR="0002121A" w:rsidRPr="006F7E17">
        <w:rPr>
          <w:sz w:val="28"/>
          <w:szCs w:val="28"/>
        </w:rPr>
        <w:t xml:space="preserve"> dismiss the plaintiff’s appeal to Master D </w:t>
      </w:r>
      <w:proofErr w:type="spellStart"/>
      <w:r w:rsidR="0002121A" w:rsidRPr="006F7E17">
        <w:rPr>
          <w:sz w:val="28"/>
          <w:szCs w:val="28"/>
        </w:rPr>
        <w:t>To’s</w:t>
      </w:r>
      <w:proofErr w:type="spellEnd"/>
      <w:r w:rsidR="0002121A" w:rsidRPr="006F7E17">
        <w:rPr>
          <w:sz w:val="28"/>
          <w:szCs w:val="28"/>
        </w:rPr>
        <w:t xml:space="preserve"> costs order, with costs to the defendant.  </w:t>
      </w:r>
    </w:p>
    <w:p w:rsidR="0002121A" w:rsidRPr="006F7E17" w:rsidRDefault="0002121A" w:rsidP="006F7E17">
      <w:pPr>
        <w:tabs>
          <w:tab w:val="left" w:pos="1440"/>
        </w:tabs>
        <w:spacing w:line="360" w:lineRule="auto"/>
        <w:jc w:val="both"/>
        <w:rPr>
          <w:sz w:val="28"/>
          <w:szCs w:val="28"/>
        </w:rPr>
      </w:pPr>
    </w:p>
    <w:p w:rsidR="00E7510B" w:rsidRDefault="00C86C9F" w:rsidP="008976A2">
      <w:pPr>
        <w:tabs>
          <w:tab w:val="left" w:pos="720"/>
        </w:tabs>
        <w:spacing w:line="360" w:lineRule="auto"/>
        <w:jc w:val="both"/>
        <w:rPr>
          <w:i/>
          <w:sz w:val="28"/>
          <w:szCs w:val="28"/>
        </w:rPr>
      </w:pPr>
      <w:r w:rsidRPr="006F7E17">
        <w:rPr>
          <w:i/>
          <w:sz w:val="28"/>
          <w:szCs w:val="28"/>
        </w:rPr>
        <w:t>(C)</w:t>
      </w:r>
      <w:r w:rsidR="008976A2">
        <w:rPr>
          <w:i/>
          <w:sz w:val="28"/>
          <w:szCs w:val="28"/>
        </w:rPr>
        <w:tab/>
      </w:r>
      <w:r w:rsidR="005E07D0">
        <w:rPr>
          <w:i/>
          <w:sz w:val="28"/>
          <w:szCs w:val="28"/>
        </w:rPr>
        <w:t>Defendant’s A</w:t>
      </w:r>
      <w:r w:rsidRPr="006F7E17">
        <w:rPr>
          <w:i/>
          <w:sz w:val="28"/>
          <w:szCs w:val="28"/>
        </w:rPr>
        <w:t>pplication for RPO</w:t>
      </w:r>
    </w:p>
    <w:p w:rsidR="008976A2" w:rsidRPr="008976A2" w:rsidRDefault="008976A2" w:rsidP="006F7E17">
      <w:pPr>
        <w:tabs>
          <w:tab w:val="left" w:pos="1440"/>
        </w:tabs>
        <w:spacing w:line="360" w:lineRule="auto"/>
        <w:jc w:val="both"/>
        <w:rPr>
          <w:sz w:val="28"/>
          <w:szCs w:val="28"/>
        </w:rPr>
      </w:pPr>
    </w:p>
    <w:p w:rsidR="000032FD" w:rsidRPr="006F7E17" w:rsidRDefault="00C86C9F" w:rsidP="008976A2">
      <w:pPr>
        <w:numPr>
          <w:ilvl w:val="0"/>
          <w:numId w:val="40"/>
        </w:numPr>
        <w:tabs>
          <w:tab w:val="left" w:pos="1440"/>
        </w:tabs>
        <w:spacing w:line="360" w:lineRule="auto"/>
        <w:ind w:left="0" w:firstLine="0"/>
        <w:jc w:val="both"/>
        <w:rPr>
          <w:sz w:val="28"/>
          <w:szCs w:val="28"/>
        </w:rPr>
      </w:pPr>
      <w:r w:rsidRPr="006F7E17">
        <w:rPr>
          <w:sz w:val="28"/>
          <w:szCs w:val="28"/>
        </w:rPr>
        <w:t>In the Summ</w:t>
      </w:r>
      <w:r w:rsidR="000032FD" w:rsidRPr="006F7E17">
        <w:rPr>
          <w:sz w:val="28"/>
          <w:szCs w:val="28"/>
        </w:rPr>
        <w:t>ons, the defendant also seek</w:t>
      </w:r>
      <w:r w:rsidRPr="006F7E17">
        <w:rPr>
          <w:sz w:val="28"/>
          <w:szCs w:val="28"/>
        </w:rPr>
        <w:t>s an RPO against the plaintiff pursuant to PD 11.3.</w:t>
      </w:r>
      <w:r w:rsidR="000032FD" w:rsidRPr="006F7E17">
        <w:rPr>
          <w:sz w:val="28"/>
          <w:szCs w:val="28"/>
        </w:rPr>
        <w:t xml:space="preserve">  It relies on the CFA decision in </w:t>
      </w:r>
      <w:r w:rsidR="000032FD" w:rsidRPr="006F7E17">
        <w:rPr>
          <w:i/>
          <w:sz w:val="28"/>
          <w:szCs w:val="28"/>
        </w:rPr>
        <w:t xml:space="preserve">Ng </w:t>
      </w:r>
      <w:proofErr w:type="spellStart"/>
      <w:r w:rsidR="000032FD" w:rsidRPr="006F7E17">
        <w:rPr>
          <w:i/>
          <w:sz w:val="28"/>
          <w:szCs w:val="28"/>
        </w:rPr>
        <w:t>Yat</w:t>
      </w:r>
      <w:proofErr w:type="spellEnd"/>
      <w:r w:rsidR="000032FD" w:rsidRPr="006F7E17">
        <w:rPr>
          <w:i/>
          <w:sz w:val="28"/>
          <w:szCs w:val="28"/>
        </w:rPr>
        <w:t xml:space="preserve"> Chi v Max Share Ltd</w:t>
      </w:r>
      <w:r w:rsidR="000032FD" w:rsidRPr="006F7E17">
        <w:rPr>
          <w:sz w:val="28"/>
          <w:szCs w:val="28"/>
        </w:rPr>
        <w:t xml:space="preserve"> [2005] 1 HKLRD 473. </w:t>
      </w:r>
      <w:r w:rsidRPr="006F7E17">
        <w:rPr>
          <w:sz w:val="28"/>
          <w:szCs w:val="28"/>
        </w:rPr>
        <w:t xml:space="preserve"> </w:t>
      </w:r>
    </w:p>
    <w:p w:rsidR="000032FD" w:rsidRPr="006F7E17" w:rsidRDefault="000032FD" w:rsidP="006F7E17">
      <w:pPr>
        <w:tabs>
          <w:tab w:val="left" w:pos="1440"/>
        </w:tabs>
        <w:spacing w:line="360" w:lineRule="auto"/>
        <w:jc w:val="both"/>
        <w:rPr>
          <w:sz w:val="28"/>
          <w:szCs w:val="28"/>
        </w:rPr>
      </w:pPr>
    </w:p>
    <w:p w:rsidR="000032FD" w:rsidRPr="006F7E17" w:rsidRDefault="00E61209" w:rsidP="008976A2">
      <w:pPr>
        <w:numPr>
          <w:ilvl w:val="0"/>
          <w:numId w:val="40"/>
        </w:numPr>
        <w:tabs>
          <w:tab w:val="left" w:pos="1440"/>
        </w:tabs>
        <w:spacing w:line="360" w:lineRule="auto"/>
        <w:ind w:left="0" w:firstLine="0"/>
        <w:jc w:val="both"/>
        <w:rPr>
          <w:sz w:val="28"/>
          <w:szCs w:val="28"/>
        </w:rPr>
      </w:pPr>
      <w:r w:rsidRPr="006F7E17">
        <w:rPr>
          <w:sz w:val="28"/>
          <w:szCs w:val="28"/>
        </w:rPr>
        <w:t xml:space="preserve">As </w:t>
      </w:r>
      <w:proofErr w:type="spellStart"/>
      <w:r w:rsidR="0044170A">
        <w:rPr>
          <w:sz w:val="28"/>
          <w:szCs w:val="28"/>
        </w:rPr>
        <w:t>Mr</w:t>
      </w:r>
      <w:proofErr w:type="spellEnd"/>
      <w:r w:rsidR="0044170A">
        <w:rPr>
          <w:sz w:val="28"/>
          <w:szCs w:val="28"/>
        </w:rPr>
        <w:t xml:space="preserve"> </w:t>
      </w:r>
      <w:proofErr w:type="spellStart"/>
      <w:r w:rsidR="0044170A">
        <w:rPr>
          <w:sz w:val="28"/>
          <w:szCs w:val="28"/>
        </w:rPr>
        <w:t>Kok</w:t>
      </w:r>
      <w:proofErr w:type="spellEnd"/>
      <w:r w:rsidR="0044170A">
        <w:rPr>
          <w:sz w:val="28"/>
          <w:szCs w:val="28"/>
        </w:rPr>
        <w:t xml:space="preserve"> has rightly pointed out in his submissions</w:t>
      </w:r>
      <w:r w:rsidR="000032FD" w:rsidRPr="006F7E17">
        <w:rPr>
          <w:sz w:val="28"/>
          <w:szCs w:val="28"/>
        </w:rPr>
        <w:t xml:space="preserve">, in determining whether the RPO should be made, the issues </w:t>
      </w:r>
      <w:proofErr w:type="gramStart"/>
      <w:r w:rsidR="000032FD" w:rsidRPr="006F7E17">
        <w:rPr>
          <w:sz w:val="28"/>
          <w:szCs w:val="28"/>
        </w:rPr>
        <w:t>are:-</w:t>
      </w:r>
      <w:proofErr w:type="gramEnd"/>
    </w:p>
    <w:p w:rsidR="000032FD" w:rsidRPr="006F7E17" w:rsidRDefault="000032FD" w:rsidP="006F7E17">
      <w:pPr>
        <w:pStyle w:val="ListParagraph"/>
        <w:tabs>
          <w:tab w:val="left" w:pos="1440"/>
        </w:tabs>
        <w:spacing w:line="360" w:lineRule="auto"/>
        <w:ind w:left="0"/>
        <w:jc w:val="both"/>
        <w:rPr>
          <w:sz w:val="28"/>
          <w:szCs w:val="28"/>
        </w:rPr>
      </w:pPr>
    </w:p>
    <w:p w:rsidR="000032FD" w:rsidRPr="006F7E17" w:rsidRDefault="000032FD" w:rsidP="008976A2">
      <w:pPr>
        <w:pStyle w:val="ListParagraph"/>
        <w:numPr>
          <w:ilvl w:val="2"/>
          <w:numId w:val="42"/>
        </w:numPr>
        <w:tabs>
          <w:tab w:val="left" w:pos="2160"/>
        </w:tabs>
        <w:spacing w:line="360" w:lineRule="auto"/>
        <w:ind w:left="2160" w:hanging="720"/>
        <w:jc w:val="both"/>
        <w:rPr>
          <w:sz w:val="28"/>
          <w:szCs w:val="28"/>
        </w:rPr>
      </w:pPr>
      <w:r w:rsidRPr="006F7E17">
        <w:rPr>
          <w:sz w:val="28"/>
          <w:szCs w:val="28"/>
        </w:rPr>
        <w:t xml:space="preserve">“Is the </w:t>
      </w:r>
      <w:r w:rsidR="008976A2">
        <w:rPr>
          <w:sz w:val="28"/>
          <w:szCs w:val="28"/>
        </w:rPr>
        <w:t>p</w:t>
      </w:r>
      <w:r w:rsidRPr="006F7E17">
        <w:rPr>
          <w:sz w:val="28"/>
          <w:szCs w:val="28"/>
        </w:rPr>
        <w:t>laintiff a vexatious litigant who has abused and is likely to continue abusing the process of the court?”</w:t>
      </w:r>
    </w:p>
    <w:p w:rsidR="000032FD" w:rsidRPr="006F7E17" w:rsidRDefault="000032FD" w:rsidP="008976A2">
      <w:pPr>
        <w:pStyle w:val="ListParagraph"/>
        <w:tabs>
          <w:tab w:val="left" w:pos="2160"/>
        </w:tabs>
        <w:spacing w:line="360" w:lineRule="auto"/>
        <w:ind w:left="2160" w:hanging="720"/>
        <w:jc w:val="both"/>
        <w:rPr>
          <w:sz w:val="28"/>
          <w:szCs w:val="28"/>
        </w:rPr>
      </w:pPr>
    </w:p>
    <w:p w:rsidR="000032FD" w:rsidRPr="006F7E17" w:rsidRDefault="000032FD" w:rsidP="008976A2">
      <w:pPr>
        <w:pStyle w:val="ListParagraph"/>
        <w:numPr>
          <w:ilvl w:val="2"/>
          <w:numId w:val="42"/>
        </w:numPr>
        <w:tabs>
          <w:tab w:val="left" w:pos="2160"/>
        </w:tabs>
        <w:spacing w:line="360" w:lineRule="auto"/>
        <w:ind w:left="2160" w:hanging="720"/>
        <w:jc w:val="both"/>
        <w:rPr>
          <w:sz w:val="28"/>
          <w:szCs w:val="28"/>
        </w:rPr>
      </w:pPr>
      <w:r w:rsidRPr="006F7E17">
        <w:rPr>
          <w:sz w:val="28"/>
          <w:szCs w:val="28"/>
        </w:rPr>
        <w:t>“If the answer to (1) above is yes, what is the class of actions</w:t>
      </w:r>
      <w:r w:rsidR="0044170A">
        <w:rPr>
          <w:sz w:val="28"/>
          <w:szCs w:val="28"/>
        </w:rPr>
        <w:t xml:space="preserve"> to be prohibited under the RPO</w:t>
      </w:r>
      <w:r w:rsidRPr="006F7E17">
        <w:rPr>
          <w:sz w:val="28"/>
          <w:szCs w:val="28"/>
        </w:rPr>
        <w:t>?”</w:t>
      </w:r>
    </w:p>
    <w:p w:rsidR="000032FD" w:rsidRPr="006F7E17" w:rsidRDefault="000032FD" w:rsidP="006F7E17">
      <w:pPr>
        <w:tabs>
          <w:tab w:val="left" w:pos="1440"/>
        </w:tabs>
        <w:spacing w:line="360" w:lineRule="auto"/>
        <w:jc w:val="both"/>
        <w:rPr>
          <w:sz w:val="28"/>
          <w:szCs w:val="28"/>
        </w:rPr>
      </w:pPr>
    </w:p>
    <w:p w:rsidR="000032FD" w:rsidRDefault="000032FD" w:rsidP="005E07D0">
      <w:pPr>
        <w:tabs>
          <w:tab w:val="left" w:pos="2160"/>
        </w:tabs>
        <w:spacing w:line="360" w:lineRule="auto"/>
        <w:ind w:left="2160" w:hanging="720"/>
        <w:jc w:val="both"/>
        <w:rPr>
          <w:sz w:val="28"/>
          <w:szCs w:val="28"/>
        </w:rPr>
      </w:pPr>
      <w:r w:rsidRPr="006F7E17">
        <w:rPr>
          <w:i/>
          <w:sz w:val="28"/>
          <w:szCs w:val="28"/>
        </w:rPr>
        <w:t>See</w:t>
      </w:r>
      <w:r w:rsidRPr="006F7E17">
        <w:rPr>
          <w:sz w:val="28"/>
          <w:szCs w:val="28"/>
        </w:rPr>
        <w:t xml:space="preserve">: </w:t>
      </w:r>
      <w:r w:rsidRPr="006F7E17">
        <w:rPr>
          <w:sz w:val="28"/>
          <w:szCs w:val="28"/>
        </w:rPr>
        <w:tab/>
      </w:r>
      <w:r w:rsidRPr="006F7E17">
        <w:rPr>
          <w:i/>
          <w:sz w:val="28"/>
          <w:szCs w:val="28"/>
        </w:rPr>
        <w:t xml:space="preserve">Wong Yu Cho </w:t>
      </w:r>
      <w:proofErr w:type="spellStart"/>
      <w:r w:rsidRPr="006F7E17">
        <w:rPr>
          <w:i/>
          <w:sz w:val="28"/>
          <w:szCs w:val="28"/>
        </w:rPr>
        <w:t>Rolly</w:t>
      </w:r>
      <w:proofErr w:type="spellEnd"/>
      <w:r w:rsidRPr="006F7E17">
        <w:rPr>
          <w:i/>
          <w:sz w:val="28"/>
          <w:szCs w:val="28"/>
        </w:rPr>
        <w:t xml:space="preserve"> v Louie Wong</w:t>
      </w:r>
      <w:r w:rsidRPr="006F7E17">
        <w:rPr>
          <w:sz w:val="28"/>
          <w:szCs w:val="28"/>
        </w:rPr>
        <w:t xml:space="preserve"> DCCJ 145/2007 (</w:t>
      </w:r>
      <w:proofErr w:type="spellStart"/>
      <w:r w:rsidRPr="006F7E17">
        <w:rPr>
          <w:i/>
          <w:sz w:val="28"/>
          <w:szCs w:val="28"/>
        </w:rPr>
        <w:t>unrep</w:t>
      </w:r>
      <w:proofErr w:type="spellEnd"/>
      <w:r w:rsidRPr="006F7E17">
        <w:rPr>
          <w:sz w:val="28"/>
          <w:szCs w:val="28"/>
        </w:rPr>
        <w:t xml:space="preserve">., 12 November 2017), §5, </w:t>
      </w:r>
      <w:r w:rsidRPr="006F7E17">
        <w:rPr>
          <w:i/>
          <w:sz w:val="28"/>
          <w:szCs w:val="28"/>
        </w:rPr>
        <w:t xml:space="preserve">per </w:t>
      </w:r>
      <w:r w:rsidRPr="006F7E17">
        <w:rPr>
          <w:sz w:val="28"/>
          <w:szCs w:val="28"/>
        </w:rPr>
        <w:t xml:space="preserve">HHJ </w:t>
      </w:r>
      <w:proofErr w:type="spellStart"/>
      <w:r w:rsidRPr="006F7E17">
        <w:rPr>
          <w:sz w:val="28"/>
          <w:szCs w:val="28"/>
        </w:rPr>
        <w:t>Mimmie</w:t>
      </w:r>
      <w:proofErr w:type="spellEnd"/>
      <w:r w:rsidRPr="006F7E17">
        <w:rPr>
          <w:sz w:val="28"/>
          <w:szCs w:val="28"/>
        </w:rPr>
        <w:t xml:space="preserve"> Chan (as she then was), following </w:t>
      </w:r>
      <w:r w:rsidRPr="006F7E17">
        <w:rPr>
          <w:i/>
          <w:sz w:val="28"/>
          <w:szCs w:val="28"/>
        </w:rPr>
        <w:t xml:space="preserve">Ng </w:t>
      </w:r>
      <w:proofErr w:type="spellStart"/>
      <w:r w:rsidRPr="006F7E17">
        <w:rPr>
          <w:i/>
          <w:sz w:val="28"/>
          <w:szCs w:val="28"/>
        </w:rPr>
        <w:t>Yat</w:t>
      </w:r>
      <w:proofErr w:type="spellEnd"/>
      <w:r w:rsidRPr="006F7E17">
        <w:rPr>
          <w:i/>
          <w:sz w:val="28"/>
          <w:szCs w:val="28"/>
        </w:rPr>
        <w:t xml:space="preserve"> Chi</w:t>
      </w:r>
      <w:r w:rsidRPr="006F7E17">
        <w:rPr>
          <w:sz w:val="28"/>
          <w:szCs w:val="28"/>
        </w:rPr>
        <w:t xml:space="preserve">, </w:t>
      </w:r>
      <w:r w:rsidRPr="006F7E17">
        <w:rPr>
          <w:i/>
          <w:sz w:val="28"/>
          <w:szCs w:val="28"/>
        </w:rPr>
        <w:t>supra</w:t>
      </w:r>
      <w:r w:rsidRPr="006F7E17">
        <w:rPr>
          <w:sz w:val="28"/>
          <w:szCs w:val="28"/>
        </w:rPr>
        <w:t>.</w:t>
      </w:r>
    </w:p>
    <w:p w:rsidR="00F92D7A" w:rsidRPr="006F7E17" w:rsidRDefault="00F92D7A" w:rsidP="005E07D0">
      <w:pPr>
        <w:tabs>
          <w:tab w:val="left" w:pos="2160"/>
        </w:tabs>
        <w:spacing w:line="360" w:lineRule="auto"/>
        <w:ind w:left="2160" w:hanging="720"/>
        <w:jc w:val="both"/>
        <w:rPr>
          <w:sz w:val="28"/>
          <w:szCs w:val="28"/>
        </w:rPr>
      </w:pPr>
    </w:p>
    <w:p w:rsidR="003304B8" w:rsidRDefault="000032FD" w:rsidP="003304B8">
      <w:pPr>
        <w:numPr>
          <w:ilvl w:val="0"/>
          <w:numId w:val="40"/>
        </w:numPr>
        <w:tabs>
          <w:tab w:val="left" w:pos="1440"/>
        </w:tabs>
        <w:spacing w:line="360" w:lineRule="auto"/>
        <w:ind w:left="0" w:firstLine="0"/>
        <w:jc w:val="both"/>
        <w:rPr>
          <w:sz w:val="28"/>
          <w:szCs w:val="28"/>
        </w:rPr>
      </w:pPr>
      <w:r w:rsidRPr="006F7E17">
        <w:rPr>
          <w:sz w:val="28"/>
          <w:szCs w:val="28"/>
        </w:rPr>
        <w:t xml:space="preserve">In </w:t>
      </w:r>
      <w:r w:rsidRPr="006F7E17">
        <w:rPr>
          <w:i/>
          <w:sz w:val="28"/>
          <w:szCs w:val="28"/>
        </w:rPr>
        <w:t xml:space="preserve">Ng </w:t>
      </w:r>
      <w:proofErr w:type="spellStart"/>
      <w:r w:rsidRPr="006F7E17">
        <w:rPr>
          <w:i/>
          <w:sz w:val="28"/>
          <w:szCs w:val="28"/>
        </w:rPr>
        <w:t>Yat</w:t>
      </w:r>
      <w:proofErr w:type="spellEnd"/>
      <w:r w:rsidRPr="006F7E17">
        <w:rPr>
          <w:i/>
          <w:sz w:val="28"/>
          <w:szCs w:val="28"/>
        </w:rPr>
        <w:t xml:space="preserve"> Chi, supra</w:t>
      </w:r>
      <w:r w:rsidRPr="006F7E17">
        <w:rPr>
          <w:sz w:val="28"/>
          <w:szCs w:val="28"/>
        </w:rPr>
        <w:t>, the CFA referred to the activities of a vexatious litigant, against w</w:t>
      </w:r>
      <w:r w:rsidR="005E07D0">
        <w:rPr>
          <w:sz w:val="28"/>
          <w:szCs w:val="28"/>
        </w:rPr>
        <w:t>hom RPOs can be made.  The CFA</w:t>
      </w:r>
      <w:r w:rsidRPr="006F7E17">
        <w:rPr>
          <w:sz w:val="28"/>
          <w:szCs w:val="28"/>
        </w:rPr>
        <w:t xml:space="preserve"> referred to persons who will pursue abusive proceedings as usually exhibited some of the following features (at §2, cited in </w:t>
      </w:r>
      <w:r w:rsidRPr="006F7E17">
        <w:rPr>
          <w:i/>
          <w:sz w:val="28"/>
          <w:szCs w:val="28"/>
        </w:rPr>
        <w:t xml:space="preserve">Wong Yu Cho </w:t>
      </w:r>
      <w:proofErr w:type="spellStart"/>
      <w:r w:rsidRPr="006F7E17">
        <w:rPr>
          <w:i/>
          <w:sz w:val="28"/>
          <w:szCs w:val="28"/>
        </w:rPr>
        <w:t>Rolly</w:t>
      </w:r>
      <w:proofErr w:type="spellEnd"/>
      <w:r w:rsidRPr="006F7E17">
        <w:rPr>
          <w:sz w:val="28"/>
          <w:szCs w:val="28"/>
        </w:rPr>
        <w:t xml:space="preserve"> (</w:t>
      </w:r>
      <w:r w:rsidRPr="006F7E17">
        <w:rPr>
          <w:i/>
          <w:sz w:val="28"/>
          <w:szCs w:val="28"/>
        </w:rPr>
        <w:t>supra</w:t>
      </w:r>
      <w:r w:rsidR="00E61209" w:rsidRPr="006F7E17">
        <w:rPr>
          <w:sz w:val="28"/>
          <w:szCs w:val="28"/>
        </w:rPr>
        <w:t>)</w:t>
      </w:r>
      <w:r w:rsidRPr="006F7E17">
        <w:rPr>
          <w:sz w:val="28"/>
          <w:szCs w:val="28"/>
        </w:rPr>
        <w:t>, §6</w:t>
      </w:r>
      <w:proofErr w:type="gramStart"/>
      <w:r w:rsidRPr="006F7E17">
        <w:rPr>
          <w:sz w:val="28"/>
          <w:szCs w:val="28"/>
        </w:rPr>
        <w:t>):-</w:t>
      </w:r>
      <w:proofErr w:type="gramEnd"/>
    </w:p>
    <w:p w:rsidR="003304B8" w:rsidRDefault="003304B8" w:rsidP="003304B8">
      <w:pPr>
        <w:tabs>
          <w:tab w:val="left" w:pos="1440"/>
        </w:tabs>
        <w:spacing w:line="360" w:lineRule="auto"/>
        <w:jc w:val="both"/>
        <w:rPr>
          <w:sz w:val="28"/>
          <w:szCs w:val="28"/>
        </w:rPr>
      </w:pPr>
    </w:p>
    <w:p w:rsidR="003304B8" w:rsidRPr="003304B8" w:rsidRDefault="003304B8" w:rsidP="003304B8">
      <w:pPr>
        <w:tabs>
          <w:tab w:val="left" w:pos="1440"/>
        </w:tabs>
        <w:spacing w:line="360" w:lineRule="auto"/>
        <w:jc w:val="both"/>
        <w:rPr>
          <w:sz w:val="28"/>
          <w:szCs w:val="28"/>
        </w:rPr>
      </w:pPr>
    </w:p>
    <w:p w:rsidR="000032FD" w:rsidRPr="000D0715" w:rsidRDefault="000032FD" w:rsidP="000D0715">
      <w:pPr>
        <w:pStyle w:val="ListParagraph"/>
        <w:tabs>
          <w:tab w:val="left" w:pos="1440"/>
        </w:tabs>
        <w:ind w:left="1440" w:right="747"/>
        <w:jc w:val="both"/>
      </w:pPr>
      <w:r w:rsidRPr="000D0715">
        <w:lastRenderedPageBreak/>
        <w:t>“Hopeless claims are instituted.  Totally misconceived appeals are launched.  Judgments of the court, both interlocutory and at trial and both first instance and appellate, may not be accepted.  There are likely to be attempts, often repeated, to re-litigate the same matters as have already been determined.  The materials filed will often be irrelevant, incoherent or scandalous.” (emphasis added)</w:t>
      </w:r>
    </w:p>
    <w:p w:rsidR="000032FD" w:rsidRPr="006F7E17" w:rsidRDefault="000032FD" w:rsidP="006F7E17">
      <w:pPr>
        <w:pStyle w:val="ListParagraph"/>
        <w:tabs>
          <w:tab w:val="left" w:pos="1440"/>
        </w:tabs>
        <w:spacing w:line="360" w:lineRule="auto"/>
        <w:ind w:left="0"/>
        <w:jc w:val="both"/>
        <w:rPr>
          <w:sz w:val="28"/>
          <w:szCs w:val="28"/>
        </w:rPr>
      </w:pPr>
    </w:p>
    <w:p w:rsidR="000032FD" w:rsidRPr="006F7E17" w:rsidRDefault="000032FD" w:rsidP="000D0715">
      <w:pPr>
        <w:numPr>
          <w:ilvl w:val="0"/>
          <w:numId w:val="40"/>
        </w:numPr>
        <w:tabs>
          <w:tab w:val="left" w:pos="1440"/>
        </w:tabs>
        <w:spacing w:line="360" w:lineRule="auto"/>
        <w:ind w:left="0" w:firstLine="0"/>
        <w:jc w:val="both"/>
        <w:rPr>
          <w:sz w:val="28"/>
          <w:szCs w:val="28"/>
        </w:rPr>
      </w:pPr>
      <w:r w:rsidRPr="006F7E17">
        <w:rPr>
          <w:sz w:val="28"/>
          <w:szCs w:val="28"/>
        </w:rPr>
        <w:t xml:space="preserve">Further, the CFA explained the problems caused by vexatious litigants who repeatedly and consistently engage in the abuse of the court’s process, and pointed out that there are many variants of such abuse and what motivates it: </w:t>
      </w:r>
      <w:r w:rsidRPr="006F7E17">
        <w:rPr>
          <w:i/>
          <w:sz w:val="28"/>
          <w:szCs w:val="28"/>
        </w:rPr>
        <w:t xml:space="preserve">Ng </w:t>
      </w:r>
      <w:proofErr w:type="spellStart"/>
      <w:r w:rsidRPr="006F7E17">
        <w:rPr>
          <w:i/>
          <w:sz w:val="28"/>
          <w:szCs w:val="28"/>
        </w:rPr>
        <w:t>Yat</w:t>
      </w:r>
      <w:proofErr w:type="spellEnd"/>
      <w:r w:rsidRPr="006F7E17">
        <w:rPr>
          <w:i/>
          <w:sz w:val="28"/>
          <w:szCs w:val="28"/>
        </w:rPr>
        <w:t xml:space="preserve"> Chi</w:t>
      </w:r>
      <w:r w:rsidR="00E61209" w:rsidRPr="006F7E17">
        <w:rPr>
          <w:i/>
          <w:sz w:val="28"/>
          <w:szCs w:val="28"/>
        </w:rPr>
        <w:t>,</w:t>
      </w:r>
      <w:r w:rsidRPr="006F7E17">
        <w:rPr>
          <w:b/>
          <w:sz w:val="28"/>
          <w:szCs w:val="28"/>
        </w:rPr>
        <w:t xml:space="preserve"> </w:t>
      </w:r>
      <w:r w:rsidRPr="006F7E17">
        <w:rPr>
          <w:i/>
          <w:sz w:val="28"/>
          <w:szCs w:val="28"/>
        </w:rPr>
        <w:t>supra</w:t>
      </w:r>
      <w:r w:rsidR="00E61209" w:rsidRPr="006F7E17">
        <w:rPr>
          <w:i/>
          <w:sz w:val="28"/>
          <w:szCs w:val="28"/>
        </w:rPr>
        <w:t>,</w:t>
      </w:r>
      <w:r w:rsidRPr="006F7E17">
        <w:rPr>
          <w:sz w:val="28"/>
          <w:szCs w:val="28"/>
        </w:rPr>
        <w:t xml:space="preserve"> §48, cited in </w:t>
      </w:r>
      <w:r w:rsidRPr="006F7E17">
        <w:rPr>
          <w:i/>
          <w:sz w:val="28"/>
          <w:szCs w:val="28"/>
        </w:rPr>
        <w:t xml:space="preserve">Wong Yu Cho </w:t>
      </w:r>
      <w:proofErr w:type="spellStart"/>
      <w:r w:rsidRPr="006F7E17">
        <w:rPr>
          <w:i/>
          <w:sz w:val="28"/>
          <w:szCs w:val="28"/>
        </w:rPr>
        <w:t>Rolly</w:t>
      </w:r>
      <w:proofErr w:type="spellEnd"/>
      <w:r w:rsidR="00E61209" w:rsidRPr="006F7E17">
        <w:rPr>
          <w:i/>
          <w:sz w:val="28"/>
          <w:szCs w:val="28"/>
        </w:rPr>
        <w:t>,</w:t>
      </w:r>
      <w:r w:rsidRPr="006F7E17">
        <w:rPr>
          <w:sz w:val="28"/>
          <w:szCs w:val="28"/>
        </w:rPr>
        <w:t xml:space="preserve"> </w:t>
      </w:r>
      <w:r w:rsidRPr="006F7E17">
        <w:rPr>
          <w:i/>
          <w:sz w:val="28"/>
          <w:szCs w:val="28"/>
        </w:rPr>
        <w:t>supra</w:t>
      </w:r>
      <w:r w:rsidRPr="006F7E17">
        <w:rPr>
          <w:sz w:val="28"/>
          <w:szCs w:val="28"/>
        </w:rPr>
        <w:t>, §</w:t>
      </w:r>
      <w:proofErr w:type="gramStart"/>
      <w:r w:rsidRPr="006F7E17">
        <w:rPr>
          <w:sz w:val="28"/>
          <w:szCs w:val="28"/>
        </w:rPr>
        <w:t>7:-</w:t>
      </w:r>
      <w:proofErr w:type="gramEnd"/>
    </w:p>
    <w:p w:rsidR="000032FD" w:rsidRPr="006F7E17" w:rsidRDefault="000032FD" w:rsidP="006F7E17">
      <w:pPr>
        <w:pStyle w:val="ListParagraph"/>
        <w:tabs>
          <w:tab w:val="left" w:pos="1440"/>
        </w:tabs>
        <w:spacing w:line="360" w:lineRule="auto"/>
        <w:ind w:left="0"/>
        <w:jc w:val="both"/>
        <w:rPr>
          <w:sz w:val="28"/>
          <w:szCs w:val="28"/>
        </w:rPr>
      </w:pPr>
    </w:p>
    <w:p w:rsidR="000032FD" w:rsidRPr="000D0715" w:rsidRDefault="000032FD" w:rsidP="000D0715">
      <w:pPr>
        <w:pStyle w:val="ListParagraph"/>
        <w:tabs>
          <w:tab w:val="left" w:pos="1440"/>
        </w:tabs>
        <w:ind w:left="1440" w:right="747"/>
        <w:jc w:val="both"/>
      </w:pPr>
      <w:r w:rsidRPr="000D0715">
        <w:t xml:space="preserve">“It may represent a calculated attempt by a defendant to delay an inevitable judgment or its execution.  Or it may be a malicious campaign of harassment directed against a particular adversary.  Actions which are unintelligible or wholly frivolous may be commenced by litigants who are unfortunately mentally unbalanced.  Sometimes the vexatious conduct springs from some deeply-felt sense of grievance left unassuaged after unsuccessful litigation.  </w:t>
      </w:r>
      <w:r w:rsidRPr="000D0715">
        <w:rPr>
          <w:i/>
        </w:rPr>
        <w:t xml:space="preserve">The vexatious litigant typically acts in person and characteristically refuses to accept the </w:t>
      </w:r>
      <w:proofErr w:type="spellStart"/>
      <w:r w:rsidRPr="000D0715">
        <w:rPr>
          <w:i/>
        </w:rPr>
        <w:t>unfavourable</w:t>
      </w:r>
      <w:proofErr w:type="spellEnd"/>
      <w:r w:rsidRPr="000D0715">
        <w:rPr>
          <w:i/>
        </w:rPr>
        <w:t xml:space="preserve"> result of the litigation, obstinately trying to re-open the matter without any viable legal basis.  Such conduct can become obsessive with the litigant not shrinking from making wild allegations against the court, or against the other side’s legal representatives</w:t>
      </w:r>
      <w:r w:rsidRPr="000D0715">
        <w:rPr>
          <w:b/>
        </w:rPr>
        <w:t xml:space="preserve"> </w:t>
      </w:r>
      <w:r w:rsidRPr="000D0715">
        <w:t>or targeting well-known public personalities thought to be in some way blameworthy.</w:t>
      </w:r>
      <w:r w:rsidRPr="000D0715">
        <w:rPr>
          <w:b/>
        </w:rPr>
        <w:t xml:space="preserve">  </w:t>
      </w:r>
      <w:r w:rsidRPr="000D0715">
        <w:rPr>
          <w:i/>
        </w:rPr>
        <w:t>Numerous actions may be commenced and numerous applications issued within each action</w:t>
      </w:r>
      <w:r w:rsidRPr="000D0715">
        <w:t>.” (emphasis added)</w:t>
      </w:r>
    </w:p>
    <w:p w:rsidR="000032FD" w:rsidRPr="006F7E17" w:rsidRDefault="000032FD" w:rsidP="006F7E17">
      <w:pPr>
        <w:pStyle w:val="ListParagraph"/>
        <w:tabs>
          <w:tab w:val="left" w:pos="1440"/>
        </w:tabs>
        <w:spacing w:line="360" w:lineRule="auto"/>
        <w:ind w:left="0"/>
        <w:jc w:val="both"/>
        <w:rPr>
          <w:sz w:val="28"/>
          <w:szCs w:val="28"/>
        </w:rPr>
      </w:pPr>
    </w:p>
    <w:p w:rsidR="00F92D7A" w:rsidRPr="003304B8" w:rsidRDefault="000032FD" w:rsidP="00F92D7A">
      <w:pPr>
        <w:numPr>
          <w:ilvl w:val="0"/>
          <w:numId w:val="40"/>
        </w:numPr>
        <w:tabs>
          <w:tab w:val="left" w:pos="1440"/>
        </w:tabs>
        <w:spacing w:line="360" w:lineRule="auto"/>
        <w:ind w:left="0" w:firstLine="0"/>
        <w:jc w:val="both"/>
        <w:rPr>
          <w:sz w:val="28"/>
          <w:szCs w:val="28"/>
        </w:rPr>
      </w:pPr>
      <w:r w:rsidRPr="006F7E17">
        <w:rPr>
          <w:sz w:val="28"/>
          <w:szCs w:val="28"/>
        </w:rPr>
        <w:t xml:space="preserve">From the </w:t>
      </w:r>
      <w:r w:rsidR="00E61209" w:rsidRPr="006F7E17">
        <w:rPr>
          <w:sz w:val="28"/>
          <w:szCs w:val="28"/>
        </w:rPr>
        <w:t xml:space="preserve">history </w:t>
      </w:r>
      <w:r w:rsidR="00F62C6E" w:rsidRPr="006F7E17">
        <w:rPr>
          <w:sz w:val="28"/>
          <w:szCs w:val="28"/>
        </w:rPr>
        <w:t>of</w:t>
      </w:r>
      <w:r w:rsidR="00E61209" w:rsidRPr="006F7E17">
        <w:rPr>
          <w:sz w:val="28"/>
          <w:szCs w:val="28"/>
        </w:rPr>
        <w:t xml:space="preserve"> this case</w:t>
      </w:r>
      <w:r w:rsidRPr="006F7E17">
        <w:rPr>
          <w:sz w:val="28"/>
          <w:szCs w:val="28"/>
        </w:rPr>
        <w:t xml:space="preserve">, </w:t>
      </w:r>
      <w:r w:rsidR="00E61209" w:rsidRPr="006F7E17">
        <w:rPr>
          <w:sz w:val="28"/>
          <w:szCs w:val="28"/>
        </w:rPr>
        <w:t xml:space="preserve">I find the plaintiff </w:t>
      </w:r>
      <w:r w:rsidR="00F62C6E" w:rsidRPr="006F7E17">
        <w:rPr>
          <w:sz w:val="28"/>
          <w:szCs w:val="28"/>
        </w:rPr>
        <w:t xml:space="preserve">has </w:t>
      </w:r>
      <w:r w:rsidR="00E61209" w:rsidRPr="006F7E17">
        <w:rPr>
          <w:sz w:val="28"/>
          <w:szCs w:val="28"/>
        </w:rPr>
        <w:t>display</w:t>
      </w:r>
      <w:r w:rsidR="00F62C6E" w:rsidRPr="006F7E17">
        <w:rPr>
          <w:sz w:val="28"/>
          <w:szCs w:val="28"/>
        </w:rPr>
        <w:t>ed</w:t>
      </w:r>
      <w:r w:rsidR="00E61209" w:rsidRPr="006F7E17">
        <w:rPr>
          <w:sz w:val="28"/>
          <w:szCs w:val="28"/>
        </w:rPr>
        <w:t xml:space="preserve"> most</w:t>
      </w:r>
      <w:r w:rsidR="0044170A">
        <w:rPr>
          <w:sz w:val="28"/>
          <w:szCs w:val="28"/>
        </w:rPr>
        <w:t xml:space="preserve">, if not all, the classic </w:t>
      </w:r>
      <w:r w:rsidR="00F62C6E" w:rsidRPr="006F7E17">
        <w:rPr>
          <w:sz w:val="28"/>
          <w:szCs w:val="28"/>
        </w:rPr>
        <w:t xml:space="preserve">features </w:t>
      </w:r>
      <w:r w:rsidR="00E61209" w:rsidRPr="006F7E17">
        <w:rPr>
          <w:sz w:val="28"/>
          <w:szCs w:val="28"/>
        </w:rPr>
        <w:t>of a vexatious litigant as</w:t>
      </w:r>
      <w:r w:rsidRPr="006F7E17">
        <w:rPr>
          <w:sz w:val="28"/>
          <w:szCs w:val="28"/>
        </w:rPr>
        <w:t xml:space="preserve"> identified by the CFA in </w:t>
      </w:r>
      <w:r w:rsidRPr="006F7E17">
        <w:rPr>
          <w:i/>
          <w:sz w:val="28"/>
          <w:szCs w:val="28"/>
        </w:rPr>
        <w:t xml:space="preserve">Ng </w:t>
      </w:r>
      <w:proofErr w:type="spellStart"/>
      <w:r w:rsidRPr="006F7E17">
        <w:rPr>
          <w:i/>
          <w:sz w:val="28"/>
          <w:szCs w:val="28"/>
        </w:rPr>
        <w:t>Yat</w:t>
      </w:r>
      <w:proofErr w:type="spellEnd"/>
      <w:r w:rsidRPr="006F7E17">
        <w:rPr>
          <w:i/>
          <w:sz w:val="28"/>
          <w:szCs w:val="28"/>
        </w:rPr>
        <w:t xml:space="preserve"> Chi.</w:t>
      </w:r>
      <w:r w:rsidRPr="006F7E17">
        <w:rPr>
          <w:sz w:val="28"/>
          <w:szCs w:val="28"/>
        </w:rPr>
        <w:t xml:space="preserve">  </w:t>
      </w:r>
      <w:r w:rsidR="00F62C6E" w:rsidRPr="006F7E17">
        <w:rPr>
          <w:sz w:val="28"/>
          <w:szCs w:val="28"/>
        </w:rPr>
        <w:t xml:space="preserve">In my judgment, the plaintiff </w:t>
      </w:r>
      <w:r w:rsidRPr="006F7E17">
        <w:rPr>
          <w:sz w:val="28"/>
          <w:szCs w:val="28"/>
        </w:rPr>
        <w:t xml:space="preserve">is </w:t>
      </w:r>
      <w:r w:rsidR="00F92D7A">
        <w:rPr>
          <w:sz w:val="28"/>
          <w:szCs w:val="28"/>
        </w:rPr>
        <w:t xml:space="preserve">indeed </w:t>
      </w:r>
      <w:r w:rsidRPr="006F7E17">
        <w:rPr>
          <w:sz w:val="28"/>
          <w:szCs w:val="28"/>
        </w:rPr>
        <w:t xml:space="preserve">a vexatious litigant who has abused, and is likely to continue abusing the process of the </w:t>
      </w:r>
      <w:r w:rsidR="00F62C6E" w:rsidRPr="006F7E17">
        <w:rPr>
          <w:sz w:val="28"/>
          <w:szCs w:val="28"/>
        </w:rPr>
        <w:t>c</w:t>
      </w:r>
      <w:r w:rsidRPr="006F7E17">
        <w:rPr>
          <w:sz w:val="28"/>
          <w:szCs w:val="28"/>
        </w:rPr>
        <w:t xml:space="preserve">ourt.  </w:t>
      </w:r>
      <w:r w:rsidR="00F62C6E" w:rsidRPr="006F7E17">
        <w:rPr>
          <w:sz w:val="28"/>
          <w:szCs w:val="28"/>
        </w:rPr>
        <w:t>In my view, this action itself is a good example of how the co</w:t>
      </w:r>
      <w:r w:rsidRPr="006F7E17">
        <w:rPr>
          <w:sz w:val="28"/>
          <w:szCs w:val="28"/>
        </w:rPr>
        <w:t>urt’s process</w:t>
      </w:r>
      <w:r w:rsidR="00F62C6E" w:rsidRPr="006F7E17">
        <w:rPr>
          <w:sz w:val="28"/>
          <w:szCs w:val="28"/>
        </w:rPr>
        <w:t xml:space="preserve"> has been used and abused by the plaintiff</w:t>
      </w:r>
      <w:r w:rsidRPr="006F7E17">
        <w:rPr>
          <w:sz w:val="28"/>
          <w:szCs w:val="28"/>
        </w:rPr>
        <w:t>.</w:t>
      </w:r>
    </w:p>
    <w:p w:rsidR="000032FD" w:rsidRPr="006F7E17" w:rsidRDefault="00F62C6E" w:rsidP="000D0715">
      <w:pPr>
        <w:numPr>
          <w:ilvl w:val="0"/>
          <w:numId w:val="40"/>
        </w:numPr>
        <w:tabs>
          <w:tab w:val="left" w:pos="1440"/>
        </w:tabs>
        <w:spacing w:line="360" w:lineRule="auto"/>
        <w:ind w:left="0" w:firstLine="0"/>
        <w:jc w:val="both"/>
        <w:rPr>
          <w:sz w:val="28"/>
          <w:szCs w:val="28"/>
        </w:rPr>
      </w:pPr>
      <w:r w:rsidRPr="006F7E17">
        <w:rPr>
          <w:sz w:val="28"/>
          <w:szCs w:val="28"/>
        </w:rPr>
        <w:lastRenderedPageBreak/>
        <w:t>The defendant has f</w:t>
      </w:r>
      <w:r w:rsidR="000032FD" w:rsidRPr="006F7E17">
        <w:rPr>
          <w:sz w:val="28"/>
          <w:szCs w:val="28"/>
        </w:rPr>
        <w:t xml:space="preserve">urther </w:t>
      </w:r>
      <w:r w:rsidRPr="006F7E17">
        <w:rPr>
          <w:sz w:val="28"/>
          <w:szCs w:val="28"/>
        </w:rPr>
        <w:t xml:space="preserve">relied on </w:t>
      </w:r>
      <w:r w:rsidR="005E07D0">
        <w:rPr>
          <w:sz w:val="28"/>
          <w:szCs w:val="28"/>
        </w:rPr>
        <w:t>the following j</w:t>
      </w:r>
      <w:r w:rsidR="000032FD" w:rsidRPr="006F7E17">
        <w:rPr>
          <w:sz w:val="28"/>
          <w:szCs w:val="28"/>
        </w:rPr>
        <w:t>udgmen</w:t>
      </w:r>
      <w:r w:rsidR="00062151">
        <w:rPr>
          <w:sz w:val="28"/>
          <w:szCs w:val="28"/>
        </w:rPr>
        <w:t>ts previously handed down by different</w:t>
      </w:r>
      <w:r w:rsidR="000032FD" w:rsidRPr="006F7E17">
        <w:rPr>
          <w:sz w:val="28"/>
          <w:szCs w:val="28"/>
        </w:rPr>
        <w:t xml:space="preserve"> </w:t>
      </w:r>
      <w:proofErr w:type="gramStart"/>
      <w:r w:rsidR="00062151">
        <w:rPr>
          <w:sz w:val="28"/>
          <w:szCs w:val="28"/>
        </w:rPr>
        <w:t>c</w:t>
      </w:r>
      <w:r w:rsidR="000032FD" w:rsidRPr="006F7E17">
        <w:rPr>
          <w:sz w:val="28"/>
          <w:szCs w:val="28"/>
        </w:rPr>
        <w:t>ourts:-</w:t>
      </w:r>
      <w:proofErr w:type="gramEnd"/>
    </w:p>
    <w:p w:rsidR="000032FD" w:rsidRPr="006F7E17" w:rsidRDefault="000032FD" w:rsidP="006F7E17">
      <w:pPr>
        <w:pStyle w:val="ListParagraph"/>
        <w:tabs>
          <w:tab w:val="left" w:pos="1440"/>
        </w:tabs>
        <w:spacing w:line="360" w:lineRule="auto"/>
        <w:ind w:left="0"/>
        <w:jc w:val="both"/>
        <w:rPr>
          <w:sz w:val="28"/>
          <w:szCs w:val="28"/>
        </w:rPr>
      </w:pPr>
    </w:p>
    <w:p w:rsidR="000032FD" w:rsidRPr="006F7E17" w:rsidRDefault="000032FD" w:rsidP="00995736">
      <w:pPr>
        <w:pStyle w:val="ListParagraph"/>
        <w:numPr>
          <w:ilvl w:val="1"/>
          <w:numId w:val="50"/>
        </w:numPr>
        <w:tabs>
          <w:tab w:val="left" w:pos="2160"/>
        </w:tabs>
        <w:spacing w:line="360" w:lineRule="auto"/>
        <w:ind w:left="2160" w:hanging="720"/>
        <w:jc w:val="both"/>
        <w:rPr>
          <w:sz w:val="28"/>
          <w:szCs w:val="28"/>
        </w:rPr>
      </w:pPr>
      <w:r w:rsidRPr="006F7E17">
        <w:rPr>
          <w:sz w:val="28"/>
          <w:szCs w:val="28"/>
        </w:rPr>
        <w:t>In a Decision dated 24/2/2017 in CACV 138/2015</w:t>
      </w:r>
      <w:r w:rsidRPr="006F7E17">
        <w:rPr>
          <w:rStyle w:val="FootnoteReference"/>
          <w:sz w:val="28"/>
          <w:szCs w:val="28"/>
        </w:rPr>
        <w:footnoteReference w:id="7"/>
      </w:r>
      <w:r w:rsidRPr="006F7E17">
        <w:rPr>
          <w:sz w:val="28"/>
          <w:szCs w:val="28"/>
        </w:rPr>
        <w:t xml:space="preserve"> </w:t>
      </w:r>
      <w:r w:rsidRPr="006F7E17">
        <w:rPr>
          <w:b/>
          <w:sz w:val="28"/>
          <w:szCs w:val="28"/>
        </w:rPr>
        <w:t xml:space="preserve"> </w:t>
      </w:r>
      <w:r w:rsidRPr="006F7E17">
        <w:rPr>
          <w:sz w:val="28"/>
          <w:szCs w:val="28"/>
        </w:rPr>
        <w:t>(</w:t>
      </w:r>
      <w:r w:rsidR="0044170A">
        <w:rPr>
          <w:sz w:val="28"/>
          <w:szCs w:val="28"/>
        </w:rPr>
        <w:t>“</w:t>
      </w:r>
      <w:r w:rsidRPr="006F7E17">
        <w:rPr>
          <w:sz w:val="28"/>
          <w:szCs w:val="28"/>
        </w:rPr>
        <w:t xml:space="preserve">the </w:t>
      </w:r>
      <w:r w:rsidR="00F62C6E" w:rsidRPr="0044170A">
        <w:rPr>
          <w:sz w:val="28"/>
          <w:szCs w:val="28"/>
        </w:rPr>
        <w:t>CACV</w:t>
      </w:r>
      <w:r w:rsidRPr="0044170A">
        <w:rPr>
          <w:sz w:val="28"/>
          <w:szCs w:val="28"/>
        </w:rPr>
        <w:t xml:space="preserve"> Decision”</w:t>
      </w:r>
      <w:r w:rsidR="0044170A">
        <w:rPr>
          <w:sz w:val="28"/>
          <w:szCs w:val="28"/>
        </w:rPr>
        <w:t>), the CA found the plaintiff’s</w:t>
      </w:r>
      <w:r w:rsidRPr="006F7E17">
        <w:rPr>
          <w:sz w:val="28"/>
          <w:szCs w:val="28"/>
        </w:rPr>
        <w:t xml:space="preserve"> appeal against his bankruptcy order was </w:t>
      </w:r>
      <w:r w:rsidRPr="0044170A">
        <w:rPr>
          <w:sz w:val="28"/>
          <w:szCs w:val="28"/>
        </w:rPr>
        <w:t>“wholly unmeritorious” and is “an abuse of process, d</w:t>
      </w:r>
      <w:r w:rsidR="0044170A">
        <w:rPr>
          <w:sz w:val="28"/>
          <w:szCs w:val="28"/>
        </w:rPr>
        <w:t>eployed by [the plaintiff</w:t>
      </w:r>
      <w:r w:rsidRPr="0044170A">
        <w:rPr>
          <w:sz w:val="28"/>
          <w:szCs w:val="28"/>
        </w:rPr>
        <w:t>] to defy the Costs Order and to resist payment of the costs”.</w:t>
      </w:r>
      <w:r w:rsidRPr="006F7E17">
        <w:rPr>
          <w:sz w:val="28"/>
          <w:szCs w:val="28"/>
        </w:rPr>
        <w:t xml:space="preserve">  The CA awarded </w:t>
      </w:r>
      <w:r w:rsidRPr="0044170A">
        <w:rPr>
          <w:sz w:val="28"/>
          <w:szCs w:val="28"/>
        </w:rPr>
        <w:t>indemnity costs</w:t>
      </w:r>
      <w:r w:rsidR="0044170A">
        <w:rPr>
          <w:sz w:val="28"/>
          <w:szCs w:val="28"/>
        </w:rPr>
        <w:t xml:space="preserve"> against the plaintiff in that case</w:t>
      </w:r>
      <w:r w:rsidRPr="0044170A">
        <w:rPr>
          <w:sz w:val="28"/>
          <w:szCs w:val="28"/>
        </w:rPr>
        <w:t xml:space="preserve"> </w:t>
      </w:r>
      <w:r w:rsidRPr="006F7E17">
        <w:rPr>
          <w:sz w:val="28"/>
          <w:szCs w:val="28"/>
        </w:rPr>
        <w:t xml:space="preserve">(§36).  </w:t>
      </w:r>
    </w:p>
    <w:p w:rsidR="000032FD" w:rsidRPr="006F7E17" w:rsidRDefault="000032FD" w:rsidP="00995736">
      <w:pPr>
        <w:pStyle w:val="ListParagraph"/>
        <w:tabs>
          <w:tab w:val="left" w:pos="2160"/>
        </w:tabs>
        <w:spacing w:line="360" w:lineRule="auto"/>
        <w:ind w:left="2160" w:hanging="720"/>
        <w:jc w:val="both"/>
        <w:rPr>
          <w:sz w:val="28"/>
          <w:szCs w:val="28"/>
        </w:rPr>
      </w:pPr>
    </w:p>
    <w:p w:rsidR="000032FD" w:rsidRPr="006F7E17" w:rsidRDefault="005E07D0" w:rsidP="00995736">
      <w:pPr>
        <w:pStyle w:val="ListParagraph"/>
        <w:numPr>
          <w:ilvl w:val="1"/>
          <w:numId w:val="50"/>
        </w:numPr>
        <w:tabs>
          <w:tab w:val="left" w:pos="2160"/>
        </w:tabs>
        <w:spacing w:line="360" w:lineRule="auto"/>
        <w:ind w:left="2160" w:hanging="720"/>
        <w:jc w:val="both"/>
        <w:rPr>
          <w:sz w:val="28"/>
          <w:szCs w:val="28"/>
        </w:rPr>
      </w:pPr>
      <w:r>
        <w:rPr>
          <w:sz w:val="28"/>
          <w:szCs w:val="28"/>
        </w:rPr>
        <w:t>The plaintiff</w:t>
      </w:r>
      <w:r w:rsidR="000032FD" w:rsidRPr="006F7E17">
        <w:rPr>
          <w:sz w:val="28"/>
          <w:szCs w:val="28"/>
        </w:rPr>
        <w:t xml:space="preserve"> made two further (unmeritorious) applications for leave to appeal to the CFA against the </w:t>
      </w:r>
      <w:r w:rsidR="0044170A">
        <w:rPr>
          <w:sz w:val="28"/>
          <w:szCs w:val="28"/>
        </w:rPr>
        <w:t xml:space="preserve">CACV </w:t>
      </w:r>
      <w:r w:rsidR="000032FD" w:rsidRPr="006F7E17">
        <w:rPr>
          <w:sz w:val="28"/>
          <w:szCs w:val="28"/>
        </w:rPr>
        <w:t>Decision, both as to the CA’s dismissal of the appeal</w:t>
      </w:r>
      <w:r w:rsidR="000032FD" w:rsidRPr="006F7E17">
        <w:rPr>
          <w:rStyle w:val="FootnoteReference"/>
          <w:sz w:val="28"/>
          <w:szCs w:val="28"/>
        </w:rPr>
        <w:footnoteReference w:id="8"/>
      </w:r>
      <w:r w:rsidR="000032FD" w:rsidRPr="006F7E17">
        <w:rPr>
          <w:sz w:val="28"/>
          <w:szCs w:val="28"/>
        </w:rPr>
        <w:t xml:space="preserve"> and as to the costs order</w:t>
      </w:r>
      <w:r w:rsidR="000032FD" w:rsidRPr="006F7E17">
        <w:rPr>
          <w:rStyle w:val="FootnoteReference"/>
          <w:sz w:val="28"/>
          <w:szCs w:val="28"/>
        </w:rPr>
        <w:footnoteReference w:id="9"/>
      </w:r>
      <w:r w:rsidR="000032FD" w:rsidRPr="006F7E17">
        <w:rPr>
          <w:sz w:val="28"/>
          <w:szCs w:val="28"/>
        </w:rPr>
        <w:t xml:space="preserve">.  Both applications were dismissed.     </w:t>
      </w:r>
    </w:p>
    <w:p w:rsidR="000032FD" w:rsidRPr="006F7E17" w:rsidRDefault="000032FD" w:rsidP="00995736">
      <w:pPr>
        <w:pStyle w:val="ListParagraph"/>
        <w:tabs>
          <w:tab w:val="left" w:pos="2160"/>
        </w:tabs>
        <w:spacing w:line="360" w:lineRule="auto"/>
        <w:ind w:left="2160" w:hanging="720"/>
        <w:jc w:val="both"/>
        <w:rPr>
          <w:sz w:val="28"/>
          <w:szCs w:val="28"/>
        </w:rPr>
      </w:pPr>
    </w:p>
    <w:p w:rsidR="000032FD" w:rsidRPr="0044170A" w:rsidRDefault="000032FD" w:rsidP="00995736">
      <w:pPr>
        <w:pStyle w:val="ListParagraph"/>
        <w:numPr>
          <w:ilvl w:val="1"/>
          <w:numId w:val="50"/>
        </w:numPr>
        <w:tabs>
          <w:tab w:val="left" w:pos="2160"/>
        </w:tabs>
        <w:spacing w:line="360" w:lineRule="auto"/>
        <w:ind w:left="2160" w:hanging="720"/>
        <w:jc w:val="both"/>
        <w:rPr>
          <w:sz w:val="28"/>
          <w:szCs w:val="28"/>
        </w:rPr>
      </w:pPr>
      <w:r w:rsidRPr="006F7E17">
        <w:rPr>
          <w:sz w:val="28"/>
          <w:szCs w:val="28"/>
        </w:rPr>
        <w:t xml:space="preserve">In </w:t>
      </w:r>
      <w:r w:rsidR="005E07D0">
        <w:rPr>
          <w:sz w:val="28"/>
          <w:szCs w:val="28"/>
        </w:rPr>
        <w:t xml:space="preserve">a more recent Decision dated 22 June </w:t>
      </w:r>
      <w:r w:rsidRPr="006F7E17">
        <w:rPr>
          <w:sz w:val="28"/>
          <w:szCs w:val="28"/>
        </w:rPr>
        <w:t>2017 in CACV 25/2015</w:t>
      </w:r>
      <w:r w:rsidRPr="006F7E17">
        <w:rPr>
          <w:rStyle w:val="FootnoteReference"/>
          <w:sz w:val="28"/>
          <w:szCs w:val="28"/>
        </w:rPr>
        <w:footnoteReference w:id="10"/>
      </w:r>
      <w:r w:rsidRPr="006F7E17">
        <w:rPr>
          <w:sz w:val="28"/>
          <w:szCs w:val="28"/>
        </w:rPr>
        <w:t xml:space="preserve">, the CA observed that </w:t>
      </w:r>
      <w:r w:rsidR="0044170A">
        <w:rPr>
          <w:sz w:val="28"/>
          <w:szCs w:val="28"/>
        </w:rPr>
        <w:t xml:space="preserve">the </w:t>
      </w:r>
      <w:proofErr w:type="spellStart"/>
      <w:r w:rsidR="0044170A">
        <w:rPr>
          <w:sz w:val="28"/>
          <w:szCs w:val="28"/>
        </w:rPr>
        <w:t>plaitniff</w:t>
      </w:r>
      <w:r w:rsidRPr="006F7E17">
        <w:rPr>
          <w:sz w:val="28"/>
          <w:szCs w:val="28"/>
        </w:rPr>
        <w:t>’s</w:t>
      </w:r>
      <w:proofErr w:type="spellEnd"/>
      <w:r w:rsidRPr="006F7E17">
        <w:rPr>
          <w:sz w:val="28"/>
          <w:szCs w:val="28"/>
        </w:rPr>
        <w:t xml:space="preserve"> appeal against the Court’s dismissal of his application to set aside </w:t>
      </w:r>
      <w:r w:rsidR="0044170A">
        <w:rPr>
          <w:sz w:val="28"/>
          <w:szCs w:val="28"/>
        </w:rPr>
        <w:t>the defendant</w:t>
      </w:r>
      <w:r w:rsidRPr="006F7E17">
        <w:rPr>
          <w:sz w:val="28"/>
          <w:szCs w:val="28"/>
        </w:rPr>
        <w:t xml:space="preserve">’s statutory demand had </w:t>
      </w:r>
      <w:r w:rsidRPr="0044170A">
        <w:rPr>
          <w:sz w:val="28"/>
          <w:szCs w:val="28"/>
        </w:rPr>
        <w:t>“no merit whatsoever” and was “vexatious and an abuse of process”.  The CA proc</w:t>
      </w:r>
      <w:r w:rsidR="005E07D0">
        <w:rPr>
          <w:sz w:val="28"/>
          <w:szCs w:val="28"/>
        </w:rPr>
        <w:t>eeded to awarded costs against the plaintiff</w:t>
      </w:r>
      <w:r w:rsidRPr="0044170A">
        <w:rPr>
          <w:sz w:val="28"/>
          <w:szCs w:val="28"/>
        </w:rPr>
        <w:t xml:space="preserve"> on an indemnity basis (§§6-9).  </w:t>
      </w:r>
    </w:p>
    <w:p w:rsidR="000032FD" w:rsidRPr="006F7E17" w:rsidRDefault="000032FD" w:rsidP="00995736">
      <w:pPr>
        <w:pStyle w:val="ListParagraph"/>
        <w:tabs>
          <w:tab w:val="left" w:pos="2160"/>
        </w:tabs>
        <w:spacing w:line="360" w:lineRule="auto"/>
        <w:ind w:left="2160" w:hanging="720"/>
        <w:jc w:val="both"/>
        <w:rPr>
          <w:sz w:val="28"/>
          <w:szCs w:val="28"/>
        </w:rPr>
      </w:pPr>
    </w:p>
    <w:p w:rsidR="000032FD" w:rsidRPr="006F7E17" w:rsidRDefault="000032FD" w:rsidP="00995736">
      <w:pPr>
        <w:pStyle w:val="ListParagraph"/>
        <w:numPr>
          <w:ilvl w:val="1"/>
          <w:numId w:val="50"/>
        </w:numPr>
        <w:tabs>
          <w:tab w:val="left" w:pos="2160"/>
        </w:tabs>
        <w:spacing w:line="360" w:lineRule="auto"/>
        <w:ind w:left="2160" w:hanging="720"/>
        <w:jc w:val="both"/>
        <w:rPr>
          <w:sz w:val="28"/>
          <w:szCs w:val="28"/>
        </w:rPr>
      </w:pPr>
      <w:r w:rsidRPr="006F7E17">
        <w:rPr>
          <w:sz w:val="28"/>
          <w:szCs w:val="28"/>
        </w:rPr>
        <w:lastRenderedPageBreak/>
        <w:t xml:space="preserve">Further, a </w:t>
      </w:r>
      <w:r w:rsidR="005E07D0">
        <w:rPr>
          <w:sz w:val="28"/>
          <w:szCs w:val="28"/>
        </w:rPr>
        <w:t>(</w:t>
      </w:r>
      <w:r w:rsidRPr="006F7E17">
        <w:rPr>
          <w:sz w:val="28"/>
          <w:szCs w:val="28"/>
        </w:rPr>
        <w:t>non-exhaustive</w:t>
      </w:r>
      <w:r w:rsidR="005E07D0">
        <w:rPr>
          <w:sz w:val="28"/>
          <w:szCs w:val="28"/>
        </w:rPr>
        <w:t>)</w:t>
      </w:r>
      <w:r w:rsidRPr="006F7E17">
        <w:rPr>
          <w:sz w:val="28"/>
          <w:szCs w:val="28"/>
        </w:rPr>
        <w:t xml:space="preserve"> table of actions and applications bought by </w:t>
      </w:r>
      <w:r w:rsidR="00C93846">
        <w:rPr>
          <w:sz w:val="28"/>
          <w:szCs w:val="28"/>
        </w:rPr>
        <w:t xml:space="preserve">the plaintiff </w:t>
      </w:r>
      <w:r w:rsidRPr="006F7E17">
        <w:rPr>
          <w:sz w:val="28"/>
          <w:szCs w:val="28"/>
        </w:rPr>
        <w:t xml:space="preserve">against </w:t>
      </w:r>
      <w:r w:rsidR="00C93846">
        <w:rPr>
          <w:sz w:val="28"/>
          <w:szCs w:val="28"/>
        </w:rPr>
        <w:t xml:space="preserve">the defendant </w:t>
      </w:r>
      <w:r w:rsidRPr="006F7E17">
        <w:rPr>
          <w:sz w:val="28"/>
          <w:szCs w:val="28"/>
        </w:rPr>
        <w:t>since 2011</w:t>
      </w:r>
      <w:r w:rsidR="005E07D0">
        <w:rPr>
          <w:sz w:val="28"/>
          <w:szCs w:val="28"/>
        </w:rPr>
        <w:t xml:space="preserve"> is set out in an annex to the defendant counsel’s submission.</w:t>
      </w:r>
      <w:r w:rsidRPr="006F7E17">
        <w:rPr>
          <w:sz w:val="28"/>
          <w:szCs w:val="28"/>
        </w:rPr>
        <w:t xml:space="preserve"> </w:t>
      </w:r>
      <w:r w:rsidR="005E07D0">
        <w:rPr>
          <w:sz w:val="28"/>
          <w:szCs w:val="28"/>
        </w:rPr>
        <w:t xml:space="preserve">As can be seen from that table, the plaintiff has lost each and every </w:t>
      </w:r>
      <w:r w:rsidRPr="006F7E17">
        <w:rPr>
          <w:sz w:val="28"/>
          <w:szCs w:val="28"/>
        </w:rPr>
        <w:t xml:space="preserve">legal battle it has initiated against </w:t>
      </w:r>
      <w:r w:rsidR="00C93846">
        <w:rPr>
          <w:sz w:val="28"/>
          <w:szCs w:val="28"/>
        </w:rPr>
        <w:t>the defendant</w:t>
      </w:r>
      <w:r w:rsidRPr="006F7E17">
        <w:rPr>
          <w:sz w:val="28"/>
          <w:szCs w:val="28"/>
        </w:rPr>
        <w:t xml:space="preserve">.  </w:t>
      </w:r>
    </w:p>
    <w:p w:rsidR="000032FD" w:rsidRPr="006F7E17" w:rsidRDefault="000032FD" w:rsidP="006F7E17">
      <w:pPr>
        <w:pStyle w:val="ListParagraph"/>
        <w:tabs>
          <w:tab w:val="left" w:pos="1440"/>
        </w:tabs>
        <w:spacing w:line="360" w:lineRule="auto"/>
        <w:ind w:left="0"/>
        <w:jc w:val="both"/>
        <w:rPr>
          <w:sz w:val="28"/>
          <w:szCs w:val="28"/>
        </w:rPr>
      </w:pPr>
    </w:p>
    <w:p w:rsidR="000032FD" w:rsidRPr="006F7E17" w:rsidRDefault="0044170A" w:rsidP="00995736">
      <w:pPr>
        <w:numPr>
          <w:ilvl w:val="0"/>
          <w:numId w:val="40"/>
        </w:numPr>
        <w:tabs>
          <w:tab w:val="left" w:pos="1440"/>
        </w:tabs>
        <w:spacing w:line="360" w:lineRule="auto"/>
        <w:ind w:left="0" w:firstLine="0"/>
        <w:jc w:val="both"/>
        <w:rPr>
          <w:sz w:val="28"/>
          <w:szCs w:val="28"/>
        </w:rPr>
      </w:pPr>
      <w:r>
        <w:rPr>
          <w:sz w:val="28"/>
          <w:szCs w:val="28"/>
        </w:rPr>
        <w:t>Further, the plaintiff</w:t>
      </w:r>
      <w:r w:rsidR="000032FD" w:rsidRPr="006F7E17">
        <w:rPr>
          <w:sz w:val="28"/>
          <w:szCs w:val="28"/>
        </w:rPr>
        <w:t xml:space="preserve"> has made (and is continuing to make) wild </w:t>
      </w:r>
      <w:r w:rsidR="005E07D0">
        <w:rPr>
          <w:sz w:val="28"/>
          <w:szCs w:val="28"/>
        </w:rPr>
        <w:t xml:space="preserve">and </w:t>
      </w:r>
      <w:r w:rsidR="00975E65">
        <w:rPr>
          <w:sz w:val="28"/>
          <w:szCs w:val="28"/>
        </w:rPr>
        <w:t>unsubstantiated</w:t>
      </w:r>
      <w:r w:rsidR="00975E65" w:rsidRPr="006F7E17">
        <w:rPr>
          <w:sz w:val="28"/>
          <w:szCs w:val="28"/>
        </w:rPr>
        <w:t xml:space="preserve"> </w:t>
      </w:r>
      <w:r w:rsidR="000032FD" w:rsidRPr="006F7E17">
        <w:rPr>
          <w:sz w:val="28"/>
          <w:szCs w:val="28"/>
        </w:rPr>
        <w:t xml:space="preserve">allegations against both </w:t>
      </w:r>
      <w:r>
        <w:rPr>
          <w:sz w:val="28"/>
          <w:szCs w:val="28"/>
        </w:rPr>
        <w:t>j</w:t>
      </w:r>
      <w:r w:rsidR="000032FD" w:rsidRPr="006F7E17">
        <w:rPr>
          <w:sz w:val="28"/>
          <w:szCs w:val="28"/>
        </w:rPr>
        <w:t xml:space="preserve">udges and legal professionals alike, in </w:t>
      </w:r>
      <w:proofErr w:type="gramStart"/>
      <w:r w:rsidR="000032FD" w:rsidRPr="006F7E17">
        <w:rPr>
          <w:sz w:val="28"/>
          <w:szCs w:val="28"/>
        </w:rPr>
        <w:t>particular:-</w:t>
      </w:r>
      <w:proofErr w:type="gramEnd"/>
    </w:p>
    <w:p w:rsidR="000032FD" w:rsidRPr="006F7E17" w:rsidRDefault="000032FD" w:rsidP="006F7E17">
      <w:pPr>
        <w:pStyle w:val="ListParagraph"/>
        <w:tabs>
          <w:tab w:val="left" w:pos="1440"/>
        </w:tabs>
        <w:spacing w:line="360" w:lineRule="auto"/>
        <w:ind w:left="0"/>
        <w:jc w:val="both"/>
        <w:rPr>
          <w:sz w:val="28"/>
          <w:szCs w:val="28"/>
        </w:rPr>
      </w:pPr>
    </w:p>
    <w:p w:rsidR="000032FD" w:rsidRPr="006F7E17" w:rsidRDefault="00995736" w:rsidP="00995736">
      <w:pPr>
        <w:pStyle w:val="ListParagraph"/>
        <w:tabs>
          <w:tab w:val="left" w:pos="2160"/>
        </w:tabs>
        <w:spacing w:line="360" w:lineRule="auto"/>
        <w:ind w:left="2160" w:hanging="720"/>
        <w:jc w:val="both"/>
        <w:rPr>
          <w:sz w:val="28"/>
          <w:szCs w:val="28"/>
        </w:rPr>
      </w:pPr>
      <w:r>
        <w:rPr>
          <w:sz w:val="28"/>
          <w:szCs w:val="28"/>
        </w:rPr>
        <w:t>(a)</w:t>
      </w:r>
      <w:r>
        <w:rPr>
          <w:sz w:val="28"/>
          <w:szCs w:val="28"/>
        </w:rPr>
        <w:tab/>
      </w:r>
      <w:r w:rsidR="00350DCA">
        <w:rPr>
          <w:sz w:val="28"/>
          <w:szCs w:val="28"/>
        </w:rPr>
        <w:t xml:space="preserve">In the CACV </w:t>
      </w:r>
      <w:r w:rsidR="0044170A">
        <w:rPr>
          <w:sz w:val="28"/>
          <w:szCs w:val="28"/>
        </w:rPr>
        <w:t>Decision</w:t>
      </w:r>
      <w:r w:rsidR="000032FD" w:rsidRPr="006F7E17">
        <w:rPr>
          <w:sz w:val="28"/>
          <w:szCs w:val="28"/>
        </w:rPr>
        <w:t xml:space="preserve">, the CA recorded </w:t>
      </w:r>
      <w:r w:rsidR="0044170A">
        <w:rPr>
          <w:sz w:val="28"/>
          <w:szCs w:val="28"/>
        </w:rPr>
        <w:t>the plaintiff</w:t>
      </w:r>
      <w:r w:rsidR="000032FD" w:rsidRPr="006F7E17">
        <w:rPr>
          <w:sz w:val="28"/>
          <w:szCs w:val="28"/>
        </w:rPr>
        <w:t xml:space="preserve">’s serious allegation that Kwan JA had </w:t>
      </w:r>
      <w:r w:rsidR="000032FD" w:rsidRPr="0044170A">
        <w:rPr>
          <w:sz w:val="28"/>
          <w:szCs w:val="28"/>
        </w:rPr>
        <w:t>“maliciously and intentionally delayed in delivering judgment”</w:t>
      </w:r>
      <w:r w:rsidR="000032FD" w:rsidRPr="006F7E17">
        <w:rPr>
          <w:sz w:val="28"/>
          <w:szCs w:val="28"/>
        </w:rPr>
        <w:t xml:space="preserve"> in a related action.  Unsurprisingly, the CA found that there was </w:t>
      </w:r>
      <w:r w:rsidR="000032FD" w:rsidRPr="0044170A">
        <w:rPr>
          <w:sz w:val="28"/>
          <w:szCs w:val="28"/>
        </w:rPr>
        <w:t xml:space="preserve">“no substance whatsoever in this entirely groundless allegation” </w:t>
      </w:r>
      <w:r w:rsidR="0044170A">
        <w:rPr>
          <w:sz w:val="28"/>
          <w:szCs w:val="28"/>
        </w:rPr>
        <w:t>(§19)</w:t>
      </w:r>
      <w:r w:rsidR="000032FD" w:rsidRPr="006F7E17">
        <w:rPr>
          <w:sz w:val="28"/>
          <w:szCs w:val="28"/>
        </w:rPr>
        <w:t xml:space="preserve">.  </w:t>
      </w:r>
    </w:p>
    <w:p w:rsidR="000032FD" w:rsidRPr="006F7E17" w:rsidRDefault="000032FD" w:rsidP="00995736">
      <w:pPr>
        <w:pStyle w:val="ListParagraph"/>
        <w:tabs>
          <w:tab w:val="left" w:pos="2160"/>
        </w:tabs>
        <w:spacing w:line="360" w:lineRule="auto"/>
        <w:ind w:left="2160" w:hanging="720"/>
        <w:jc w:val="both"/>
        <w:rPr>
          <w:sz w:val="28"/>
          <w:szCs w:val="28"/>
        </w:rPr>
      </w:pPr>
    </w:p>
    <w:p w:rsidR="000032FD" w:rsidRPr="00995736" w:rsidRDefault="00995736" w:rsidP="00995736">
      <w:pPr>
        <w:tabs>
          <w:tab w:val="left" w:pos="2160"/>
        </w:tabs>
        <w:spacing w:line="360" w:lineRule="auto"/>
        <w:ind w:left="2160" w:hanging="720"/>
        <w:jc w:val="both"/>
        <w:rPr>
          <w:sz w:val="28"/>
          <w:szCs w:val="28"/>
        </w:rPr>
      </w:pPr>
      <w:r>
        <w:rPr>
          <w:sz w:val="28"/>
          <w:szCs w:val="28"/>
        </w:rPr>
        <w:t>(b)</w:t>
      </w:r>
      <w:r>
        <w:rPr>
          <w:sz w:val="28"/>
          <w:szCs w:val="28"/>
        </w:rPr>
        <w:tab/>
      </w:r>
      <w:r w:rsidR="000032FD" w:rsidRPr="00995736">
        <w:rPr>
          <w:sz w:val="28"/>
          <w:szCs w:val="28"/>
        </w:rPr>
        <w:t xml:space="preserve">By </w:t>
      </w:r>
      <w:r w:rsidR="004C12C5">
        <w:rPr>
          <w:sz w:val="28"/>
          <w:szCs w:val="28"/>
        </w:rPr>
        <w:t>the plaintiff’</w:t>
      </w:r>
      <w:r w:rsidR="000032FD" w:rsidRPr="00995736">
        <w:rPr>
          <w:sz w:val="28"/>
          <w:szCs w:val="28"/>
        </w:rPr>
        <w:t>s “Written Reply” dated 17</w:t>
      </w:r>
      <w:r w:rsidR="004C12C5">
        <w:rPr>
          <w:sz w:val="28"/>
          <w:szCs w:val="28"/>
        </w:rPr>
        <w:t xml:space="preserve"> August </w:t>
      </w:r>
      <w:r w:rsidR="000032FD" w:rsidRPr="00995736">
        <w:rPr>
          <w:sz w:val="28"/>
          <w:szCs w:val="28"/>
        </w:rPr>
        <w:t xml:space="preserve">2017, </w:t>
      </w:r>
      <w:r w:rsidR="004C12C5">
        <w:rPr>
          <w:sz w:val="28"/>
          <w:szCs w:val="28"/>
        </w:rPr>
        <w:t xml:space="preserve">he </w:t>
      </w:r>
      <w:r w:rsidR="000032FD" w:rsidRPr="00995736">
        <w:rPr>
          <w:sz w:val="28"/>
          <w:szCs w:val="28"/>
        </w:rPr>
        <w:t>appears to be suggesting that</w:t>
      </w:r>
      <w:r w:rsidR="004C12C5">
        <w:rPr>
          <w:sz w:val="28"/>
          <w:szCs w:val="28"/>
        </w:rPr>
        <w:t xml:space="preserve"> </w:t>
      </w:r>
      <w:proofErr w:type="spellStart"/>
      <w:r w:rsidR="004C12C5" w:rsidRPr="004C12C5">
        <w:rPr>
          <w:sz w:val="28"/>
          <w:szCs w:val="28"/>
        </w:rPr>
        <w:t>Mr</w:t>
      </w:r>
      <w:proofErr w:type="spellEnd"/>
      <w:r w:rsidR="004C12C5" w:rsidRPr="004C12C5">
        <w:rPr>
          <w:sz w:val="28"/>
          <w:szCs w:val="28"/>
        </w:rPr>
        <w:t xml:space="preserve"> </w:t>
      </w:r>
      <w:r w:rsidR="000032FD" w:rsidRPr="004C12C5">
        <w:rPr>
          <w:sz w:val="28"/>
          <w:szCs w:val="28"/>
        </w:rPr>
        <w:t xml:space="preserve">Vincent Lam of </w:t>
      </w:r>
      <w:r w:rsidR="004C12C5">
        <w:rPr>
          <w:sz w:val="28"/>
          <w:szCs w:val="28"/>
        </w:rPr>
        <w:t xml:space="preserve">the defendant’s </w:t>
      </w:r>
      <w:r w:rsidR="000032FD" w:rsidRPr="004C12C5">
        <w:rPr>
          <w:sz w:val="28"/>
          <w:szCs w:val="28"/>
        </w:rPr>
        <w:t>solicitors “was/is” the “son or relative” of Lam VP</w:t>
      </w:r>
      <w:r w:rsidR="000032FD" w:rsidRPr="00995736">
        <w:rPr>
          <w:sz w:val="28"/>
          <w:szCs w:val="28"/>
        </w:rPr>
        <w:t>, and that for this alleged relationship would somehow impact on whether his leave to appeal application would be granted</w:t>
      </w:r>
      <w:r w:rsidR="004C12C5">
        <w:rPr>
          <w:sz w:val="28"/>
          <w:szCs w:val="28"/>
        </w:rPr>
        <w:t>.</w:t>
      </w:r>
      <w:r w:rsidR="000032FD" w:rsidRPr="00995736">
        <w:rPr>
          <w:sz w:val="28"/>
          <w:szCs w:val="28"/>
        </w:rPr>
        <w:t xml:space="preserve">  </w:t>
      </w:r>
      <w:r w:rsidR="004C12C5">
        <w:rPr>
          <w:sz w:val="28"/>
          <w:szCs w:val="28"/>
        </w:rPr>
        <w:t>This of course is untrue.</w:t>
      </w:r>
    </w:p>
    <w:p w:rsidR="000032FD" w:rsidRPr="006F7E17" w:rsidRDefault="000032FD" w:rsidP="00995736">
      <w:pPr>
        <w:pStyle w:val="ListParagraph"/>
        <w:tabs>
          <w:tab w:val="left" w:pos="2160"/>
        </w:tabs>
        <w:spacing w:line="360" w:lineRule="auto"/>
        <w:ind w:left="2160" w:hanging="720"/>
        <w:jc w:val="both"/>
        <w:rPr>
          <w:sz w:val="28"/>
          <w:szCs w:val="28"/>
        </w:rPr>
      </w:pPr>
    </w:p>
    <w:p w:rsidR="000032FD" w:rsidRPr="00995736" w:rsidRDefault="00995736" w:rsidP="00995736">
      <w:pPr>
        <w:tabs>
          <w:tab w:val="left" w:pos="2160"/>
        </w:tabs>
        <w:spacing w:line="360" w:lineRule="auto"/>
        <w:ind w:left="2160" w:hanging="720"/>
        <w:jc w:val="both"/>
        <w:rPr>
          <w:sz w:val="28"/>
          <w:szCs w:val="28"/>
        </w:rPr>
      </w:pPr>
      <w:r>
        <w:rPr>
          <w:sz w:val="28"/>
          <w:szCs w:val="28"/>
        </w:rPr>
        <w:t>(c)</w:t>
      </w:r>
      <w:r>
        <w:rPr>
          <w:sz w:val="28"/>
          <w:szCs w:val="28"/>
        </w:rPr>
        <w:tab/>
      </w:r>
      <w:r w:rsidR="000032FD" w:rsidRPr="00995736">
        <w:rPr>
          <w:sz w:val="28"/>
          <w:szCs w:val="28"/>
        </w:rPr>
        <w:t xml:space="preserve">In the same document, </w:t>
      </w:r>
      <w:r w:rsidR="004C12C5">
        <w:rPr>
          <w:sz w:val="28"/>
          <w:szCs w:val="28"/>
        </w:rPr>
        <w:t xml:space="preserve">the plaintiff </w:t>
      </w:r>
      <w:r w:rsidR="000032FD" w:rsidRPr="00995736">
        <w:rPr>
          <w:sz w:val="28"/>
          <w:szCs w:val="28"/>
        </w:rPr>
        <w:t xml:space="preserve">makes the serious but unsubstantiated allegation that there was </w:t>
      </w:r>
      <w:r w:rsidR="003304B8">
        <w:rPr>
          <w:sz w:val="28"/>
          <w:szCs w:val="28"/>
        </w:rPr>
        <w:t xml:space="preserve">“certainly </w:t>
      </w:r>
      <w:r w:rsidR="003304B8">
        <w:rPr>
          <w:sz w:val="28"/>
          <w:szCs w:val="28"/>
        </w:rPr>
        <w:lastRenderedPageBreak/>
        <w:t>a private and</w:t>
      </w:r>
      <w:r w:rsidR="000032FD" w:rsidRPr="004C12C5">
        <w:rPr>
          <w:sz w:val="28"/>
          <w:szCs w:val="28"/>
        </w:rPr>
        <w:t xml:space="preserve"> secret communication between the court (a judge) and Mr. Vincent Lam [of </w:t>
      </w:r>
      <w:r w:rsidR="004C12C5">
        <w:rPr>
          <w:sz w:val="28"/>
          <w:szCs w:val="28"/>
        </w:rPr>
        <w:t>the defendant’s</w:t>
      </w:r>
      <w:r w:rsidR="000032FD" w:rsidRPr="004C12C5">
        <w:rPr>
          <w:sz w:val="28"/>
          <w:szCs w:val="28"/>
        </w:rPr>
        <w:t xml:space="preserve"> instructing solicitors] in secret without doubt”</w:t>
      </w:r>
      <w:r w:rsidR="004C12C5">
        <w:rPr>
          <w:rStyle w:val="FootnoteReference"/>
          <w:sz w:val="28"/>
          <w:szCs w:val="28"/>
        </w:rPr>
        <w:footnoteReference w:id="11"/>
      </w:r>
      <w:r w:rsidR="004C12C5">
        <w:rPr>
          <w:sz w:val="28"/>
          <w:szCs w:val="28"/>
        </w:rPr>
        <w:t>.</w:t>
      </w:r>
    </w:p>
    <w:p w:rsidR="000032FD" w:rsidRPr="006F7E17" w:rsidRDefault="000032FD" w:rsidP="006F7E17">
      <w:pPr>
        <w:pStyle w:val="ListParagraph"/>
        <w:tabs>
          <w:tab w:val="left" w:pos="1440"/>
        </w:tabs>
        <w:spacing w:line="360" w:lineRule="auto"/>
        <w:ind w:left="0"/>
        <w:jc w:val="both"/>
        <w:rPr>
          <w:sz w:val="28"/>
          <w:szCs w:val="28"/>
        </w:rPr>
      </w:pPr>
    </w:p>
    <w:p w:rsidR="00F62C6E" w:rsidRPr="006F7E17" w:rsidRDefault="00F62C6E" w:rsidP="00995736">
      <w:pPr>
        <w:numPr>
          <w:ilvl w:val="0"/>
          <w:numId w:val="40"/>
        </w:numPr>
        <w:tabs>
          <w:tab w:val="left" w:pos="1440"/>
        </w:tabs>
        <w:spacing w:line="360" w:lineRule="auto"/>
        <w:ind w:left="0" w:firstLine="0"/>
        <w:jc w:val="both"/>
        <w:rPr>
          <w:sz w:val="28"/>
          <w:szCs w:val="28"/>
        </w:rPr>
      </w:pPr>
      <w:r w:rsidRPr="006F7E17">
        <w:rPr>
          <w:sz w:val="28"/>
          <w:szCs w:val="28"/>
        </w:rPr>
        <w:t>Besides the above, while waiting for the handing down of this writt</w:t>
      </w:r>
      <w:r w:rsidR="00EB52BE">
        <w:rPr>
          <w:sz w:val="28"/>
          <w:szCs w:val="28"/>
        </w:rPr>
        <w:t>en decision after the hearing in January,</w:t>
      </w:r>
      <w:r w:rsidRPr="006F7E17">
        <w:rPr>
          <w:sz w:val="28"/>
          <w:szCs w:val="28"/>
        </w:rPr>
        <w:t xml:space="preserve"> the plaintiff</w:t>
      </w:r>
      <w:r w:rsidR="00EB52BE">
        <w:rPr>
          <w:sz w:val="28"/>
          <w:szCs w:val="28"/>
        </w:rPr>
        <w:t xml:space="preserve">’s wife has written 2 lengthy letters </w:t>
      </w:r>
      <w:r w:rsidR="00BE5E08">
        <w:rPr>
          <w:sz w:val="28"/>
          <w:szCs w:val="28"/>
        </w:rPr>
        <w:t>(with a</w:t>
      </w:r>
      <w:r w:rsidR="0056371E">
        <w:rPr>
          <w:sz w:val="28"/>
          <w:szCs w:val="28"/>
        </w:rPr>
        <w:t xml:space="preserve"> number of exhibits </w:t>
      </w:r>
      <w:proofErr w:type="spellStart"/>
      <w:r w:rsidR="007D4224">
        <w:rPr>
          <w:sz w:val="28"/>
          <w:szCs w:val="28"/>
        </w:rPr>
        <w:t>totalled</w:t>
      </w:r>
      <w:proofErr w:type="spellEnd"/>
      <w:r w:rsidR="007D4224">
        <w:rPr>
          <w:sz w:val="28"/>
          <w:szCs w:val="28"/>
        </w:rPr>
        <w:t xml:space="preserve"> </w:t>
      </w:r>
      <w:r w:rsidR="00BE5E08">
        <w:rPr>
          <w:sz w:val="28"/>
          <w:szCs w:val="28"/>
        </w:rPr>
        <w:t>over 11</w:t>
      </w:r>
      <w:r w:rsidR="0056371E">
        <w:rPr>
          <w:sz w:val="28"/>
          <w:szCs w:val="28"/>
        </w:rPr>
        <w:t xml:space="preserve">0 pages) </w:t>
      </w:r>
      <w:r w:rsidR="00EB52BE">
        <w:rPr>
          <w:sz w:val="28"/>
          <w:szCs w:val="28"/>
        </w:rPr>
        <w:t xml:space="preserve">to The Hon </w:t>
      </w:r>
      <w:proofErr w:type="spellStart"/>
      <w:r w:rsidR="00EB52BE">
        <w:rPr>
          <w:sz w:val="28"/>
          <w:szCs w:val="28"/>
        </w:rPr>
        <w:t>Mr</w:t>
      </w:r>
      <w:proofErr w:type="spellEnd"/>
      <w:r w:rsidR="00EB52BE">
        <w:rPr>
          <w:sz w:val="28"/>
          <w:szCs w:val="28"/>
        </w:rPr>
        <w:t xml:space="preserve"> Justice Tang PJ </w:t>
      </w:r>
      <w:r w:rsidR="0056371E">
        <w:rPr>
          <w:sz w:val="28"/>
          <w:szCs w:val="28"/>
        </w:rPr>
        <w:t>of the CFA</w:t>
      </w:r>
      <w:r w:rsidR="007D4224">
        <w:rPr>
          <w:sz w:val="28"/>
          <w:szCs w:val="28"/>
        </w:rPr>
        <w:t>,</w:t>
      </w:r>
      <w:r w:rsidR="0056371E">
        <w:rPr>
          <w:sz w:val="28"/>
          <w:szCs w:val="28"/>
        </w:rPr>
        <w:t xml:space="preserve"> </w:t>
      </w:r>
      <w:r w:rsidR="00EB52BE">
        <w:rPr>
          <w:sz w:val="28"/>
          <w:szCs w:val="28"/>
        </w:rPr>
        <w:t>with copies to various judges at different levels</w:t>
      </w:r>
      <w:r w:rsidR="0056371E">
        <w:rPr>
          <w:sz w:val="28"/>
          <w:szCs w:val="28"/>
        </w:rPr>
        <w:t>,</w:t>
      </w:r>
      <w:r w:rsidR="00EB52BE">
        <w:rPr>
          <w:sz w:val="28"/>
          <w:szCs w:val="28"/>
        </w:rPr>
        <w:t xml:space="preserve"> including </w:t>
      </w:r>
      <w:r w:rsidR="0056371E">
        <w:rPr>
          <w:sz w:val="28"/>
          <w:szCs w:val="28"/>
        </w:rPr>
        <w:t xml:space="preserve">a copy to </w:t>
      </w:r>
      <w:r w:rsidR="00EB52BE">
        <w:rPr>
          <w:sz w:val="28"/>
          <w:szCs w:val="28"/>
        </w:rPr>
        <w:t xml:space="preserve">this court.  They consisted of further </w:t>
      </w:r>
      <w:r w:rsidR="004C12C5">
        <w:rPr>
          <w:sz w:val="28"/>
          <w:szCs w:val="28"/>
        </w:rPr>
        <w:t>unsubstantiated</w:t>
      </w:r>
      <w:r w:rsidR="00EB52BE">
        <w:rPr>
          <w:sz w:val="28"/>
          <w:szCs w:val="28"/>
        </w:rPr>
        <w:t xml:space="preserve"> and sometimes incomprehensible allegations made against </w:t>
      </w:r>
      <w:r w:rsidR="0056371E">
        <w:rPr>
          <w:sz w:val="28"/>
          <w:szCs w:val="28"/>
        </w:rPr>
        <w:t>various judges</w:t>
      </w:r>
      <w:r w:rsidR="007D4224">
        <w:rPr>
          <w:sz w:val="28"/>
          <w:szCs w:val="28"/>
        </w:rPr>
        <w:t>,</w:t>
      </w:r>
      <w:r w:rsidR="0056371E">
        <w:rPr>
          <w:sz w:val="28"/>
          <w:szCs w:val="28"/>
        </w:rPr>
        <w:t xml:space="preserve"> the solicitors and </w:t>
      </w:r>
      <w:r w:rsidR="004C12C5">
        <w:rPr>
          <w:sz w:val="28"/>
          <w:szCs w:val="28"/>
        </w:rPr>
        <w:t xml:space="preserve">the </w:t>
      </w:r>
      <w:r w:rsidR="0056371E">
        <w:rPr>
          <w:sz w:val="28"/>
          <w:szCs w:val="28"/>
        </w:rPr>
        <w:t>counsel representing the defendant</w:t>
      </w:r>
      <w:r w:rsidR="00F92D7A">
        <w:rPr>
          <w:sz w:val="28"/>
          <w:szCs w:val="28"/>
        </w:rPr>
        <w:t xml:space="preserve"> in this case</w:t>
      </w:r>
      <w:r w:rsidR="0056371E">
        <w:rPr>
          <w:sz w:val="28"/>
          <w:szCs w:val="28"/>
        </w:rPr>
        <w:t xml:space="preserve">.  </w:t>
      </w:r>
    </w:p>
    <w:p w:rsidR="00F62C6E" w:rsidRPr="006F7E17" w:rsidRDefault="00F62C6E" w:rsidP="006F7E17">
      <w:pPr>
        <w:pStyle w:val="ListParagraph"/>
        <w:tabs>
          <w:tab w:val="left" w:pos="1440"/>
        </w:tabs>
        <w:spacing w:line="360" w:lineRule="auto"/>
        <w:ind w:left="0"/>
        <w:jc w:val="both"/>
        <w:rPr>
          <w:sz w:val="28"/>
          <w:szCs w:val="28"/>
        </w:rPr>
      </w:pPr>
    </w:p>
    <w:p w:rsidR="000032FD" w:rsidRPr="006F7E17" w:rsidRDefault="004C12C5" w:rsidP="00995736">
      <w:pPr>
        <w:numPr>
          <w:ilvl w:val="0"/>
          <w:numId w:val="40"/>
        </w:numPr>
        <w:tabs>
          <w:tab w:val="left" w:pos="1440"/>
        </w:tabs>
        <w:spacing w:line="360" w:lineRule="auto"/>
        <w:ind w:left="0" w:firstLine="0"/>
        <w:jc w:val="both"/>
        <w:rPr>
          <w:sz w:val="28"/>
          <w:szCs w:val="28"/>
        </w:rPr>
      </w:pPr>
      <w:r>
        <w:rPr>
          <w:sz w:val="28"/>
          <w:szCs w:val="28"/>
        </w:rPr>
        <w:t xml:space="preserve">Perhaps </w:t>
      </w:r>
      <w:r w:rsidR="007D4224">
        <w:rPr>
          <w:sz w:val="28"/>
          <w:szCs w:val="28"/>
        </w:rPr>
        <w:t xml:space="preserve">the plaintiff’s </w:t>
      </w:r>
      <w:r w:rsidR="000032FD" w:rsidRPr="006F7E17">
        <w:rPr>
          <w:sz w:val="28"/>
          <w:szCs w:val="28"/>
        </w:rPr>
        <w:t xml:space="preserve">letter to </w:t>
      </w:r>
      <w:r w:rsidR="007D4224">
        <w:rPr>
          <w:sz w:val="28"/>
          <w:szCs w:val="28"/>
        </w:rPr>
        <w:t>the defenda</w:t>
      </w:r>
      <w:r>
        <w:rPr>
          <w:sz w:val="28"/>
          <w:szCs w:val="28"/>
        </w:rPr>
        <w:t>n</w:t>
      </w:r>
      <w:r w:rsidR="007D4224">
        <w:rPr>
          <w:sz w:val="28"/>
          <w:szCs w:val="28"/>
        </w:rPr>
        <w:t xml:space="preserve">t’s </w:t>
      </w:r>
      <w:r w:rsidR="000032FD" w:rsidRPr="006F7E17">
        <w:rPr>
          <w:sz w:val="28"/>
          <w:szCs w:val="28"/>
        </w:rPr>
        <w:t>solicitors dated 26</w:t>
      </w:r>
      <w:r w:rsidR="007D4224">
        <w:rPr>
          <w:sz w:val="28"/>
          <w:szCs w:val="28"/>
        </w:rPr>
        <w:t xml:space="preserve"> May </w:t>
      </w:r>
      <w:r w:rsidR="000032FD" w:rsidRPr="006F7E17">
        <w:rPr>
          <w:sz w:val="28"/>
          <w:szCs w:val="28"/>
        </w:rPr>
        <w:t>2017</w:t>
      </w:r>
      <w:r>
        <w:rPr>
          <w:sz w:val="28"/>
          <w:szCs w:val="28"/>
        </w:rPr>
        <w:t xml:space="preserve"> can </w:t>
      </w:r>
      <w:r w:rsidR="004569D3">
        <w:rPr>
          <w:sz w:val="28"/>
          <w:szCs w:val="28"/>
        </w:rPr>
        <w:t>explain his mentality well.  In this letter,</w:t>
      </w:r>
      <w:r w:rsidR="000032FD" w:rsidRPr="006F7E17">
        <w:rPr>
          <w:sz w:val="28"/>
          <w:szCs w:val="28"/>
        </w:rPr>
        <w:t xml:space="preserve"> </w:t>
      </w:r>
      <w:r w:rsidR="007D4224">
        <w:rPr>
          <w:sz w:val="28"/>
          <w:szCs w:val="28"/>
        </w:rPr>
        <w:t xml:space="preserve">he has </w:t>
      </w:r>
      <w:r w:rsidR="000032FD" w:rsidRPr="006F7E17">
        <w:rPr>
          <w:sz w:val="28"/>
          <w:szCs w:val="28"/>
        </w:rPr>
        <w:t xml:space="preserve">made it clear that he would continue to pursue his appeals all the way </w:t>
      </w:r>
      <w:r w:rsidR="000032FD" w:rsidRPr="007D4224">
        <w:rPr>
          <w:sz w:val="28"/>
          <w:szCs w:val="28"/>
        </w:rPr>
        <w:t>up to the CFA</w:t>
      </w:r>
      <w:r w:rsidR="000032FD" w:rsidRPr="006F7E17">
        <w:rPr>
          <w:sz w:val="28"/>
          <w:szCs w:val="28"/>
        </w:rPr>
        <w:t xml:space="preserve">.  In his own </w:t>
      </w:r>
      <w:proofErr w:type="gramStart"/>
      <w:r w:rsidR="000032FD" w:rsidRPr="006F7E17">
        <w:rPr>
          <w:sz w:val="28"/>
          <w:szCs w:val="28"/>
        </w:rPr>
        <w:t>words:-</w:t>
      </w:r>
      <w:proofErr w:type="gramEnd"/>
    </w:p>
    <w:p w:rsidR="000032FD" w:rsidRPr="006F7E17" w:rsidRDefault="000032FD" w:rsidP="006F7E17">
      <w:pPr>
        <w:pStyle w:val="ListParagraph"/>
        <w:tabs>
          <w:tab w:val="left" w:pos="1440"/>
        </w:tabs>
        <w:spacing w:line="360" w:lineRule="auto"/>
        <w:ind w:left="0"/>
        <w:jc w:val="both"/>
        <w:rPr>
          <w:sz w:val="28"/>
          <w:szCs w:val="28"/>
        </w:rPr>
      </w:pPr>
    </w:p>
    <w:p w:rsidR="000032FD" w:rsidRPr="007D4224" w:rsidRDefault="000032FD" w:rsidP="00995736">
      <w:pPr>
        <w:pStyle w:val="ListParagraph"/>
        <w:tabs>
          <w:tab w:val="left" w:pos="1440"/>
        </w:tabs>
        <w:ind w:left="1440" w:right="747"/>
        <w:jc w:val="both"/>
      </w:pPr>
      <w:r w:rsidRPr="007D4224">
        <w:t>“I have nothing to lose since I am a bankrupt by having over HK$1.2 Million as my unsecured liabilities vested with my trustees while I am unemployed and having no other assets at all.”</w:t>
      </w:r>
      <w:r w:rsidR="007D4224">
        <w:rPr>
          <w:rStyle w:val="FootnoteReference"/>
        </w:rPr>
        <w:footnoteReference w:id="12"/>
      </w:r>
    </w:p>
    <w:p w:rsidR="000032FD" w:rsidRPr="006F7E17" w:rsidRDefault="000032FD" w:rsidP="006F7E17">
      <w:pPr>
        <w:pStyle w:val="ListParagraph"/>
        <w:tabs>
          <w:tab w:val="left" w:pos="1440"/>
        </w:tabs>
        <w:spacing w:line="360" w:lineRule="auto"/>
        <w:ind w:left="0"/>
        <w:jc w:val="both"/>
        <w:rPr>
          <w:sz w:val="28"/>
          <w:szCs w:val="28"/>
        </w:rPr>
      </w:pPr>
    </w:p>
    <w:p w:rsidR="006572D8" w:rsidRDefault="006572D8" w:rsidP="00995736">
      <w:pPr>
        <w:numPr>
          <w:ilvl w:val="0"/>
          <w:numId w:val="40"/>
        </w:numPr>
        <w:tabs>
          <w:tab w:val="left" w:pos="1440"/>
        </w:tabs>
        <w:spacing w:line="360" w:lineRule="auto"/>
        <w:ind w:left="0" w:firstLine="0"/>
        <w:jc w:val="both"/>
        <w:rPr>
          <w:sz w:val="28"/>
          <w:szCs w:val="28"/>
        </w:rPr>
      </w:pPr>
      <w:r>
        <w:rPr>
          <w:sz w:val="28"/>
          <w:szCs w:val="28"/>
        </w:rPr>
        <w:t>Thus, it is clear to me that the plaintiff is a vexatious litig</w:t>
      </w:r>
      <w:r w:rsidR="003304B8">
        <w:rPr>
          <w:sz w:val="28"/>
          <w:szCs w:val="28"/>
        </w:rPr>
        <w:t>ant who, unless prohibited by the</w:t>
      </w:r>
      <w:r>
        <w:rPr>
          <w:sz w:val="28"/>
          <w:szCs w:val="28"/>
        </w:rPr>
        <w:t xml:space="preserve"> RPO, will continue to issue such unmeritorious claims and</w:t>
      </w:r>
      <w:r w:rsidR="004C12C5">
        <w:rPr>
          <w:sz w:val="28"/>
          <w:szCs w:val="28"/>
        </w:rPr>
        <w:t xml:space="preserve"> unsolicited letters.</w:t>
      </w:r>
      <w:r w:rsidR="004569D3">
        <w:rPr>
          <w:sz w:val="28"/>
          <w:szCs w:val="28"/>
        </w:rPr>
        <w:t xml:space="preserve">  </w:t>
      </w:r>
    </w:p>
    <w:p w:rsidR="00350DCA" w:rsidRDefault="00350DCA" w:rsidP="00350DCA">
      <w:pPr>
        <w:tabs>
          <w:tab w:val="left" w:pos="1440"/>
        </w:tabs>
        <w:spacing w:line="360" w:lineRule="auto"/>
        <w:jc w:val="both"/>
        <w:rPr>
          <w:sz w:val="28"/>
          <w:szCs w:val="28"/>
        </w:rPr>
      </w:pPr>
    </w:p>
    <w:p w:rsidR="00350DCA" w:rsidRDefault="00350DCA" w:rsidP="00995736">
      <w:pPr>
        <w:numPr>
          <w:ilvl w:val="0"/>
          <w:numId w:val="40"/>
        </w:numPr>
        <w:tabs>
          <w:tab w:val="left" w:pos="1440"/>
        </w:tabs>
        <w:spacing w:line="360" w:lineRule="auto"/>
        <w:ind w:left="0" w:firstLine="0"/>
        <w:jc w:val="both"/>
        <w:rPr>
          <w:sz w:val="28"/>
          <w:szCs w:val="28"/>
        </w:rPr>
      </w:pPr>
      <w:r>
        <w:rPr>
          <w:sz w:val="28"/>
          <w:szCs w:val="28"/>
        </w:rPr>
        <w:lastRenderedPageBreak/>
        <w:t xml:space="preserve">Further, unless a RPO is issued, I expect that such conduct and behavior of the plaintiff and his wife will continue and much of the limited judicial resources will be wasted to entertain the plaintiff and his wife’s unrelenting campaign against the defendant. </w:t>
      </w:r>
      <w:r w:rsidRPr="006F7E17">
        <w:rPr>
          <w:sz w:val="28"/>
          <w:szCs w:val="28"/>
        </w:rPr>
        <w:t xml:space="preserve"> </w:t>
      </w:r>
    </w:p>
    <w:p w:rsidR="006572D8" w:rsidRDefault="006572D8" w:rsidP="006572D8">
      <w:pPr>
        <w:tabs>
          <w:tab w:val="left" w:pos="1440"/>
        </w:tabs>
        <w:spacing w:line="360" w:lineRule="auto"/>
        <w:jc w:val="both"/>
        <w:rPr>
          <w:sz w:val="28"/>
          <w:szCs w:val="28"/>
        </w:rPr>
      </w:pPr>
      <w:r>
        <w:rPr>
          <w:sz w:val="28"/>
          <w:szCs w:val="28"/>
        </w:rPr>
        <w:t xml:space="preserve"> </w:t>
      </w:r>
    </w:p>
    <w:p w:rsidR="004569D3" w:rsidRDefault="004569D3" w:rsidP="004569D3">
      <w:pPr>
        <w:numPr>
          <w:ilvl w:val="0"/>
          <w:numId w:val="40"/>
        </w:numPr>
        <w:tabs>
          <w:tab w:val="left" w:pos="1440"/>
        </w:tabs>
        <w:spacing w:line="360" w:lineRule="auto"/>
        <w:ind w:left="0" w:firstLine="0"/>
        <w:jc w:val="both"/>
        <w:rPr>
          <w:sz w:val="28"/>
          <w:szCs w:val="28"/>
        </w:rPr>
      </w:pPr>
      <w:r>
        <w:rPr>
          <w:sz w:val="28"/>
          <w:szCs w:val="28"/>
        </w:rPr>
        <w:t xml:space="preserve">The only remaining question left is to </w:t>
      </w:r>
      <w:r w:rsidR="000032FD" w:rsidRPr="004569D3">
        <w:rPr>
          <w:sz w:val="28"/>
          <w:szCs w:val="28"/>
        </w:rPr>
        <w:t xml:space="preserve">determine the class of actions to be prohibited under the RPO.  </w:t>
      </w:r>
    </w:p>
    <w:p w:rsidR="004569D3" w:rsidRDefault="004569D3" w:rsidP="004569D3">
      <w:pPr>
        <w:pStyle w:val="ListParagraph"/>
        <w:rPr>
          <w:sz w:val="28"/>
          <w:szCs w:val="28"/>
        </w:rPr>
      </w:pPr>
    </w:p>
    <w:p w:rsidR="000032FD" w:rsidRPr="004569D3" w:rsidRDefault="004569D3" w:rsidP="004569D3">
      <w:pPr>
        <w:numPr>
          <w:ilvl w:val="0"/>
          <w:numId w:val="40"/>
        </w:numPr>
        <w:tabs>
          <w:tab w:val="left" w:pos="1440"/>
        </w:tabs>
        <w:spacing w:line="360" w:lineRule="auto"/>
        <w:ind w:left="0" w:firstLine="0"/>
        <w:jc w:val="both"/>
        <w:rPr>
          <w:sz w:val="28"/>
          <w:szCs w:val="28"/>
        </w:rPr>
      </w:pPr>
      <w:r>
        <w:rPr>
          <w:sz w:val="28"/>
          <w:szCs w:val="28"/>
        </w:rPr>
        <w:t>I accept the defendant’s submissions that t</w:t>
      </w:r>
      <w:r w:rsidR="000032FD" w:rsidRPr="004569D3">
        <w:rPr>
          <w:sz w:val="28"/>
          <w:szCs w:val="28"/>
        </w:rPr>
        <w:t>he RPO ought to prohibit the commencement of any fresh proceedings in the District Court, concerning any matters involving or relating to or touching upon or leading to the proceedings herein and the proceedings in LBTC</w:t>
      </w:r>
      <w:r>
        <w:rPr>
          <w:sz w:val="28"/>
          <w:szCs w:val="28"/>
        </w:rPr>
        <w:t xml:space="preserve"> </w:t>
      </w:r>
      <w:r w:rsidR="000032FD" w:rsidRPr="004569D3">
        <w:rPr>
          <w:sz w:val="28"/>
          <w:szCs w:val="28"/>
        </w:rPr>
        <w:t>588</w:t>
      </w:r>
      <w:r w:rsidR="00350DCA">
        <w:rPr>
          <w:sz w:val="28"/>
          <w:szCs w:val="28"/>
        </w:rPr>
        <w:t>/</w:t>
      </w:r>
      <w:r>
        <w:rPr>
          <w:sz w:val="28"/>
          <w:szCs w:val="28"/>
        </w:rPr>
        <w:t xml:space="preserve"> </w:t>
      </w:r>
      <w:r w:rsidR="000032FD" w:rsidRPr="004569D3">
        <w:rPr>
          <w:sz w:val="28"/>
          <w:szCs w:val="28"/>
        </w:rPr>
        <w:t>2011, HCA</w:t>
      </w:r>
      <w:r w:rsidR="00350DCA">
        <w:rPr>
          <w:sz w:val="28"/>
          <w:szCs w:val="28"/>
        </w:rPr>
        <w:t xml:space="preserve"> 2045/</w:t>
      </w:r>
      <w:r>
        <w:rPr>
          <w:sz w:val="28"/>
          <w:szCs w:val="28"/>
        </w:rPr>
        <w:t xml:space="preserve"> </w:t>
      </w:r>
      <w:r w:rsidR="000032FD" w:rsidRPr="004569D3">
        <w:rPr>
          <w:sz w:val="28"/>
          <w:szCs w:val="28"/>
        </w:rPr>
        <w:t>2012 and DCCJ</w:t>
      </w:r>
      <w:r>
        <w:rPr>
          <w:sz w:val="28"/>
          <w:szCs w:val="28"/>
        </w:rPr>
        <w:t xml:space="preserve"> </w:t>
      </w:r>
      <w:r w:rsidR="000032FD" w:rsidRPr="004569D3">
        <w:rPr>
          <w:sz w:val="28"/>
          <w:szCs w:val="28"/>
        </w:rPr>
        <w:t>4962</w:t>
      </w:r>
      <w:r w:rsidR="00350DCA">
        <w:rPr>
          <w:sz w:val="28"/>
          <w:szCs w:val="28"/>
        </w:rPr>
        <w:t>/</w:t>
      </w:r>
      <w:r>
        <w:rPr>
          <w:sz w:val="28"/>
          <w:szCs w:val="28"/>
        </w:rPr>
        <w:t xml:space="preserve"> </w:t>
      </w:r>
      <w:r w:rsidR="000032FD" w:rsidRPr="004569D3">
        <w:rPr>
          <w:sz w:val="28"/>
          <w:szCs w:val="28"/>
        </w:rPr>
        <w:t xml:space="preserve">2014.  </w:t>
      </w:r>
      <w:r>
        <w:rPr>
          <w:sz w:val="28"/>
          <w:szCs w:val="28"/>
        </w:rPr>
        <w:t xml:space="preserve">I agree with </w:t>
      </w:r>
      <w:proofErr w:type="spellStart"/>
      <w:r>
        <w:rPr>
          <w:sz w:val="28"/>
          <w:szCs w:val="28"/>
        </w:rPr>
        <w:t>Mr</w:t>
      </w:r>
      <w:proofErr w:type="spellEnd"/>
      <w:r>
        <w:rPr>
          <w:sz w:val="28"/>
          <w:szCs w:val="28"/>
        </w:rPr>
        <w:t xml:space="preserve"> </w:t>
      </w:r>
      <w:proofErr w:type="spellStart"/>
      <w:r>
        <w:rPr>
          <w:sz w:val="28"/>
          <w:szCs w:val="28"/>
        </w:rPr>
        <w:t>Ko</w:t>
      </w:r>
      <w:r w:rsidR="003304B8">
        <w:rPr>
          <w:sz w:val="28"/>
          <w:szCs w:val="28"/>
        </w:rPr>
        <w:t>k</w:t>
      </w:r>
      <w:proofErr w:type="spellEnd"/>
      <w:r>
        <w:rPr>
          <w:sz w:val="28"/>
          <w:szCs w:val="28"/>
        </w:rPr>
        <w:t xml:space="preserve"> that t</w:t>
      </w:r>
      <w:r w:rsidR="000032FD" w:rsidRPr="004569D3">
        <w:rPr>
          <w:sz w:val="28"/>
          <w:szCs w:val="28"/>
        </w:rPr>
        <w:t xml:space="preserve">his class of actions is properly and proportionately defined, in light of the basis of the RPO to “restrain the vexatious litigant from abusing the court’s process by re-litigating in fresh proceedings, without viable legal grounds, matters which have already been determined by the court”: </w:t>
      </w:r>
      <w:r w:rsidR="000032FD" w:rsidRPr="004569D3">
        <w:rPr>
          <w:i/>
          <w:sz w:val="28"/>
          <w:szCs w:val="28"/>
        </w:rPr>
        <w:t xml:space="preserve">Wong Yu Cho </w:t>
      </w:r>
      <w:proofErr w:type="spellStart"/>
      <w:r w:rsidR="000032FD" w:rsidRPr="004569D3">
        <w:rPr>
          <w:i/>
          <w:sz w:val="28"/>
          <w:szCs w:val="28"/>
        </w:rPr>
        <w:t>Rolly</w:t>
      </w:r>
      <w:proofErr w:type="spellEnd"/>
      <w:r w:rsidR="008B3B69">
        <w:rPr>
          <w:i/>
          <w:sz w:val="28"/>
          <w:szCs w:val="28"/>
        </w:rPr>
        <w:t>,</w:t>
      </w:r>
      <w:r w:rsidR="000032FD" w:rsidRPr="004569D3">
        <w:rPr>
          <w:sz w:val="28"/>
          <w:szCs w:val="28"/>
        </w:rPr>
        <w:t xml:space="preserve"> </w:t>
      </w:r>
      <w:r w:rsidR="000032FD" w:rsidRPr="004569D3">
        <w:rPr>
          <w:i/>
          <w:sz w:val="28"/>
          <w:szCs w:val="28"/>
        </w:rPr>
        <w:t>supra</w:t>
      </w:r>
      <w:r w:rsidR="008B3B69">
        <w:rPr>
          <w:i/>
          <w:sz w:val="28"/>
          <w:szCs w:val="28"/>
        </w:rPr>
        <w:t>,</w:t>
      </w:r>
      <w:r w:rsidR="000032FD" w:rsidRPr="004569D3">
        <w:rPr>
          <w:sz w:val="28"/>
          <w:szCs w:val="28"/>
        </w:rPr>
        <w:t xml:space="preserve"> at §35.</w:t>
      </w:r>
    </w:p>
    <w:p w:rsidR="000032FD" w:rsidRPr="006F7E17" w:rsidRDefault="000032FD" w:rsidP="006F7E17">
      <w:pPr>
        <w:pStyle w:val="ListParagraph"/>
        <w:tabs>
          <w:tab w:val="left" w:pos="1440"/>
        </w:tabs>
        <w:spacing w:line="360" w:lineRule="auto"/>
        <w:ind w:left="0"/>
        <w:jc w:val="both"/>
        <w:rPr>
          <w:sz w:val="28"/>
          <w:szCs w:val="28"/>
        </w:rPr>
      </w:pPr>
    </w:p>
    <w:p w:rsidR="000032FD" w:rsidRPr="006F7E17" w:rsidRDefault="000032FD" w:rsidP="00995736">
      <w:pPr>
        <w:numPr>
          <w:ilvl w:val="0"/>
          <w:numId w:val="40"/>
        </w:numPr>
        <w:tabs>
          <w:tab w:val="left" w:pos="1440"/>
        </w:tabs>
        <w:spacing w:line="360" w:lineRule="auto"/>
        <w:ind w:left="0" w:firstLine="0"/>
        <w:jc w:val="both"/>
        <w:rPr>
          <w:sz w:val="28"/>
          <w:szCs w:val="28"/>
        </w:rPr>
      </w:pPr>
      <w:r w:rsidRPr="006F7E17">
        <w:rPr>
          <w:sz w:val="28"/>
          <w:szCs w:val="28"/>
        </w:rPr>
        <w:t xml:space="preserve">Further, in line with the practice and terms of order in </w:t>
      </w:r>
      <w:r w:rsidRPr="00995736">
        <w:rPr>
          <w:i/>
          <w:sz w:val="28"/>
          <w:szCs w:val="28"/>
        </w:rPr>
        <w:t>Yuen Oi Yee Lisa</w:t>
      </w:r>
      <w:r w:rsidR="008B3B69">
        <w:rPr>
          <w:i/>
          <w:sz w:val="28"/>
          <w:szCs w:val="28"/>
        </w:rPr>
        <w:t>, supra</w:t>
      </w:r>
      <w:r w:rsidRPr="006F7E17">
        <w:rPr>
          <w:sz w:val="28"/>
          <w:szCs w:val="28"/>
        </w:rPr>
        <w:t xml:space="preserve">, </w:t>
      </w:r>
      <w:r w:rsidR="008B3B69">
        <w:rPr>
          <w:sz w:val="28"/>
          <w:szCs w:val="28"/>
        </w:rPr>
        <w:t>I agree that</w:t>
      </w:r>
      <w:r w:rsidRPr="006F7E17">
        <w:rPr>
          <w:sz w:val="28"/>
          <w:szCs w:val="28"/>
        </w:rPr>
        <w:t xml:space="preserve"> specific reference should be made to cover </w:t>
      </w:r>
      <w:r w:rsidR="008B3B69">
        <w:rPr>
          <w:sz w:val="28"/>
          <w:szCs w:val="28"/>
        </w:rPr>
        <w:t>the defendant’s</w:t>
      </w:r>
      <w:r w:rsidRPr="006F7E17">
        <w:rPr>
          <w:sz w:val="28"/>
          <w:szCs w:val="28"/>
        </w:rPr>
        <w:t xml:space="preserve"> legal representatives within the RPO.  </w:t>
      </w:r>
    </w:p>
    <w:p w:rsidR="000032FD" w:rsidRPr="006F7E17" w:rsidRDefault="000032FD" w:rsidP="006F7E17">
      <w:pPr>
        <w:pStyle w:val="ListParagraph"/>
        <w:tabs>
          <w:tab w:val="left" w:pos="1440"/>
        </w:tabs>
        <w:spacing w:line="360" w:lineRule="auto"/>
        <w:ind w:left="0"/>
        <w:jc w:val="both"/>
        <w:rPr>
          <w:sz w:val="28"/>
          <w:szCs w:val="28"/>
        </w:rPr>
      </w:pPr>
    </w:p>
    <w:p w:rsidR="00975E65" w:rsidRPr="003304B8" w:rsidRDefault="000032FD" w:rsidP="00975E65">
      <w:pPr>
        <w:numPr>
          <w:ilvl w:val="0"/>
          <w:numId w:val="40"/>
        </w:numPr>
        <w:tabs>
          <w:tab w:val="left" w:pos="1440"/>
        </w:tabs>
        <w:spacing w:line="360" w:lineRule="auto"/>
        <w:ind w:left="0" w:firstLine="0"/>
        <w:jc w:val="both"/>
        <w:rPr>
          <w:sz w:val="28"/>
          <w:szCs w:val="28"/>
        </w:rPr>
      </w:pPr>
      <w:r w:rsidRPr="006F7E17">
        <w:rPr>
          <w:sz w:val="28"/>
          <w:szCs w:val="28"/>
        </w:rPr>
        <w:t xml:space="preserve">In the circumstances, </w:t>
      </w:r>
      <w:r w:rsidR="008B3B69">
        <w:rPr>
          <w:sz w:val="28"/>
          <w:szCs w:val="28"/>
        </w:rPr>
        <w:t>I will</w:t>
      </w:r>
      <w:r w:rsidRPr="006F7E17">
        <w:rPr>
          <w:sz w:val="28"/>
          <w:szCs w:val="28"/>
        </w:rPr>
        <w:t xml:space="preserve"> make an RPO in terms of the draft</w:t>
      </w:r>
      <w:r w:rsidR="008B3B69">
        <w:rPr>
          <w:sz w:val="28"/>
          <w:szCs w:val="28"/>
        </w:rPr>
        <w:t xml:space="preserve"> prepared by the defendant (with </w:t>
      </w:r>
      <w:r w:rsidR="00350DCA">
        <w:rPr>
          <w:sz w:val="28"/>
          <w:szCs w:val="28"/>
        </w:rPr>
        <w:t>some minor modifications</w:t>
      </w:r>
      <w:r w:rsidR="008B3B69">
        <w:rPr>
          <w:sz w:val="28"/>
          <w:szCs w:val="28"/>
        </w:rPr>
        <w:t xml:space="preserve"> made by</w:t>
      </w:r>
      <w:r w:rsidR="00F92D7A">
        <w:rPr>
          <w:sz w:val="28"/>
          <w:szCs w:val="28"/>
        </w:rPr>
        <w:t xml:space="preserve"> me) which is attached to this d</w:t>
      </w:r>
      <w:r w:rsidR="008B3B69">
        <w:rPr>
          <w:sz w:val="28"/>
          <w:szCs w:val="28"/>
        </w:rPr>
        <w:t>ecision as</w:t>
      </w:r>
      <w:r w:rsidRPr="006F7E17">
        <w:rPr>
          <w:sz w:val="28"/>
          <w:szCs w:val="28"/>
        </w:rPr>
        <w:t xml:space="preserve"> </w:t>
      </w:r>
      <w:r w:rsidR="00C93846">
        <w:rPr>
          <w:sz w:val="28"/>
          <w:szCs w:val="28"/>
        </w:rPr>
        <w:t>Annex I</w:t>
      </w:r>
      <w:r w:rsidR="008B3B69">
        <w:rPr>
          <w:sz w:val="28"/>
          <w:szCs w:val="28"/>
        </w:rPr>
        <w:t xml:space="preserve">.  This </w:t>
      </w:r>
      <w:r w:rsidRPr="006F7E17">
        <w:rPr>
          <w:sz w:val="28"/>
          <w:szCs w:val="28"/>
        </w:rPr>
        <w:t xml:space="preserve">is modelled on Appendix A to PD 11.3, and the terms of the RPO in </w:t>
      </w:r>
      <w:r w:rsidRPr="00CE1B16">
        <w:rPr>
          <w:i/>
          <w:sz w:val="28"/>
          <w:szCs w:val="28"/>
        </w:rPr>
        <w:t>Yuen Oi Yee Lisa</w:t>
      </w:r>
      <w:r w:rsidR="008B3B69">
        <w:rPr>
          <w:i/>
          <w:sz w:val="28"/>
          <w:szCs w:val="28"/>
        </w:rPr>
        <w:t>,</w:t>
      </w:r>
      <w:r w:rsidR="00C93846">
        <w:rPr>
          <w:i/>
          <w:sz w:val="28"/>
          <w:szCs w:val="28"/>
        </w:rPr>
        <w:t xml:space="preserve"> supra</w:t>
      </w:r>
      <w:r w:rsidRPr="006F7E17">
        <w:rPr>
          <w:sz w:val="28"/>
          <w:szCs w:val="28"/>
        </w:rPr>
        <w:t xml:space="preserve"> at Annex A.  </w:t>
      </w:r>
    </w:p>
    <w:p w:rsidR="00D51393" w:rsidRPr="006F7E17" w:rsidRDefault="00D51393" w:rsidP="006F7E17">
      <w:pPr>
        <w:tabs>
          <w:tab w:val="left" w:pos="1440"/>
        </w:tabs>
        <w:spacing w:line="360" w:lineRule="auto"/>
        <w:jc w:val="both"/>
        <w:rPr>
          <w:i/>
          <w:sz w:val="28"/>
          <w:szCs w:val="28"/>
        </w:rPr>
      </w:pPr>
      <w:r w:rsidRPr="006F7E17">
        <w:rPr>
          <w:i/>
          <w:sz w:val="28"/>
          <w:szCs w:val="28"/>
        </w:rPr>
        <w:lastRenderedPageBreak/>
        <w:t>CONCLUSION</w:t>
      </w:r>
    </w:p>
    <w:p w:rsidR="00D51393" w:rsidRPr="006F7E17" w:rsidRDefault="00D51393" w:rsidP="006F7E17">
      <w:pPr>
        <w:pStyle w:val="ListParagraph"/>
        <w:tabs>
          <w:tab w:val="left" w:pos="1440"/>
        </w:tabs>
        <w:spacing w:line="360" w:lineRule="auto"/>
        <w:ind w:left="0"/>
        <w:jc w:val="both"/>
        <w:rPr>
          <w:sz w:val="28"/>
          <w:szCs w:val="28"/>
        </w:rPr>
      </w:pPr>
    </w:p>
    <w:p w:rsidR="000D33ED" w:rsidRDefault="000032FD" w:rsidP="00CE1B16">
      <w:pPr>
        <w:numPr>
          <w:ilvl w:val="0"/>
          <w:numId w:val="40"/>
        </w:numPr>
        <w:tabs>
          <w:tab w:val="left" w:pos="1440"/>
        </w:tabs>
        <w:spacing w:line="360" w:lineRule="auto"/>
        <w:ind w:left="0" w:firstLine="0"/>
        <w:jc w:val="both"/>
        <w:rPr>
          <w:sz w:val="28"/>
          <w:szCs w:val="28"/>
        </w:rPr>
      </w:pPr>
      <w:r w:rsidRPr="006F7E17">
        <w:rPr>
          <w:sz w:val="28"/>
          <w:szCs w:val="28"/>
        </w:rPr>
        <w:t xml:space="preserve">For the above reasons, </w:t>
      </w:r>
      <w:r w:rsidR="008B3B69">
        <w:rPr>
          <w:sz w:val="28"/>
          <w:szCs w:val="28"/>
        </w:rPr>
        <w:t xml:space="preserve">I order that </w:t>
      </w:r>
      <w:r w:rsidR="000D33ED">
        <w:rPr>
          <w:sz w:val="28"/>
          <w:szCs w:val="28"/>
        </w:rPr>
        <w:t>the plaintiff’s</w:t>
      </w:r>
      <w:r w:rsidRPr="006F7E17">
        <w:rPr>
          <w:sz w:val="28"/>
          <w:szCs w:val="28"/>
        </w:rPr>
        <w:t xml:space="preserve"> </w:t>
      </w:r>
      <w:r w:rsidR="000D33ED">
        <w:rPr>
          <w:sz w:val="28"/>
          <w:szCs w:val="28"/>
        </w:rPr>
        <w:t>w</w:t>
      </w:r>
      <w:r w:rsidRPr="006F7E17">
        <w:rPr>
          <w:sz w:val="28"/>
          <w:szCs w:val="28"/>
        </w:rPr>
        <w:t xml:space="preserve">rit of </w:t>
      </w:r>
      <w:r w:rsidR="000D33ED">
        <w:rPr>
          <w:sz w:val="28"/>
          <w:szCs w:val="28"/>
        </w:rPr>
        <w:t>s</w:t>
      </w:r>
      <w:r w:rsidRPr="006F7E17">
        <w:rPr>
          <w:sz w:val="28"/>
          <w:szCs w:val="28"/>
        </w:rPr>
        <w:t xml:space="preserve">ummons </w:t>
      </w:r>
      <w:r w:rsidR="00C93846">
        <w:rPr>
          <w:sz w:val="28"/>
          <w:szCs w:val="28"/>
        </w:rPr>
        <w:t xml:space="preserve">herein </w:t>
      </w:r>
      <w:r w:rsidR="000D33ED">
        <w:rPr>
          <w:sz w:val="28"/>
          <w:szCs w:val="28"/>
        </w:rPr>
        <w:t xml:space="preserve">be struck out and the action be </w:t>
      </w:r>
      <w:r w:rsidRPr="006F7E17">
        <w:rPr>
          <w:sz w:val="28"/>
          <w:szCs w:val="28"/>
        </w:rPr>
        <w:t>dismiss</w:t>
      </w:r>
      <w:r w:rsidR="000D33ED">
        <w:rPr>
          <w:sz w:val="28"/>
          <w:szCs w:val="28"/>
        </w:rPr>
        <w:t>ed</w:t>
      </w:r>
      <w:r w:rsidR="00F733C0">
        <w:rPr>
          <w:sz w:val="28"/>
          <w:szCs w:val="28"/>
        </w:rPr>
        <w:t>, with costs to be borne by the plaintiff on an indemnity basis</w:t>
      </w:r>
      <w:r w:rsidR="003A7682">
        <w:rPr>
          <w:sz w:val="28"/>
          <w:szCs w:val="28"/>
        </w:rPr>
        <w:t>, with certificate for counsel.</w:t>
      </w:r>
    </w:p>
    <w:p w:rsidR="00F733C0" w:rsidRDefault="00F733C0" w:rsidP="00F733C0">
      <w:pPr>
        <w:tabs>
          <w:tab w:val="left" w:pos="1440"/>
        </w:tabs>
        <w:spacing w:line="360" w:lineRule="auto"/>
        <w:jc w:val="both"/>
        <w:rPr>
          <w:sz w:val="28"/>
          <w:szCs w:val="28"/>
        </w:rPr>
      </w:pPr>
    </w:p>
    <w:p w:rsidR="00F733C0" w:rsidRDefault="003A7682" w:rsidP="00CE1B16">
      <w:pPr>
        <w:numPr>
          <w:ilvl w:val="0"/>
          <w:numId w:val="40"/>
        </w:numPr>
        <w:tabs>
          <w:tab w:val="left" w:pos="1440"/>
        </w:tabs>
        <w:spacing w:line="360" w:lineRule="auto"/>
        <w:ind w:left="0" w:firstLine="0"/>
        <w:jc w:val="both"/>
        <w:rPr>
          <w:sz w:val="28"/>
          <w:szCs w:val="28"/>
        </w:rPr>
      </w:pPr>
      <w:r>
        <w:rPr>
          <w:sz w:val="28"/>
          <w:szCs w:val="28"/>
        </w:rPr>
        <w:t xml:space="preserve">I </w:t>
      </w:r>
      <w:r w:rsidR="00C93846">
        <w:rPr>
          <w:sz w:val="28"/>
          <w:szCs w:val="28"/>
        </w:rPr>
        <w:t>a</w:t>
      </w:r>
      <w:r>
        <w:rPr>
          <w:sz w:val="28"/>
          <w:szCs w:val="28"/>
        </w:rPr>
        <w:t xml:space="preserve">lso order the plaintiff’s appeal against Master D </w:t>
      </w:r>
      <w:proofErr w:type="spellStart"/>
      <w:r>
        <w:rPr>
          <w:sz w:val="28"/>
          <w:szCs w:val="28"/>
        </w:rPr>
        <w:t>To’s</w:t>
      </w:r>
      <w:proofErr w:type="spellEnd"/>
      <w:r>
        <w:rPr>
          <w:sz w:val="28"/>
          <w:szCs w:val="28"/>
        </w:rPr>
        <w:t xml:space="preserve"> order on costs be dismissed, with costs to the defendant. </w:t>
      </w:r>
    </w:p>
    <w:p w:rsidR="000D33ED" w:rsidRDefault="000D33ED" w:rsidP="000D33ED">
      <w:pPr>
        <w:tabs>
          <w:tab w:val="left" w:pos="1440"/>
        </w:tabs>
        <w:spacing w:line="360" w:lineRule="auto"/>
        <w:jc w:val="both"/>
        <w:rPr>
          <w:sz w:val="28"/>
          <w:szCs w:val="28"/>
        </w:rPr>
      </w:pPr>
    </w:p>
    <w:p w:rsidR="000032FD" w:rsidRPr="003A7682" w:rsidRDefault="003A7682" w:rsidP="00CE1B16">
      <w:pPr>
        <w:numPr>
          <w:ilvl w:val="0"/>
          <w:numId w:val="40"/>
        </w:numPr>
        <w:tabs>
          <w:tab w:val="left" w:pos="1440"/>
        </w:tabs>
        <w:spacing w:line="360" w:lineRule="auto"/>
        <w:ind w:left="0" w:firstLine="0"/>
        <w:jc w:val="both"/>
        <w:rPr>
          <w:sz w:val="28"/>
          <w:szCs w:val="28"/>
        </w:rPr>
      </w:pPr>
      <w:r>
        <w:rPr>
          <w:sz w:val="28"/>
          <w:szCs w:val="28"/>
        </w:rPr>
        <w:t xml:space="preserve">I </w:t>
      </w:r>
      <w:r w:rsidR="00C93846">
        <w:rPr>
          <w:sz w:val="28"/>
          <w:szCs w:val="28"/>
        </w:rPr>
        <w:t>would further</w:t>
      </w:r>
      <w:r>
        <w:rPr>
          <w:sz w:val="28"/>
          <w:szCs w:val="28"/>
        </w:rPr>
        <w:t xml:space="preserve"> grant an RPO in terms of </w:t>
      </w:r>
      <w:r w:rsidRPr="003A7682">
        <w:rPr>
          <w:sz w:val="28"/>
          <w:szCs w:val="28"/>
        </w:rPr>
        <w:t xml:space="preserve">Annex </w:t>
      </w:r>
      <w:r w:rsidR="00C93846">
        <w:rPr>
          <w:sz w:val="28"/>
          <w:szCs w:val="28"/>
        </w:rPr>
        <w:t>I</w:t>
      </w:r>
      <w:r w:rsidRPr="003A7682">
        <w:rPr>
          <w:sz w:val="28"/>
          <w:szCs w:val="28"/>
        </w:rPr>
        <w:t xml:space="preserve"> attached to this decision. </w:t>
      </w:r>
    </w:p>
    <w:p w:rsidR="007336D7" w:rsidRDefault="007336D7" w:rsidP="006F7E17">
      <w:pPr>
        <w:tabs>
          <w:tab w:val="left" w:pos="1440"/>
        </w:tabs>
        <w:spacing w:line="360" w:lineRule="auto"/>
        <w:jc w:val="both"/>
        <w:rPr>
          <w:sz w:val="28"/>
          <w:szCs w:val="28"/>
        </w:rPr>
      </w:pPr>
    </w:p>
    <w:p w:rsidR="00546F60" w:rsidRPr="006F7E17" w:rsidRDefault="00546F60" w:rsidP="006F7E17">
      <w:pPr>
        <w:tabs>
          <w:tab w:val="left" w:pos="1440"/>
        </w:tabs>
        <w:spacing w:line="360" w:lineRule="auto"/>
        <w:jc w:val="both"/>
        <w:rPr>
          <w:sz w:val="28"/>
          <w:szCs w:val="28"/>
        </w:rPr>
      </w:pPr>
    </w:p>
    <w:p w:rsidR="00B47FF0" w:rsidRPr="006F7E17" w:rsidRDefault="00B47FF0" w:rsidP="006F7E17">
      <w:pPr>
        <w:tabs>
          <w:tab w:val="left" w:pos="1440"/>
        </w:tabs>
        <w:spacing w:line="360" w:lineRule="auto"/>
        <w:jc w:val="both"/>
        <w:rPr>
          <w:sz w:val="28"/>
          <w:szCs w:val="28"/>
        </w:rPr>
      </w:pPr>
    </w:p>
    <w:p w:rsidR="0000608C" w:rsidRDefault="00530B49" w:rsidP="00530B49">
      <w:pPr>
        <w:pStyle w:val="Heading1"/>
        <w:keepNext w:val="0"/>
        <w:tabs>
          <w:tab w:val="left" w:pos="1440"/>
          <w:tab w:val="center" w:pos="6480"/>
        </w:tabs>
        <w:ind w:left="0" w:firstLine="0"/>
        <w:jc w:val="both"/>
        <w:rPr>
          <w:lang w:eastAsia="zh-CN"/>
        </w:rPr>
      </w:pPr>
      <w:r>
        <w:rPr>
          <w:rFonts w:hint="eastAsia"/>
          <w:szCs w:val="24"/>
          <w:lang w:eastAsia="zh-CN"/>
        </w:rPr>
        <w:tab/>
      </w:r>
      <w:r w:rsidR="0000608C">
        <w:rPr>
          <w:szCs w:val="24"/>
          <w:lang w:eastAsia="zh-CN"/>
        </w:rPr>
        <w:tab/>
      </w:r>
      <w:proofErr w:type="gramStart"/>
      <w:r w:rsidR="0000608C">
        <w:rPr>
          <w:rFonts w:hint="eastAsia"/>
          <w:lang w:eastAsia="zh-CN"/>
        </w:rPr>
        <w:t>(</w:t>
      </w:r>
      <w:r w:rsidR="00AD0352">
        <w:rPr>
          <w:lang w:eastAsia="zh-CN"/>
        </w:rPr>
        <w:t xml:space="preserve"> Andrew</w:t>
      </w:r>
      <w:proofErr w:type="gramEnd"/>
      <w:r w:rsidR="00AD0352">
        <w:rPr>
          <w:lang w:eastAsia="zh-CN"/>
        </w:rPr>
        <w:t xml:space="preserve"> </w:t>
      </w:r>
      <w:r w:rsidR="003131A0">
        <w:rPr>
          <w:rFonts w:hint="eastAsia"/>
          <w:lang w:eastAsia="zh-CN"/>
        </w:rPr>
        <w:t xml:space="preserve">SY </w:t>
      </w:r>
      <w:r w:rsidR="00AD0352">
        <w:rPr>
          <w:lang w:eastAsia="zh-CN"/>
        </w:rPr>
        <w:t xml:space="preserve">Li </w:t>
      </w:r>
      <w:r w:rsidR="0000608C">
        <w:rPr>
          <w:rFonts w:hint="eastAsia"/>
          <w:lang w:eastAsia="zh-CN"/>
        </w:rPr>
        <w:t>)</w:t>
      </w:r>
    </w:p>
    <w:p w:rsidR="0000608C" w:rsidRDefault="00530B49" w:rsidP="00530B49">
      <w:pPr>
        <w:pStyle w:val="Heading1"/>
        <w:keepNext w:val="0"/>
        <w:tabs>
          <w:tab w:val="left" w:pos="1440"/>
          <w:tab w:val="center" w:pos="6480"/>
        </w:tabs>
        <w:ind w:left="0" w:firstLine="0"/>
        <w:jc w:val="both"/>
        <w:rPr>
          <w:szCs w:val="24"/>
          <w:lang w:eastAsia="zh-CN"/>
        </w:rPr>
      </w:pPr>
      <w:r>
        <w:rPr>
          <w:rFonts w:hint="eastAsia"/>
          <w:szCs w:val="24"/>
          <w:lang w:eastAsia="zh-CN"/>
        </w:rPr>
        <w:tab/>
      </w:r>
      <w:r w:rsidR="0000608C">
        <w:rPr>
          <w:szCs w:val="24"/>
          <w:lang w:eastAsia="zh-CN"/>
        </w:rPr>
        <w:tab/>
        <w:t>District Judge</w:t>
      </w:r>
    </w:p>
    <w:p w:rsidR="00975E65" w:rsidRDefault="00975E65" w:rsidP="00530B49">
      <w:pPr>
        <w:tabs>
          <w:tab w:val="left" w:pos="1440"/>
        </w:tabs>
        <w:jc w:val="both"/>
        <w:rPr>
          <w:bCs/>
          <w:sz w:val="28"/>
          <w:lang w:val="en-GB"/>
        </w:rPr>
      </w:pPr>
    </w:p>
    <w:p w:rsidR="00975E65" w:rsidRDefault="00975E65" w:rsidP="00530B49">
      <w:pPr>
        <w:tabs>
          <w:tab w:val="left" w:pos="1440"/>
        </w:tabs>
        <w:jc w:val="both"/>
        <w:rPr>
          <w:bCs/>
          <w:sz w:val="28"/>
          <w:lang w:val="en-GB"/>
        </w:rPr>
      </w:pPr>
    </w:p>
    <w:p w:rsidR="0000608C" w:rsidRPr="000F00BF" w:rsidRDefault="00CE05E9" w:rsidP="00530B49">
      <w:pPr>
        <w:tabs>
          <w:tab w:val="left" w:pos="1440"/>
        </w:tabs>
        <w:jc w:val="both"/>
        <w:rPr>
          <w:bCs/>
          <w:sz w:val="28"/>
          <w:lang w:val="en-GB"/>
        </w:rPr>
      </w:pPr>
      <w:r w:rsidRPr="000F00BF">
        <w:rPr>
          <w:rFonts w:hint="eastAsia"/>
          <w:bCs/>
          <w:sz w:val="28"/>
          <w:lang w:val="en-GB"/>
        </w:rPr>
        <w:t>Mr</w:t>
      </w:r>
      <w:r w:rsidRPr="000F00BF">
        <w:rPr>
          <w:bCs/>
          <w:sz w:val="28"/>
        </w:rPr>
        <w:t xml:space="preserve"> Lee Chick Choi</w:t>
      </w:r>
      <w:r w:rsidR="002607AF" w:rsidRPr="000F00BF">
        <w:rPr>
          <w:rFonts w:hint="eastAsia"/>
          <w:bCs/>
          <w:sz w:val="28"/>
          <w:lang w:val="en-GB"/>
        </w:rPr>
        <w:t xml:space="preserve">, </w:t>
      </w:r>
      <w:r w:rsidR="000F00BF">
        <w:rPr>
          <w:bCs/>
          <w:sz w:val="28"/>
          <w:lang w:val="en-GB"/>
        </w:rPr>
        <w:t>the p</w:t>
      </w:r>
      <w:r w:rsidR="000F00BF" w:rsidRPr="000F00BF">
        <w:rPr>
          <w:bCs/>
          <w:sz w:val="28"/>
          <w:lang w:val="en-GB"/>
        </w:rPr>
        <w:t>laintiff</w:t>
      </w:r>
      <w:r w:rsidR="006D3A4A">
        <w:rPr>
          <w:bCs/>
          <w:sz w:val="28"/>
          <w:lang w:val="en-GB"/>
        </w:rPr>
        <w:t>,</w:t>
      </w:r>
      <w:r w:rsidR="000F00BF" w:rsidRPr="000F00BF">
        <w:rPr>
          <w:bCs/>
          <w:sz w:val="28"/>
          <w:lang w:val="en-GB"/>
        </w:rPr>
        <w:t xml:space="preserve"> </w:t>
      </w:r>
      <w:r w:rsidR="000F00BF">
        <w:rPr>
          <w:bCs/>
          <w:sz w:val="28"/>
          <w:lang w:val="en-GB"/>
        </w:rPr>
        <w:t>was not represented and was acting</w:t>
      </w:r>
      <w:r w:rsidR="000F00BF" w:rsidRPr="000F00BF">
        <w:rPr>
          <w:bCs/>
          <w:sz w:val="28"/>
          <w:lang w:val="en-GB"/>
        </w:rPr>
        <w:t xml:space="preserve"> in person </w:t>
      </w:r>
    </w:p>
    <w:p w:rsidR="00AD0352" w:rsidRPr="00E7510B" w:rsidRDefault="00AD0352" w:rsidP="00530B49">
      <w:pPr>
        <w:tabs>
          <w:tab w:val="left" w:pos="1440"/>
        </w:tabs>
        <w:jc w:val="both"/>
        <w:rPr>
          <w:bCs/>
          <w:sz w:val="28"/>
          <w:highlight w:val="yellow"/>
          <w:lang w:val="en-GB"/>
        </w:rPr>
      </w:pPr>
    </w:p>
    <w:p w:rsidR="0000608C" w:rsidRDefault="006D3A4A" w:rsidP="00530B49">
      <w:pPr>
        <w:tabs>
          <w:tab w:val="left" w:pos="1440"/>
        </w:tabs>
        <w:jc w:val="both"/>
        <w:rPr>
          <w:bCs/>
          <w:sz w:val="28"/>
          <w:lang w:val="en-GB"/>
        </w:rPr>
      </w:pPr>
      <w:r>
        <w:rPr>
          <w:rFonts w:hint="eastAsia"/>
          <w:bCs/>
          <w:sz w:val="28"/>
          <w:lang w:val="en-GB"/>
        </w:rPr>
        <w:t xml:space="preserve">Mr Martin </w:t>
      </w:r>
      <w:proofErr w:type="spellStart"/>
      <w:r>
        <w:rPr>
          <w:rFonts w:hint="eastAsia"/>
          <w:bCs/>
          <w:sz w:val="28"/>
          <w:lang w:val="en-GB"/>
        </w:rPr>
        <w:t>Kok</w:t>
      </w:r>
      <w:proofErr w:type="spellEnd"/>
      <w:r w:rsidR="00530B49" w:rsidRPr="000F00BF">
        <w:rPr>
          <w:rFonts w:hint="eastAsia"/>
          <w:bCs/>
          <w:sz w:val="28"/>
          <w:lang w:val="en-GB"/>
        </w:rPr>
        <w:t>, instru</w:t>
      </w:r>
      <w:r w:rsidR="000F00BF">
        <w:rPr>
          <w:rFonts w:hint="eastAsia"/>
          <w:bCs/>
          <w:sz w:val="28"/>
          <w:lang w:val="en-GB"/>
        </w:rPr>
        <w:t>cted by Hobson &amp; Ma</w:t>
      </w:r>
      <w:r w:rsidR="00530B49" w:rsidRPr="000F00BF">
        <w:rPr>
          <w:rFonts w:hint="eastAsia"/>
          <w:bCs/>
          <w:sz w:val="28"/>
          <w:lang w:val="en-GB"/>
        </w:rPr>
        <w:t xml:space="preserve">, for the </w:t>
      </w:r>
      <w:r w:rsidR="00530B49" w:rsidRPr="000F00BF">
        <w:rPr>
          <w:bCs/>
          <w:sz w:val="28"/>
          <w:lang w:val="en-GB"/>
        </w:rPr>
        <w:t>defendant</w:t>
      </w:r>
      <w:r w:rsidR="00530B49">
        <w:rPr>
          <w:rFonts w:hint="eastAsia"/>
          <w:bCs/>
          <w:sz w:val="28"/>
          <w:lang w:val="en-GB"/>
        </w:rPr>
        <w:t xml:space="preserve"> </w:t>
      </w:r>
    </w:p>
    <w:sectPr w:rsidR="0000608C" w:rsidSect="002607AF">
      <w:headerReference w:type="even" r:id="rId8"/>
      <w:headerReference w:type="default" r:id="rId9"/>
      <w:footerReference w:type="default" r:id="rId10"/>
      <w:headerReference w:type="first" r:id="rId11"/>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2460" w:rsidRDefault="00E22460">
      <w:r>
        <w:separator/>
      </w:r>
    </w:p>
  </w:endnote>
  <w:endnote w:type="continuationSeparator" w:id="0">
    <w:p w:rsidR="00E22460" w:rsidRDefault="00E22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0C3" w:rsidRDefault="00A270C3">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ab/>
    </w:r>
    <w:r>
      <w:rPr>
        <w:rStyle w:val="PageNumber"/>
        <w:rFonts w:ascii="Times New Roman" w:hAnsi="Times New Roman"/>
        <w:b w:val="0"/>
        <w:bCs/>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2460" w:rsidRDefault="00E22460">
      <w:r>
        <w:separator/>
      </w:r>
    </w:p>
  </w:footnote>
  <w:footnote w:type="continuationSeparator" w:id="0">
    <w:p w:rsidR="00E22460" w:rsidRDefault="00E22460">
      <w:r>
        <w:continuationSeparator/>
      </w:r>
    </w:p>
  </w:footnote>
  <w:footnote w:id="1">
    <w:p w:rsidR="005C69B7" w:rsidRPr="006F7E17" w:rsidRDefault="005C69B7" w:rsidP="006F7E17">
      <w:pPr>
        <w:pStyle w:val="FootnoteText"/>
        <w:tabs>
          <w:tab w:val="right" w:pos="8306"/>
        </w:tabs>
        <w:jc w:val="both"/>
        <w:rPr>
          <w:sz w:val="20"/>
          <w:szCs w:val="20"/>
        </w:rPr>
      </w:pPr>
      <w:r w:rsidRPr="006F7E17">
        <w:rPr>
          <w:rStyle w:val="FootnoteReference"/>
          <w:sz w:val="20"/>
          <w:szCs w:val="20"/>
        </w:rPr>
        <w:footnoteRef/>
      </w:r>
      <w:r w:rsidRPr="006F7E17">
        <w:rPr>
          <w:sz w:val="20"/>
          <w:szCs w:val="20"/>
        </w:rPr>
        <w:t xml:space="preserve"> </w:t>
      </w:r>
      <w:r w:rsidRPr="006F7E17">
        <w:rPr>
          <w:rFonts w:ascii="Times New Roman" w:hAnsi="Times New Roman"/>
          <w:i/>
          <w:sz w:val="20"/>
          <w:szCs w:val="20"/>
        </w:rPr>
        <w:t xml:space="preserve">Lee Chick Choi </w:t>
      </w:r>
      <w:r w:rsidR="00D20924" w:rsidRPr="006F7E17">
        <w:rPr>
          <w:rFonts w:ascii="Times New Roman" w:hAnsi="Times New Roman"/>
          <w:i/>
          <w:sz w:val="20"/>
          <w:szCs w:val="20"/>
        </w:rPr>
        <w:t>v</w:t>
      </w:r>
      <w:r w:rsidRPr="006F7E17">
        <w:rPr>
          <w:rFonts w:ascii="Times New Roman" w:hAnsi="Times New Roman"/>
          <w:i/>
          <w:sz w:val="20"/>
          <w:szCs w:val="20"/>
        </w:rPr>
        <w:t xml:space="preserve"> Best Spirits Company Limited </w:t>
      </w:r>
      <w:r w:rsidRPr="006F7E17">
        <w:rPr>
          <w:rFonts w:ascii="Times New Roman" w:hAnsi="Times New Roman"/>
          <w:sz w:val="20"/>
          <w:szCs w:val="20"/>
        </w:rPr>
        <w:t>HCA 2045/2012 (</w:t>
      </w:r>
      <w:proofErr w:type="spellStart"/>
      <w:r w:rsidRPr="006F7E17">
        <w:rPr>
          <w:rFonts w:ascii="Times New Roman" w:hAnsi="Times New Roman"/>
          <w:sz w:val="20"/>
          <w:szCs w:val="20"/>
        </w:rPr>
        <w:t>unrep</w:t>
      </w:r>
      <w:proofErr w:type="spellEnd"/>
      <w:r w:rsidRPr="006F7E17">
        <w:rPr>
          <w:rFonts w:ascii="Times New Roman" w:hAnsi="Times New Roman"/>
          <w:sz w:val="20"/>
          <w:szCs w:val="20"/>
        </w:rPr>
        <w:t>., 1 December 2014)</w:t>
      </w:r>
    </w:p>
  </w:footnote>
  <w:footnote w:id="2">
    <w:p w:rsidR="005C69B7" w:rsidRPr="008957CA" w:rsidRDefault="005C69B7" w:rsidP="008957CA">
      <w:pPr>
        <w:pStyle w:val="FootnoteText"/>
        <w:jc w:val="both"/>
        <w:rPr>
          <w:rFonts w:ascii="Times New Roman" w:hAnsi="Times New Roman"/>
          <w:sz w:val="20"/>
          <w:szCs w:val="20"/>
        </w:rPr>
      </w:pPr>
      <w:r w:rsidRPr="008957CA">
        <w:rPr>
          <w:rStyle w:val="FootnoteReference"/>
          <w:rFonts w:ascii="Times New Roman" w:hAnsi="Times New Roman"/>
          <w:i/>
          <w:sz w:val="20"/>
          <w:szCs w:val="20"/>
        </w:rPr>
        <w:footnoteRef/>
      </w:r>
      <w:r w:rsidRPr="008957CA">
        <w:rPr>
          <w:rFonts w:ascii="Times New Roman" w:hAnsi="Times New Roman"/>
          <w:i/>
          <w:sz w:val="20"/>
          <w:szCs w:val="20"/>
        </w:rPr>
        <w:t xml:space="preserve"> Lee Chick Choi </w:t>
      </w:r>
      <w:r w:rsidR="00D20924" w:rsidRPr="008957CA">
        <w:rPr>
          <w:rFonts w:ascii="Times New Roman" w:hAnsi="Times New Roman"/>
          <w:i/>
          <w:sz w:val="20"/>
          <w:szCs w:val="20"/>
        </w:rPr>
        <w:t>v</w:t>
      </w:r>
      <w:r w:rsidRPr="008957CA">
        <w:rPr>
          <w:rFonts w:ascii="Times New Roman" w:hAnsi="Times New Roman"/>
          <w:i/>
          <w:sz w:val="20"/>
          <w:szCs w:val="20"/>
        </w:rPr>
        <w:t xml:space="preserve"> Best Spirits Company Limited </w:t>
      </w:r>
      <w:r w:rsidRPr="008957CA">
        <w:rPr>
          <w:rFonts w:ascii="Times New Roman" w:hAnsi="Times New Roman"/>
          <w:sz w:val="20"/>
          <w:szCs w:val="20"/>
        </w:rPr>
        <w:t>HCMP 371/2015 (</w:t>
      </w:r>
      <w:proofErr w:type="spellStart"/>
      <w:r w:rsidRPr="008957CA">
        <w:rPr>
          <w:rFonts w:ascii="Times New Roman" w:hAnsi="Times New Roman"/>
          <w:sz w:val="20"/>
          <w:szCs w:val="20"/>
        </w:rPr>
        <w:t>unrep</w:t>
      </w:r>
      <w:proofErr w:type="spellEnd"/>
      <w:r w:rsidR="00D20924" w:rsidRPr="008957CA">
        <w:rPr>
          <w:rFonts w:ascii="Times New Roman" w:hAnsi="Times New Roman"/>
          <w:sz w:val="20"/>
          <w:szCs w:val="20"/>
        </w:rPr>
        <w:t>., 21 May 2015)</w:t>
      </w:r>
    </w:p>
  </w:footnote>
  <w:footnote w:id="3">
    <w:p w:rsidR="00346DFC" w:rsidRPr="00AE1CC0" w:rsidRDefault="00346DFC" w:rsidP="00AE1CC0">
      <w:pPr>
        <w:pStyle w:val="FootnoteText"/>
        <w:jc w:val="both"/>
        <w:rPr>
          <w:rFonts w:ascii="Times New Roman" w:hAnsi="Times New Roman"/>
          <w:sz w:val="20"/>
          <w:szCs w:val="20"/>
        </w:rPr>
      </w:pPr>
      <w:r w:rsidRPr="00AE1CC0">
        <w:rPr>
          <w:rStyle w:val="FootnoteReference"/>
          <w:rFonts w:ascii="Times New Roman" w:hAnsi="Times New Roman"/>
          <w:sz w:val="20"/>
          <w:szCs w:val="20"/>
        </w:rPr>
        <w:footnoteRef/>
      </w:r>
      <w:r w:rsidRPr="00AE1CC0">
        <w:rPr>
          <w:rFonts w:ascii="Times New Roman" w:hAnsi="Times New Roman"/>
          <w:sz w:val="20"/>
          <w:szCs w:val="20"/>
        </w:rPr>
        <w:t xml:space="preserve"> </w:t>
      </w:r>
      <w:r w:rsidR="006D3A4A" w:rsidRPr="00AE1CC0">
        <w:rPr>
          <w:rFonts w:ascii="Times New Roman" w:hAnsi="Times New Roman"/>
          <w:sz w:val="20"/>
          <w:szCs w:val="20"/>
        </w:rPr>
        <w:t>The plaintiff’s ap</w:t>
      </w:r>
      <w:r w:rsidRPr="00AE1CC0">
        <w:rPr>
          <w:rFonts w:ascii="Times New Roman" w:hAnsi="Times New Roman"/>
          <w:sz w:val="20"/>
          <w:szCs w:val="20"/>
        </w:rPr>
        <w:t xml:space="preserve">plication for leave to appeal was dismissed by M Chan J in </w:t>
      </w:r>
      <w:r w:rsidRPr="00AE1CC0">
        <w:rPr>
          <w:rFonts w:ascii="Times New Roman" w:hAnsi="Times New Roman"/>
          <w:i/>
          <w:sz w:val="20"/>
          <w:szCs w:val="20"/>
        </w:rPr>
        <w:t>Lee Chick Choi v Best Spirit Co Ltd</w:t>
      </w:r>
      <w:r w:rsidRPr="00AE1CC0">
        <w:rPr>
          <w:rFonts w:ascii="Times New Roman" w:hAnsi="Times New Roman"/>
          <w:sz w:val="20"/>
          <w:szCs w:val="20"/>
        </w:rPr>
        <w:t xml:space="preserve"> HCLA 29/2011 (</w:t>
      </w:r>
      <w:proofErr w:type="spellStart"/>
      <w:r w:rsidRPr="00AE1CC0">
        <w:rPr>
          <w:rFonts w:ascii="Times New Roman" w:hAnsi="Times New Roman"/>
          <w:i/>
          <w:sz w:val="20"/>
          <w:szCs w:val="20"/>
        </w:rPr>
        <w:t>unrep</w:t>
      </w:r>
      <w:proofErr w:type="spellEnd"/>
      <w:r w:rsidRPr="00AE1CC0">
        <w:rPr>
          <w:rFonts w:ascii="Times New Roman" w:hAnsi="Times New Roman"/>
          <w:sz w:val="20"/>
          <w:szCs w:val="20"/>
        </w:rPr>
        <w:t xml:space="preserve">, 6 June 2013) </w:t>
      </w:r>
    </w:p>
  </w:footnote>
  <w:footnote w:id="4">
    <w:p w:rsidR="006D3A4A" w:rsidRPr="00AE1CC0" w:rsidRDefault="006D3A4A" w:rsidP="00AE1CC0">
      <w:pPr>
        <w:pStyle w:val="FootnoteText"/>
        <w:jc w:val="both"/>
        <w:rPr>
          <w:rFonts w:ascii="Times New Roman" w:hAnsi="Times New Roman"/>
          <w:b/>
          <w:sz w:val="20"/>
          <w:szCs w:val="20"/>
        </w:rPr>
      </w:pPr>
      <w:r w:rsidRPr="00AE1CC0">
        <w:rPr>
          <w:rStyle w:val="FootnoteReference"/>
          <w:rFonts w:ascii="Times New Roman" w:hAnsi="Times New Roman"/>
          <w:sz w:val="20"/>
          <w:szCs w:val="20"/>
        </w:rPr>
        <w:footnoteRef/>
      </w:r>
      <w:r w:rsidRPr="00AE1CC0">
        <w:rPr>
          <w:rFonts w:ascii="Times New Roman" w:hAnsi="Times New Roman"/>
          <w:sz w:val="20"/>
          <w:szCs w:val="20"/>
        </w:rPr>
        <w:t xml:space="preserve"> </w:t>
      </w:r>
      <w:r w:rsidRPr="00AE1CC0">
        <w:rPr>
          <w:rFonts w:ascii="Times New Roman" w:hAnsi="Times New Roman"/>
          <w:i/>
          <w:sz w:val="20"/>
          <w:szCs w:val="20"/>
        </w:rPr>
        <w:t>See Lee Chick Choi I</w:t>
      </w:r>
      <w:r w:rsidRPr="00AE1CC0">
        <w:rPr>
          <w:rFonts w:ascii="Times New Roman" w:hAnsi="Times New Roman"/>
          <w:sz w:val="20"/>
          <w:szCs w:val="20"/>
        </w:rPr>
        <w:t xml:space="preserve">, pp.1-2 [A/22-23]; </w:t>
      </w:r>
      <w:r w:rsidRPr="00AE1CC0">
        <w:rPr>
          <w:rFonts w:ascii="Times New Roman" w:hAnsi="Times New Roman"/>
          <w:i/>
          <w:sz w:val="20"/>
          <w:szCs w:val="20"/>
        </w:rPr>
        <w:t>Lee Chick Choi II</w:t>
      </w:r>
      <w:r w:rsidRPr="00AE1CC0">
        <w:rPr>
          <w:rFonts w:ascii="Times New Roman" w:hAnsi="Times New Roman"/>
          <w:sz w:val="20"/>
          <w:szCs w:val="20"/>
        </w:rPr>
        <w:t xml:space="preserve">, §§8-10 </w:t>
      </w:r>
      <w:r w:rsidRPr="00AE1CC0">
        <w:rPr>
          <w:rFonts w:ascii="Times New Roman" w:hAnsi="Times New Roman"/>
          <w:b/>
          <w:sz w:val="20"/>
          <w:szCs w:val="20"/>
        </w:rPr>
        <w:t>[</w:t>
      </w:r>
      <w:r w:rsidRPr="00AE1CC0">
        <w:rPr>
          <w:rFonts w:ascii="Times New Roman" w:hAnsi="Times New Roman"/>
          <w:sz w:val="20"/>
          <w:szCs w:val="20"/>
        </w:rPr>
        <w:t>A/28-29]</w:t>
      </w:r>
    </w:p>
  </w:footnote>
  <w:footnote w:id="5">
    <w:p w:rsidR="0080526D" w:rsidRPr="006002FA" w:rsidRDefault="0080526D" w:rsidP="006002FA">
      <w:pPr>
        <w:pStyle w:val="FootnoteText"/>
        <w:jc w:val="both"/>
        <w:rPr>
          <w:rFonts w:ascii="Times New Roman" w:hAnsi="Times New Roman"/>
          <w:sz w:val="20"/>
          <w:szCs w:val="20"/>
        </w:rPr>
      </w:pPr>
      <w:r w:rsidRPr="006002FA">
        <w:rPr>
          <w:rStyle w:val="FootnoteReference"/>
          <w:sz w:val="20"/>
          <w:szCs w:val="20"/>
        </w:rPr>
        <w:footnoteRef/>
      </w:r>
      <w:r w:rsidRPr="006002FA">
        <w:rPr>
          <w:sz w:val="20"/>
          <w:szCs w:val="20"/>
        </w:rPr>
        <w:t xml:space="preserve"> </w:t>
      </w:r>
      <w:r w:rsidRPr="006002FA">
        <w:rPr>
          <w:rFonts w:ascii="Times New Roman" w:hAnsi="Times New Roman"/>
          <w:sz w:val="20"/>
          <w:szCs w:val="20"/>
        </w:rPr>
        <w:t xml:space="preserve">A bankrupt retains the right to bring or continue proceedings relating to claims which are “personal” to him: </w:t>
      </w:r>
      <w:r w:rsidRPr="006002FA">
        <w:rPr>
          <w:rFonts w:ascii="Times New Roman" w:hAnsi="Times New Roman"/>
          <w:i/>
          <w:sz w:val="20"/>
          <w:szCs w:val="20"/>
        </w:rPr>
        <w:t xml:space="preserve">see Chung </w:t>
      </w:r>
      <w:proofErr w:type="spellStart"/>
      <w:r w:rsidRPr="006002FA">
        <w:rPr>
          <w:rFonts w:ascii="Times New Roman" w:hAnsi="Times New Roman"/>
          <w:i/>
          <w:sz w:val="20"/>
          <w:szCs w:val="20"/>
        </w:rPr>
        <w:t>Kau</w:t>
      </w:r>
      <w:proofErr w:type="spellEnd"/>
      <w:r w:rsidRPr="006002FA">
        <w:rPr>
          <w:rFonts w:ascii="Times New Roman" w:hAnsi="Times New Roman"/>
          <w:i/>
          <w:sz w:val="20"/>
          <w:szCs w:val="20"/>
        </w:rPr>
        <w:t xml:space="preserve"> v Hong Kong Housing Authority &amp; Or</w:t>
      </w:r>
      <w:r w:rsidRPr="006002FA">
        <w:rPr>
          <w:rFonts w:ascii="Times New Roman" w:hAnsi="Times New Roman"/>
          <w:sz w:val="20"/>
          <w:szCs w:val="20"/>
        </w:rPr>
        <w:t xml:space="preserve"> [2004] 2 HKLRD 650, at 654B-H</w:t>
      </w:r>
      <w:r w:rsidRPr="006002FA">
        <w:rPr>
          <w:rFonts w:ascii="Times New Roman" w:hAnsi="Times New Roman"/>
          <w:bCs/>
          <w:sz w:val="20"/>
          <w:szCs w:val="20"/>
        </w:rPr>
        <w:t xml:space="preserve">, </w:t>
      </w:r>
      <w:r w:rsidRPr="006002FA">
        <w:rPr>
          <w:rFonts w:ascii="Times New Roman" w:hAnsi="Times New Roman"/>
          <w:bCs/>
          <w:i/>
          <w:sz w:val="20"/>
          <w:szCs w:val="20"/>
        </w:rPr>
        <w:t xml:space="preserve">per </w:t>
      </w:r>
      <w:r w:rsidRPr="006002FA">
        <w:rPr>
          <w:rFonts w:ascii="Times New Roman" w:hAnsi="Times New Roman"/>
          <w:bCs/>
          <w:sz w:val="20"/>
          <w:szCs w:val="20"/>
        </w:rPr>
        <w:t>Ma CJHC (as the Chief Justice then was)</w:t>
      </w:r>
    </w:p>
  </w:footnote>
  <w:footnote w:id="6">
    <w:p w:rsidR="00204A98" w:rsidRPr="008976A2" w:rsidRDefault="00204A98" w:rsidP="008976A2">
      <w:pPr>
        <w:pStyle w:val="FootnoteText"/>
        <w:jc w:val="both"/>
        <w:rPr>
          <w:rFonts w:ascii="Times New Roman" w:hAnsi="Times New Roman"/>
          <w:b/>
          <w:sz w:val="20"/>
          <w:szCs w:val="20"/>
          <w:lang w:val="en-US"/>
        </w:rPr>
      </w:pPr>
      <w:r w:rsidRPr="008976A2">
        <w:rPr>
          <w:rStyle w:val="FootnoteReference"/>
          <w:sz w:val="20"/>
          <w:szCs w:val="20"/>
        </w:rPr>
        <w:footnoteRef/>
      </w:r>
      <w:r w:rsidRPr="008976A2">
        <w:rPr>
          <w:sz w:val="20"/>
          <w:szCs w:val="20"/>
        </w:rPr>
        <w:t xml:space="preserve"> </w:t>
      </w:r>
      <w:r w:rsidRPr="008976A2">
        <w:rPr>
          <w:rFonts w:ascii="Times New Roman" w:hAnsi="Times New Roman"/>
          <w:sz w:val="20"/>
          <w:szCs w:val="20"/>
        </w:rPr>
        <w:t xml:space="preserve">Transcript of Hearing before Master D To dated 18/8/2017, p.16R-S </w:t>
      </w:r>
      <w:r w:rsidRPr="008976A2">
        <w:rPr>
          <w:rFonts w:ascii="Times New Roman" w:hAnsi="Times New Roman"/>
          <w:sz w:val="20"/>
          <w:szCs w:val="20"/>
          <w:lang w:val="en-US"/>
        </w:rPr>
        <w:t>[B/293-9]</w:t>
      </w:r>
    </w:p>
  </w:footnote>
  <w:footnote w:id="7">
    <w:p w:rsidR="000032FD" w:rsidRPr="00995736" w:rsidRDefault="000032FD" w:rsidP="00995736">
      <w:pPr>
        <w:pStyle w:val="FootnoteText"/>
        <w:jc w:val="both"/>
        <w:rPr>
          <w:rFonts w:ascii="Times New Roman" w:hAnsi="Times New Roman"/>
          <w:sz w:val="20"/>
          <w:szCs w:val="20"/>
        </w:rPr>
      </w:pPr>
      <w:r w:rsidRPr="00995736">
        <w:rPr>
          <w:rStyle w:val="FootnoteReference"/>
          <w:rFonts w:ascii="Times New Roman" w:hAnsi="Times New Roman"/>
          <w:sz w:val="20"/>
          <w:szCs w:val="20"/>
        </w:rPr>
        <w:footnoteRef/>
      </w:r>
      <w:r w:rsidRPr="00995736">
        <w:rPr>
          <w:rFonts w:ascii="Times New Roman" w:hAnsi="Times New Roman"/>
          <w:sz w:val="20"/>
          <w:szCs w:val="20"/>
        </w:rPr>
        <w:t xml:space="preserve"> </w:t>
      </w:r>
      <w:r w:rsidRPr="00995736">
        <w:rPr>
          <w:rFonts w:ascii="Times New Roman" w:hAnsi="Times New Roman"/>
          <w:i/>
          <w:sz w:val="20"/>
          <w:szCs w:val="20"/>
        </w:rPr>
        <w:t>Lee Chick Choi v Best Spirits Company Limited</w:t>
      </w:r>
      <w:r w:rsidRPr="00995736">
        <w:rPr>
          <w:rFonts w:ascii="Times New Roman" w:hAnsi="Times New Roman"/>
          <w:sz w:val="20"/>
          <w:szCs w:val="20"/>
        </w:rPr>
        <w:t xml:space="preserve"> CACV 138/2015 (</w:t>
      </w:r>
      <w:proofErr w:type="spellStart"/>
      <w:r w:rsidRPr="00995736">
        <w:rPr>
          <w:rFonts w:ascii="Times New Roman" w:hAnsi="Times New Roman"/>
          <w:i/>
          <w:sz w:val="20"/>
          <w:szCs w:val="20"/>
        </w:rPr>
        <w:t>unrep</w:t>
      </w:r>
      <w:proofErr w:type="spellEnd"/>
      <w:r w:rsidRPr="00995736">
        <w:rPr>
          <w:rFonts w:ascii="Times New Roman" w:hAnsi="Times New Roman"/>
          <w:sz w:val="20"/>
          <w:szCs w:val="20"/>
        </w:rPr>
        <w:t xml:space="preserve">, 24 February 2017) </w:t>
      </w:r>
    </w:p>
  </w:footnote>
  <w:footnote w:id="8">
    <w:p w:rsidR="000032FD" w:rsidRPr="00995736" w:rsidRDefault="000032FD" w:rsidP="00995736">
      <w:pPr>
        <w:pStyle w:val="FootnoteText"/>
        <w:jc w:val="both"/>
        <w:rPr>
          <w:rFonts w:ascii="Times New Roman" w:hAnsi="Times New Roman"/>
          <w:b/>
          <w:sz w:val="20"/>
          <w:szCs w:val="20"/>
        </w:rPr>
      </w:pPr>
      <w:r w:rsidRPr="00995736">
        <w:rPr>
          <w:rStyle w:val="FootnoteReference"/>
          <w:rFonts w:ascii="Times New Roman" w:hAnsi="Times New Roman"/>
          <w:sz w:val="20"/>
          <w:szCs w:val="20"/>
        </w:rPr>
        <w:footnoteRef/>
      </w:r>
      <w:r w:rsidRPr="00995736">
        <w:rPr>
          <w:rFonts w:ascii="Times New Roman" w:hAnsi="Times New Roman"/>
          <w:sz w:val="20"/>
          <w:szCs w:val="20"/>
        </w:rPr>
        <w:t xml:space="preserve"> </w:t>
      </w:r>
      <w:r w:rsidRPr="00995736">
        <w:rPr>
          <w:rFonts w:ascii="Times New Roman" w:hAnsi="Times New Roman"/>
          <w:i/>
          <w:sz w:val="20"/>
          <w:szCs w:val="20"/>
        </w:rPr>
        <w:t>Lee Chick Choi v Best Spirits Company Limited</w:t>
      </w:r>
      <w:r w:rsidRPr="00995736">
        <w:rPr>
          <w:rFonts w:ascii="Times New Roman" w:hAnsi="Times New Roman"/>
          <w:sz w:val="20"/>
          <w:szCs w:val="20"/>
        </w:rPr>
        <w:t xml:space="preserve"> CACV 138/2015 (</w:t>
      </w:r>
      <w:proofErr w:type="spellStart"/>
      <w:r w:rsidRPr="00995736">
        <w:rPr>
          <w:rFonts w:ascii="Times New Roman" w:hAnsi="Times New Roman"/>
          <w:i/>
          <w:sz w:val="20"/>
          <w:szCs w:val="20"/>
        </w:rPr>
        <w:t>unrep</w:t>
      </w:r>
      <w:proofErr w:type="spellEnd"/>
      <w:r w:rsidRPr="00995736">
        <w:rPr>
          <w:rFonts w:ascii="Times New Roman" w:hAnsi="Times New Roman"/>
          <w:sz w:val="20"/>
          <w:szCs w:val="20"/>
        </w:rPr>
        <w:t xml:space="preserve">, 31 May 2017) </w:t>
      </w:r>
    </w:p>
  </w:footnote>
  <w:footnote w:id="9">
    <w:p w:rsidR="000032FD" w:rsidRPr="00995736" w:rsidRDefault="000032FD" w:rsidP="00995736">
      <w:pPr>
        <w:pStyle w:val="FootnoteText"/>
        <w:jc w:val="both"/>
        <w:rPr>
          <w:rFonts w:ascii="Times New Roman" w:hAnsi="Times New Roman"/>
          <w:sz w:val="20"/>
          <w:szCs w:val="20"/>
        </w:rPr>
      </w:pPr>
      <w:r w:rsidRPr="00995736">
        <w:rPr>
          <w:rStyle w:val="FootnoteReference"/>
          <w:rFonts w:ascii="Times New Roman" w:hAnsi="Times New Roman"/>
          <w:sz w:val="20"/>
          <w:szCs w:val="20"/>
        </w:rPr>
        <w:footnoteRef/>
      </w:r>
      <w:r w:rsidRPr="00995736">
        <w:rPr>
          <w:rFonts w:ascii="Times New Roman" w:hAnsi="Times New Roman"/>
          <w:sz w:val="20"/>
          <w:szCs w:val="20"/>
        </w:rPr>
        <w:t xml:space="preserve"> </w:t>
      </w:r>
      <w:r w:rsidRPr="00995736">
        <w:rPr>
          <w:rFonts w:ascii="Times New Roman" w:hAnsi="Times New Roman"/>
          <w:i/>
          <w:sz w:val="20"/>
          <w:szCs w:val="20"/>
        </w:rPr>
        <w:t>Lee Chick Choi v Best Spirits Company Limited</w:t>
      </w:r>
      <w:r w:rsidRPr="00995736">
        <w:rPr>
          <w:rFonts w:ascii="Times New Roman" w:hAnsi="Times New Roman"/>
          <w:sz w:val="20"/>
          <w:szCs w:val="20"/>
        </w:rPr>
        <w:t xml:space="preserve"> CACV 138/2015 (</w:t>
      </w:r>
      <w:proofErr w:type="spellStart"/>
      <w:r w:rsidRPr="00995736">
        <w:rPr>
          <w:rFonts w:ascii="Times New Roman" w:hAnsi="Times New Roman"/>
          <w:i/>
          <w:sz w:val="20"/>
          <w:szCs w:val="20"/>
        </w:rPr>
        <w:t>unrep</w:t>
      </w:r>
      <w:proofErr w:type="spellEnd"/>
      <w:r w:rsidRPr="00995736">
        <w:rPr>
          <w:rFonts w:ascii="Times New Roman" w:hAnsi="Times New Roman"/>
          <w:sz w:val="20"/>
          <w:szCs w:val="20"/>
        </w:rPr>
        <w:t xml:space="preserve">, 12 June 2017) </w:t>
      </w:r>
    </w:p>
  </w:footnote>
  <w:footnote w:id="10">
    <w:p w:rsidR="000032FD" w:rsidRPr="00995736" w:rsidRDefault="000032FD" w:rsidP="00995736">
      <w:pPr>
        <w:pStyle w:val="FootnoteText"/>
        <w:jc w:val="both"/>
        <w:rPr>
          <w:rFonts w:ascii="Times New Roman" w:hAnsi="Times New Roman"/>
          <w:sz w:val="20"/>
          <w:szCs w:val="20"/>
        </w:rPr>
      </w:pPr>
      <w:r w:rsidRPr="00995736">
        <w:rPr>
          <w:rStyle w:val="FootnoteReference"/>
          <w:rFonts w:ascii="Times New Roman" w:hAnsi="Times New Roman"/>
          <w:sz w:val="20"/>
          <w:szCs w:val="20"/>
        </w:rPr>
        <w:footnoteRef/>
      </w:r>
      <w:r w:rsidRPr="00995736">
        <w:rPr>
          <w:rFonts w:ascii="Times New Roman" w:hAnsi="Times New Roman"/>
          <w:sz w:val="20"/>
          <w:szCs w:val="20"/>
        </w:rPr>
        <w:t xml:space="preserve"> </w:t>
      </w:r>
      <w:r w:rsidRPr="00995736">
        <w:rPr>
          <w:rFonts w:ascii="Times New Roman" w:hAnsi="Times New Roman"/>
          <w:i/>
          <w:sz w:val="20"/>
          <w:szCs w:val="20"/>
        </w:rPr>
        <w:t>Lee Chick Choi v Best Spirits Company Limited</w:t>
      </w:r>
      <w:r w:rsidRPr="00995736">
        <w:rPr>
          <w:rFonts w:ascii="Times New Roman" w:hAnsi="Times New Roman"/>
          <w:sz w:val="20"/>
          <w:szCs w:val="20"/>
        </w:rPr>
        <w:t xml:space="preserve"> CACV 25/2015 (</w:t>
      </w:r>
      <w:proofErr w:type="spellStart"/>
      <w:r w:rsidRPr="00995736">
        <w:rPr>
          <w:rFonts w:ascii="Times New Roman" w:hAnsi="Times New Roman"/>
          <w:i/>
          <w:sz w:val="20"/>
          <w:szCs w:val="20"/>
        </w:rPr>
        <w:t>unrep</w:t>
      </w:r>
      <w:proofErr w:type="spellEnd"/>
      <w:r w:rsidRPr="00995736">
        <w:rPr>
          <w:rFonts w:ascii="Times New Roman" w:hAnsi="Times New Roman"/>
          <w:sz w:val="20"/>
          <w:szCs w:val="20"/>
        </w:rPr>
        <w:t xml:space="preserve">, 22 June 2017) </w:t>
      </w:r>
    </w:p>
  </w:footnote>
  <w:footnote w:id="11">
    <w:p w:rsidR="004C12C5" w:rsidRPr="004C12C5" w:rsidRDefault="004C12C5">
      <w:pPr>
        <w:pStyle w:val="FootnoteText"/>
        <w:rPr>
          <w:rFonts w:ascii="Times New Roman" w:eastAsiaTheme="minorEastAsia" w:hAnsi="Times New Roman"/>
          <w:sz w:val="20"/>
          <w:szCs w:val="20"/>
          <w:lang w:eastAsia="zh-CN"/>
        </w:rPr>
      </w:pPr>
      <w:r w:rsidRPr="004C12C5">
        <w:rPr>
          <w:rStyle w:val="FootnoteReference"/>
          <w:rFonts w:ascii="Times New Roman" w:hAnsi="Times New Roman"/>
          <w:sz w:val="20"/>
          <w:szCs w:val="20"/>
        </w:rPr>
        <w:footnoteRef/>
      </w:r>
      <w:r w:rsidRPr="004C12C5">
        <w:rPr>
          <w:rFonts w:ascii="Times New Roman" w:hAnsi="Times New Roman"/>
          <w:sz w:val="20"/>
          <w:szCs w:val="20"/>
        </w:rPr>
        <w:t xml:space="preserve"> See Hearing Bundle [</w:t>
      </w:r>
      <w:r w:rsidRPr="004C12C5">
        <w:rPr>
          <w:rFonts w:ascii="Times New Roman" w:eastAsiaTheme="minorEastAsia" w:hAnsi="Times New Roman"/>
          <w:sz w:val="20"/>
          <w:szCs w:val="20"/>
          <w:lang w:eastAsia="zh-CN"/>
        </w:rPr>
        <w:t>A/334]</w:t>
      </w:r>
    </w:p>
  </w:footnote>
  <w:footnote w:id="12">
    <w:p w:rsidR="007D4224" w:rsidRPr="007D4224" w:rsidRDefault="007D4224">
      <w:pPr>
        <w:pStyle w:val="FootnoteText"/>
        <w:rPr>
          <w:rFonts w:ascii="Times New Roman" w:eastAsiaTheme="minorEastAsia" w:hAnsi="Times New Roman"/>
          <w:sz w:val="20"/>
          <w:szCs w:val="20"/>
          <w:lang w:eastAsia="zh-CN"/>
        </w:rPr>
      </w:pPr>
      <w:r w:rsidRPr="007D4224">
        <w:rPr>
          <w:rStyle w:val="FootnoteReference"/>
          <w:rFonts w:ascii="Times New Roman" w:hAnsi="Times New Roman"/>
          <w:sz w:val="20"/>
          <w:szCs w:val="20"/>
        </w:rPr>
        <w:footnoteRef/>
      </w:r>
      <w:r w:rsidRPr="007D4224">
        <w:rPr>
          <w:rFonts w:ascii="Times New Roman" w:hAnsi="Times New Roman"/>
          <w:sz w:val="20"/>
          <w:szCs w:val="20"/>
        </w:rPr>
        <w:t xml:space="preserve"> </w:t>
      </w:r>
      <w:r>
        <w:rPr>
          <w:rFonts w:ascii="Times New Roman" w:hAnsi="Times New Roman"/>
          <w:sz w:val="20"/>
          <w:szCs w:val="20"/>
        </w:rPr>
        <w:t xml:space="preserve">See Hearing Bundle </w:t>
      </w:r>
      <w:r w:rsidRPr="007D4224">
        <w:rPr>
          <w:rFonts w:ascii="Times New Roman" w:eastAsiaTheme="minorEastAsia" w:hAnsi="Times New Roman"/>
          <w:sz w:val="20"/>
          <w:szCs w:val="20"/>
          <w:lang w:eastAsia="zh-CN"/>
        </w:rPr>
        <w:t>[A/288]</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0C3" w:rsidRDefault="00A270C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270C3" w:rsidRDefault="00A270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0C3" w:rsidRPr="005B0B6B" w:rsidRDefault="00A270C3">
    <w:pPr>
      <w:pStyle w:val="Header"/>
      <w:framePr w:wrap="around" w:vAnchor="text" w:hAnchor="margin" w:xAlign="center" w:y="1"/>
      <w:rPr>
        <w:rStyle w:val="PageNumber"/>
        <w:rFonts w:ascii="Times New Roman" w:hAnsi="Times New Roman"/>
        <w:b w:val="0"/>
        <w:bCs/>
        <w:sz w:val="28"/>
        <w:szCs w:val="28"/>
        <w:lang w:eastAsia="zh-CN"/>
      </w:rPr>
    </w:pPr>
    <w:r w:rsidRPr="005B0B6B">
      <w:rPr>
        <w:rStyle w:val="PageNumber"/>
        <w:rFonts w:ascii="Times New Roman" w:hAnsi="Times New Roman" w:hint="eastAsia"/>
        <w:b w:val="0"/>
        <w:bCs/>
        <w:sz w:val="28"/>
        <w:szCs w:val="28"/>
        <w:lang w:eastAsia="zh-CN"/>
      </w:rPr>
      <w:t xml:space="preserve">- </w:t>
    </w:r>
    <w:r w:rsidRPr="005B0B6B">
      <w:rPr>
        <w:rStyle w:val="PageNumber"/>
        <w:rFonts w:ascii="Times New Roman" w:hAnsi="Times New Roman"/>
        <w:b w:val="0"/>
        <w:bCs/>
        <w:sz w:val="28"/>
        <w:szCs w:val="28"/>
      </w:rPr>
      <w:fldChar w:fldCharType="begin"/>
    </w:r>
    <w:r w:rsidRPr="005B0B6B">
      <w:rPr>
        <w:rStyle w:val="PageNumber"/>
        <w:rFonts w:ascii="Times New Roman" w:hAnsi="Times New Roman"/>
        <w:b w:val="0"/>
        <w:bCs/>
        <w:sz w:val="28"/>
        <w:szCs w:val="28"/>
      </w:rPr>
      <w:instrText xml:space="preserve">PAGE  </w:instrText>
    </w:r>
    <w:r w:rsidRPr="005B0B6B">
      <w:rPr>
        <w:rStyle w:val="PageNumber"/>
        <w:rFonts w:ascii="Times New Roman" w:hAnsi="Times New Roman"/>
        <w:b w:val="0"/>
        <w:bCs/>
        <w:sz w:val="28"/>
        <w:szCs w:val="28"/>
      </w:rPr>
      <w:fldChar w:fldCharType="separate"/>
    </w:r>
    <w:r w:rsidR="0068680C">
      <w:rPr>
        <w:rStyle w:val="PageNumber"/>
        <w:rFonts w:ascii="Times New Roman" w:hAnsi="Times New Roman"/>
        <w:b w:val="0"/>
        <w:bCs/>
        <w:noProof/>
        <w:sz w:val="28"/>
        <w:szCs w:val="28"/>
      </w:rPr>
      <w:t>2</w:t>
    </w:r>
    <w:r w:rsidRPr="005B0B6B">
      <w:rPr>
        <w:rStyle w:val="PageNumber"/>
        <w:rFonts w:ascii="Times New Roman" w:hAnsi="Times New Roman"/>
        <w:b w:val="0"/>
        <w:bCs/>
        <w:sz w:val="28"/>
        <w:szCs w:val="28"/>
      </w:rPr>
      <w:fldChar w:fldCharType="end"/>
    </w:r>
    <w:r w:rsidRPr="005B0B6B">
      <w:rPr>
        <w:rStyle w:val="PageNumber"/>
        <w:rFonts w:ascii="Times New Roman" w:hAnsi="Times New Roman" w:hint="eastAsia"/>
        <w:b w:val="0"/>
        <w:bCs/>
        <w:sz w:val="28"/>
        <w:szCs w:val="28"/>
        <w:lang w:eastAsia="zh-CN"/>
      </w:rPr>
      <w:t xml:space="preserve"> -</w:t>
    </w:r>
  </w:p>
  <w:p w:rsidR="00A270C3" w:rsidRDefault="00232FB4">
    <w:pPr>
      <w:pStyle w:val="Header"/>
      <w:rPr>
        <w:lang w:eastAsia="zh-CN"/>
      </w:rPr>
    </w:pPr>
    <w:r>
      <w:rPr>
        <w:noProof/>
        <w:sz w:val="20"/>
        <w:lang w:val="en-US" w:eastAsia="zh-CN"/>
      </w:rPr>
      <mc:AlternateContent>
        <mc:Choice Requires="wps">
          <w:drawing>
            <wp:anchor distT="0" distB="0" distL="114300" distR="114300" simplePos="0" relativeHeight="251659264" behindDoc="0" locked="0" layoutInCell="1" allowOverlap="1">
              <wp:simplePos x="0" y="0"/>
              <wp:positionH relativeFrom="column">
                <wp:posOffset>-800735</wp:posOffset>
              </wp:positionH>
              <wp:positionV relativeFrom="paragraph">
                <wp:posOffset>-8255</wp:posOffset>
              </wp:positionV>
              <wp:extent cx="365760" cy="10149840"/>
              <wp:effectExtent l="0" t="1270" r="0" b="25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014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70C3" w:rsidRDefault="00A270C3">
                          <w:pPr>
                            <w:spacing w:line="720" w:lineRule="exact"/>
                            <w:rPr>
                              <w:color w:val="000000"/>
                              <w:sz w:val="21"/>
                            </w:rPr>
                          </w:pPr>
                          <w:r>
                            <w:rPr>
                              <w:color w:val="000000"/>
                              <w:sz w:val="21"/>
                            </w:rPr>
                            <w:t>A</w:t>
                          </w:r>
                        </w:p>
                        <w:p w:rsidR="00A270C3" w:rsidRDefault="00A270C3">
                          <w:pPr>
                            <w:spacing w:line="720" w:lineRule="exact"/>
                            <w:rPr>
                              <w:color w:val="000000"/>
                              <w:sz w:val="21"/>
                            </w:rPr>
                          </w:pPr>
                          <w:r>
                            <w:rPr>
                              <w:color w:val="000000"/>
                              <w:sz w:val="21"/>
                            </w:rPr>
                            <w:t>B</w:t>
                          </w:r>
                        </w:p>
                        <w:p w:rsidR="00A270C3" w:rsidRDefault="00A270C3">
                          <w:pPr>
                            <w:spacing w:line="720" w:lineRule="exact"/>
                            <w:rPr>
                              <w:color w:val="000000"/>
                              <w:sz w:val="21"/>
                            </w:rPr>
                          </w:pPr>
                          <w:r>
                            <w:rPr>
                              <w:color w:val="000000"/>
                              <w:sz w:val="21"/>
                            </w:rPr>
                            <w:t>C</w:t>
                          </w:r>
                        </w:p>
                        <w:p w:rsidR="00A270C3" w:rsidRDefault="00A270C3">
                          <w:pPr>
                            <w:spacing w:line="720" w:lineRule="exact"/>
                            <w:rPr>
                              <w:color w:val="000000"/>
                              <w:sz w:val="21"/>
                            </w:rPr>
                          </w:pPr>
                          <w:r>
                            <w:rPr>
                              <w:color w:val="000000"/>
                              <w:sz w:val="21"/>
                            </w:rPr>
                            <w:t>D</w:t>
                          </w:r>
                        </w:p>
                        <w:p w:rsidR="00A270C3" w:rsidRDefault="00A270C3">
                          <w:pPr>
                            <w:spacing w:line="720" w:lineRule="exact"/>
                            <w:rPr>
                              <w:color w:val="000000"/>
                              <w:sz w:val="21"/>
                            </w:rPr>
                          </w:pPr>
                          <w:r>
                            <w:rPr>
                              <w:color w:val="000000"/>
                              <w:sz w:val="21"/>
                            </w:rPr>
                            <w:t>E</w:t>
                          </w:r>
                        </w:p>
                        <w:p w:rsidR="00A270C3" w:rsidRDefault="00A270C3">
                          <w:pPr>
                            <w:spacing w:line="720" w:lineRule="exact"/>
                            <w:rPr>
                              <w:color w:val="000000"/>
                              <w:sz w:val="21"/>
                            </w:rPr>
                          </w:pPr>
                          <w:r>
                            <w:rPr>
                              <w:color w:val="000000"/>
                              <w:sz w:val="21"/>
                            </w:rPr>
                            <w:t>F</w:t>
                          </w:r>
                        </w:p>
                        <w:p w:rsidR="00A270C3" w:rsidRDefault="00A270C3">
                          <w:pPr>
                            <w:spacing w:line="720" w:lineRule="exact"/>
                            <w:rPr>
                              <w:color w:val="000000"/>
                              <w:sz w:val="21"/>
                            </w:rPr>
                          </w:pPr>
                          <w:r>
                            <w:rPr>
                              <w:color w:val="000000"/>
                              <w:sz w:val="21"/>
                            </w:rPr>
                            <w:t>G</w:t>
                          </w:r>
                        </w:p>
                        <w:p w:rsidR="00A270C3" w:rsidRDefault="00A270C3">
                          <w:pPr>
                            <w:spacing w:line="720" w:lineRule="exact"/>
                            <w:rPr>
                              <w:color w:val="000000"/>
                              <w:sz w:val="21"/>
                            </w:rPr>
                          </w:pPr>
                          <w:r>
                            <w:rPr>
                              <w:color w:val="000000"/>
                              <w:sz w:val="21"/>
                            </w:rPr>
                            <w:t>H</w:t>
                          </w:r>
                        </w:p>
                        <w:p w:rsidR="00A270C3" w:rsidRDefault="00A270C3">
                          <w:pPr>
                            <w:spacing w:line="720" w:lineRule="exact"/>
                            <w:rPr>
                              <w:color w:val="000000"/>
                              <w:sz w:val="21"/>
                            </w:rPr>
                          </w:pPr>
                          <w:r>
                            <w:rPr>
                              <w:color w:val="000000"/>
                              <w:sz w:val="21"/>
                            </w:rPr>
                            <w:t>I</w:t>
                          </w:r>
                        </w:p>
                        <w:p w:rsidR="00A270C3" w:rsidRDefault="00A270C3">
                          <w:pPr>
                            <w:spacing w:line="720" w:lineRule="exact"/>
                            <w:rPr>
                              <w:color w:val="000000"/>
                              <w:sz w:val="21"/>
                            </w:rPr>
                          </w:pPr>
                          <w:r>
                            <w:rPr>
                              <w:color w:val="000000"/>
                              <w:sz w:val="21"/>
                            </w:rPr>
                            <w:t>J</w:t>
                          </w:r>
                        </w:p>
                        <w:p w:rsidR="00A270C3" w:rsidRDefault="00A270C3">
                          <w:pPr>
                            <w:spacing w:line="720" w:lineRule="exact"/>
                            <w:rPr>
                              <w:color w:val="000000"/>
                              <w:sz w:val="21"/>
                            </w:rPr>
                          </w:pPr>
                          <w:r>
                            <w:rPr>
                              <w:color w:val="000000"/>
                              <w:sz w:val="21"/>
                            </w:rPr>
                            <w:t>K</w:t>
                          </w:r>
                        </w:p>
                        <w:p w:rsidR="00A270C3" w:rsidRDefault="00A270C3">
                          <w:pPr>
                            <w:spacing w:line="720" w:lineRule="exact"/>
                            <w:rPr>
                              <w:color w:val="000000"/>
                              <w:sz w:val="21"/>
                            </w:rPr>
                          </w:pPr>
                          <w:r>
                            <w:rPr>
                              <w:color w:val="000000"/>
                              <w:sz w:val="21"/>
                            </w:rPr>
                            <w:t>L</w:t>
                          </w:r>
                        </w:p>
                        <w:p w:rsidR="00A270C3" w:rsidRDefault="00A270C3">
                          <w:pPr>
                            <w:spacing w:line="720" w:lineRule="exact"/>
                            <w:rPr>
                              <w:color w:val="000000"/>
                              <w:sz w:val="21"/>
                            </w:rPr>
                          </w:pPr>
                          <w:r>
                            <w:rPr>
                              <w:color w:val="000000"/>
                              <w:sz w:val="21"/>
                            </w:rPr>
                            <w:t>M</w:t>
                          </w:r>
                        </w:p>
                        <w:p w:rsidR="00A270C3" w:rsidRDefault="00A270C3">
                          <w:pPr>
                            <w:spacing w:line="720" w:lineRule="exact"/>
                            <w:rPr>
                              <w:color w:val="000000"/>
                              <w:sz w:val="21"/>
                            </w:rPr>
                          </w:pPr>
                          <w:r>
                            <w:rPr>
                              <w:color w:val="000000"/>
                              <w:sz w:val="21"/>
                            </w:rPr>
                            <w:t>N</w:t>
                          </w:r>
                        </w:p>
                        <w:p w:rsidR="00A270C3" w:rsidRDefault="00A270C3">
                          <w:pPr>
                            <w:spacing w:line="720" w:lineRule="exact"/>
                            <w:rPr>
                              <w:color w:val="000000"/>
                              <w:sz w:val="21"/>
                            </w:rPr>
                          </w:pPr>
                          <w:r>
                            <w:rPr>
                              <w:color w:val="000000"/>
                              <w:sz w:val="21"/>
                            </w:rPr>
                            <w:t>O</w:t>
                          </w:r>
                        </w:p>
                        <w:p w:rsidR="00A270C3" w:rsidRDefault="00A270C3">
                          <w:pPr>
                            <w:spacing w:line="720" w:lineRule="exact"/>
                            <w:rPr>
                              <w:color w:val="000000"/>
                              <w:sz w:val="21"/>
                            </w:rPr>
                          </w:pPr>
                          <w:r>
                            <w:rPr>
                              <w:color w:val="000000"/>
                              <w:sz w:val="21"/>
                            </w:rPr>
                            <w:t>P</w:t>
                          </w:r>
                        </w:p>
                        <w:p w:rsidR="00A270C3" w:rsidRDefault="00A270C3">
                          <w:pPr>
                            <w:spacing w:line="720" w:lineRule="exact"/>
                            <w:rPr>
                              <w:color w:val="000000"/>
                              <w:sz w:val="21"/>
                            </w:rPr>
                          </w:pPr>
                          <w:r>
                            <w:rPr>
                              <w:color w:val="000000"/>
                              <w:sz w:val="21"/>
                            </w:rPr>
                            <w:t>Q</w:t>
                          </w:r>
                        </w:p>
                        <w:p w:rsidR="00A270C3" w:rsidRDefault="00A270C3">
                          <w:pPr>
                            <w:spacing w:line="720" w:lineRule="exact"/>
                            <w:rPr>
                              <w:color w:val="000000"/>
                              <w:sz w:val="21"/>
                            </w:rPr>
                          </w:pPr>
                          <w:r>
                            <w:rPr>
                              <w:color w:val="000000"/>
                              <w:sz w:val="21"/>
                            </w:rPr>
                            <w:t>R</w:t>
                          </w:r>
                        </w:p>
                        <w:p w:rsidR="00A270C3" w:rsidRDefault="00A270C3">
                          <w:pPr>
                            <w:spacing w:line="720" w:lineRule="exact"/>
                            <w:rPr>
                              <w:color w:val="000000"/>
                              <w:sz w:val="21"/>
                            </w:rPr>
                          </w:pPr>
                          <w:r>
                            <w:rPr>
                              <w:color w:val="000000"/>
                              <w:sz w:val="21"/>
                            </w:rPr>
                            <w:t>S</w:t>
                          </w:r>
                        </w:p>
                        <w:p w:rsidR="00A270C3" w:rsidRDefault="00A270C3">
                          <w:pPr>
                            <w:spacing w:line="720" w:lineRule="exact"/>
                            <w:rPr>
                              <w:color w:val="000000"/>
                              <w:sz w:val="21"/>
                            </w:rPr>
                          </w:pPr>
                          <w:r>
                            <w:rPr>
                              <w:color w:val="000000"/>
                              <w:sz w:val="21"/>
                            </w:rPr>
                            <w:t>T</w:t>
                          </w:r>
                        </w:p>
                        <w:p w:rsidR="00A270C3" w:rsidRDefault="00A270C3">
                          <w:pPr>
                            <w:spacing w:line="720" w:lineRule="exact"/>
                            <w:rPr>
                              <w:color w:val="000000"/>
                              <w:sz w:val="21"/>
                            </w:rPr>
                          </w:pPr>
                          <w:r>
                            <w:rPr>
                              <w:color w:val="000000"/>
                              <w:sz w:val="21"/>
                            </w:rPr>
                            <w:t>U</w:t>
                          </w:r>
                        </w:p>
                        <w:p w:rsidR="00A270C3" w:rsidRDefault="00A270C3">
                          <w:pPr>
                            <w:spacing w:line="720" w:lineRule="exact"/>
                            <w:rPr>
                              <w:color w:val="000000"/>
                              <w:sz w:val="21"/>
                            </w:rPr>
                          </w:pPr>
                          <w:r>
                            <w:rPr>
                              <w:color w:val="000000"/>
                              <w:sz w:val="21"/>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3.05pt;margin-top:-.65pt;width:28.8pt;height:79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" stroked="f">
              <v:textbox>
                <w:txbxContent>
                  <w:p w:rsidR="00A270C3" w:rsidRDefault="00A270C3">
                    <w:pPr>
                      <w:spacing w:line="720" w:lineRule="exact"/>
                      <w:rPr>
                        <w:color w:val="000000"/>
                        <w:sz w:val="21"/>
                      </w:rPr>
                    </w:pPr>
                    <w:r>
                      <w:rPr>
                        <w:color w:val="000000"/>
                        <w:sz w:val="21"/>
                      </w:rPr>
                      <w:t>A</w:t>
                    </w:r>
                  </w:p>
                  <w:p w:rsidR="00A270C3" w:rsidRDefault="00A270C3">
                    <w:pPr>
                      <w:spacing w:line="720" w:lineRule="exact"/>
                      <w:rPr>
                        <w:color w:val="000000"/>
                        <w:sz w:val="21"/>
                      </w:rPr>
                    </w:pPr>
                    <w:r>
                      <w:rPr>
                        <w:color w:val="000000"/>
                        <w:sz w:val="21"/>
                      </w:rPr>
                      <w:t>B</w:t>
                    </w:r>
                  </w:p>
                  <w:p w:rsidR="00A270C3" w:rsidRDefault="00A270C3">
                    <w:pPr>
                      <w:spacing w:line="720" w:lineRule="exact"/>
                      <w:rPr>
                        <w:color w:val="000000"/>
                        <w:sz w:val="21"/>
                      </w:rPr>
                    </w:pPr>
                    <w:r>
                      <w:rPr>
                        <w:color w:val="000000"/>
                        <w:sz w:val="21"/>
                      </w:rPr>
                      <w:t>C</w:t>
                    </w:r>
                  </w:p>
                  <w:p w:rsidR="00A270C3" w:rsidRDefault="00A270C3">
                    <w:pPr>
                      <w:spacing w:line="720" w:lineRule="exact"/>
                      <w:rPr>
                        <w:color w:val="000000"/>
                        <w:sz w:val="21"/>
                      </w:rPr>
                    </w:pPr>
                    <w:r>
                      <w:rPr>
                        <w:color w:val="000000"/>
                        <w:sz w:val="21"/>
                      </w:rPr>
                      <w:t>D</w:t>
                    </w:r>
                  </w:p>
                  <w:p w:rsidR="00A270C3" w:rsidRDefault="00A270C3">
                    <w:pPr>
                      <w:spacing w:line="720" w:lineRule="exact"/>
                      <w:rPr>
                        <w:color w:val="000000"/>
                        <w:sz w:val="21"/>
                      </w:rPr>
                    </w:pPr>
                    <w:r>
                      <w:rPr>
                        <w:color w:val="000000"/>
                        <w:sz w:val="21"/>
                      </w:rPr>
                      <w:t>E</w:t>
                    </w:r>
                  </w:p>
                  <w:p w:rsidR="00A270C3" w:rsidRDefault="00A270C3">
                    <w:pPr>
                      <w:spacing w:line="720" w:lineRule="exact"/>
                      <w:rPr>
                        <w:color w:val="000000"/>
                        <w:sz w:val="21"/>
                      </w:rPr>
                    </w:pPr>
                    <w:r>
                      <w:rPr>
                        <w:color w:val="000000"/>
                        <w:sz w:val="21"/>
                      </w:rPr>
                      <w:t>F</w:t>
                    </w:r>
                  </w:p>
                  <w:p w:rsidR="00A270C3" w:rsidRDefault="00A270C3">
                    <w:pPr>
                      <w:spacing w:line="720" w:lineRule="exact"/>
                      <w:rPr>
                        <w:color w:val="000000"/>
                        <w:sz w:val="21"/>
                      </w:rPr>
                    </w:pPr>
                    <w:r>
                      <w:rPr>
                        <w:color w:val="000000"/>
                        <w:sz w:val="21"/>
                      </w:rPr>
                      <w:t>G</w:t>
                    </w:r>
                  </w:p>
                  <w:p w:rsidR="00A270C3" w:rsidRDefault="00A270C3">
                    <w:pPr>
                      <w:spacing w:line="720" w:lineRule="exact"/>
                      <w:rPr>
                        <w:color w:val="000000"/>
                        <w:sz w:val="21"/>
                      </w:rPr>
                    </w:pPr>
                    <w:r>
                      <w:rPr>
                        <w:color w:val="000000"/>
                        <w:sz w:val="21"/>
                      </w:rPr>
                      <w:t>H</w:t>
                    </w:r>
                  </w:p>
                  <w:p w:rsidR="00A270C3" w:rsidRDefault="00A270C3">
                    <w:pPr>
                      <w:spacing w:line="720" w:lineRule="exact"/>
                      <w:rPr>
                        <w:color w:val="000000"/>
                        <w:sz w:val="21"/>
                      </w:rPr>
                    </w:pPr>
                    <w:r>
                      <w:rPr>
                        <w:color w:val="000000"/>
                        <w:sz w:val="21"/>
                      </w:rPr>
                      <w:t>I</w:t>
                    </w:r>
                  </w:p>
                  <w:p w:rsidR="00A270C3" w:rsidRDefault="00A270C3">
                    <w:pPr>
                      <w:spacing w:line="720" w:lineRule="exact"/>
                      <w:rPr>
                        <w:color w:val="000000"/>
                        <w:sz w:val="21"/>
                      </w:rPr>
                    </w:pPr>
                    <w:r>
                      <w:rPr>
                        <w:color w:val="000000"/>
                        <w:sz w:val="21"/>
                      </w:rPr>
                      <w:t>J</w:t>
                    </w:r>
                  </w:p>
                  <w:p w:rsidR="00A270C3" w:rsidRDefault="00A270C3">
                    <w:pPr>
                      <w:spacing w:line="720" w:lineRule="exact"/>
                      <w:rPr>
                        <w:color w:val="000000"/>
                        <w:sz w:val="21"/>
                      </w:rPr>
                    </w:pPr>
                    <w:r>
                      <w:rPr>
                        <w:color w:val="000000"/>
                        <w:sz w:val="21"/>
                      </w:rPr>
                      <w:t>K</w:t>
                    </w:r>
                  </w:p>
                  <w:p w:rsidR="00A270C3" w:rsidRDefault="00A270C3">
                    <w:pPr>
                      <w:spacing w:line="720" w:lineRule="exact"/>
                      <w:rPr>
                        <w:color w:val="000000"/>
                        <w:sz w:val="21"/>
                      </w:rPr>
                    </w:pPr>
                    <w:r>
                      <w:rPr>
                        <w:color w:val="000000"/>
                        <w:sz w:val="21"/>
                      </w:rPr>
                      <w:t>L</w:t>
                    </w:r>
                  </w:p>
                  <w:p w:rsidR="00A270C3" w:rsidRDefault="00A270C3">
                    <w:pPr>
                      <w:spacing w:line="720" w:lineRule="exact"/>
                      <w:rPr>
                        <w:color w:val="000000"/>
                        <w:sz w:val="21"/>
                      </w:rPr>
                    </w:pPr>
                    <w:r>
                      <w:rPr>
                        <w:color w:val="000000"/>
                        <w:sz w:val="21"/>
                      </w:rPr>
                      <w:t>M</w:t>
                    </w:r>
                  </w:p>
                  <w:p w:rsidR="00A270C3" w:rsidRDefault="00A270C3">
                    <w:pPr>
                      <w:spacing w:line="720" w:lineRule="exact"/>
                      <w:rPr>
                        <w:color w:val="000000"/>
                        <w:sz w:val="21"/>
                      </w:rPr>
                    </w:pPr>
                    <w:r>
                      <w:rPr>
                        <w:color w:val="000000"/>
                        <w:sz w:val="21"/>
                      </w:rPr>
                      <w:t>N</w:t>
                    </w:r>
                  </w:p>
                  <w:p w:rsidR="00A270C3" w:rsidRDefault="00A270C3">
                    <w:pPr>
                      <w:spacing w:line="720" w:lineRule="exact"/>
                      <w:rPr>
                        <w:color w:val="000000"/>
                        <w:sz w:val="21"/>
                      </w:rPr>
                    </w:pPr>
                    <w:r>
                      <w:rPr>
                        <w:color w:val="000000"/>
                        <w:sz w:val="21"/>
                      </w:rPr>
                      <w:t>O</w:t>
                    </w:r>
                  </w:p>
                  <w:p w:rsidR="00A270C3" w:rsidRDefault="00A270C3">
                    <w:pPr>
                      <w:spacing w:line="720" w:lineRule="exact"/>
                      <w:rPr>
                        <w:color w:val="000000"/>
                        <w:sz w:val="21"/>
                      </w:rPr>
                    </w:pPr>
                    <w:r>
                      <w:rPr>
                        <w:color w:val="000000"/>
                        <w:sz w:val="21"/>
                      </w:rPr>
                      <w:t>P</w:t>
                    </w:r>
                  </w:p>
                  <w:p w:rsidR="00A270C3" w:rsidRDefault="00A270C3">
                    <w:pPr>
                      <w:spacing w:line="720" w:lineRule="exact"/>
                      <w:rPr>
                        <w:color w:val="000000"/>
                        <w:sz w:val="21"/>
                      </w:rPr>
                    </w:pPr>
                    <w:r>
                      <w:rPr>
                        <w:color w:val="000000"/>
                        <w:sz w:val="21"/>
                      </w:rPr>
                      <w:t>Q</w:t>
                    </w:r>
                  </w:p>
                  <w:p w:rsidR="00A270C3" w:rsidRDefault="00A270C3">
                    <w:pPr>
                      <w:spacing w:line="720" w:lineRule="exact"/>
                      <w:rPr>
                        <w:color w:val="000000"/>
                        <w:sz w:val="21"/>
                      </w:rPr>
                    </w:pPr>
                    <w:r>
                      <w:rPr>
                        <w:color w:val="000000"/>
                        <w:sz w:val="21"/>
                      </w:rPr>
                      <w:t>R</w:t>
                    </w:r>
                  </w:p>
                  <w:p w:rsidR="00A270C3" w:rsidRDefault="00A270C3">
                    <w:pPr>
                      <w:spacing w:line="720" w:lineRule="exact"/>
                      <w:rPr>
                        <w:color w:val="000000"/>
                        <w:sz w:val="21"/>
                      </w:rPr>
                    </w:pPr>
                    <w:r>
                      <w:rPr>
                        <w:color w:val="000000"/>
                        <w:sz w:val="21"/>
                      </w:rPr>
                      <w:t>S</w:t>
                    </w:r>
                  </w:p>
                  <w:p w:rsidR="00A270C3" w:rsidRDefault="00A270C3">
                    <w:pPr>
                      <w:spacing w:line="720" w:lineRule="exact"/>
                      <w:rPr>
                        <w:color w:val="000000"/>
                        <w:sz w:val="21"/>
                      </w:rPr>
                    </w:pPr>
                    <w:r>
                      <w:rPr>
                        <w:color w:val="000000"/>
                        <w:sz w:val="21"/>
                      </w:rPr>
                      <w:t>T</w:t>
                    </w:r>
                  </w:p>
                  <w:p w:rsidR="00A270C3" w:rsidRDefault="00A270C3">
                    <w:pPr>
                      <w:spacing w:line="720" w:lineRule="exact"/>
                      <w:rPr>
                        <w:color w:val="000000"/>
                        <w:sz w:val="21"/>
                      </w:rPr>
                    </w:pPr>
                    <w:r>
                      <w:rPr>
                        <w:color w:val="000000"/>
                        <w:sz w:val="21"/>
                      </w:rPr>
                      <w:t>U</w:t>
                    </w:r>
                  </w:p>
                  <w:p w:rsidR="00A270C3" w:rsidRDefault="00A270C3">
                    <w:pPr>
                      <w:spacing w:line="720" w:lineRule="exact"/>
                      <w:rPr>
                        <w:color w:val="000000"/>
                        <w:sz w:val="21"/>
                      </w:rPr>
                    </w:pPr>
                    <w:r>
                      <w:rPr>
                        <w:color w:val="000000"/>
                        <w:sz w:val="21"/>
                      </w:rPr>
                      <w:t>V</w:t>
                    </w:r>
                  </w:p>
                </w:txbxContent>
              </v:textbox>
            </v:shape>
          </w:pict>
        </mc:Fallback>
      </mc:AlternateContent>
    </w:r>
    <w:r>
      <w:rPr>
        <w:noProof/>
        <w:lang w:val="en-US" w:eastAsia="zh-CN"/>
      </w:rPr>
      <mc:AlternateContent>
        <mc:Choice Requires="wps">
          <w:drawing>
            <wp:anchor distT="0" distB="0" distL="114300" distR="114300" simplePos="0" relativeHeight="251656192" behindDoc="0" locked="0" layoutInCell="1" allowOverlap="1">
              <wp:simplePos x="0" y="0"/>
              <wp:positionH relativeFrom="column">
                <wp:posOffset>5828665</wp:posOffset>
              </wp:positionH>
              <wp:positionV relativeFrom="paragraph">
                <wp:posOffset>-8255</wp:posOffset>
              </wp:positionV>
              <wp:extent cx="365760" cy="10149840"/>
              <wp:effectExtent l="0" t="1270" r="0" b="254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014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70C3" w:rsidRDefault="00A270C3">
                          <w:pPr>
                            <w:spacing w:line="720" w:lineRule="exact"/>
                            <w:rPr>
                              <w:color w:val="000000"/>
                              <w:sz w:val="21"/>
                            </w:rPr>
                          </w:pPr>
                          <w:r>
                            <w:rPr>
                              <w:color w:val="000000"/>
                              <w:sz w:val="21"/>
                            </w:rPr>
                            <w:t>A</w:t>
                          </w:r>
                        </w:p>
                        <w:p w:rsidR="00A270C3" w:rsidRDefault="00A270C3">
                          <w:pPr>
                            <w:spacing w:line="720" w:lineRule="exact"/>
                            <w:rPr>
                              <w:color w:val="000000"/>
                              <w:sz w:val="21"/>
                            </w:rPr>
                          </w:pPr>
                          <w:r>
                            <w:rPr>
                              <w:color w:val="000000"/>
                              <w:sz w:val="21"/>
                            </w:rPr>
                            <w:t>B</w:t>
                          </w:r>
                        </w:p>
                        <w:p w:rsidR="00A270C3" w:rsidRDefault="00A270C3">
                          <w:pPr>
                            <w:spacing w:line="720" w:lineRule="exact"/>
                            <w:rPr>
                              <w:color w:val="000000"/>
                              <w:sz w:val="21"/>
                            </w:rPr>
                          </w:pPr>
                          <w:r>
                            <w:rPr>
                              <w:color w:val="000000"/>
                              <w:sz w:val="21"/>
                            </w:rPr>
                            <w:t>C</w:t>
                          </w:r>
                        </w:p>
                        <w:p w:rsidR="00A270C3" w:rsidRDefault="00A270C3">
                          <w:pPr>
                            <w:spacing w:line="720" w:lineRule="exact"/>
                            <w:rPr>
                              <w:color w:val="000000"/>
                              <w:sz w:val="21"/>
                            </w:rPr>
                          </w:pPr>
                          <w:r>
                            <w:rPr>
                              <w:color w:val="000000"/>
                              <w:sz w:val="21"/>
                            </w:rPr>
                            <w:t>D</w:t>
                          </w:r>
                        </w:p>
                        <w:p w:rsidR="00A270C3" w:rsidRDefault="00A270C3">
                          <w:pPr>
                            <w:spacing w:line="720" w:lineRule="exact"/>
                            <w:rPr>
                              <w:color w:val="000000"/>
                              <w:sz w:val="21"/>
                            </w:rPr>
                          </w:pPr>
                          <w:r>
                            <w:rPr>
                              <w:color w:val="000000"/>
                              <w:sz w:val="21"/>
                            </w:rPr>
                            <w:t>E</w:t>
                          </w:r>
                        </w:p>
                        <w:p w:rsidR="00A270C3" w:rsidRDefault="00A270C3">
                          <w:pPr>
                            <w:spacing w:line="720" w:lineRule="exact"/>
                            <w:rPr>
                              <w:color w:val="000000"/>
                              <w:sz w:val="21"/>
                            </w:rPr>
                          </w:pPr>
                          <w:r>
                            <w:rPr>
                              <w:color w:val="000000"/>
                              <w:sz w:val="21"/>
                            </w:rPr>
                            <w:t>F</w:t>
                          </w:r>
                        </w:p>
                        <w:p w:rsidR="00A270C3" w:rsidRDefault="00A270C3">
                          <w:pPr>
                            <w:spacing w:line="720" w:lineRule="exact"/>
                            <w:rPr>
                              <w:color w:val="000000"/>
                              <w:sz w:val="21"/>
                            </w:rPr>
                          </w:pPr>
                          <w:r>
                            <w:rPr>
                              <w:color w:val="000000"/>
                              <w:sz w:val="21"/>
                            </w:rPr>
                            <w:t>G</w:t>
                          </w:r>
                        </w:p>
                        <w:p w:rsidR="00A270C3" w:rsidRDefault="00A270C3">
                          <w:pPr>
                            <w:spacing w:line="720" w:lineRule="exact"/>
                            <w:rPr>
                              <w:color w:val="000000"/>
                              <w:sz w:val="21"/>
                            </w:rPr>
                          </w:pPr>
                          <w:r>
                            <w:rPr>
                              <w:color w:val="000000"/>
                              <w:sz w:val="21"/>
                            </w:rPr>
                            <w:t>H</w:t>
                          </w:r>
                        </w:p>
                        <w:p w:rsidR="00A270C3" w:rsidRDefault="00A270C3">
                          <w:pPr>
                            <w:spacing w:line="720" w:lineRule="exact"/>
                            <w:rPr>
                              <w:color w:val="000000"/>
                              <w:sz w:val="21"/>
                            </w:rPr>
                          </w:pPr>
                          <w:r>
                            <w:rPr>
                              <w:color w:val="000000"/>
                              <w:sz w:val="21"/>
                            </w:rPr>
                            <w:t>I</w:t>
                          </w:r>
                        </w:p>
                        <w:p w:rsidR="00A270C3" w:rsidRDefault="00A270C3">
                          <w:pPr>
                            <w:spacing w:line="720" w:lineRule="exact"/>
                            <w:rPr>
                              <w:color w:val="000000"/>
                              <w:sz w:val="21"/>
                            </w:rPr>
                          </w:pPr>
                          <w:r>
                            <w:rPr>
                              <w:color w:val="000000"/>
                              <w:sz w:val="21"/>
                            </w:rPr>
                            <w:t>J</w:t>
                          </w:r>
                        </w:p>
                        <w:p w:rsidR="00A270C3" w:rsidRDefault="00A270C3">
                          <w:pPr>
                            <w:spacing w:line="720" w:lineRule="exact"/>
                            <w:rPr>
                              <w:color w:val="000000"/>
                              <w:sz w:val="21"/>
                            </w:rPr>
                          </w:pPr>
                          <w:r>
                            <w:rPr>
                              <w:color w:val="000000"/>
                              <w:sz w:val="21"/>
                            </w:rPr>
                            <w:t>K</w:t>
                          </w:r>
                        </w:p>
                        <w:p w:rsidR="00A270C3" w:rsidRDefault="00A270C3">
                          <w:pPr>
                            <w:spacing w:line="720" w:lineRule="exact"/>
                            <w:rPr>
                              <w:color w:val="000000"/>
                              <w:sz w:val="21"/>
                            </w:rPr>
                          </w:pPr>
                          <w:r>
                            <w:rPr>
                              <w:color w:val="000000"/>
                              <w:sz w:val="21"/>
                            </w:rPr>
                            <w:t>L</w:t>
                          </w:r>
                        </w:p>
                        <w:p w:rsidR="00A270C3" w:rsidRDefault="00A270C3">
                          <w:pPr>
                            <w:spacing w:line="720" w:lineRule="exact"/>
                            <w:rPr>
                              <w:color w:val="000000"/>
                              <w:sz w:val="21"/>
                            </w:rPr>
                          </w:pPr>
                          <w:r>
                            <w:rPr>
                              <w:color w:val="000000"/>
                              <w:sz w:val="21"/>
                            </w:rPr>
                            <w:t>M</w:t>
                          </w:r>
                        </w:p>
                        <w:p w:rsidR="00A270C3" w:rsidRDefault="00A270C3">
                          <w:pPr>
                            <w:spacing w:line="720" w:lineRule="exact"/>
                            <w:rPr>
                              <w:color w:val="000000"/>
                              <w:sz w:val="21"/>
                            </w:rPr>
                          </w:pPr>
                          <w:r>
                            <w:rPr>
                              <w:color w:val="000000"/>
                              <w:sz w:val="21"/>
                            </w:rPr>
                            <w:t>N</w:t>
                          </w:r>
                        </w:p>
                        <w:p w:rsidR="00A270C3" w:rsidRDefault="00A270C3">
                          <w:pPr>
                            <w:spacing w:line="720" w:lineRule="exact"/>
                            <w:rPr>
                              <w:color w:val="000000"/>
                              <w:sz w:val="21"/>
                            </w:rPr>
                          </w:pPr>
                          <w:r>
                            <w:rPr>
                              <w:color w:val="000000"/>
                              <w:sz w:val="21"/>
                            </w:rPr>
                            <w:t>O</w:t>
                          </w:r>
                        </w:p>
                        <w:p w:rsidR="00A270C3" w:rsidRDefault="00A270C3">
                          <w:pPr>
                            <w:spacing w:line="720" w:lineRule="exact"/>
                            <w:rPr>
                              <w:color w:val="000000"/>
                              <w:sz w:val="21"/>
                            </w:rPr>
                          </w:pPr>
                          <w:r>
                            <w:rPr>
                              <w:color w:val="000000"/>
                              <w:sz w:val="21"/>
                            </w:rPr>
                            <w:t>P</w:t>
                          </w:r>
                        </w:p>
                        <w:p w:rsidR="00A270C3" w:rsidRDefault="00A270C3">
                          <w:pPr>
                            <w:spacing w:line="720" w:lineRule="exact"/>
                            <w:rPr>
                              <w:color w:val="000000"/>
                              <w:sz w:val="21"/>
                            </w:rPr>
                          </w:pPr>
                          <w:r>
                            <w:rPr>
                              <w:color w:val="000000"/>
                              <w:sz w:val="21"/>
                            </w:rPr>
                            <w:t>Q</w:t>
                          </w:r>
                        </w:p>
                        <w:p w:rsidR="00A270C3" w:rsidRDefault="00A270C3">
                          <w:pPr>
                            <w:spacing w:line="720" w:lineRule="exact"/>
                            <w:rPr>
                              <w:color w:val="000000"/>
                              <w:sz w:val="21"/>
                            </w:rPr>
                          </w:pPr>
                          <w:r>
                            <w:rPr>
                              <w:color w:val="000000"/>
                              <w:sz w:val="21"/>
                            </w:rPr>
                            <w:t>R</w:t>
                          </w:r>
                        </w:p>
                        <w:p w:rsidR="00A270C3" w:rsidRDefault="00A270C3">
                          <w:pPr>
                            <w:spacing w:line="720" w:lineRule="exact"/>
                            <w:rPr>
                              <w:color w:val="000000"/>
                              <w:sz w:val="21"/>
                            </w:rPr>
                          </w:pPr>
                          <w:r>
                            <w:rPr>
                              <w:color w:val="000000"/>
                              <w:sz w:val="21"/>
                            </w:rPr>
                            <w:t>S</w:t>
                          </w:r>
                        </w:p>
                        <w:p w:rsidR="00A270C3" w:rsidRDefault="00A270C3">
                          <w:pPr>
                            <w:spacing w:line="720" w:lineRule="exact"/>
                            <w:rPr>
                              <w:color w:val="000000"/>
                              <w:sz w:val="21"/>
                            </w:rPr>
                          </w:pPr>
                          <w:r>
                            <w:rPr>
                              <w:color w:val="000000"/>
                              <w:sz w:val="21"/>
                            </w:rPr>
                            <w:t>T</w:t>
                          </w:r>
                        </w:p>
                        <w:p w:rsidR="00A270C3" w:rsidRDefault="00A270C3">
                          <w:pPr>
                            <w:spacing w:line="720" w:lineRule="exact"/>
                            <w:rPr>
                              <w:color w:val="000000"/>
                              <w:sz w:val="21"/>
                            </w:rPr>
                          </w:pPr>
                          <w:r>
                            <w:rPr>
                              <w:color w:val="000000"/>
                              <w:sz w:val="21"/>
                            </w:rPr>
                            <w:t>U</w:t>
                          </w:r>
                        </w:p>
                        <w:p w:rsidR="00A270C3" w:rsidRDefault="00A270C3">
                          <w:pPr>
                            <w:spacing w:line="720" w:lineRule="exact"/>
                            <w:rPr>
                              <w:color w:val="000000"/>
                              <w:sz w:val="21"/>
                            </w:rPr>
                          </w:pPr>
                          <w:r>
                            <w:rPr>
                              <w:color w:val="000000"/>
                              <w:sz w:val="21"/>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458.95pt;margin-top:-.65pt;width:28.8pt;height:799.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" stroked="f">
              <v:textbox>
                <w:txbxContent>
                  <w:p w:rsidR="00A270C3" w:rsidRDefault="00A270C3">
                    <w:pPr>
                      <w:spacing w:line="720" w:lineRule="exact"/>
                      <w:rPr>
                        <w:color w:val="000000"/>
                        <w:sz w:val="21"/>
                      </w:rPr>
                    </w:pPr>
                    <w:r>
                      <w:rPr>
                        <w:color w:val="000000"/>
                        <w:sz w:val="21"/>
                      </w:rPr>
                      <w:t>A</w:t>
                    </w:r>
                  </w:p>
                  <w:p w:rsidR="00A270C3" w:rsidRDefault="00A270C3">
                    <w:pPr>
                      <w:spacing w:line="720" w:lineRule="exact"/>
                      <w:rPr>
                        <w:color w:val="000000"/>
                        <w:sz w:val="21"/>
                      </w:rPr>
                    </w:pPr>
                    <w:r>
                      <w:rPr>
                        <w:color w:val="000000"/>
                        <w:sz w:val="21"/>
                      </w:rPr>
                      <w:t>B</w:t>
                    </w:r>
                  </w:p>
                  <w:p w:rsidR="00A270C3" w:rsidRDefault="00A270C3">
                    <w:pPr>
                      <w:spacing w:line="720" w:lineRule="exact"/>
                      <w:rPr>
                        <w:color w:val="000000"/>
                        <w:sz w:val="21"/>
                      </w:rPr>
                    </w:pPr>
                    <w:r>
                      <w:rPr>
                        <w:color w:val="000000"/>
                        <w:sz w:val="21"/>
                      </w:rPr>
                      <w:t>C</w:t>
                    </w:r>
                  </w:p>
                  <w:p w:rsidR="00A270C3" w:rsidRDefault="00A270C3">
                    <w:pPr>
                      <w:spacing w:line="720" w:lineRule="exact"/>
                      <w:rPr>
                        <w:color w:val="000000"/>
                        <w:sz w:val="21"/>
                      </w:rPr>
                    </w:pPr>
                    <w:r>
                      <w:rPr>
                        <w:color w:val="000000"/>
                        <w:sz w:val="21"/>
                      </w:rPr>
                      <w:t>D</w:t>
                    </w:r>
                  </w:p>
                  <w:p w:rsidR="00A270C3" w:rsidRDefault="00A270C3">
                    <w:pPr>
                      <w:spacing w:line="720" w:lineRule="exact"/>
                      <w:rPr>
                        <w:color w:val="000000"/>
                        <w:sz w:val="21"/>
                      </w:rPr>
                    </w:pPr>
                    <w:r>
                      <w:rPr>
                        <w:color w:val="000000"/>
                        <w:sz w:val="21"/>
                      </w:rPr>
                      <w:t>E</w:t>
                    </w:r>
                  </w:p>
                  <w:p w:rsidR="00A270C3" w:rsidRDefault="00A270C3">
                    <w:pPr>
                      <w:spacing w:line="720" w:lineRule="exact"/>
                      <w:rPr>
                        <w:color w:val="000000"/>
                        <w:sz w:val="21"/>
                      </w:rPr>
                    </w:pPr>
                    <w:r>
                      <w:rPr>
                        <w:color w:val="000000"/>
                        <w:sz w:val="21"/>
                      </w:rPr>
                      <w:t>F</w:t>
                    </w:r>
                  </w:p>
                  <w:p w:rsidR="00A270C3" w:rsidRDefault="00A270C3">
                    <w:pPr>
                      <w:spacing w:line="720" w:lineRule="exact"/>
                      <w:rPr>
                        <w:color w:val="000000"/>
                        <w:sz w:val="21"/>
                      </w:rPr>
                    </w:pPr>
                    <w:r>
                      <w:rPr>
                        <w:color w:val="000000"/>
                        <w:sz w:val="21"/>
                      </w:rPr>
                      <w:t>G</w:t>
                    </w:r>
                  </w:p>
                  <w:p w:rsidR="00A270C3" w:rsidRDefault="00A270C3">
                    <w:pPr>
                      <w:spacing w:line="720" w:lineRule="exact"/>
                      <w:rPr>
                        <w:color w:val="000000"/>
                        <w:sz w:val="21"/>
                      </w:rPr>
                    </w:pPr>
                    <w:r>
                      <w:rPr>
                        <w:color w:val="000000"/>
                        <w:sz w:val="21"/>
                      </w:rPr>
                      <w:t>H</w:t>
                    </w:r>
                  </w:p>
                  <w:p w:rsidR="00A270C3" w:rsidRDefault="00A270C3">
                    <w:pPr>
                      <w:spacing w:line="720" w:lineRule="exact"/>
                      <w:rPr>
                        <w:color w:val="000000"/>
                        <w:sz w:val="21"/>
                      </w:rPr>
                    </w:pPr>
                    <w:r>
                      <w:rPr>
                        <w:color w:val="000000"/>
                        <w:sz w:val="21"/>
                      </w:rPr>
                      <w:t>I</w:t>
                    </w:r>
                  </w:p>
                  <w:p w:rsidR="00A270C3" w:rsidRDefault="00A270C3">
                    <w:pPr>
                      <w:spacing w:line="720" w:lineRule="exact"/>
                      <w:rPr>
                        <w:color w:val="000000"/>
                        <w:sz w:val="21"/>
                      </w:rPr>
                    </w:pPr>
                    <w:r>
                      <w:rPr>
                        <w:color w:val="000000"/>
                        <w:sz w:val="21"/>
                      </w:rPr>
                      <w:t>J</w:t>
                    </w:r>
                  </w:p>
                  <w:p w:rsidR="00A270C3" w:rsidRDefault="00A270C3">
                    <w:pPr>
                      <w:spacing w:line="720" w:lineRule="exact"/>
                      <w:rPr>
                        <w:color w:val="000000"/>
                        <w:sz w:val="21"/>
                      </w:rPr>
                    </w:pPr>
                    <w:r>
                      <w:rPr>
                        <w:color w:val="000000"/>
                        <w:sz w:val="21"/>
                      </w:rPr>
                      <w:t>K</w:t>
                    </w:r>
                  </w:p>
                  <w:p w:rsidR="00A270C3" w:rsidRDefault="00A270C3">
                    <w:pPr>
                      <w:spacing w:line="720" w:lineRule="exact"/>
                      <w:rPr>
                        <w:color w:val="000000"/>
                        <w:sz w:val="21"/>
                      </w:rPr>
                    </w:pPr>
                    <w:r>
                      <w:rPr>
                        <w:color w:val="000000"/>
                        <w:sz w:val="21"/>
                      </w:rPr>
                      <w:t>L</w:t>
                    </w:r>
                  </w:p>
                  <w:p w:rsidR="00A270C3" w:rsidRDefault="00A270C3">
                    <w:pPr>
                      <w:spacing w:line="720" w:lineRule="exact"/>
                      <w:rPr>
                        <w:color w:val="000000"/>
                        <w:sz w:val="21"/>
                      </w:rPr>
                    </w:pPr>
                    <w:r>
                      <w:rPr>
                        <w:color w:val="000000"/>
                        <w:sz w:val="21"/>
                      </w:rPr>
                      <w:t>M</w:t>
                    </w:r>
                  </w:p>
                  <w:p w:rsidR="00A270C3" w:rsidRDefault="00A270C3">
                    <w:pPr>
                      <w:spacing w:line="720" w:lineRule="exact"/>
                      <w:rPr>
                        <w:color w:val="000000"/>
                        <w:sz w:val="21"/>
                      </w:rPr>
                    </w:pPr>
                    <w:r>
                      <w:rPr>
                        <w:color w:val="000000"/>
                        <w:sz w:val="21"/>
                      </w:rPr>
                      <w:t>N</w:t>
                    </w:r>
                  </w:p>
                  <w:p w:rsidR="00A270C3" w:rsidRDefault="00A270C3">
                    <w:pPr>
                      <w:spacing w:line="720" w:lineRule="exact"/>
                      <w:rPr>
                        <w:color w:val="000000"/>
                        <w:sz w:val="21"/>
                      </w:rPr>
                    </w:pPr>
                    <w:r>
                      <w:rPr>
                        <w:color w:val="000000"/>
                        <w:sz w:val="21"/>
                      </w:rPr>
                      <w:t>O</w:t>
                    </w:r>
                  </w:p>
                  <w:p w:rsidR="00A270C3" w:rsidRDefault="00A270C3">
                    <w:pPr>
                      <w:spacing w:line="720" w:lineRule="exact"/>
                      <w:rPr>
                        <w:color w:val="000000"/>
                        <w:sz w:val="21"/>
                      </w:rPr>
                    </w:pPr>
                    <w:r>
                      <w:rPr>
                        <w:color w:val="000000"/>
                        <w:sz w:val="21"/>
                      </w:rPr>
                      <w:t>P</w:t>
                    </w:r>
                  </w:p>
                  <w:p w:rsidR="00A270C3" w:rsidRDefault="00A270C3">
                    <w:pPr>
                      <w:spacing w:line="720" w:lineRule="exact"/>
                      <w:rPr>
                        <w:color w:val="000000"/>
                        <w:sz w:val="21"/>
                      </w:rPr>
                    </w:pPr>
                    <w:r>
                      <w:rPr>
                        <w:color w:val="000000"/>
                        <w:sz w:val="21"/>
                      </w:rPr>
                      <w:t>Q</w:t>
                    </w:r>
                  </w:p>
                  <w:p w:rsidR="00A270C3" w:rsidRDefault="00A270C3">
                    <w:pPr>
                      <w:spacing w:line="720" w:lineRule="exact"/>
                      <w:rPr>
                        <w:color w:val="000000"/>
                        <w:sz w:val="21"/>
                      </w:rPr>
                    </w:pPr>
                    <w:r>
                      <w:rPr>
                        <w:color w:val="000000"/>
                        <w:sz w:val="21"/>
                      </w:rPr>
                      <w:t>R</w:t>
                    </w:r>
                  </w:p>
                  <w:p w:rsidR="00A270C3" w:rsidRDefault="00A270C3">
                    <w:pPr>
                      <w:spacing w:line="720" w:lineRule="exact"/>
                      <w:rPr>
                        <w:color w:val="000000"/>
                        <w:sz w:val="21"/>
                      </w:rPr>
                    </w:pPr>
                    <w:r>
                      <w:rPr>
                        <w:color w:val="000000"/>
                        <w:sz w:val="21"/>
                      </w:rPr>
                      <w:t>S</w:t>
                    </w:r>
                  </w:p>
                  <w:p w:rsidR="00A270C3" w:rsidRDefault="00A270C3">
                    <w:pPr>
                      <w:spacing w:line="720" w:lineRule="exact"/>
                      <w:rPr>
                        <w:color w:val="000000"/>
                        <w:sz w:val="21"/>
                      </w:rPr>
                    </w:pPr>
                    <w:r>
                      <w:rPr>
                        <w:color w:val="000000"/>
                        <w:sz w:val="21"/>
                      </w:rPr>
                      <w:t>T</w:t>
                    </w:r>
                  </w:p>
                  <w:p w:rsidR="00A270C3" w:rsidRDefault="00A270C3">
                    <w:pPr>
                      <w:spacing w:line="720" w:lineRule="exact"/>
                      <w:rPr>
                        <w:color w:val="000000"/>
                        <w:sz w:val="21"/>
                      </w:rPr>
                    </w:pPr>
                    <w:r>
                      <w:rPr>
                        <w:color w:val="000000"/>
                        <w:sz w:val="21"/>
                      </w:rPr>
                      <w:t>U</w:t>
                    </w:r>
                  </w:p>
                  <w:p w:rsidR="00A270C3" w:rsidRDefault="00A270C3">
                    <w:pPr>
                      <w:spacing w:line="720" w:lineRule="exact"/>
                      <w:rPr>
                        <w:color w:val="000000"/>
                        <w:sz w:val="21"/>
                      </w:rPr>
                    </w:pPr>
                    <w:r>
                      <w:rPr>
                        <w:color w:val="000000"/>
                        <w:sz w:val="21"/>
                      </w:rPr>
                      <w:t>V</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0C3" w:rsidRDefault="00232FB4">
    <w:pPr>
      <w:pStyle w:val="Header"/>
    </w:pPr>
    <w:r>
      <w:rPr>
        <w:noProof/>
        <w:sz w:val="20"/>
        <w:lang w:val="en-US" w:eastAsia="zh-CN"/>
      </w:rPr>
      <mc:AlternateContent>
        <mc:Choice Requires="wps">
          <w:drawing>
            <wp:anchor distT="0" distB="0" distL="114300" distR="114300" simplePos="0" relativeHeight="251658240" behindDoc="0" locked="0" layoutInCell="1" allowOverlap="1">
              <wp:simplePos x="0" y="0"/>
              <wp:positionH relativeFrom="column">
                <wp:posOffset>-686435</wp:posOffset>
              </wp:positionH>
              <wp:positionV relativeFrom="paragraph">
                <wp:posOffset>-8255</wp:posOffset>
              </wp:positionV>
              <wp:extent cx="365760" cy="10149840"/>
              <wp:effectExtent l="0" t="1270" r="0" b="254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014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70C3" w:rsidRDefault="00A270C3">
                          <w:pPr>
                            <w:spacing w:line="720" w:lineRule="exact"/>
                            <w:rPr>
                              <w:color w:val="000000"/>
                              <w:sz w:val="21"/>
                            </w:rPr>
                          </w:pPr>
                          <w:r>
                            <w:rPr>
                              <w:color w:val="000000"/>
                              <w:sz w:val="21"/>
                            </w:rPr>
                            <w:t>A</w:t>
                          </w:r>
                        </w:p>
                        <w:p w:rsidR="00A270C3" w:rsidRDefault="00A270C3">
                          <w:pPr>
                            <w:spacing w:line="720" w:lineRule="exact"/>
                            <w:rPr>
                              <w:color w:val="000000"/>
                              <w:sz w:val="21"/>
                            </w:rPr>
                          </w:pPr>
                          <w:r>
                            <w:rPr>
                              <w:color w:val="000000"/>
                              <w:sz w:val="21"/>
                            </w:rPr>
                            <w:t>B</w:t>
                          </w:r>
                        </w:p>
                        <w:p w:rsidR="00A270C3" w:rsidRDefault="00A270C3">
                          <w:pPr>
                            <w:spacing w:line="720" w:lineRule="exact"/>
                            <w:rPr>
                              <w:color w:val="000000"/>
                              <w:sz w:val="21"/>
                            </w:rPr>
                          </w:pPr>
                          <w:r>
                            <w:rPr>
                              <w:color w:val="000000"/>
                              <w:sz w:val="21"/>
                            </w:rPr>
                            <w:t>C</w:t>
                          </w:r>
                        </w:p>
                        <w:p w:rsidR="00A270C3" w:rsidRDefault="00A270C3">
                          <w:pPr>
                            <w:spacing w:line="720" w:lineRule="exact"/>
                            <w:rPr>
                              <w:color w:val="000000"/>
                              <w:sz w:val="21"/>
                            </w:rPr>
                          </w:pPr>
                          <w:r>
                            <w:rPr>
                              <w:color w:val="000000"/>
                              <w:sz w:val="21"/>
                            </w:rPr>
                            <w:t>D</w:t>
                          </w:r>
                        </w:p>
                        <w:p w:rsidR="00A270C3" w:rsidRDefault="00A270C3">
                          <w:pPr>
                            <w:spacing w:line="720" w:lineRule="exact"/>
                            <w:rPr>
                              <w:color w:val="000000"/>
                              <w:sz w:val="21"/>
                            </w:rPr>
                          </w:pPr>
                          <w:r>
                            <w:rPr>
                              <w:color w:val="000000"/>
                              <w:sz w:val="21"/>
                            </w:rPr>
                            <w:t>E</w:t>
                          </w:r>
                        </w:p>
                        <w:p w:rsidR="00A270C3" w:rsidRDefault="00A270C3">
                          <w:pPr>
                            <w:spacing w:line="720" w:lineRule="exact"/>
                            <w:rPr>
                              <w:color w:val="000000"/>
                              <w:sz w:val="21"/>
                            </w:rPr>
                          </w:pPr>
                          <w:r>
                            <w:rPr>
                              <w:color w:val="000000"/>
                              <w:sz w:val="21"/>
                            </w:rPr>
                            <w:t>F</w:t>
                          </w:r>
                        </w:p>
                        <w:p w:rsidR="00A270C3" w:rsidRDefault="00A270C3">
                          <w:pPr>
                            <w:spacing w:line="720" w:lineRule="exact"/>
                            <w:rPr>
                              <w:color w:val="000000"/>
                              <w:sz w:val="21"/>
                            </w:rPr>
                          </w:pPr>
                          <w:r>
                            <w:rPr>
                              <w:color w:val="000000"/>
                              <w:sz w:val="21"/>
                            </w:rPr>
                            <w:t>G</w:t>
                          </w:r>
                        </w:p>
                        <w:p w:rsidR="00A270C3" w:rsidRDefault="00A270C3">
                          <w:pPr>
                            <w:spacing w:line="720" w:lineRule="exact"/>
                            <w:rPr>
                              <w:color w:val="000000"/>
                              <w:sz w:val="21"/>
                            </w:rPr>
                          </w:pPr>
                          <w:r>
                            <w:rPr>
                              <w:color w:val="000000"/>
                              <w:sz w:val="21"/>
                            </w:rPr>
                            <w:t>H</w:t>
                          </w:r>
                        </w:p>
                        <w:p w:rsidR="00A270C3" w:rsidRDefault="00A270C3">
                          <w:pPr>
                            <w:spacing w:line="720" w:lineRule="exact"/>
                            <w:rPr>
                              <w:color w:val="000000"/>
                              <w:sz w:val="21"/>
                            </w:rPr>
                          </w:pPr>
                          <w:r>
                            <w:rPr>
                              <w:color w:val="000000"/>
                              <w:sz w:val="21"/>
                            </w:rPr>
                            <w:t>I</w:t>
                          </w:r>
                        </w:p>
                        <w:p w:rsidR="00A270C3" w:rsidRDefault="00A270C3">
                          <w:pPr>
                            <w:spacing w:line="720" w:lineRule="exact"/>
                            <w:rPr>
                              <w:color w:val="000000"/>
                              <w:sz w:val="21"/>
                            </w:rPr>
                          </w:pPr>
                          <w:r>
                            <w:rPr>
                              <w:color w:val="000000"/>
                              <w:sz w:val="21"/>
                            </w:rPr>
                            <w:t>J</w:t>
                          </w:r>
                        </w:p>
                        <w:p w:rsidR="00A270C3" w:rsidRDefault="00A270C3">
                          <w:pPr>
                            <w:spacing w:line="720" w:lineRule="exact"/>
                            <w:rPr>
                              <w:color w:val="000000"/>
                              <w:sz w:val="21"/>
                            </w:rPr>
                          </w:pPr>
                          <w:r>
                            <w:rPr>
                              <w:color w:val="000000"/>
                              <w:sz w:val="21"/>
                            </w:rPr>
                            <w:t>K</w:t>
                          </w:r>
                        </w:p>
                        <w:p w:rsidR="00A270C3" w:rsidRDefault="00A270C3">
                          <w:pPr>
                            <w:spacing w:line="720" w:lineRule="exact"/>
                            <w:rPr>
                              <w:color w:val="000000"/>
                              <w:sz w:val="21"/>
                            </w:rPr>
                          </w:pPr>
                          <w:r>
                            <w:rPr>
                              <w:color w:val="000000"/>
                              <w:sz w:val="21"/>
                            </w:rPr>
                            <w:t>L</w:t>
                          </w:r>
                        </w:p>
                        <w:p w:rsidR="00A270C3" w:rsidRDefault="00A270C3">
                          <w:pPr>
                            <w:spacing w:line="720" w:lineRule="exact"/>
                            <w:rPr>
                              <w:color w:val="000000"/>
                              <w:sz w:val="21"/>
                            </w:rPr>
                          </w:pPr>
                          <w:r>
                            <w:rPr>
                              <w:color w:val="000000"/>
                              <w:sz w:val="21"/>
                            </w:rPr>
                            <w:t>M</w:t>
                          </w:r>
                        </w:p>
                        <w:p w:rsidR="00A270C3" w:rsidRDefault="00A270C3">
                          <w:pPr>
                            <w:spacing w:line="720" w:lineRule="exact"/>
                            <w:rPr>
                              <w:color w:val="000000"/>
                              <w:sz w:val="21"/>
                            </w:rPr>
                          </w:pPr>
                          <w:r>
                            <w:rPr>
                              <w:color w:val="000000"/>
                              <w:sz w:val="21"/>
                            </w:rPr>
                            <w:t>N</w:t>
                          </w:r>
                        </w:p>
                        <w:p w:rsidR="00A270C3" w:rsidRDefault="00A270C3">
                          <w:pPr>
                            <w:spacing w:line="720" w:lineRule="exact"/>
                            <w:rPr>
                              <w:color w:val="000000"/>
                              <w:sz w:val="21"/>
                            </w:rPr>
                          </w:pPr>
                          <w:r>
                            <w:rPr>
                              <w:color w:val="000000"/>
                              <w:sz w:val="21"/>
                            </w:rPr>
                            <w:t>O</w:t>
                          </w:r>
                        </w:p>
                        <w:p w:rsidR="00A270C3" w:rsidRDefault="00A270C3">
                          <w:pPr>
                            <w:spacing w:line="720" w:lineRule="exact"/>
                            <w:rPr>
                              <w:color w:val="000000"/>
                              <w:sz w:val="21"/>
                            </w:rPr>
                          </w:pPr>
                          <w:r>
                            <w:rPr>
                              <w:color w:val="000000"/>
                              <w:sz w:val="21"/>
                            </w:rPr>
                            <w:t>P</w:t>
                          </w:r>
                        </w:p>
                        <w:p w:rsidR="00A270C3" w:rsidRDefault="00A270C3">
                          <w:pPr>
                            <w:spacing w:line="720" w:lineRule="exact"/>
                            <w:rPr>
                              <w:color w:val="000000"/>
                              <w:sz w:val="21"/>
                            </w:rPr>
                          </w:pPr>
                          <w:r>
                            <w:rPr>
                              <w:color w:val="000000"/>
                              <w:sz w:val="21"/>
                            </w:rPr>
                            <w:t>Q</w:t>
                          </w:r>
                        </w:p>
                        <w:p w:rsidR="00A270C3" w:rsidRDefault="00A270C3">
                          <w:pPr>
                            <w:spacing w:line="720" w:lineRule="exact"/>
                            <w:rPr>
                              <w:color w:val="000000"/>
                              <w:sz w:val="21"/>
                            </w:rPr>
                          </w:pPr>
                          <w:r>
                            <w:rPr>
                              <w:color w:val="000000"/>
                              <w:sz w:val="21"/>
                            </w:rPr>
                            <w:t>R</w:t>
                          </w:r>
                        </w:p>
                        <w:p w:rsidR="00A270C3" w:rsidRDefault="00A270C3">
                          <w:pPr>
                            <w:spacing w:line="720" w:lineRule="exact"/>
                            <w:rPr>
                              <w:color w:val="000000"/>
                              <w:sz w:val="21"/>
                            </w:rPr>
                          </w:pPr>
                          <w:r>
                            <w:rPr>
                              <w:color w:val="000000"/>
                              <w:sz w:val="21"/>
                            </w:rPr>
                            <w:t>S</w:t>
                          </w:r>
                        </w:p>
                        <w:p w:rsidR="00A270C3" w:rsidRDefault="00A270C3">
                          <w:pPr>
                            <w:spacing w:line="720" w:lineRule="exact"/>
                            <w:rPr>
                              <w:color w:val="000000"/>
                              <w:sz w:val="21"/>
                            </w:rPr>
                          </w:pPr>
                          <w:r>
                            <w:rPr>
                              <w:color w:val="000000"/>
                              <w:sz w:val="21"/>
                            </w:rPr>
                            <w:t>T</w:t>
                          </w:r>
                        </w:p>
                        <w:p w:rsidR="00A270C3" w:rsidRDefault="00A270C3">
                          <w:pPr>
                            <w:spacing w:line="720" w:lineRule="exact"/>
                            <w:rPr>
                              <w:color w:val="000000"/>
                              <w:sz w:val="21"/>
                            </w:rPr>
                          </w:pPr>
                          <w:r>
                            <w:rPr>
                              <w:color w:val="000000"/>
                              <w:sz w:val="21"/>
                            </w:rPr>
                            <w:t>U</w:t>
                          </w:r>
                        </w:p>
                        <w:p w:rsidR="00A270C3" w:rsidRDefault="00A270C3">
                          <w:pPr>
                            <w:spacing w:line="720" w:lineRule="exact"/>
                            <w:rPr>
                              <w:color w:val="000000"/>
                              <w:sz w:val="21"/>
                            </w:rPr>
                          </w:pPr>
                          <w:r>
                            <w:rPr>
                              <w:color w:val="000000"/>
                              <w:sz w:val="21"/>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54.05pt;margin-top:-.65pt;width:28.8pt;height:79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XWLhQIAABc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" stroked="f">
              <v:textbox>
                <w:txbxContent>
                  <w:p w:rsidR="00A270C3" w:rsidRDefault="00A270C3">
                    <w:pPr>
                      <w:spacing w:line="720" w:lineRule="exact"/>
                      <w:rPr>
                        <w:color w:val="000000"/>
                        <w:sz w:val="21"/>
                      </w:rPr>
                    </w:pPr>
                    <w:r>
                      <w:rPr>
                        <w:color w:val="000000"/>
                        <w:sz w:val="21"/>
                      </w:rPr>
                      <w:t>A</w:t>
                    </w:r>
                  </w:p>
                  <w:p w:rsidR="00A270C3" w:rsidRDefault="00A270C3">
                    <w:pPr>
                      <w:spacing w:line="720" w:lineRule="exact"/>
                      <w:rPr>
                        <w:color w:val="000000"/>
                        <w:sz w:val="21"/>
                      </w:rPr>
                    </w:pPr>
                    <w:r>
                      <w:rPr>
                        <w:color w:val="000000"/>
                        <w:sz w:val="21"/>
                      </w:rPr>
                      <w:t>B</w:t>
                    </w:r>
                  </w:p>
                  <w:p w:rsidR="00A270C3" w:rsidRDefault="00A270C3">
                    <w:pPr>
                      <w:spacing w:line="720" w:lineRule="exact"/>
                      <w:rPr>
                        <w:color w:val="000000"/>
                        <w:sz w:val="21"/>
                      </w:rPr>
                    </w:pPr>
                    <w:r>
                      <w:rPr>
                        <w:color w:val="000000"/>
                        <w:sz w:val="21"/>
                      </w:rPr>
                      <w:t>C</w:t>
                    </w:r>
                  </w:p>
                  <w:p w:rsidR="00A270C3" w:rsidRDefault="00A270C3">
                    <w:pPr>
                      <w:spacing w:line="720" w:lineRule="exact"/>
                      <w:rPr>
                        <w:color w:val="000000"/>
                        <w:sz w:val="21"/>
                      </w:rPr>
                    </w:pPr>
                    <w:r>
                      <w:rPr>
                        <w:color w:val="000000"/>
                        <w:sz w:val="21"/>
                      </w:rPr>
                      <w:t>D</w:t>
                    </w:r>
                  </w:p>
                  <w:p w:rsidR="00A270C3" w:rsidRDefault="00A270C3">
                    <w:pPr>
                      <w:spacing w:line="720" w:lineRule="exact"/>
                      <w:rPr>
                        <w:color w:val="000000"/>
                        <w:sz w:val="21"/>
                      </w:rPr>
                    </w:pPr>
                    <w:r>
                      <w:rPr>
                        <w:color w:val="000000"/>
                        <w:sz w:val="21"/>
                      </w:rPr>
                      <w:t>E</w:t>
                    </w:r>
                  </w:p>
                  <w:p w:rsidR="00A270C3" w:rsidRDefault="00A270C3">
                    <w:pPr>
                      <w:spacing w:line="720" w:lineRule="exact"/>
                      <w:rPr>
                        <w:color w:val="000000"/>
                        <w:sz w:val="21"/>
                      </w:rPr>
                    </w:pPr>
                    <w:r>
                      <w:rPr>
                        <w:color w:val="000000"/>
                        <w:sz w:val="21"/>
                      </w:rPr>
                      <w:t>F</w:t>
                    </w:r>
                  </w:p>
                  <w:p w:rsidR="00A270C3" w:rsidRDefault="00A270C3">
                    <w:pPr>
                      <w:spacing w:line="720" w:lineRule="exact"/>
                      <w:rPr>
                        <w:color w:val="000000"/>
                        <w:sz w:val="21"/>
                      </w:rPr>
                    </w:pPr>
                    <w:r>
                      <w:rPr>
                        <w:color w:val="000000"/>
                        <w:sz w:val="21"/>
                      </w:rPr>
                      <w:t>G</w:t>
                    </w:r>
                  </w:p>
                  <w:p w:rsidR="00A270C3" w:rsidRDefault="00A270C3">
                    <w:pPr>
                      <w:spacing w:line="720" w:lineRule="exact"/>
                      <w:rPr>
                        <w:color w:val="000000"/>
                        <w:sz w:val="21"/>
                      </w:rPr>
                    </w:pPr>
                    <w:r>
                      <w:rPr>
                        <w:color w:val="000000"/>
                        <w:sz w:val="21"/>
                      </w:rPr>
                      <w:t>H</w:t>
                    </w:r>
                  </w:p>
                  <w:p w:rsidR="00A270C3" w:rsidRDefault="00A270C3">
                    <w:pPr>
                      <w:spacing w:line="720" w:lineRule="exact"/>
                      <w:rPr>
                        <w:color w:val="000000"/>
                        <w:sz w:val="21"/>
                      </w:rPr>
                    </w:pPr>
                    <w:r>
                      <w:rPr>
                        <w:color w:val="000000"/>
                        <w:sz w:val="21"/>
                      </w:rPr>
                      <w:t>I</w:t>
                    </w:r>
                  </w:p>
                  <w:p w:rsidR="00A270C3" w:rsidRDefault="00A270C3">
                    <w:pPr>
                      <w:spacing w:line="720" w:lineRule="exact"/>
                      <w:rPr>
                        <w:color w:val="000000"/>
                        <w:sz w:val="21"/>
                      </w:rPr>
                    </w:pPr>
                    <w:r>
                      <w:rPr>
                        <w:color w:val="000000"/>
                        <w:sz w:val="21"/>
                      </w:rPr>
                      <w:t>J</w:t>
                    </w:r>
                  </w:p>
                  <w:p w:rsidR="00A270C3" w:rsidRDefault="00A270C3">
                    <w:pPr>
                      <w:spacing w:line="720" w:lineRule="exact"/>
                      <w:rPr>
                        <w:color w:val="000000"/>
                        <w:sz w:val="21"/>
                      </w:rPr>
                    </w:pPr>
                    <w:r>
                      <w:rPr>
                        <w:color w:val="000000"/>
                        <w:sz w:val="21"/>
                      </w:rPr>
                      <w:t>K</w:t>
                    </w:r>
                  </w:p>
                  <w:p w:rsidR="00A270C3" w:rsidRDefault="00A270C3">
                    <w:pPr>
                      <w:spacing w:line="720" w:lineRule="exact"/>
                      <w:rPr>
                        <w:color w:val="000000"/>
                        <w:sz w:val="21"/>
                      </w:rPr>
                    </w:pPr>
                    <w:r>
                      <w:rPr>
                        <w:color w:val="000000"/>
                        <w:sz w:val="21"/>
                      </w:rPr>
                      <w:t>L</w:t>
                    </w:r>
                  </w:p>
                  <w:p w:rsidR="00A270C3" w:rsidRDefault="00A270C3">
                    <w:pPr>
                      <w:spacing w:line="720" w:lineRule="exact"/>
                      <w:rPr>
                        <w:color w:val="000000"/>
                        <w:sz w:val="21"/>
                      </w:rPr>
                    </w:pPr>
                    <w:r>
                      <w:rPr>
                        <w:color w:val="000000"/>
                        <w:sz w:val="21"/>
                      </w:rPr>
                      <w:t>M</w:t>
                    </w:r>
                  </w:p>
                  <w:p w:rsidR="00A270C3" w:rsidRDefault="00A270C3">
                    <w:pPr>
                      <w:spacing w:line="720" w:lineRule="exact"/>
                      <w:rPr>
                        <w:color w:val="000000"/>
                        <w:sz w:val="21"/>
                      </w:rPr>
                    </w:pPr>
                    <w:r>
                      <w:rPr>
                        <w:color w:val="000000"/>
                        <w:sz w:val="21"/>
                      </w:rPr>
                      <w:t>N</w:t>
                    </w:r>
                  </w:p>
                  <w:p w:rsidR="00A270C3" w:rsidRDefault="00A270C3">
                    <w:pPr>
                      <w:spacing w:line="720" w:lineRule="exact"/>
                      <w:rPr>
                        <w:color w:val="000000"/>
                        <w:sz w:val="21"/>
                      </w:rPr>
                    </w:pPr>
                    <w:r>
                      <w:rPr>
                        <w:color w:val="000000"/>
                        <w:sz w:val="21"/>
                      </w:rPr>
                      <w:t>O</w:t>
                    </w:r>
                  </w:p>
                  <w:p w:rsidR="00A270C3" w:rsidRDefault="00A270C3">
                    <w:pPr>
                      <w:spacing w:line="720" w:lineRule="exact"/>
                      <w:rPr>
                        <w:color w:val="000000"/>
                        <w:sz w:val="21"/>
                      </w:rPr>
                    </w:pPr>
                    <w:r>
                      <w:rPr>
                        <w:color w:val="000000"/>
                        <w:sz w:val="21"/>
                      </w:rPr>
                      <w:t>P</w:t>
                    </w:r>
                  </w:p>
                  <w:p w:rsidR="00A270C3" w:rsidRDefault="00A270C3">
                    <w:pPr>
                      <w:spacing w:line="720" w:lineRule="exact"/>
                      <w:rPr>
                        <w:color w:val="000000"/>
                        <w:sz w:val="21"/>
                      </w:rPr>
                    </w:pPr>
                    <w:r>
                      <w:rPr>
                        <w:color w:val="000000"/>
                        <w:sz w:val="21"/>
                      </w:rPr>
                      <w:t>Q</w:t>
                    </w:r>
                  </w:p>
                  <w:p w:rsidR="00A270C3" w:rsidRDefault="00A270C3">
                    <w:pPr>
                      <w:spacing w:line="720" w:lineRule="exact"/>
                      <w:rPr>
                        <w:color w:val="000000"/>
                        <w:sz w:val="21"/>
                      </w:rPr>
                    </w:pPr>
                    <w:r>
                      <w:rPr>
                        <w:color w:val="000000"/>
                        <w:sz w:val="21"/>
                      </w:rPr>
                      <w:t>R</w:t>
                    </w:r>
                  </w:p>
                  <w:p w:rsidR="00A270C3" w:rsidRDefault="00A270C3">
                    <w:pPr>
                      <w:spacing w:line="720" w:lineRule="exact"/>
                      <w:rPr>
                        <w:color w:val="000000"/>
                        <w:sz w:val="21"/>
                      </w:rPr>
                    </w:pPr>
                    <w:r>
                      <w:rPr>
                        <w:color w:val="000000"/>
                        <w:sz w:val="21"/>
                      </w:rPr>
                      <w:t>S</w:t>
                    </w:r>
                  </w:p>
                  <w:p w:rsidR="00A270C3" w:rsidRDefault="00A270C3">
                    <w:pPr>
                      <w:spacing w:line="720" w:lineRule="exact"/>
                      <w:rPr>
                        <w:color w:val="000000"/>
                        <w:sz w:val="21"/>
                      </w:rPr>
                    </w:pPr>
                    <w:r>
                      <w:rPr>
                        <w:color w:val="000000"/>
                        <w:sz w:val="21"/>
                      </w:rPr>
                      <w:t>T</w:t>
                    </w:r>
                  </w:p>
                  <w:p w:rsidR="00A270C3" w:rsidRDefault="00A270C3">
                    <w:pPr>
                      <w:spacing w:line="720" w:lineRule="exact"/>
                      <w:rPr>
                        <w:color w:val="000000"/>
                        <w:sz w:val="21"/>
                      </w:rPr>
                    </w:pPr>
                    <w:r>
                      <w:rPr>
                        <w:color w:val="000000"/>
                        <w:sz w:val="21"/>
                      </w:rPr>
                      <w:t>U</w:t>
                    </w:r>
                  </w:p>
                  <w:p w:rsidR="00A270C3" w:rsidRDefault="00A270C3">
                    <w:pPr>
                      <w:spacing w:line="720" w:lineRule="exact"/>
                      <w:rPr>
                        <w:color w:val="000000"/>
                        <w:sz w:val="21"/>
                      </w:rPr>
                    </w:pPr>
                    <w:r>
                      <w:rPr>
                        <w:color w:val="000000"/>
                        <w:sz w:val="21"/>
                      </w:rPr>
                      <w:t>V</w:t>
                    </w:r>
                  </w:p>
                </w:txbxContent>
              </v:textbox>
            </v:shape>
          </w:pict>
        </mc:Fallback>
      </mc:AlternateContent>
    </w:r>
    <w:r>
      <w:rPr>
        <w:noProof/>
        <w:sz w:val="20"/>
        <w:lang w:val="en-US" w:eastAsia="zh-CN"/>
      </w:rPr>
      <mc:AlternateContent>
        <mc:Choice Requires="wps">
          <w:drawing>
            <wp:anchor distT="0" distB="0" distL="114300" distR="114300" simplePos="0" relativeHeight="251657216" behindDoc="0" locked="0" layoutInCell="1" allowOverlap="1">
              <wp:simplePos x="0" y="0"/>
              <wp:positionH relativeFrom="column">
                <wp:posOffset>5828665</wp:posOffset>
              </wp:positionH>
              <wp:positionV relativeFrom="paragraph">
                <wp:posOffset>-8255</wp:posOffset>
              </wp:positionV>
              <wp:extent cx="365760" cy="10149840"/>
              <wp:effectExtent l="0" t="127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014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70C3" w:rsidRDefault="00A270C3">
                          <w:pPr>
                            <w:spacing w:line="720" w:lineRule="exact"/>
                            <w:rPr>
                              <w:color w:val="000000"/>
                              <w:sz w:val="21"/>
                            </w:rPr>
                          </w:pPr>
                          <w:r>
                            <w:rPr>
                              <w:color w:val="000000"/>
                              <w:sz w:val="21"/>
                            </w:rPr>
                            <w:t>A</w:t>
                          </w:r>
                        </w:p>
                        <w:p w:rsidR="00A270C3" w:rsidRDefault="00A270C3">
                          <w:pPr>
                            <w:spacing w:line="720" w:lineRule="exact"/>
                            <w:rPr>
                              <w:color w:val="000000"/>
                              <w:sz w:val="21"/>
                            </w:rPr>
                          </w:pPr>
                          <w:r>
                            <w:rPr>
                              <w:color w:val="000000"/>
                              <w:sz w:val="21"/>
                            </w:rPr>
                            <w:t>B</w:t>
                          </w:r>
                        </w:p>
                        <w:p w:rsidR="00A270C3" w:rsidRDefault="00A270C3">
                          <w:pPr>
                            <w:spacing w:line="720" w:lineRule="exact"/>
                            <w:rPr>
                              <w:color w:val="000000"/>
                              <w:sz w:val="21"/>
                            </w:rPr>
                          </w:pPr>
                          <w:r>
                            <w:rPr>
                              <w:color w:val="000000"/>
                              <w:sz w:val="21"/>
                            </w:rPr>
                            <w:t>C</w:t>
                          </w:r>
                        </w:p>
                        <w:p w:rsidR="00A270C3" w:rsidRDefault="00A270C3">
                          <w:pPr>
                            <w:spacing w:line="720" w:lineRule="exact"/>
                            <w:rPr>
                              <w:color w:val="000000"/>
                              <w:sz w:val="21"/>
                            </w:rPr>
                          </w:pPr>
                          <w:r>
                            <w:rPr>
                              <w:color w:val="000000"/>
                              <w:sz w:val="21"/>
                            </w:rPr>
                            <w:t>D</w:t>
                          </w:r>
                        </w:p>
                        <w:p w:rsidR="00A270C3" w:rsidRDefault="00A270C3">
                          <w:pPr>
                            <w:spacing w:line="720" w:lineRule="exact"/>
                            <w:rPr>
                              <w:color w:val="000000"/>
                              <w:sz w:val="21"/>
                            </w:rPr>
                          </w:pPr>
                          <w:r>
                            <w:rPr>
                              <w:color w:val="000000"/>
                              <w:sz w:val="21"/>
                            </w:rPr>
                            <w:t>E</w:t>
                          </w:r>
                        </w:p>
                        <w:p w:rsidR="00A270C3" w:rsidRDefault="00A270C3">
                          <w:pPr>
                            <w:spacing w:line="720" w:lineRule="exact"/>
                            <w:rPr>
                              <w:color w:val="000000"/>
                              <w:sz w:val="21"/>
                            </w:rPr>
                          </w:pPr>
                          <w:r>
                            <w:rPr>
                              <w:color w:val="000000"/>
                              <w:sz w:val="21"/>
                            </w:rPr>
                            <w:t>F</w:t>
                          </w:r>
                        </w:p>
                        <w:p w:rsidR="00A270C3" w:rsidRDefault="00A270C3">
                          <w:pPr>
                            <w:spacing w:line="720" w:lineRule="exact"/>
                            <w:rPr>
                              <w:color w:val="000000"/>
                              <w:sz w:val="21"/>
                            </w:rPr>
                          </w:pPr>
                          <w:r>
                            <w:rPr>
                              <w:color w:val="000000"/>
                              <w:sz w:val="21"/>
                            </w:rPr>
                            <w:t>G</w:t>
                          </w:r>
                        </w:p>
                        <w:p w:rsidR="00A270C3" w:rsidRDefault="00A270C3">
                          <w:pPr>
                            <w:spacing w:line="720" w:lineRule="exact"/>
                            <w:rPr>
                              <w:color w:val="000000"/>
                              <w:sz w:val="21"/>
                            </w:rPr>
                          </w:pPr>
                          <w:r>
                            <w:rPr>
                              <w:color w:val="000000"/>
                              <w:sz w:val="21"/>
                            </w:rPr>
                            <w:t>H</w:t>
                          </w:r>
                        </w:p>
                        <w:p w:rsidR="00A270C3" w:rsidRDefault="00A270C3">
                          <w:pPr>
                            <w:spacing w:line="720" w:lineRule="exact"/>
                            <w:rPr>
                              <w:color w:val="000000"/>
                              <w:sz w:val="21"/>
                            </w:rPr>
                          </w:pPr>
                          <w:r>
                            <w:rPr>
                              <w:color w:val="000000"/>
                              <w:sz w:val="21"/>
                            </w:rPr>
                            <w:t>I</w:t>
                          </w:r>
                        </w:p>
                        <w:p w:rsidR="00A270C3" w:rsidRDefault="00A270C3">
                          <w:pPr>
                            <w:spacing w:line="720" w:lineRule="exact"/>
                            <w:rPr>
                              <w:color w:val="000000"/>
                              <w:sz w:val="21"/>
                            </w:rPr>
                          </w:pPr>
                          <w:r>
                            <w:rPr>
                              <w:color w:val="000000"/>
                              <w:sz w:val="21"/>
                            </w:rPr>
                            <w:t>J</w:t>
                          </w:r>
                        </w:p>
                        <w:p w:rsidR="00A270C3" w:rsidRDefault="00A270C3">
                          <w:pPr>
                            <w:spacing w:line="720" w:lineRule="exact"/>
                            <w:rPr>
                              <w:color w:val="000000"/>
                              <w:sz w:val="21"/>
                            </w:rPr>
                          </w:pPr>
                          <w:r>
                            <w:rPr>
                              <w:color w:val="000000"/>
                              <w:sz w:val="21"/>
                            </w:rPr>
                            <w:t>K</w:t>
                          </w:r>
                        </w:p>
                        <w:p w:rsidR="00A270C3" w:rsidRDefault="00A270C3">
                          <w:pPr>
                            <w:spacing w:line="720" w:lineRule="exact"/>
                            <w:rPr>
                              <w:color w:val="000000"/>
                              <w:sz w:val="21"/>
                            </w:rPr>
                          </w:pPr>
                          <w:r>
                            <w:rPr>
                              <w:color w:val="000000"/>
                              <w:sz w:val="21"/>
                            </w:rPr>
                            <w:t>L</w:t>
                          </w:r>
                        </w:p>
                        <w:p w:rsidR="00A270C3" w:rsidRDefault="00A270C3">
                          <w:pPr>
                            <w:spacing w:line="720" w:lineRule="exact"/>
                            <w:rPr>
                              <w:color w:val="000000"/>
                              <w:sz w:val="21"/>
                            </w:rPr>
                          </w:pPr>
                          <w:r>
                            <w:rPr>
                              <w:color w:val="000000"/>
                              <w:sz w:val="21"/>
                            </w:rPr>
                            <w:t>M</w:t>
                          </w:r>
                        </w:p>
                        <w:p w:rsidR="00A270C3" w:rsidRDefault="00A270C3">
                          <w:pPr>
                            <w:spacing w:line="720" w:lineRule="exact"/>
                            <w:rPr>
                              <w:color w:val="000000"/>
                              <w:sz w:val="21"/>
                            </w:rPr>
                          </w:pPr>
                          <w:r>
                            <w:rPr>
                              <w:color w:val="000000"/>
                              <w:sz w:val="21"/>
                            </w:rPr>
                            <w:t>N</w:t>
                          </w:r>
                        </w:p>
                        <w:p w:rsidR="00A270C3" w:rsidRDefault="00A270C3">
                          <w:pPr>
                            <w:spacing w:line="720" w:lineRule="exact"/>
                            <w:rPr>
                              <w:color w:val="000000"/>
                              <w:sz w:val="21"/>
                            </w:rPr>
                          </w:pPr>
                          <w:r>
                            <w:rPr>
                              <w:color w:val="000000"/>
                              <w:sz w:val="21"/>
                            </w:rPr>
                            <w:t>O</w:t>
                          </w:r>
                        </w:p>
                        <w:p w:rsidR="00A270C3" w:rsidRDefault="00A270C3">
                          <w:pPr>
                            <w:spacing w:line="720" w:lineRule="exact"/>
                            <w:rPr>
                              <w:color w:val="000000"/>
                              <w:sz w:val="21"/>
                            </w:rPr>
                          </w:pPr>
                          <w:r>
                            <w:rPr>
                              <w:color w:val="000000"/>
                              <w:sz w:val="21"/>
                            </w:rPr>
                            <w:t>P</w:t>
                          </w:r>
                        </w:p>
                        <w:p w:rsidR="00A270C3" w:rsidRDefault="00A270C3">
                          <w:pPr>
                            <w:spacing w:line="720" w:lineRule="exact"/>
                            <w:rPr>
                              <w:color w:val="000000"/>
                              <w:sz w:val="21"/>
                            </w:rPr>
                          </w:pPr>
                          <w:r>
                            <w:rPr>
                              <w:color w:val="000000"/>
                              <w:sz w:val="21"/>
                            </w:rPr>
                            <w:t>Q</w:t>
                          </w:r>
                        </w:p>
                        <w:p w:rsidR="00A270C3" w:rsidRDefault="00A270C3">
                          <w:pPr>
                            <w:spacing w:line="720" w:lineRule="exact"/>
                            <w:rPr>
                              <w:color w:val="000000"/>
                              <w:sz w:val="21"/>
                            </w:rPr>
                          </w:pPr>
                          <w:r>
                            <w:rPr>
                              <w:color w:val="000000"/>
                              <w:sz w:val="21"/>
                            </w:rPr>
                            <w:t>R</w:t>
                          </w:r>
                        </w:p>
                        <w:p w:rsidR="00A270C3" w:rsidRDefault="00A270C3">
                          <w:pPr>
                            <w:spacing w:line="720" w:lineRule="exact"/>
                            <w:rPr>
                              <w:color w:val="000000"/>
                              <w:sz w:val="21"/>
                            </w:rPr>
                          </w:pPr>
                          <w:r>
                            <w:rPr>
                              <w:color w:val="000000"/>
                              <w:sz w:val="21"/>
                            </w:rPr>
                            <w:t>S</w:t>
                          </w:r>
                        </w:p>
                        <w:p w:rsidR="00A270C3" w:rsidRDefault="00A270C3">
                          <w:pPr>
                            <w:spacing w:line="720" w:lineRule="exact"/>
                            <w:rPr>
                              <w:color w:val="000000"/>
                              <w:sz w:val="21"/>
                            </w:rPr>
                          </w:pPr>
                          <w:r>
                            <w:rPr>
                              <w:color w:val="000000"/>
                              <w:sz w:val="21"/>
                            </w:rPr>
                            <w:t>T</w:t>
                          </w:r>
                        </w:p>
                        <w:p w:rsidR="00A270C3" w:rsidRDefault="00A270C3">
                          <w:pPr>
                            <w:spacing w:line="720" w:lineRule="exact"/>
                            <w:rPr>
                              <w:color w:val="000000"/>
                              <w:sz w:val="21"/>
                            </w:rPr>
                          </w:pPr>
                          <w:r>
                            <w:rPr>
                              <w:color w:val="000000"/>
                              <w:sz w:val="21"/>
                            </w:rPr>
                            <w:t>U</w:t>
                          </w:r>
                        </w:p>
                        <w:p w:rsidR="00A270C3" w:rsidRDefault="00A270C3">
                          <w:pPr>
                            <w:spacing w:line="720" w:lineRule="exact"/>
                            <w:rPr>
                              <w:color w:val="000000"/>
                              <w:sz w:val="21"/>
                            </w:rPr>
                          </w:pPr>
                          <w:r>
                            <w:rPr>
                              <w:color w:val="000000"/>
                              <w:sz w:val="21"/>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9" type="#_x0000_t202" style="position:absolute;margin-left:458.95pt;margin-top:-.65pt;width:28.8pt;height:799.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" stroked="f">
              <v:textbox>
                <w:txbxContent>
                  <w:p w:rsidR="00A270C3" w:rsidRDefault="00A270C3">
                    <w:pPr>
                      <w:spacing w:line="720" w:lineRule="exact"/>
                      <w:rPr>
                        <w:color w:val="000000"/>
                        <w:sz w:val="21"/>
                      </w:rPr>
                    </w:pPr>
                    <w:r>
                      <w:rPr>
                        <w:color w:val="000000"/>
                        <w:sz w:val="21"/>
                      </w:rPr>
                      <w:t>A</w:t>
                    </w:r>
                  </w:p>
                  <w:p w:rsidR="00A270C3" w:rsidRDefault="00A270C3">
                    <w:pPr>
                      <w:spacing w:line="720" w:lineRule="exact"/>
                      <w:rPr>
                        <w:color w:val="000000"/>
                        <w:sz w:val="21"/>
                      </w:rPr>
                    </w:pPr>
                    <w:r>
                      <w:rPr>
                        <w:color w:val="000000"/>
                        <w:sz w:val="21"/>
                      </w:rPr>
                      <w:t>B</w:t>
                    </w:r>
                  </w:p>
                  <w:p w:rsidR="00A270C3" w:rsidRDefault="00A270C3">
                    <w:pPr>
                      <w:spacing w:line="720" w:lineRule="exact"/>
                      <w:rPr>
                        <w:color w:val="000000"/>
                        <w:sz w:val="21"/>
                      </w:rPr>
                    </w:pPr>
                    <w:r>
                      <w:rPr>
                        <w:color w:val="000000"/>
                        <w:sz w:val="21"/>
                      </w:rPr>
                      <w:t>C</w:t>
                    </w:r>
                  </w:p>
                  <w:p w:rsidR="00A270C3" w:rsidRDefault="00A270C3">
                    <w:pPr>
                      <w:spacing w:line="720" w:lineRule="exact"/>
                      <w:rPr>
                        <w:color w:val="000000"/>
                        <w:sz w:val="21"/>
                      </w:rPr>
                    </w:pPr>
                    <w:r>
                      <w:rPr>
                        <w:color w:val="000000"/>
                        <w:sz w:val="21"/>
                      </w:rPr>
                      <w:t>D</w:t>
                    </w:r>
                  </w:p>
                  <w:p w:rsidR="00A270C3" w:rsidRDefault="00A270C3">
                    <w:pPr>
                      <w:spacing w:line="720" w:lineRule="exact"/>
                      <w:rPr>
                        <w:color w:val="000000"/>
                        <w:sz w:val="21"/>
                      </w:rPr>
                    </w:pPr>
                    <w:r>
                      <w:rPr>
                        <w:color w:val="000000"/>
                        <w:sz w:val="21"/>
                      </w:rPr>
                      <w:t>E</w:t>
                    </w:r>
                  </w:p>
                  <w:p w:rsidR="00A270C3" w:rsidRDefault="00A270C3">
                    <w:pPr>
                      <w:spacing w:line="720" w:lineRule="exact"/>
                      <w:rPr>
                        <w:color w:val="000000"/>
                        <w:sz w:val="21"/>
                      </w:rPr>
                    </w:pPr>
                    <w:r>
                      <w:rPr>
                        <w:color w:val="000000"/>
                        <w:sz w:val="21"/>
                      </w:rPr>
                      <w:t>F</w:t>
                    </w:r>
                  </w:p>
                  <w:p w:rsidR="00A270C3" w:rsidRDefault="00A270C3">
                    <w:pPr>
                      <w:spacing w:line="720" w:lineRule="exact"/>
                      <w:rPr>
                        <w:color w:val="000000"/>
                        <w:sz w:val="21"/>
                      </w:rPr>
                    </w:pPr>
                    <w:r>
                      <w:rPr>
                        <w:color w:val="000000"/>
                        <w:sz w:val="21"/>
                      </w:rPr>
                      <w:t>G</w:t>
                    </w:r>
                  </w:p>
                  <w:p w:rsidR="00A270C3" w:rsidRDefault="00A270C3">
                    <w:pPr>
                      <w:spacing w:line="720" w:lineRule="exact"/>
                      <w:rPr>
                        <w:color w:val="000000"/>
                        <w:sz w:val="21"/>
                      </w:rPr>
                    </w:pPr>
                    <w:r>
                      <w:rPr>
                        <w:color w:val="000000"/>
                        <w:sz w:val="21"/>
                      </w:rPr>
                      <w:t>H</w:t>
                    </w:r>
                  </w:p>
                  <w:p w:rsidR="00A270C3" w:rsidRDefault="00A270C3">
                    <w:pPr>
                      <w:spacing w:line="720" w:lineRule="exact"/>
                      <w:rPr>
                        <w:color w:val="000000"/>
                        <w:sz w:val="21"/>
                      </w:rPr>
                    </w:pPr>
                    <w:r>
                      <w:rPr>
                        <w:color w:val="000000"/>
                        <w:sz w:val="21"/>
                      </w:rPr>
                      <w:t>I</w:t>
                    </w:r>
                  </w:p>
                  <w:p w:rsidR="00A270C3" w:rsidRDefault="00A270C3">
                    <w:pPr>
                      <w:spacing w:line="720" w:lineRule="exact"/>
                      <w:rPr>
                        <w:color w:val="000000"/>
                        <w:sz w:val="21"/>
                      </w:rPr>
                    </w:pPr>
                    <w:r>
                      <w:rPr>
                        <w:color w:val="000000"/>
                        <w:sz w:val="21"/>
                      </w:rPr>
                      <w:t>J</w:t>
                    </w:r>
                  </w:p>
                  <w:p w:rsidR="00A270C3" w:rsidRDefault="00A270C3">
                    <w:pPr>
                      <w:spacing w:line="720" w:lineRule="exact"/>
                      <w:rPr>
                        <w:color w:val="000000"/>
                        <w:sz w:val="21"/>
                      </w:rPr>
                    </w:pPr>
                    <w:r>
                      <w:rPr>
                        <w:color w:val="000000"/>
                        <w:sz w:val="21"/>
                      </w:rPr>
                      <w:t>K</w:t>
                    </w:r>
                  </w:p>
                  <w:p w:rsidR="00A270C3" w:rsidRDefault="00A270C3">
                    <w:pPr>
                      <w:spacing w:line="720" w:lineRule="exact"/>
                      <w:rPr>
                        <w:color w:val="000000"/>
                        <w:sz w:val="21"/>
                      </w:rPr>
                    </w:pPr>
                    <w:r>
                      <w:rPr>
                        <w:color w:val="000000"/>
                        <w:sz w:val="21"/>
                      </w:rPr>
                      <w:t>L</w:t>
                    </w:r>
                  </w:p>
                  <w:p w:rsidR="00A270C3" w:rsidRDefault="00A270C3">
                    <w:pPr>
                      <w:spacing w:line="720" w:lineRule="exact"/>
                      <w:rPr>
                        <w:color w:val="000000"/>
                        <w:sz w:val="21"/>
                      </w:rPr>
                    </w:pPr>
                    <w:r>
                      <w:rPr>
                        <w:color w:val="000000"/>
                        <w:sz w:val="21"/>
                      </w:rPr>
                      <w:t>M</w:t>
                    </w:r>
                  </w:p>
                  <w:p w:rsidR="00A270C3" w:rsidRDefault="00A270C3">
                    <w:pPr>
                      <w:spacing w:line="720" w:lineRule="exact"/>
                      <w:rPr>
                        <w:color w:val="000000"/>
                        <w:sz w:val="21"/>
                      </w:rPr>
                    </w:pPr>
                    <w:r>
                      <w:rPr>
                        <w:color w:val="000000"/>
                        <w:sz w:val="21"/>
                      </w:rPr>
                      <w:t>N</w:t>
                    </w:r>
                  </w:p>
                  <w:p w:rsidR="00A270C3" w:rsidRDefault="00A270C3">
                    <w:pPr>
                      <w:spacing w:line="720" w:lineRule="exact"/>
                      <w:rPr>
                        <w:color w:val="000000"/>
                        <w:sz w:val="21"/>
                      </w:rPr>
                    </w:pPr>
                    <w:r>
                      <w:rPr>
                        <w:color w:val="000000"/>
                        <w:sz w:val="21"/>
                      </w:rPr>
                      <w:t>O</w:t>
                    </w:r>
                  </w:p>
                  <w:p w:rsidR="00A270C3" w:rsidRDefault="00A270C3">
                    <w:pPr>
                      <w:spacing w:line="720" w:lineRule="exact"/>
                      <w:rPr>
                        <w:color w:val="000000"/>
                        <w:sz w:val="21"/>
                      </w:rPr>
                    </w:pPr>
                    <w:r>
                      <w:rPr>
                        <w:color w:val="000000"/>
                        <w:sz w:val="21"/>
                      </w:rPr>
                      <w:t>P</w:t>
                    </w:r>
                  </w:p>
                  <w:p w:rsidR="00A270C3" w:rsidRDefault="00A270C3">
                    <w:pPr>
                      <w:spacing w:line="720" w:lineRule="exact"/>
                      <w:rPr>
                        <w:color w:val="000000"/>
                        <w:sz w:val="21"/>
                      </w:rPr>
                    </w:pPr>
                    <w:r>
                      <w:rPr>
                        <w:color w:val="000000"/>
                        <w:sz w:val="21"/>
                      </w:rPr>
                      <w:t>Q</w:t>
                    </w:r>
                  </w:p>
                  <w:p w:rsidR="00A270C3" w:rsidRDefault="00A270C3">
                    <w:pPr>
                      <w:spacing w:line="720" w:lineRule="exact"/>
                      <w:rPr>
                        <w:color w:val="000000"/>
                        <w:sz w:val="21"/>
                      </w:rPr>
                    </w:pPr>
                    <w:r>
                      <w:rPr>
                        <w:color w:val="000000"/>
                        <w:sz w:val="21"/>
                      </w:rPr>
                      <w:t>R</w:t>
                    </w:r>
                  </w:p>
                  <w:p w:rsidR="00A270C3" w:rsidRDefault="00A270C3">
                    <w:pPr>
                      <w:spacing w:line="720" w:lineRule="exact"/>
                      <w:rPr>
                        <w:color w:val="000000"/>
                        <w:sz w:val="21"/>
                      </w:rPr>
                    </w:pPr>
                    <w:r>
                      <w:rPr>
                        <w:color w:val="000000"/>
                        <w:sz w:val="21"/>
                      </w:rPr>
                      <w:t>S</w:t>
                    </w:r>
                  </w:p>
                  <w:p w:rsidR="00A270C3" w:rsidRDefault="00A270C3">
                    <w:pPr>
                      <w:spacing w:line="720" w:lineRule="exact"/>
                      <w:rPr>
                        <w:color w:val="000000"/>
                        <w:sz w:val="21"/>
                      </w:rPr>
                    </w:pPr>
                    <w:r>
                      <w:rPr>
                        <w:color w:val="000000"/>
                        <w:sz w:val="21"/>
                      </w:rPr>
                      <w:t>T</w:t>
                    </w:r>
                  </w:p>
                  <w:p w:rsidR="00A270C3" w:rsidRDefault="00A270C3">
                    <w:pPr>
                      <w:spacing w:line="720" w:lineRule="exact"/>
                      <w:rPr>
                        <w:color w:val="000000"/>
                        <w:sz w:val="21"/>
                      </w:rPr>
                    </w:pPr>
                    <w:r>
                      <w:rPr>
                        <w:color w:val="000000"/>
                        <w:sz w:val="21"/>
                      </w:rPr>
                      <w:t>U</w:t>
                    </w:r>
                  </w:p>
                  <w:p w:rsidR="00A270C3" w:rsidRDefault="00A270C3">
                    <w:pPr>
                      <w:spacing w:line="720" w:lineRule="exact"/>
                      <w:rPr>
                        <w:color w:val="000000"/>
                        <w:sz w:val="21"/>
                      </w:rPr>
                    </w:pPr>
                    <w:r>
                      <w:rPr>
                        <w:color w:val="000000"/>
                        <w:sz w:val="21"/>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5331B"/>
    <w:multiLevelType w:val="hybridMultilevel"/>
    <w:tmpl w:val="9842CB98"/>
    <w:lvl w:ilvl="0" w:tplc="4A029232">
      <w:start w:val="1"/>
      <w:numFmt w:val="decimal"/>
      <w:lvlText w:val="%1."/>
      <w:lvlJc w:val="left"/>
      <w:pPr>
        <w:ind w:left="2160" w:hanging="360"/>
      </w:pPr>
      <w:rPr>
        <w:i w:val="0"/>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8431F8D"/>
    <w:multiLevelType w:val="hybridMultilevel"/>
    <w:tmpl w:val="4AC60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C1F4F"/>
    <w:multiLevelType w:val="hybridMultilevel"/>
    <w:tmpl w:val="81B20638"/>
    <w:lvl w:ilvl="0" w:tplc="FE1C4230">
      <w:start w:val="1"/>
      <w:numFmt w:val="lowerRoman"/>
      <w:lvlText w:val="(%1)"/>
      <w:lvlJc w:val="left"/>
      <w:pPr>
        <w:ind w:left="720" w:hanging="360"/>
      </w:pPr>
      <w:rPr>
        <w:rFonts w:ascii="Times New Roman" w:eastAsia="PMingLiU" w:hAnsi="Times New Roman" w:cs="PMingLiU"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B4596"/>
    <w:multiLevelType w:val="hybridMultilevel"/>
    <w:tmpl w:val="AA0E4888"/>
    <w:lvl w:ilvl="0" w:tplc="4D72878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DF81EDB"/>
    <w:multiLevelType w:val="hybridMultilevel"/>
    <w:tmpl w:val="C98A3202"/>
    <w:lvl w:ilvl="0" w:tplc="AC664A2C">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0E730D3B"/>
    <w:multiLevelType w:val="hybridMultilevel"/>
    <w:tmpl w:val="4A2E2860"/>
    <w:lvl w:ilvl="0" w:tplc="5204F846">
      <w:start w:val="1"/>
      <w:numFmt w:val="lowerLetter"/>
      <w:lvlText w:val="(%1)"/>
      <w:lvlJc w:val="left"/>
      <w:pPr>
        <w:ind w:left="1800" w:hanging="360"/>
      </w:pPr>
      <w:rPr>
        <w:rFonts w:hint="default"/>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8180A31"/>
    <w:multiLevelType w:val="hybridMultilevel"/>
    <w:tmpl w:val="22DA909C"/>
    <w:lvl w:ilvl="0" w:tplc="CDCEE75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9AF042D"/>
    <w:multiLevelType w:val="hybridMultilevel"/>
    <w:tmpl w:val="F470EEC0"/>
    <w:lvl w:ilvl="0" w:tplc="F37A36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C226F9E"/>
    <w:multiLevelType w:val="hybridMultilevel"/>
    <w:tmpl w:val="A9D6FBF6"/>
    <w:lvl w:ilvl="0" w:tplc="74A8D40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0047393"/>
    <w:multiLevelType w:val="hybridMultilevel"/>
    <w:tmpl w:val="198C529C"/>
    <w:lvl w:ilvl="0" w:tplc="151AF53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1421020"/>
    <w:multiLevelType w:val="hybridMultilevel"/>
    <w:tmpl w:val="70DADC86"/>
    <w:lvl w:ilvl="0" w:tplc="405433D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1AE5480"/>
    <w:multiLevelType w:val="hybridMultilevel"/>
    <w:tmpl w:val="2D86CEE2"/>
    <w:lvl w:ilvl="0" w:tplc="71C073B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220A0A57"/>
    <w:multiLevelType w:val="hybridMultilevel"/>
    <w:tmpl w:val="B2D0556C"/>
    <w:lvl w:ilvl="0" w:tplc="80EC487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21A7D50"/>
    <w:multiLevelType w:val="hybridMultilevel"/>
    <w:tmpl w:val="55EA52FE"/>
    <w:lvl w:ilvl="0" w:tplc="A8C2877C">
      <w:start w:val="1"/>
      <w:numFmt w:val="lowerLetter"/>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3E6943"/>
    <w:multiLevelType w:val="hybridMultilevel"/>
    <w:tmpl w:val="9F7CFCB0"/>
    <w:lvl w:ilvl="0" w:tplc="FC3C42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7F100C1"/>
    <w:multiLevelType w:val="hybridMultilevel"/>
    <w:tmpl w:val="D382C930"/>
    <w:lvl w:ilvl="0" w:tplc="F200A96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80A4006"/>
    <w:multiLevelType w:val="multilevel"/>
    <w:tmpl w:val="6BA61FE2"/>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eastAsia"/>
        <w:b w:val="0"/>
      </w:r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A3979B4"/>
    <w:multiLevelType w:val="hybridMultilevel"/>
    <w:tmpl w:val="D4BCB012"/>
    <w:lvl w:ilvl="0" w:tplc="8910AB8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DC92A4E"/>
    <w:multiLevelType w:val="hybridMultilevel"/>
    <w:tmpl w:val="9842CB98"/>
    <w:lvl w:ilvl="0" w:tplc="4A029232">
      <w:start w:val="1"/>
      <w:numFmt w:val="decimal"/>
      <w:lvlText w:val="%1."/>
      <w:lvlJc w:val="left"/>
      <w:pPr>
        <w:ind w:left="2160" w:hanging="360"/>
      </w:pPr>
      <w:rPr>
        <w:i w:val="0"/>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2DF42F6A"/>
    <w:multiLevelType w:val="hybridMultilevel"/>
    <w:tmpl w:val="A13E5988"/>
    <w:lvl w:ilvl="0" w:tplc="9724E5B2">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E8C70DD"/>
    <w:multiLevelType w:val="hybridMultilevel"/>
    <w:tmpl w:val="DF961912"/>
    <w:lvl w:ilvl="0" w:tplc="9F226AE6">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004554"/>
    <w:multiLevelType w:val="hybridMultilevel"/>
    <w:tmpl w:val="BB94C022"/>
    <w:lvl w:ilvl="0" w:tplc="FE1C4230">
      <w:start w:val="1"/>
      <w:numFmt w:val="lowerRoman"/>
      <w:lvlText w:val="(%1)"/>
      <w:lvlJc w:val="left"/>
      <w:pPr>
        <w:ind w:left="2160" w:hanging="360"/>
      </w:pPr>
      <w:rPr>
        <w:rFonts w:ascii="Times New Roman" w:eastAsia="PMingLiU" w:hAnsi="Times New Roman" w:cs="PMingLiU" w:hint="default"/>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34CD6231"/>
    <w:multiLevelType w:val="hybridMultilevel"/>
    <w:tmpl w:val="17B6FB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6CE4315"/>
    <w:multiLevelType w:val="hybridMultilevel"/>
    <w:tmpl w:val="E746FC8E"/>
    <w:lvl w:ilvl="0" w:tplc="A8C2877C">
      <w:start w:val="1"/>
      <w:numFmt w:val="lowerLetter"/>
      <w:lvlText w:val="(%1)"/>
      <w:lvlJc w:val="left"/>
      <w:pPr>
        <w:ind w:left="720" w:hanging="360"/>
      </w:pPr>
      <w:rPr>
        <w:rFonts w:hint="eastAsia"/>
      </w:rPr>
    </w:lvl>
    <w:lvl w:ilvl="1" w:tplc="A8C2877C">
      <w:start w:val="1"/>
      <w:numFmt w:val="lowerLetter"/>
      <w:lvlText w:val="(%2)"/>
      <w:lvlJc w:val="left"/>
      <w:pPr>
        <w:ind w:left="1440" w:hanging="360"/>
      </w:pPr>
      <w:rPr>
        <w:rFonts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C63F59"/>
    <w:multiLevelType w:val="hybridMultilevel"/>
    <w:tmpl w:val="04EC5408"/>
    <w:lvl w:ilvl="0" w:tplc="030087B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93F63F6"/>
    <w:multiLevelType w:val="hybridMultilevel"/>
    <w:tmpl w:val="DC52EA9E"/>
    <w:lvl w:ilvl="0" w:tplc="6C36C7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634FEA"/>
    <w:multiLevelType w:val="hybridMultilevel"/>
    <w:tmpl w:val="CB3AF6F8"/>
    <w:lvl w:ilvl="0" w:tplc="6DC47AC2">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3B9510D2"/>
    <w:multiLevelType w:val="hybridMultilevel"/>
    <w:tmpl w:val="CB401508"/>
    <w:lvl w:ilvl="0" w:tplc="99E67BA2">
      <w:start w:val="1"/>
      <w:numFmt w:val="decimal"/>
      <w:lvlText w:val="%1."/>
      <w:lvlJc w:val="left"/>
      <w:pPr>
        <w:ind w:left="928" w:hanging="360"/>
      </w:pPr>
      <w:rPr>
        <w:rFonts w:hint="eastAsia"/>
        <w:i w:val="0"/>
      </w:rPr>
    </w:lvl>
    <w:lvl w:ilvl="1" w:tplc="030087B8">
      <w:start w:val="1"/>
      <w:numFmt w:val="lowerLetter"/>
      <w:lvlText w:val="(%2)"/>
      <w:lvlJc w:val="left"/>
      <w:pPr>
        <w:ind w:left="1440" w:hanging="360"/>
      </w:pPr>
      <w:rPr>
        <w:rFonts w:hint="default"/>
      </w:rPr>
    </w:lvl>
    <w:lvl w:ilvl="2" w:tplc="1412499A">
      <w:start w:val="1"/>
      <w:numFmt w:val="lowerRoman"/>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843FB2"/>
    <w:multiLevelType w:val="hybridMultilevel"/>
    <w:tmpl w:val="CEB2292A"/>
    <w:lvl w:ilvl="0" w:tplc="FDD44F7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3DB041F4"/>
    <w:multiLevelType w:val="hybridMultilevel"/>
    <w:tmpl w:val="04EC5408"/>
    <w:lvl w:ilvl="0" w:tplc="030087B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3FA15008"/>
    <w:multiLevelType w:val="hybridMultilevel"/>
    <w:tmpl w:val="F68E6B76"/>
    <w:lvl w:ilvl="0" w:tplc="C7F0B8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ED7F83"/>
    <w:multiLevelType w:val="hybridMultilevel"/>
    <w:tmpl w:val="20581FD4"/>
    <w:lvl w:ilvl="0" w:tplc="E04C44F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4AF275C0"/>
    <w:multiLevelType w:val="hybridMultilevel"/>
    <w:tmpl w:val="399203EE"/>
    <w:lvl w:ilvl="0" w:tplc="7BB68DD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5035435E"/>
    <w:multiLevelType w:val="hybridMultilevel"/>
    <w:tmpl w:val="21369E50"/>
    <w:lvl w:ilvl="0" w:tplc="044654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510A436B"/>
    <w:multiLevelType w:val="hybridMultilevel"/>
    <w:tmpl w:val="36A0F12C"/>
    <w:lvl w:ilvl="0" w:tplc="7026D51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53B32EE1"/>
    <w:multiLevelType w:val="hybridMultilevel"/>
    <w:tmpl w:val="4F9C66BC"/>
    <w:lvl w:ilvl="0" w:tplc="735891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6243B7"/>
    <w:multiLevelType w:val="hybridMultilevel"/>
    <w:tmpl w:val="121ADC60"/>
    <w:lvl w:ilvl="0" w:tplc="1412499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5CAD27FE"/>
    <w:multiLevelType w:val="hybridMultilevel"/>
    <w:tmpl w:val="08248F48"/>
    <w:lvl w:ilvl="0" w:tplc="DBBAFC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5FE80C94"/>
    <w:multiLevelType w:val="hybridMultilevel"/>
    <w:tmpl w:val="278EC280"/>
    <w:lvl w:ilvl="0" w:tplc="0809000F">
      <w:start w:val="1"/>
      <w:numFmt w:val="decimal"/>
      <w:lvlText w:val="%1."/>
      <w:lvlJc w:val="left"/>
      <w:pPr>
        <w:ind w:left="644"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3754A2D"/>
    <w:multiLevelType w:val="hybridMultilevel"/>
    <w:tmpl w:val="CEEEFB52"/>
    <w:lvl w:ilvl="0" w:tplc="FE1C4230">
      <w:start w:val="1"/>
      <w:numFmt w:val="lowerRoman"/>
      <w:lvlText w:val="(%1)"/>
      <w:lvlJc w:val="left"/>
      <w:pPr>
        <w:ind w:left="720" w:hanging="360"/>
      </w:pPr>
      <w:rPr>
        <w:rFonts w:ascii="Times New Roman" w:eastAsia="PMingLiU" w:hAnsi="Times New Roman" w:cs="PMingLiU"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7A7B0D"/>
    <w:multiLevelType w:val="hybridMultilevel"/>
    <w:tmpl w:val="0C4C3FE0"/>
    <w:lvl w:ilvl="0" w:tplc="FE1C4230">
      <w:start w:val="1"/>
      <w:numFmt w:val="lowerRoman"/>
      <w:lvlText w:val="(%1)"/>
      <w:lvlJc w:val="left"/>
      <w:pPr>
        <w:ind w:left="720" w:hanging="360"/>
      </w:pPr>
      <w:rPr>
        <w:rFonts w:ascii="Times New Roman" w:eastAsia="PMingLiU" w:hAnsi="Times New Roman" w:cs="PMingLiU"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4903671"/>
    <w:multiLevelType w:val="hybridMultilevel"/>
    <w:tmpl w:val="324C10AA"/>
    <w:lvl w:ilvl="0" w:tplc="FA4031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65BE049C"/>
    <w:multiLevelType w:val="hybridMultilevel"/>
    <w:tmpl w:val="BCF0CDC8"/>
    <w:lvl w:ilvl="0" w:tplc="8CF07D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67C2546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685845DD"/>
    <w:multiLevelType w:val="multilevel"/>
    <w:tmpl w:val="0D0034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9AB0C9F"/>
    <w:multiLevelType w:val="hybridMultilevel"/>
    <w:tmpl w:val="3E547688"/>
    <w:lvl w:ilvl="0" w:tplc="F210FB6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F6B3D9C"/>
    <w:multiLevelType w:val="hybridMultilevel"/>
    <w:tmpl w:val="B888BA16"/>
    <w:lvl w:ilvl="0" w:tplc="90F0C4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C75D29"/>
    <w:multiLevelType w:val="hybridMultilevel"/>
    <w:tmpl w:val="8A00B020"/>
    <w:lvl w:ilvl="0" w:tplc="3BD00A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78D24F90"/>
    <w:multiLevelType w:val="hybridMultilevel"/>
    <w:tmpl w:val="9ED6F43E"/>
    <w:lvl w:ilvl="0" w:tplc="BF98DA9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E8F7979"/>
    <w:multiLevelType w:val="multilevel"/>
    <w:tmpl w:val="C5747D96"/>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eastAsia"/>
        <w:b w:val="0"/>
      </w:r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21"/>
  </w:num>
  <w:num w:numId="3">
    <w:abstractNumId w:val="2"/>
  </w:num>
  <w:num w:numId="4">
    <w:abstractNumId w:val="40"/>
  </w:num>
  <w:num w:numId="5">
    <w:abstractNumId w:val="38"/>
  </w:num>
  <w:num w:numId="6">
    <w:abstractNumId w:val="22"/>
  </w:num>
  <w:num w:numId="7">
    <w:abstractNumId w:val="48"/>
  </w:num>
  <w:num w:numId="8">
    <w:abstractNumId w:val="27"/>
  </w:num>
  <w:num w:numId="9">
    <w:abstractNumId w:val="43"/>
  </w:num>
  <w:num w:numId="10">
    <w:abstractNumId w:val="39"/>
  </w:num>
  <w:num w:numId="11">
    <w:abstractNumId w:val="33"/>
  </w:num>
  <w:num w:numId="12">
    <w:abstractNumId w:val="7"/>
  </w:num>
  <w:num w:numId="13">
    <w:abstractNumId w:val="29"/>
  </w:num>
  <w:num w:numId="14">
    <w:abstractNumId w:val="28"/>
  </w:num>
  <w:num w:numId="15">
    <w:abstractNumId w:val="42"/>
  </w:num>
  <w:num w:numId="16">
    <w:abstractNumId w:val="37"/>
  </w:num>
  <w:num w:numId="17">
    <w:abstractNumId w:val="17"/>
  </w:num>
  <w:num w:numId="18">
    <w:abstractNumId w:val="41"/>
  </w:num>
  <w:num w:numId="19">
    <w:abstractNumId w:val="3"/>
  </w:num>
  <w:num w:numId="20">
    <w:abstractNumId w:val="8"/>
  </w:num>
  <w:num w:numId="21">
    <w:abstractNumId w:val="10"/>
  </w:num>
  <w:num w:numId="22">
    <w:abstractNumId w:val="25"/>
  </w:num>
  <w:num w:numId="23">
    <w:abstractNumId w:val="36"/>
  </w:num>
  <w:num w:numId="24">
    <w:abstractNumId w:val="12"/>
  </w:num>
  <w:num w:numId="25">
    <w:abstractNumId w:val="9"/>
  </w:num>
  <w:num w:numId="26">
    <w:abstractNumId w:val="15"/>
  </w:num>
  <w:num w:numId="27">
    <w:abstractNumId w:val="47"/>
  </w:num>
  <w:num w:numId="28">
    <w:abstractNumId w:val="14"/>
  </w:num>
  <w:num w:numId="29">
    <w:abstractNumId w:val="6"/>
  </w:num>
  <w:num w:numId="30">
    <w:abstractNumId w:val="5"/>
  </w:num>
  <w:num w:numId="31">
    <w:abstractNumId w:val="35"/>
  </w:num>
  <w:num w:numId="32">
    <w:abstractNumId w:val="32"/>
  </w:num>
  <w:num w:numId="33">
    <w:abstractNumId w:val="11"/>
  </w:num>
  <w:num w:numId="34">
    <w:abstractNumId w:val="19"/>
  </w:num>
  <w:num w:numId="35">
    <w:abstractNumId w:val="26"/>
  </w:num>
  <w:num w:numId="36">
    <w:abstractNumId w:val="4"/>
  </w:num>
  <w:num w:numId="37">
    <w:abstractNumId w:val="24"/>
  </w:num>
  <w:num w:numId="38">
    <w:abstractNumId w:val="31"/>
  </w:num>
  <w:num w:numId="39">
    <w:abstractNumId w:val="34"/>
  </w:num>
  <w:num w:numId="40">
    <w:abstractNumId w:val="18"/>
  </w:num>
  <w:num w:numId="41">
    <w:abstractNumId w:val="1"/>
  </w:num>
  <w:num w:numId="42">
    <w:abstractNumId w:val="16"/>
  </w:num>
  <w:num w:numId="43">
    <w:abstractNumId w:val="0"/>
  </w:num>
  <w:num w:numId="44">
    <w:abstractNumId w:val="49"/>
  </w:num>
  <w:num w:numId="45">
    <w:abstractNumId w:val="45"/>
  </w:num>
  <w:num w:numId="46">
    <w:abstractNumId w:val="46"/>
  </w:num>
  <w:num w:numId="47">
    <w:abstractNumId w:val="44"/>
  </w:num>
  <w:num w:numId="48">
    <w:abstractNumId w:val="30"/>
  </w:num>
  <w:num w:numId="49">
    <w:abstractNumId w:val="13"/>
  </w:num>
  <w:num w:numId="50">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5F0"/>
    <w:rsid w:val="00000A3C"/>
    <w:rsid w:val="000032FD"/>
    <w:rsid w:val="000043C8"/>
    <w:rsid w:val="000047E3"/>
    <w:rsid w:val="0000608C"/>
    <w:rsid w:val="000127C5"/>
    <w:rsid w:val="00013EB3"/>
    <w:rsid w:val="00014BEA"/>
    <w:rsid w:val="00015D96"/>
    <w:rsid w:val="00015EA1"/>
    <w:rsid w:val="00020646"/>
    <w:rsid w:val="00020F80"/>
    <w:rsid w:val="0002121A"/>
    <w:rsid w:val="00022B7F"/>
    <w:rsid w:val="0002338F"/>
    <w:rsid w:val="00023FCD"/>
    <w:rsid w:val="00026439"/>
    <w:rsid w:val="0003013A"/>
    <w:rsid w:val="000326F5"/>
    <w:rsid w:val="00032755"/>
    <w:rsid w:val="00036915"/>
    <w:rsid w:val="00037625"/>
    <w:rsid w:val="00040C93"/>
    <w:rsid w:val="00041355"/>
    <w:rsid w:val="0004270C"/>
    <w:rsid w:val="000441B8"/>
    <w:rsid w:val="00055B80"/>
    <w:rsid w:val="00060B92"/>
    <w:rsid w:val="0006194F"/>
    <w:rsid w:val="00062151"/>
    <w:rsid w:val="00062DA6"/>
    <w:rsid w:val="00065FC5"/>
    <w:rsid w:val="00066A09"/>
    <w:rsid w:val="000672DE"/>
    <w:rsid w:val="0007196D"/>
    <w:rsid w:val="00081F9E"/>
    <w:rsid w:val="00083ADB"/>
    <w:rsid w:val="00091003"/>
    <w:rsid w:val="0009116E"/>
    <w:rsid w:val="000936A5"/>
    <w:rsid w:val="00095DB4"/>
    <w:rsid w:val="000A26DB"/>
    <w:rsid w:val="000A4C8A"/>
    <w:rsid w:val="000A4F01"/>
    <w:rsid w:val="000B372E"/>
    <w:rsid w:val="000B473C"/>
    <w:rsid w:val="000B52F4"/>
    <w:rsid w:val="000B5327"/>
    <w:rsid w:val="000B61B1"/>
    <w:rsid w:val="000B6BA8"/>
    <w:rsid w:val="000C0EEF"/>
    <w:rsid w:val="000C2386"/>
    <w:rsid w:val="000C34EF"/>
    <w:rsid w:val="000C701B"/>
    <w:rsid w:val="000D01FE"/>
    <w:rsid w:val="000D0715"/>
    <w:rsid w:val="000D1138"/>
    <w:rsid w:val="000D2366"/>
    <w:rsid w:val="000D33ED"/>
    <w:rsid w:val="000D4043"/>
    <w:rsid w:val="000D58F4"/>
    <w:rsid w:val="000E1515"/>
    <w:rsid w:val="000E1833"/>
    <w:rsid w:val="000E4454"/>
    <w:rsid w:val="000E65FE"/>
    <w:rsid w:val="000E7213"/>
    <w:rsid w:val="000E7415"/>
    <w:rsid w:val="000F00BF"/>
    <w:rsid w:val="000F45D6"/>
    <w:rsid w:val="00100911"/>
    <w:rsid w:val="00101CBA"/>
    <w:rsid w:val="001028DE"/>
    <w:rsid w:val="001060BD"/>
    <w:rsid w:val="00107C11"/>
    <w:rsid w:val="00110A4A"/>
    <w:rsid w:val="0011130D"/>
    <w:rsid w:val="00113780"/>
    <w:rsid w:val="00113C7D"/>
    <w:rsid w:val="0011430C"/>
    <w:rsid w:val="001150B5"/>
    <w:rsid w:val="00116A3A"/>
    <w:rsid w:val="0012186F"/>
    <w:rsid w:val="0012379A"/>
    <w:rsid w:val="00123E1D"/>
    <w:rsid w:val="00124236"/>
    <w:rsid w:val="00124C78"/>
    <w:rsid w:val="001251C4"/>
    <w:rsid w:val="001257F4"/>
    <w:rsid w:val="00127AD9"/>
    <w:rsid w:val="00130588"/>
    <w:rsid w:val="001315C8"/>
    <w:rsid w:val="00135256"/>
    <w:rsid w:val="00135970"/>
    <w:rsid w:val="001376E2"/>
    <w:rsid w:val="00142835"/>
    <w:rsid w:val="001504EB"/>
    <w:rsid w:val="00151243"/>
    <w:rsid w:val="00151CC5"/>
    <w:rsid w:val="00152298"/>
    <w:rsid w:val="0015425F"/>
    <w:rsid w:val="00156537"/>
    <w:rsid w:val="0015669C"/>
    <w:rsid w:val="00161340"/>
    <w:rsid w:val="0016382D"/>
    <w:rsid w:val="00163FF0"/>
    <w:rsid w:val="00164A9E"/>
    <w:rsid w:val="00165532"/>
    <w:rsid w:val="00165F2C"/>
    <w:rsid w:val="001711D6"/>
    <w:rsid w:val="00176A02"/>
    <w:rsid w:val="001819F5"/>
    <w:rsid w:val="00182EAB"/>
    <w:rsid w:val="00184D5E"/>
    <w:rsid w:val="001858F8"/>
    <w:rsid w:val="001859C9"/>
    <w:rsid w:val="00187BC4"/>
    <w:rsid w:val="00192C50"/>
    <w:rsid w:val="0019319B"/>
    <w:rsid w:val="00193B83"/>
    <w:rsid w:val="00194273"/>
    <w:rsid w:val="00194A22"/>
    <w:rsid w:val="001971C7"/>
    <w:rsid w:val="001A140B"/>
    <w:rsid w:val="001A2B7E"/>
    <w:rsid w:val="001A3A99"/>
    <w:rsid w:val="001A411C"/>
    <w:rsid w:val="001A74F2"/>
    <w:rsid w:val="001B2489"/>
    <w:rsid w:val="001B26E8"/>
    <w:rsid w:val="001B548F"/>
    <w:rsid w:val="001B60C1"/>
    <w:rsid w:val="001C09F9"/>
    <w:rsid w:val="001C2E99"/>
    <w:rsid w:val="001C305B"/>
    <w:rsid w:val="001C61BA"/>
    <w:rsid w:val="001C746F"/>
    <w:rsid w:val="001D0453"/>
    <w:rsid w:val="001D0C56"/>
    <w:rsid w:val="001D37DE"/>
    <w:rsid w:val="001D5149"/>
    <w:rsid w:val="001E0123"/>
    <w:rsid w:val="001E150A"/>
    <w:rsid w:val="001E1785"/>
    <w:rsid w:val="001E6BDE"/>
    <w:rsid w:val="001F085F"/>
    <w:rsid w:val="001F0CDF"/>
    <w:rsid w:val="001F245D"/>
    <w:rsid w:val="001F2658"/>
    <w:rsid w:val="001F3D6F"/>
    <w:rsid w:val="001F3F82"/>
    <w:rsid w:val="001F5128"/>
    <w:rsid w:val="001F5607"/>
    <w:rsid w:val="001F7311"/>
    <w:rsid w:val="00201648"/>
    <w:rsid w:val="00202D43"/>
    <w:rsid w:val="00204A98"/>
    <w:rsid w:val="002058F2"/>
    <w:rsid w:val="00207349"/>
    <w:rsid w:val="0021055B"/>
    <w:rsid w:val="00210A78"/>
    <w:rsid w:val="00211317"/>
    <w:rsid w:val="00211B78"/>
    <w:rsid w:val="00212732"/>
    <w:rsid w:val="00214D0D"/>
    <w:rsid w:val="00216DA0"/>
    <w:rsid w:val="00216E92"/>
    <w:rsid w:val="0022440C"/>
    <w:rsid w:val="00224687"/>
    <w:rsid w:val="00224E0F"/>
    <w:rsid w:val="0022651C"/>
    <w:rsid w:val="00232FB4"/>
    <w:rsid w:val="002369A4"/>
    <w:rsid w:val="0024678C"/>
    <w:rsid w:val="00251C47"/>
    <w:rsid w:val="002526DD"/>
    <w:rsid w:val="00254179"/>
    <w:rsid w:val="002607AF"/>
    <w:rsid w:val="0026185C"/>
    <w:rsid w:val="00263C1E"/>
    <w:rsid w:val="00264908"/>
    <w:rsid w:val="0026512B"/>
    <w:rsid w:val="00265E61"/>
    <w:rsid w:val="0026797A"/>
    <w:rsid w:val="00270363"/>
    <w:rsid w:val="00271750"/>
    <w:rsid w:val="00271E9E"/>
    <w:rsid w:val="00271F4A"/>
    <w:rsid w:val="002733ED"/>
    <w:rsid w:val="00273949"/>
    <w:rsid w:val="00273E92"/>
    <w:rsid w:val="002751C0"/>
    <w:rsid w:val="00275285"/>
    <w:rsid w:val="00275BB4"/>
    <w:rsid w:val="002766EA"/>
    <w:rsid w:val="00283453"/>
    <w:rsid w:val="00285189"/>
    <w:rsid w:val="00286FA9"/>
    <w:rsid w:val="00291FE6"/>
    <w:rsid w:val="002932E0"/>
    <w:rsid w:val="0029417E"/>
    <w:rsid w:val="00294F23"/>
    <w:rsid w:val="002A1708"/>
    <w:rsid w:val="002A46F7"/>
    <w:rsid w:val="002A5289"/>
    <w:rsid w:val="002A6AD0"/>
    <w:rsid w:val="002A75AA"/>
    <w:rsid w:val="002A77C2"/>
    <w:rsid w:val="002B19C8"/>
    <w:rsid w:val="002B1D78"/>
    <w:rsid w:val="002B2FBA"/>
    <w:rsid w:val="002B3A4E"/>
    <w:rsid w:val="002B3C2A"/>
    <w:rsid w:val="002B4ABE"/>
    <w:rsid w:val="002C0455"/>
    <w:rsid w:val="002C080E"/>
    <w:rsid w:val="002C27DF"/>
    <w:rsid w:val="002C52AE"/>
    <w:rsid w:val="002C6959"/>
    <w:rsid w:val="002D153E"/>
    <w:rsid w:val="002D5D4C"/>
    <w:rsid w:val="002D738D"/>
    <w:rsid w:val="002E17BC"/>
    <w:rsid w:val="002E272B"/>
    <w:rsid w:val="002E4EB6"/>
    <w:rsid w:val="002E570A"/>
    <w:rsid w:val="002E67CF"/>
    <w:rsid w:val="002E69C5"/>
    <w:rsid w:val="002E722B"/>
    <w:rsid w:val="002E759F"/>
    <w:rsid w:val="002E7849"/>
    <w:rsid w:val="002F252F"/>
    <w:rsid w:val="002F4058"/>
    <w:rsid w:val="00303D80"/>
    <w:rsid w:val="00304D8E"/>
    <w:rsid w:val="0030573B"/>
    <w:rsid w:val="00305B92"/>
    <w:rsid w:val="003072D5"/>
    <w:rsid w:val="00307ADC"/>
    <w:rsid w:val="00310FFA"/>
    <w:rsid w:val="0031304F"/>
    <w:rsid w:val="003131A0"/>
    <w:rsid w:val="00313BB4"/>
    <w:rsid w:val="003172C0"/>
    <w:rsid w:val="003214AD"/>
    <w:rsid w:val="003258FF"/>
    <w:rsid w:val="00326402"/>
    <w:rsid w:val="0032665B"/>
    <w:rsid w:val="0032771B"/>
    <w:rsid w:val="003304B8"/>
    <w:rsid w:val="00331C0A"/>
    <w:rsid w:val="003330C1"/>
    <w:rsid w:val="00336133"/>
    <w:rsid w:val="00343A1D"/>
    <w:rsid w:val="00343A47"/>
    <w:rsid w:val="00343E3D"/>
    <w:rsid w:val="00346DFC"/>
    <w:rsid w:val="003470C0"/>
    <w:rsid w:val="00350DCA"/>
    <w:rsid w:val="003523DE"/>
    <w:rsid w:val="00352423"/>
    <w:rsid w:val="00354863"/>
    <w:rsid w:val="00354E25"/>
    <w:rsid w:val="00355940"/>
    <w:rsid w:val="00356E0D"/>
    <w:rsid w:val="00361DD0"/>
    <w:rsid w:val="00367363"/>
    <w:rsid w:val="0037276C"/>
    <w:rsid w:val="00373599"/>
    <w:rsid w:val="00374740"/>
    <w:rsid w:val="003764AD"/>
    <w:rsid w:val="0037720E"/>
    <w:rsid w:val="00380009"/>
    <w:rsid w:val="0038224E"/>
    <w:rsid w:val="00385A91"/>
    <w:rsid w:val="00387F28"/>
    <w:rsid w:val="00390067"/>
    <w:rsid w:val="00390462"/>
    <w:rsid w:val="00390C40"/>
    <w:rsid w:val="00393D16"/>
    <w:rsid w:val="0039406F"/>
    <w:rsid w:val="00395209"/>
    <w:rsid w:val="00396CB6"/>
    <w:rsid w:val="003975A4"/>
    <w:rsid w:val="00397AB9"/>
    <w:rsid w:val="003A02D2"/>
    <w:rsid w:val="003A0C43"/>
    <w:rsid w:val="003A1199"/>
    <w:rsid w:val="003A5ED6"/>
    <w:rsid w:val="003A7682"/>
    <w:rsid w:val="003B16A1"/>
    <w:rsid w:val="003B3895"/>
    <w:rsid w:val="003B4727"/>
    <w:rsid w:val="003B5AFE"/>
    <w:rsid w:val="003C06F8"/>
    <w:rsid w:val="003C1426"/>
    <w:rsid w:val="003C23AE"/>
    <w:rsid w:val="003C24B3"/>
    <w:rsid w:val="003C45E4"/>
    <w:rsid w:val="003C4A8C"/>
    <w:rsid w:val="003C4ED5"/>
    <w:rsid w:val="003C57B6"/>
    <w:rsid w:val="003D0143"/>
    <w:rsid w:val="003D2158"/>
    <w:rsid w:val="003D2D7F"/>
    <w:rsid w:val="003D60BF"/>
    <w:rsid w:val="003D792C"/>
    <w:rsid w:val="003E15A0"/>
    <w:rsid w:val="003E1D4F"/>
    <w:rsid w:val="003E4316"/>
    <w:rsid w:val="003E4729"/>
    <w:rsid w:val="003E51BA"/>
    <w:rsid w:val="003F04E8"/>
    <w:rsid w:val="003F2E42"/>
    <w:rsid w:val="003F6A33"/>
    <w:rsid w:val="003F6C19"/>
    <w:rsid w:val="00400E77"/>
    <w:rsid w:val="004036FD"/>
    <w:rsid w:val="00405A1F"/>
    <w:rsid w:val="00405A81"/>
    <w:rsid w:val="00406E67"/>
    <w:rsid w:val="00407C15"/>
    <w:rsid w:val="004120C8"/>
    <w:rsid w:val="00414565"/>
    <w:rsid w:val="004145BE"/>
    <w:rsid w:val="00421064"/>
    <w:rsid w:val="0042108F"/>
    <w:rsid w:val="0042423E"/>
    <w:rsid w:val="004247A1"/>
    <w:rsid w:val="004257FC"/>
    <w:rsid w:val="004270D3"/>
    <w:rsid w:val="00427D40"/>
    <w:rsid w:val="00430F44"/>
    <w:rsid w:val="0043470A"/>
    <w:rsid w:val="004350CF"/>
    <w:rsid w:val="0043654A"/>
    <w:rsid w:val="00437412"/>
    <w:rsid w:val="00440037"/>
    <w:rsid w:val="0044170A"/>
    <w:rsid w:val="004430C4"/>
    <w:rsid w:val="004434EA"/>
    <w:rsid w:val="00446FEE"/>
    <w:rsid w:val="00447668"/>
    <w:rsid w:val="00450089"/>
    <w:rsid w:val="0045196C"/>
    <w:rsid w:val="00451D7C"/>
    <w:rsid w:val="0045568F"/>
    <w:rsid w:val="00456789"/>
    <w:rsid w:val="004569D3"/>
    <w:rsid w:val="0046267A"/>
    <w:rsid w:val="00463787"/>
    <w:rsid w:val="00463D3A"/>
    <w:rsid w:val="004654E2"/>
    <w:rsid w:val="00470074"/>
    <w:rsid w:val="004714DE"/>
    <w:rsid w:val="0047687B"/>
    <w:rsid w:val="00476BFC"/>
    <w:rsid w:val="004819D5"/>
    <w:rsid w:val="00481DA6"/>
    <w:rsid w:val="00483262"/>
    <w:rsid w:val="00485E8E"/>
    <w:rsid w:val="00486FC2"/>
    <w:rsid w:val="00487E67"/>
    <w:rsid w:val="004907E2"/>
    <w:rsid w:val="00490B79"/>
    <w:rsid w:val="00492FBA"/>
    <w:rsid w:val="004947D9"/>
    <w:rsid w:val="00497165"/>
    <w:rsid w:val="004A1493"/>
    <w:rsid w:val="004A1793"/>
    <w:rsid w:val="004A3339"/>
    <w:rsid w:val="004A3E92"/>
    <w:rsid w:val="004A4366"/>
    <w:rsid w:val="004A6C39"/>
    <w:rsid w:val="004A7EA0"/>
    <w:rsid w:val="004B08F2"/>
    <w:rsid w:val="004B1E6F"/>
    <w:rsid w:val="004B25C1"/>
    <w:rsid w:val="004B4A76"/>
    <w:rsid w:val="004C09EC"/>
    <w:rsid w:val="004C12C5"/>
    <w:rsid w:val="004C12E2"/>
    <w:rsid w:val="004C1C75"/>
    <w:rsid w:val="004C3F41"/>
    <w:rsid w:val="004D325F"/>
    <w:rsid w:val="004D4B60"/>
    <w:rsid w:val="004D5598"/>
    <w:rsid w:val="004D581F"/>
    <w:rsid w:val="004D733E"/>
    <w:rsid w:val="004D7BCE"/>
    <w:rsid w:val="004E01C9"/>
    <w:rsid w:val="004E103E"/>
    <w:rsid w:val="004E32F8"/>
    <w:rsid w:val="004E4654"/>
    <w:rsid w:val="004F414B"/>
    <w:rsid w:val="004F57E5"/>
    <w:rsid w:val="004F6A3D"/>
    <w:rsid w:val="005011B6"/>
    <w:rsid w:val="00502672"/>
    <w:rsid w:val="0050468A"/>
    <w:rsid w:val="00504EB1"/>
    <w:rsid w:val="00505913"/>
    <w:rsid w:val="00505EC7"/>
    <w:rsid w:val="00507871"/>
    <w:rsid w:val="00512A82"/>
    <w:rsid w:val="00514775"/>
    <w:rsid w:val="005151AC"/>
    <w:rsid w:val="00516487"/>
    <w:rsid w:val="005206B3"/>
    <w:rsid w:val="00526071"/>
    <w:rsid w:val="00526830"/>
    <w:rsid w:val="00530B49"/>
    <w:rsid w:val="00531A68"/>
    <w:rsid w:val="0053538D"/>
    <w:rsid w:val="00535E06"/>
    <w:rsid w:val="00537AB6"/>
    <w:rsid w:val="0054124F"/>
    <w:rsid w:val="00541784"/>
    <w:rsid w:val="00541E47"/>
    <w:rsid w:val="00544C5C"/>
    <w:rsid w:val="0054584C"/>
    <w:rsid w:val="00546F60"/>
    <w:rsid w:val="00547ED6"/>
    <w:rsid w:val="00554B59"/>
    <w:rsid w:val="00555AC8"/>
    <w:rsid w:val="00555B7D"/>
    <w:rsid w:val="00560C4B"/>
    <w:rsid w:val="00560CE2"/>
    <w:rsid w:val="005617AC"/>
    <w:rsid w:val="0056278A"/>
    <w:rsid w:val="00562B6E"/>
    <w:rsid w:val="0056371E"/>
    <w:rsid w:val="00563AE8"/>
    <w:rsid w:val="00565B13"/>
    <w:rsid w:val="005673E8"/>
    <w:rsid w:val="00571646"/>
    <w:rsid w:val="00571BC7"/>
    <w:rsid w:val="0057211F"/>
    <w:rsid w:val="00573AD0"/>
    <w:rsid w:val="00575814"/>
    <w:rsid w:val="00576F60"/>
    <w:rsid w:val="00583C29"/>
    <w:rsid w:val="00584E84"/>
    <w:rsid w:val="00587926"/>
    <w:rsid w:val="00590C58"/>
    <w:rsid w:val="00592148"/>
    <w:rsid w:val="0059222F"/>
    <w:rsid w:val="00595511"/>
    <w:rsid w:val="00595DF0"/>
    <w:rsid w:val="00595FA6"/>
    <w:rsid w:val="005A288C"/>
    <w:rsid w:val="005A569A"/>
    <w:rsid w:val="005B01AA"/>
    <w:rsid w:val="005B0B6B"/>
    <w:rsid w:val="005B1DEF"/>
    <w:rsid w:val="005B3DC9"/>
    <w:rsid w:val="005B3EC6"/>
    <w:rsid w:val="005B3F6D"/>
    <w:rsid w:val="005B558C"/>
    <w:rsid w:val="005B5D39"/>
    <w:rsid w:val="005C16E8"/>
    <w:rsid w:val="005C18F2"/>
    <w:rsid w:val="005C2A88"/>
    <w:rsid w:val="005C30F2"/>
    <w:rsid w:val="005C3336"/>
    <w:rsid w:val="005C4809"/>
    <w:rsid w:val="005C5293"/>
    <w:rsid w:val="005C5E9E"/>
    <w:rsid w:val="005C69B7"/>
    <w:rsid w:val="005C6DA7"/>
    <w:rsid w:val="005D10FE"/>
    <w:rsid w:val="005D4102"/>
    <w:rsid w:val="005D67B9"/>
    <w:rsid w:val="005E07D0"/>
    <w:rsid w:val="005E0B6D"/>
    <w:rsid w:val="005E15D8"/>
    <w:rsid w:val="005E2084"/>
    <w:rsid w:val="005E2E85"/>
    <w:rsid w:val="005E2FD1"/>
    <w:rsid w:val="005F13EF"/>
    <w:rsid w:val="005F33B2"/>
    <w:rsid w:val="005F50E8"/>
    <w:rsid w:val="005F6283"/>
    <w:rsid w:val="005F6E99"/>
    <w:rsid w:val="005F7B13"/>
    <w:rsid w:val="006002FA"/>
    <w:rsid w:val="006009B3"/>
    <w:rsid w:val="00603F04"/>
    <w:rsid w:val="00611521"/>
    <w:rsid w:val="00611D15"/>
    <w:rsid w:val="00612882"/>
    <w:rsid w:val="006134F4"/>
    <w:rsid w:val="00616EF8"/>
    <w:rsid w:val="00620B61"/>
    <w:rsid w:val="00620CFF"/>
    <w:rsid w:val="00622FBC"/>
    <w:rsid w:val="006268AF"/>
    <w:rsid w:val="00627E58"/>
    <w:rsid w:val="006330FD"/>
    <w:rsid w:val="00634DC4"/>
    <w:rsid w:val="00635DFB"/>
    <w:rsid w:val="00637013"/>
    <w:rsid w:val="006401BA"/>
    <w:rsid w:val="00641AE2"/>
    <w:rsid w:val="00641AF8"/>
    <w:rsid w:val="00641AFF"/>
    <w:rsid w:val="0064328F"/>
    <w:rsid w:val="006437E0"/>
    <w:rsid w:val="006455D4"/>
    <w:rsid w:val="006465E4"/>
    <w:rsid w:val="00646ACC"/>
    <w:rsid w:val="00651BA1"/>
    <w:rsid w:val="006538E9"/>
    <w:rsid w:val="0065442B"/>
    <w:rsid w:val="00654472"/>
    <w:rsid w:val="0065624C"/>
    <w:rsid w:val="0065627B"/>
    <w:rsid w:val="006572D8"/>
    <w:rsid w:val="00661BC6"/>
    <w:rsid w:val="006667F8"/>
    <w:rsid w:val="00666D9D"/>
    <w:rsid w:val="00671A7C"/>
    <w:rsid w:val="006721A7"/>
    <w:rsid w:val="00672BDA"/>
    <w:rsid w:val="006731A6"/>
    <w:rsid w:val="00674357"/>
    <w:rsid w:val="00676465"/>
    <w:rsid w:val="00682DC7"/>
    <w:rsid w:val="0068680C"/>
    <w:rsid w:val="00686D5A"/>
    <w:rsid w:val="006906D5"/>
    <w:rsid w:val="00690EB3"/>
    <w:rsid w:val="006927E4"/>
    <w:rsid w:val="00695A26"/>
    <w:rsid w:val="00697EAF"/>
    <w:rsid w:val="006A14DE"/>
    <w:rsid w:val="006A3291"/>
    <w:rsid w:val="006A3DF4"/>
    <w:rsid w:val="006A3E00"/>
    <w:rsid w:val="006A518A"/>
    <w:rsid w:val="006A73BF"/>
    <w:rsid w:val="006A79C1"/>
    <w:rsid w:val="006B1634"/>
    <w:rsid w:val="006B241C"/>
    <w:rsid w:val="006B38FD"/>
    <w:rsid w:val="006B43F2"/>
    <w:rsid w:val="006B5840"/>
    <w:rsid w:val="006B6175"/>
    <w:rsid w:val="006C2824"/>
    <w:rsid w:val="006C5212"/>
    <w:rsid w:val="006C734A"/>
    <w:rsid w:val="006D1187"/>
    <w:rsid w:val="006D192B"/>
    <w:rsid w:val="006D2402"/>
    <w:rsid w:val="006D3A4A"/>
    <w:rsid w:val="006D6EB5"/>
    <w:rsid w:val="006E19F3"/>
    <w:rsid w:val="006E2FEF"/>
    <w:rsid w:val="006E354B"/>
    <w:rsid w:val="006E59B3"/>
    <w:rsid w:val="006E60E5"/>
    <w:rsid w:val="006E6E53"/>
    <w:rsid w:val="006F1B2B"/>
    <w:rsid w:val="006F2D9B"/>
    <w:rsid w:val="006F2DF3"/>
    <w:rsid w:val="006F5E21"/>
    <w:rsid w:val="006F7E17"/>
    <w:rsid w:val="006F7E1C"/>
    <w:rsid w:val="00702712"/>
    <w:rsid w:val="0071165A"/>
    <w:rsid w:val="007144B0"/>
    <w:rsid w:val="00714726"/>
    <w:rsid w:val="00716252"/>
    <w:rsid w:val="00723B4B"/>
    <w:rsid w:val="00730AD2"/>
    <w:rsid w:val="00730B26"/>
    <w:rsid w:val="007336D7"/>
    <w:rsid w:val="007339FB"/>
    <w:rsid w:val="00734C07"/>
    <w:rsid w:val="007350F8"/>
    <w:rsid w:val="007368D5"/>
    <w:rsid w:val="00737357"/>
    <w:rsid w:val="00744826"/>
    <w:rsid w:val="007451FB"/>
    <w:rsid w:val="00750518"/>
    <w:rsid w:val="007510F0"/>
    <w:rsid w:val="00755FD1"/>
    <w:rsid w:val="0076077A"/>
    <w:rsid w:val="00760A53"/>
    <w:rsid w:val="00761245"/>
    <w:rsid w:val="00761F1D"/>
    <w:rsid w:val="00763301"/>
    <w:rsid w:val="00764962"/>
    <w:rsid w:val="00764DC8"/>
    <w:rsid w:val="0076522A"/>
    <w:rsid w:val="00765CF0"/>
    <w:rsid w:val="0076714C"/>
    <w:rsid w:val="00767B83"/>
    <w:rsid w:val="007748FF"/>
    <w:rsid w:val="00777F3E"/>
    <w:rsid w:val="00781290"/>
    <w:rsid w:val="007815E7"/>
    <w:rsid w:val="00782988"/>
    <w:rsid w:val="007832C0"/>
    <w:rsid w:val="00783805"/>
    <w:rsid w:val="0079057F"/>
    <w:rsid w:val="00790859"/>
    <w:rsid w:val="007915EA"/>
    <w:rsid w:val="00791D29"/>
    <w:rsid w:val="00793314"/>
    <w:rsid w:val="00794123"/>
    <w:rsid w:val="00795EE4"/>
    <w:rsid w:val="007965F3"/>
    <w:rsid w:val="007A0376"/>
    <w:rsid w:val="007A369F"/>
    <w:rsid w:val="007A3BCE"/>
    <w:rsid w:val="007A68E4"/>
    <w:rsid w:val="007B1CE4"/>
    <w:rsid w:val="007B1E5D"/>
    <w:rsid w:val="007B2970"/>
    <w:rsid w:val="007B2F9A"/>
    <w:rsid w:val="007B4D79"/>
    <w:rsid w:val="007B77B3"/>
    <w:rsid w:val="007B7EA4"/>
    <w:rsid w:val="007C0C93"/>
    <w:rsid w:val="007C50FD"/>
    <w:rsid w:val="007C5FDF"/>
    <w:rsid w:val="007D2877"/>
    <w:rsid w:val="007D2BB3"/>
    <w:rsid w:val="007D4224"/>
    <w:rsid w:val="007D5923"/>
    <w:rsid w:val="007D5E81"/>
    <w:rsid w:val="007D6120"/>
    <w:rsid w:val="007D6B2B"/>
    <w:rsid w:val="007D7AEB"/>
    <w:rsid w:val="007E0060"/>
    <w:rsid w:val="007E15DC"/>
    <w:rsid w:val="007E1A27"/>
    <w:rsid w:val="007E20BA"/>
    <w:rsid w:val="007E508F"/>
    <w:rsid w:val="007E5B8D"/>
    <w:rsid w:val="007E6D51"/>
    <w:rsid w:val="007E72D1"/>
    <w:rsid w:val="007F109E"/>
    <w:rsid w:val="007F2725"/>
    <w:rsid w:val="007F5A8F"/>
    <w:rsid w:val="007F60D1"/>
    <w:rsid w:val="007F695B"/>
    <w:rsid w:val="007F6ACA"/>
    <w:rsid w:val="0080526D"/>
    <w:rsid w:val="008073A0"/>
    <w:rsid w:val="00812B68"/>
    <w:rsid w:val="0081674B"/>
    <w:rsid w:val="008214CE"/>
    <w:rsid w:val="00821FBB"/>
    <w:rsid w:val="008232DB"/>
    <w:rsid w:val="008245B5"/>
    <w:rsid w:val="00824C87"/>
    <w:rsid w:val="00825CFA"/>
    <w:rsid w:val="00826A5E"/>
    <w:rsid w:val="0083043D"/>
    <w:rsid w:val="008308C5"/>
    <w:rsid w:val="00830FDB"/>
    <w:rsid w:val="00832CB7"/>
    <w:rsid w:val="00836FD4"/>
    <w:rsid w:val="00837999"/>
    <w:rsid w:val="00837BA7"/>
    <w:rsid w:val="008409E4"/>
    <w:rsid w:val="0084418B"/>
    <w:rsid w:val="00847B47"/>
    <w:rsid w:val="00850DD3"/>
    <w:rsid w:val="008520E7"/>
    <w:rsid w:val="00854060"/>
    <w:rsid w:val="00855A4E"/>
    <w:rsid w:val="00855E5B"/>
    <w:rsid w:val="00861124"/>
    <w:rsid w:val="0086127A"/>
    <w:rsid w:val="0086282F"/>
    <w:rsid w:val="00864F50"/>
    <w:rsid w:val="00865583"/>
    <w:rsid w:val="0086597D"/>
    <w:rsid w:val="008663D6"/>
    <w:rsid w:val="008668A9"/>
    <w:rsid w:val="0087071F"/>
    <w:rsid w:val="008733C7"/>
    <w:rsid w:val="0087653F"/>
    <w:rsid w:val="00881270"/>
    <w:rsid w:val="00881B6D"/>
    <w:rsid w:val="00884C75"/>
    <w:rsid w:val="0088632C"/>
    <w:rsid w:val="00887B0B"/>
    <w:rsid w:val="00892A9A"/>
    <w:rsid w:val="008934DA"/>
    <w:rsid w:val="008957CA"/>
    <w:rsid w:val="008976A2"/>
    <w:rsid w:val="008A09C4"/>
    <w:rsid w:val="008A3357"/>
    <w:rsid w:val="008A4AFF"/>
    <w:rsid w:val="008A5DC4"/>
    <w:rsid w:val="008A67DC"/>
    <w:rsid w:val="008A7CA5"/>
    <w:rsid w:val="008B1E1F"/>
    <w:rsid w:val="008B23B2"/>
    <w:rsid w:val="008B3B69"/>
    <w:rsid w:val="008B5868"/>
    <w:rsid w:val="008B79E0"/>
    <w:rsid w:val="008B7A52"/>
    <w:rsid w:val="008C52EC"/>
    <w:rsid w:val="008C6465"/>
    <w:rsid w:val="008C6C51"/>
    <w:rsid w:val="008C7CD9"/>
    <w:rsid w:val="008D2677"/>
    <w:rsid w:val="008E0B25"/>
    <w:rsid w:val="008E3061"/>
    <w:rsid w:val="008F156E"/>
    <w:rsid w:val="008F55F9"/>
    <w:rsid w:val="008F69F5"/>
    <w:rsid w:val="008F7045"/>
    <w:rsid w:val="0090000B"/>
    <w:rsid w:val="009024F8"/>
    <w:rsid w:val="00906E7A"/>
    <w:rsid w:val="0091019D"/>
    <w:rsid w:val="00910FCE"/>
    <w:rsid w:val="0091138F"/>
    <w:rsid w:val="009131DF"/>
    <w:rsid w:val="0091487A"/>
    <w:rsid w:val="009148A7"/>
    <w:rsid w:val="0091789D"/>
    <w:rsid w:val="00917B80"/>
    <w:rsid w:val="00920640"/>
    <w:rsid w:val="0092496C"/>
    <w:rsid w:val="009305AA"/>
    <w:rsid w:val="00931868"/>
    <w:rsid w:val="00932463"/>
    <w:rsid w:val="00933CD6"/>
    <w:rsid w:val="00934EAE"/>
    <w:rsid w:val="00936701"/>
    <w:rsid w:val="00945108"/>
    <w:rsid w:val="0094627C"/>
    <w:rsid w:val="00955ABD"/>
    <w:rsid w:val="0096066D"/>
    <w:rsid w:val="009623CC"/>
    <w:rsid w:val="009709C2"/>
    <w:rsid w:val="0097350C"/>
    <w:rsid w:val="00973CF8"/>
    <w:rsid w:val="009749C2"/>
    <w:rsid w:val="00975BD4"/>
    <w:rsid w:val="00975E65"/>
    <w:rsid w:val="00976A92"/>
    <w:rsid w:val="00980075"/>
    <w:rsid w:val="009819BE"/>
    <w:rsid w:val="00983064"/>
    <w:rsid w:val="0098312A"/>
    <w:rsid w:val="009860E6"/>
    <w:rsid w:val="0098669C"/>
    <w:rsid w:val="0098786D"/>
    <w:rsid w:val="00991E7F"/>
    <w:rsid w:val="00994DB4"/>
    <w:rsid w:val="009952F6"/>
    <w:rsid w:val="00995386"/>
    <w:rsid w:val="00995736"/>
    <w:rsid w:val="009A2FC5"/>
    <w:rsid w:val="009A5665"/>
    <w:rsid w:val="009A76C6"/>
    <w:rsid w:val="009A78DC"/>
    <w:rsid w:val="009B1C2E"/>
    <w:rsid w:val="009B2A56"/>
    <w:rsid w:val="009B2B23"/>
    <w:rsid w:val="009B2E65"/>
    <w:rsid w:val="009B3D02"/>
    <w:rsid w:val="009B4088"/>
    <w:rsid w:val="009B47F4"/>
    <w:rsid w:val="009C05BC"/>
    <w:rsid w:val="009C4B16"/>
    <w:rsid w:val="009C51DC"/>
    <w:rsid w:val="009C5246"/>
    <w:rsid w:val="009C5E3D"/>
    <w:rsid w:val="009D00A8"/>
    <w:rsid w:val="009D347A"/>
    <w:rsid w:val="009D54DE"/>
    <w:rsid w:val="009D5A92"/>
    <w:rsid w:val="009D5ED6"/>
    <w:rsid w:val="009E1DD3"/>
    <w:rsid w:val="009E404C"/>
    <w:rsid w:val="009E5AF3"/>
    <w:rsid w:val="009F0FF0"/>
    <w:rsid w:val="009F262D"/>
    <w:rsid w:val="009F3552"/>
    <w:rsid w:val="009F3D32"/>
    <w:rsid w:val="009F6EBD"/>
    <w:rsid w:val="009F7A8A"/>
    <w:rsid w:val="009F7C1C"/>
    <w:rsid w:val="00A003FB"/>
    <w:rsid w:val="00A01007"/>
    <w:rsid w:val="00A01F8F"/>
    <w:rsid w:val="00A0288B"/>
    <w:rsid w:val="00A04CF7"/>
    <w:rsid w:val="00A05728"/>
    <w:rsid w:val="00A05A69"/>
    <w:rsid w:val="00A06F02"/>
    <w:rsid w:val="00A10F9C"/>
    <w:rsid w:val="00A11FE1"/>
    <w:rsid w:val="00A13E06"/>
    <w:rsid w:val="00A142FD"/>
    <w:rsid w:val="00A14814"/>
    <w:rsid w:val="00A154D2"/>
    <w:rsid w:val="00A16729"/>
    <w:rsid w:val="00A20069"/>
    <w:rsid w:val="00A23755"/>
    <w:rsid w:val="00A2437C"/>
    <w:rsid w:val="00A270C3"/>
    <w:rsid w:val="00A27710"/>
    <w:rsid w:val="00A30EC3"/>
    <w:rsid w:val="00A31622"/>
    <w:rsid w:val="00A406CF"/>
    <w:rsid w:val="00A4217A"/>
    <w:rsid w:val="00A42849"/>
    <w:rsid w:val="00A42DED"/>
    <w:rsid w:val="00A436DE"/>
    <w:rsid w:val="00A448CB"/>
    <w:rsid w:val="00A46EA2"/>
    <w:rsid w:val="00A47F2A"/>
    <w:rsid w:val="00A5654F"/>
    <w:rsid w:val="00A5669C"/>
    <w:rsid w:val="00A60E2E"/>
    <w:rsid w:val="00A63635"/>
    <w:rsid w:val="00A6681D"/>
    <w:rsid w:val="00A710CB"/>
    <w:rsid w:val="00A71506"/>
    <w:rsid w:val="00A71CC9"/>
    <w:rsid w:val="00A764CB"/>
    <w:rsid w:val="00A80259"/>
    <w:rsid w:val="00A8162F"/>
    <w:rsid w:val="00A83F61"/>
    <w:rsid w:val="00A84E7D"/>
    <w:rsid w:val="00A8516D"/>
    <w:rsid w:val="00A8700A"/>
    <w:rsid w:val="00A90CD9"/>
    <w:rsid w:val="00A920EA"/>
    <w:rsid w:val="00AA1D67"/>
    <w:rsid w:val="00AA2175"/>
    <w:rsid w:val="00AA3F54"/>
    <w:rsid w:val="00AA6F9B"/>
    <w:rsid w:val="00AA7EE5"/>
    <w:rsid w:val="00AB397B"/>
    <w:rsid w:val="00AB3B33"/>
    <w:rsid w:val="00AB55A3"/>
    <w:rsid w:val="00AB67F0"/>
    <w:rsid w:val="00AB787A"/>
    <w:rsid w:val="00AC4532"/>
    <w:rsid w:val="00AC4AB2"/>
    <w:rsid w:val="00AC55D6"/>
    <w:rsid w:val="00AC75D4"/>
    <w:rsid w:val="00AD0352"/>
    <w:rsid w:val="00AD39CA"/>
    <w:rsid w:val="00AE1968"/>
    <w:rsid w:val="00AE1CC0"/>
    <w:rsid w:val="00AE235E"/>
    <w:rsid w:val="00AE3398"/>
    <w:rsid w:val="00AE5378"/>
    <w:rsid w:val="00AE7246"/>
    <w:rsid w:val="00AF0A4F"/>
    <w:rsid w:val="00AF18E7"/>
    <w:rsid w:val="00AF3BD7"/>
    <w:rsid w:val="00AF479B"/>
    <w:rsid w:val="00B02C9D"/>
    <w:rsid w:val="00B02D73"/>
    <w:rsid w:val="00B067CB"/>
    <w:rsid w:val="00B06F22"/>
    <w:rsid w:val="00B07B93"/>
    <w:rsid w:val="00B105E4"/>
    <w:rsid w:val="00B10832"/>
    <w:rsid w:val="00B10C3A"/>
    <w:rsid w:val="00B110E9"/>
    <w:rsid w:val="00B1166C"/>
    <w:rsid w:val="00B13B21"/>
    <w:rsid w:val="00B14138"/>
    <w:rsid w:val="00B144BB"/>
    <w:rsid w:val="00B15DD2"/>
    <w:rsid w:val="00B15E52"/>
    <w:rsid w:val="00B179C5"/>
    <w:rsid w:val="00B20B41"/>
    <w:rsid w:val="00B20DA3"/>
    <w:rsid w:val="00B22DEB"/>
    <w:rsid w:val="00B2332A"/>
    <w:rsid w:val="00B275E1"/>
    <w:rsid w:val="00B358E3"/>
    <w:rsid w:val="00B403EF"/>
    <w:rsid w:val="00B407CA"/>
    <w:rsid w:val="00B40BCF"/>
    <w:rsid w:val="00B4123C"/>
    <w:rsid w:val="00B41A06"/>
    <w:rsid w:val="00B41D84"/>
    <w:rsid w:val="00B424F8"/>
    <w:rsid w:val="00B4310E"/>
    <w:rsid w:val="00B4456B"/>
    <w:rsid w:val="00B47FF0"/>
    <w:rsid w:val="00B54D6D"/>
    <w:rsid w:val="00B56AF6"/>
    <w:rsid w:val="00B5783D"/>
    <w:rsid w:val="00B57B75"/>
    <w:rsid w:val="00B57E49"/>
    <w:rsid w:val="00B63028"/>
    <w:rsid w:val="00B63E62"/>
    <w:rsid w:val="00B6618B"/>
    <w:rsid w:val="00B678A0"/>
    <w:rsid w:val="00B70F45"/>
    <w:rsid w:val="00B83BEE"/>
    <w:rsid w:val="00B844A0"/>
    <w:rsid w:val="00B8495C"/>
    <w:rsid w:val="00B84EAD"/>
    <w:rsid w:val="00B90125"/>
    <w:rsid w:val="00B906ED"/>
    <w:rsid w:val="00B934C8"/>
    <w:rsid w:val="00B97316"/>
    <w:rsid w:val="00BA2CE2"/>
    <w:rsid w:val="00BA4764"/>
    <w:rsid w:val="00BA54C3"/>
    <w:rsid w:val="00BB17BA"/>
    <w:rsid w:val="00BB2E10"/>
    <w:rsid w:val="00BB3367"/>
    <w:rsid w:val="00BB3B5E"/>
    <w:rsid w:val="00BB3C83"/>
    <w:rsid w:val="00BB7EC7"/>
    <w:rsid w:val="00BC1181"/>
    <w:rsid w:val="00BC140F"/>
    <w:rsid w:val="00BC34A6"/>
    <w:rsid w:val="00BC3D92"/>
    <w:rsid w:val="00BC64C0"/>
    <w:rsid w:val="00BC79B8"/>
    <w:rsid w:val="00BD36B9"/>
    <w:rsid w:val="00BD3756"/>
    <w:rsid w:val="00BD3DDD"/>
    <w:rsid w:val="00BD4014"/>
    <w:rsid w:val="00BD4542"/>
    <w:rsid w:val="00BD5243"/>
    <w:rsid w:val="00BD6A69"/>
    <w:rsid w:val="00BD6EAF"/>
    <w:rsid w:val="00BD7050"/>
    <w:rsid w:val="00BD7CC4"/>
    <w:rsid w:val="00BE0C28"/>
    <w:rsid w:val="00BE31FD"/>
    <w:rsid w:val="00BE4203"/>
    <w:rsid w:val="00BE4693"/>
    <w:rsid w:val="00BE5B98"/>
    <w:rsid w:val="00BE5E08"/>
    <w:rsid w:val="00BF2038"/>
    <w:rsid w:val="00BF2064"/>
    <w:rsid w:val="00BF4771"/>
    <w:rsid w:val="00BF4E83"/>
    <w:rsid w:val="00BF5F35"/>
    <w:rsid w:val="00BF652E"/>
    <w:rsid w:val="00C006B5"/>
    <w:rsid w:val="00C011E3"/>
    <w:rsid w:val="00C013EC"/>
    <w:rsid w:val="00C03333"/>
    <w:rsid w:val="00C03EB0"/>
    <w:rsid w:val="00C0450F"/>
    <w:rsid w:val="00C04D0A"/>
    <w:rsid w:val="00C05870"/>
    <w:rsid w:val="00C06AED"/>
    <w:rsid w:val="00C100CF"/>
    <w:rsid w:val="00C106DF"/>
    <w:rsid w:val="00C122F1"/>
    <w:rsid w:val="00C12342"/>
    <w:rsid w:val="00C12E57"/>
    <w:rsid w:val="00C15C64"/>
    <w:rsid w:val="00C163BD"/>
    <w:rsid w:val="00C170A8"/>
    <w:rsid w:val="00C172EB"/>
    <w:rsid w:val="00C1771E"/>
    <w:rsid w:val="00C20272"/>
    <w:rsid w:val="00C20FAD"/>
    <w:rsid w:val="00C21D2B"/>
    <w:rsid w:val="00C23B2C"/>
    <w:rsid w:val="00C24D88"/>
    <w:rsid w:val="00C321C9"/>
    <w:rsid w:val="00C32412"/>
    <w:rsid w:val="00C40937"/>
    <w:rsid w:val="00C4571E"/>
    <w:rsid w:val="00C45D1A"/>
    <w:rsid w:val="00C45DE3"/>
    <w:rsid w:val="00C4646B"/>
    <w:rsid w:val="00C46B23"/>
    <w:rsid w:val="00C46C6D"/>
    <w:rsid w:val="00C472B2"/>
    <w:rsid w:val="00C5064C"/>
    <w:rsid w:val="00C5234E"/>
    <w:rsid w:val="00C56317"/>
    <w:rsid w:val="00C62681"/>
    <w:rsid w:val="00C6429B"/>
    <w:rsid w:val="00C648D2"/>
    <w:rsid w:val="00C7413E"/>
    <w:rsid w:val="00C7540C"/>
    <w:rsid w:val="00C816BE"/>
    <w:rsid w:val="00C81AC6"/>
    <w:rsid w:val="00C81FE7"/>
    <w:rsid w:val="00C82147"/>
    <w:rsid w:val="00C82D4E"/>
    <w:rsid w:val="00C83E09"/>
    <w:rsid w:val="00C843EC"/>
    <w:rsid w:val="00C851F8"/>
    <w:rsid w:val="00C86AC9"/>
    <w:rsid w:val="00C86C9F"/>
    <w:rsid w:val="00C90CF6"/>
    <w:rsid w:val="00C92D75"/>
    <w:rsid w:val="00C92DE4"/>
    <w:rsid w:val="00C93846"/>
    <w:rsid w:val="00C941C1"/>
    <w:rsid w:val="00CA1573"/>
    <w:rsid w:val="00CA4730"/>
    <w:rsid w:val="00CA6031"/>
    <w:rsid w:val="00CA6EFC"/>
    <w:rsid w:val="00CA6FB5"/>
    <w:rsid w:val="00CB1361"/>
    <w:rsid w:val="00CB4F7B"/>
    <w:rsid w:val="00CB5613"/>
    <w:rsid w:val="00CB610D"/>
    <w:rsid w:val="00CB6715"/>
    <w:rsid w:val="00CB67FB"/>
    <w:rsid w:val="00CC23B3"/>
    <w:rsid w:val="00CC6929"/>
    <w:rsid w:val="00CC6F81"/>
    <w:rsid w:val="00CD1756"/>
    <w:rsid w:val="00CD5BD2"/>
    <w:rsid w:val="00CE05E9"/>
    <w:rsid w:val="00CE1774"/>
    <w:rsid w:val="00CE1B16"/>
    <w:rsid w:val="00CE217D"/>
    <w:rsid w:val="00CE30E6"/>
    <w:rsid w:val="00CF7EC5"/>
    <w:rsid w:val="00D00478"/>
    <w:rsid w:val="00D05138"/>
    <w:rsid w:val="00D0740D"/>
    <w:rsid w:val="00D11913"/>
    <w:rsid w:val="00D1549B"/>
    <w:rsid w:val="00D16E25"/>
    <w:rsid w:val="00D20924"/>
    <w:rsid w:val="00D225F0"/>
    <w:rsid w:val="00D22D07"/>
    <w:rsid w:val="00D23D5B"/>
    <w:rsid w:val="00D23FF4"/>
    <w:rsid w:val="00D25FF2"/>
    <w:rsid w:val="00D301D2"/>
    <w:rsid w:val="00D3087D"/>
    <w:rsid w:val="00D30D04"/>
    <w:rsid w:val="00D32902"/>
    <w:rsid w:val="00D32ED6"/>
    <w:rsid w:val="00D3420C"/>
    <w:rsid w:val="00D34B24"/>
    <w:rsid w:val="00D35006"/>
    <w:rsid w:val="00D36DEE"/>
    <w:rsid w:val="00D451E1"/>
    <w:rsid w:val="00D464CC"/>
    <w:rsid w:val="00D47436"/>
    <w:rsid w:val="00D50179"/>
    <w:rsid w:val="00D51393"/>
    <w:rsid w:val="00D516D1"/>
    <w:rsid w:val="00D572B2"/>
    <w:rsid w:val="00D5773A"/>
    <w:rsid w:val="00D577AB"/>
    <w:rsid w:val="00D63016"/>
    <w:rsid w:val="00D6622F"/>
    <w:rsid w:val="00D6649D"/>
    <w:rsid w:val="00D66761"/>
    <w:rsid w:val="00D6683A"/>
    <w:rsid w:val="00D70A77"/>
    <w:rsid w:val="00D71A42"/>
    <w:rsid w:val="00D7419F"/>
    <w:rsid w:val="00D77C3F"/>
    <w:rsid w:val="00D80B55"/>
    <w:rsid w:val="00D815B9"/>
    <w:rsid w:val="00D819FA"/>
    <w:rsid w:val="00D81B2F"/>
    <w:rsid w:val="00D82ADE"/>
    <w:rsid w:val="00D8402F"/>
    <w:rsid w:val="00D87A38"/>
    <w:rsid w:val="00D87B89"/>
    <w:rsid w:val="00D963A8"/>
    <w:rsid w:val="00D971F1"/>
    <w:rsid w:val="00D97BB5"/>
    <w:rsid w:val="00DA10E5"/>
    <w:rsid w:val="00DA1970"/>
    <w:rsid w:val="00DA3A68"/>
    <w:rsid w:val="00DA5F75"/>
    <w:rsid w:val="00DA6D8D"/>
    <w:rsid w:val="00DB0673"/>
    <w:rsid w:val="00DB06B2"/>
    <w:rsid w:val="00DB2C67"/>
    <w:rsid w:val="00DB458F"/>
    <w:rsid w:val="00DB6A62"/>
    <w:rsid w:val="00DB734B"/>
    <w:rsid w:val="00DC030D"/>
    <w:rsid w:val="00DC201B"/>
    <w:rsid w:val="00DC25C9"/>
    <w:rsid w:val="00DC2A94"/>
    <w:rsid w:val="00DC2BBA"/>
    <w:rsid w:val="00DC4992"/>
    <w:rsid w:val="00DD1755"/>
    <w:rsid w:val="00DD2FD3"/>
    <w:rsid w:val="00DD5932"/>
    <w:rsid w:val="00DD6586"/>
    <w:rsid w:val="00DD6AB9"/>
    <w:rsid w:val="00DD7181"/>
    <w:rsid w:val="00DD7D55"/>
    <w:rsid w:val="00DE3D82"/>
    <w:rsid w:val="00DF1490"/>
    <w:rsid w:val="00DF1F66"/>
    <w:rsid w:val="00DF2EDB"/>
    <w:rsid w:val="00DF35CC"/>
    <w:rsid w:val="00DF4E84"/>
    <w:rsid w:val="00DF583A"/>
    <w:rsid w:val="00E02F24"/>
    <w:rsid w:val="00E061CD"/>
    <w:rsid w:val="00E06B5D"/>
    <w:rsid w:val="00E078E9"/>
    <w:rsid w:val="00E12669"/>
    <w:rsid w:val="00E22460"/>
    <w:rsid w:val="00E23A7B"/>
    <w:rsid w:val="00E262F5"/>
    <w:rsid w:val="00E267A5"/>
    <w:rsid w:val="00E30421"/>
    <w:rsid w:val="00E310D6"/>
    <w:rsid w:val="00E34079"/>
    <w:rsid w:val="00E348E3"/>
    <w:rsid w:val="00E3580F"/>
    <w:rsid w:val="00E371D9"/>
    <w:rsid w:val="00E41200"/>
    <w:rsid w:val="00E41A51"/>
    <w:rsid w:val="00E43057"/>
    <w:rsid w:val="00E43DC7"/>
    <w:rsid w:val="00E45CCD"/>
    <w:rsid w:val="00E47D42"/>
    <w:rsid w:val="00E5143E"/>
    <w:rsid w:val="00E5273C"/>
    <w:rsid w:val="00E53F4C"/>
    <w:rsid w:val="00E553EA"/>
    <w:rsid w:val="00E55494"/>
    <w:rsid w:val="00E55C56"/>
    <w:rsid w:val="00E56D04"/>
    <w:rsid w:val="00E57C39"/>
    <w:rsid w:val="00E6023D"/>
    <w:rsid w:val="00E61209"/>
    <w:rsid w:val="00E643E7"/>
    <w:rsid w:val="00E66D61"/>
    <w:rsid w:val="00E66E26"/>
    <w:rsid w:val="00E71796"/>
    <w:rsid w:val="00E74FFE"/>
    <w:rsid w:val="00E7510B"/>
    <w:rsid w:val="00E769A0"/>
    <w:rsid w:val="00E76E70"/>
    <w:rsid w:val="00E82971"/>
    <w:rsid w:val="00E82F95"/>
    <w:rsid w:val="00E83F4B"/>
    <w:rsid w:val="00E84176"/>
    <w:rsid w:val="00E8478D"/>
    <w:rsid w:val="00E851AC"/>
    <w:rsid w:val="00E85357"/>
    <w:rsid w:val="00E85F09"/>
    <w:rsid w:val="00E867B6"/>
    <w:rsid w:val="00E86C1B"/>
    <w:rsid w:val="00E86CA3"/>
    <w:rsid w:val="00E9496A"/>
    <w:rsid w:val="00EA216D"/>
    <w:rsid w:val="00EA21EB"/>
    <w:rsid w:val="00EA5FE3"/>
    <w:rsid w:val="00EA7C06"/>
    <w:rsid w:val="00EB00EC"/>
    <w:rsid w:val="00EB1B22"/>
    <w:rsid w:val="00EB1D63"/>
    <w:rsid w:val="00EB3DE1"/>
    <w:rsid w:val="00EB4348"/>
    <w:rsid w:val="00EB52BE"/>
    <w:rsid w:val="00EC12D3"/>
    <w:rsid w:val="00EC3C33"/>
    <w:rsid w:val="00EC7576"/>
    <w:rsid w:val="00EC7700"/>
    <w:rsid w:val="00ED1509"/>
    <w:rsid w:val="00ED1C80"/>
    <w:rsid w:val="00ED2719"/>
    <w:rsid w:val="00ED669D"/>
    <w:rsid w:val="00EE0419"/>
    <w:rsid w:val="00EE11A9"/>
    <w:rsid w:val="00EE297A"/>
    <w:rsid w:val="00EE5534"/>
    <w:rsid w:val="00EE5C5E"/>
    <w:rsid w:val="00EE6AEB"/>
    <w:rsid w:val="00F01745"/>
    <w:rsid w:val="00F03302"/>
    <w:rsid w:val="00F0472B"/>
    <w:rsid w:val="00F06D23"/>
    <w:rsid w:val="00F073D5"/>
    <w:rsid w:val="00F12B27"/>
    <w:rsid w:val="00F1431B"/>
    <w:rsid w:val="00F2007E"/>
    <w:rsid w:val="00F23905"/>
    <w:rsid w:val="00F24572"/>
    <w:rsid w:val="00F26F88"/>
    <w:rsid w:val="00F300C1"/>
    <w:rsid w:val="00F30E2D"/>
    <w:rsid w:val="00F332D2"/>
    <w:rsid w:val="00F34443"/>
    <w:rsid w:val="00F37E00"/>
    <w:rsid w:val="00F40BE8"/>
    <w:rsid w:val="00F4410E"/>
    <w:rsid w:val="00F44D27"/>
    <w:rsid w:val="00F44F37"/>
    <w:rsid w:val="00F46C0A"/>
    <w:rsid w:val="00F46CC5"/>
    <w:rsid w:val="00F5124E"/>
    <w:rsid w:val="00F53B6A"/>
    <w:rsid w:val="00F61315"/>
    <w:rsid w:val="00F62C6E"/>
    <w:rsid w:val="00F63FF0"/>
    <w:rsid w:val="00F64774"/>
    <w:rsid w:val="00F64BD4"/>
    <w:rsid w:val="00F656D0"/>
    <w:rsid w:val="00F70109"/>
    <w:rsid w:val="00F7086D"/>
    <w:rsid w:val="00F708C5"/>
    <w:rsid w:val="00F729A4"/>
    <w:rsid w:val="00F733C0"/>
    <w:rsid w:val="00F74C9C"/>
    <w:rsid w:val="00F75458"/>
    <w:rsid w:val="00F76EFC"/>
    <w:rsid w:val="00F76F2B"/>
    <w:rsid w:val="00F7742B"/>
    <w:rsid w:val="00F77FFE"/>
    <w:rsid w:val="00F80392"/>
    <w:rsid w:val="00F82840"/>
    <w:rsid w:val="00F8711B"/>
    <w:rsid w:val="00F8797C"/>
    <w:rsid w:val="00F87B43"/>
    <w:rsid w:val="00F9286C"/>
    <w:rsid w:val="00F92D7A"/>
    <w:rsid w:val="00F94ADB"/>
    <w:rsid w:val="00F97629"/>
    <w:rsid w:val="00FA0B38"/>
    <w:rsid w:val="00FA1096"/>
    <w:rsid w:val="00FA2082"/>
    <w:rsid w:val="00FA56D8"/>
    <w:rsid w:val="00FB1A72"/>
    <w:rsid w:val="00FB26FE"/>
    <w:rsid w:val="00FB323B"/>
    <w:rsid w:val="00FB5C47"/>
    <w:rsid w:val="00FB7F3E"/>
    <w:rsid w:val="00FC08DF"/>
    <w:rsid w:val="00FC3345"/>
    <w:rsid w:val="00FC3EBD"/>
    <w:rsid w:val="00FC57AC"/>
    <w:rsid w:val="00FC6785"/>
    <w:rsid w:val="00FC7B35"/>
    <w:rsid w:val="00FD0417"/>
    <w:rsid w:val="00FD238E"/>
    <w:rsid w:val="00FD2468"/>
    <w:rsid w:val="00FD3B6C"/>
    <w:rsid w:val="00FE094A"/>
    <w:rsid w:val="00FE1C9B"/>
    <w:rsid w:val="00FE30E0"/>
    <w:rsid w:val="00FE358E"/>
    <w:rsid w:val="00FE4657"/>
    <w:rsid w:val="00FE469D"/>
    <w:rsid w:val="00FE6CBD"/>
    <w:rsid w:val="00FE7F8E"/>
    <w:rsid w:val="00FF0B85"/>
    <w:rsid w:val="00FF1F9F"/>
    <w:rsid w:val="00FF3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DCCECF4-EB06-448D-B971-39E9C5CF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paragraph" w:styleId="Heading6">
    <w:name w:val="heading 6"/>
    <w:basedOn w:val="Normal"/>
    <w:next w:val="Normal"/>
    <w:qFormat/>
    <w:pPr>
      <w:keepNext/>
      <w:ind w:left="2160"/>
      <w:jc w:val="both"/>
      <w:outlineLvl w:val="5"/>
    </w:pPr>
    <w:rPr>
      <w:bCs/>
      <w:sz w:val="28"/>
      <w:lang w:val="en-GB"/>
    </w:rPr>
  </w:style>
  <w:style w:type="paragraph" w:styleId="Heading7">
    <w:name w:val="heading 7"/>
    <w:basedOn w:val="Normal"/>
    <w:next w:val="Normal"/>
    <w:qFormat/>
    <w:pPr>
      <w:keepNext/>
      <w:tabs>
        <w:tab w:val="left" w:pos="1418"/>
      </w:tabs>
      <w:spacing w:line="360" w:lineRule="auto"/>
      <w:jc w:val="both"/>
      <w:outlineLvl w:val="6"/>
    </w:pPr>
    <w:rPr>
      <w:bCs/>
      <w:i/>
      <w:iCs/>
      <w:sz w:val="28"/>
      <w:lang w:val="en-GB"/>
    </w:rPr>
  </w:style>
  <w:style w:type="paragraph" w:styleId="Heading8">
    <w:name w:val="heading 8"/>
    <w:basedOn w:val="Normal"/>
    <w:next w:val="Normal"/>
    <w:qFormat/>
    <w:pPr>
      <w:keepNext/>
      <w:tabs>
        <w:tab w:val="left" w:pos="2268"/>
        <w:tab w:val="right" w:pos="9299"/>
      </w:tabs>
      <w:spacing w:line="360" w:lineRule="auto"/>
      <w:ind w:left="1440"/>
      <w:outlineLvl w:val="7"/>
    </w:pPr>
    <w:rPr>
      <w:bCs/>
      <w:i/>
      <w:iCs/>
      <w:sz w:val="28"/>
      <w:lang w:val="en-GB"/>
    </w:rPr>
  </w:style>
  <w:style w:type="paragraph" w:styleId="Heading9">
    <w:name w:val="heading 9"/>
    <w:basedOn w:val="Normal"/>
    <w:next w:val="Normal"/>
    <w:qFormat/>
    <w:pPr>
      <w:keepNext/>
      <w:jc w:val="both"/>
      <w:outlineLvl w:val="8"/>
    </w:pPr>
    <w:rPr>
      <w:bCs/>
      <w:sz w:val="28"/>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 w:type="paragraph" w:styleId="BodyTextIndent">
    <w:name w:val="Body Text Indent"/>
    <w:basedOn w:val="Normal"/>
    <w:semiHidden/>
    <w:pPr>
      <w:tabs>
        <w:tab w:val="left" w:pos="1418"/>
      </w:tabs>
      <w:spacing w:line="360" w:lineRule="auto"/>
      <w:ind w:left="1440"/>
      <w:jc w:val="both"/>
    </w:pPr>
    <w:rPr>
      <w:bCs/>
      <w:sz w:val="28"/>
      <w:lang w:val="en-GB"/>
    </w:rPr>
  </w:style>
  <w:style w:type="paragraph" w:styleId="BodyTextIndent2">
    <w:name w:val="Body Text Indent 2"/>
    <w:basedOn w:val="Normal"/>
    <w:semiHidden/>
    <w:pPr>
      <w:tabs>
        <w:tab w:val="left" w:pos="540"/>
        <w:tab w:val="left" w:pos="1418"/>
      </w:tabs>
      <w:spacing w:line="360" w:lineRule="auto"/>
      <w:ind w:left="540" w:hanging="540"/>
      <w:jc w:val="both"/>
    </w:pPr>
    <w:rPr>
      <w:bCs/>
      <w:sz w:val="28"/>
      <w:lang w:val="en-GB"/>
    </w:rPr>
  </w:style>
  <w:style w:type="paragraph" w:styleId="BlockText">
    <w:name w:val="Block Text"/>
    <w:basedOn w:val="Normal"/>
    <w:semiHidden/>
    <w:pPr>
      <w:tabs>
        <w:tab w:val="left" w:pos="1418"/>
      </w:tabs>
      <w:ind w:left="1440" w:right="585"/>
      <w:jc w:val="both"/>
    </w:pPr>
    <w:rPr>
      <w:b/>
      <w:lang w:val="en-GB"/>
    </w:rPr>
  </w:style>
  <w:style w:type="paragraph" w:styleId="ListParagraph">
    <w:name w:val="List Paragraph"/>
    <w:basedOn w:val="Normal"/>
    <w:uiPriority w:val="34"/>
    <w:qFormat/>
    <w:rsid w:val="00FE4657"/>
    <w:pPr>
      <w:ind w:left="720"/>
    </w:pPr>
  </w:style>
  <w:style w:type="table" w:styleId="TableGrid">
    <w:name w:val="Table Grid"/>
    <w:basedOn w:val="TableNormal"/>
    <w:uiPriority w:val="59"/>
    <w:rsid w:val="00870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16A3A"/>
    <w:rPr>
      <w:rFonts w:ascii="Tahoma" w:hAnsi="Tahoma"/>
      <w:sz w:val="16"/>
      <w:szCs w:val="16"/>
      <w:lang w:val="x-none" w:eastAsia="x-none"/>
    </w:rPr>
  </w:style>
  <w:style w:type="character" w:customStyle="1" w:styleId="BalloonTextChar">
    <w:name w:val="Balloon Text Char"/>
    <w:link w:val="BalloonText"/>
    <w:uiPriority w:val="99"/>
    <w:semiHidden/>
    <w:rsid w:val="00116A3A"/>
    <w:rPr>
      <w:rFonts w:ascii="Tahoma" w:hAnsi="Tahoma" w:cs="Tahoma"/>
      <w:sz w:val="16"/>
      <w:szCs w:val="16"/>
    </w:rPr>
  </w:style>
  <w:style w:type="paragraph" w:styleId="FootnoteText">
    <w:name w:val="footnote text"/>
    <w:basedOn w:val="Normal"/>
    <w:link w:val="FootnoteTextChar"/>
    <w:uiPriority w:val="99"/>
    <w:unhideWhenUsed/>
    <w:rsid w:val="002607AF"/>
    <w:rPr>
      <w:rFonts w:ascii="Arial" w:eastAsia="PMingLiU" w:hAnsi="Arial"/>
      <w:lang w:val="x-none" w:eastAsia="en-US"/>
    </w:rPr>
  </w:style>
  <w:style w:type="character" w:customStyle="1" w:styleId="FootnoteTextChar">
    <w:name w:val="Footnote Text Char"/>
    <w:link w:val="FootnoteText"/>
    <w:uiPriority w:val="99"/>
    <w:rsid w:val="002607AF"/>
    <w:rPr>
      <w:rFonts w:ascii="Arial" w:eastAsia="PMingLiU" w:hAnsi="Arial"/>
      <w:sz w:val="24"/>
      <w:szCs w:val="24"/>
      <w:lang w:eastAsia="en-US"/>
    </w:rPr>
  </w:style>
  <w:style w:type="character" w:styleId="FootnoteReference">
    <w:name w:val="footnote reference"/>
    <w:uiPriority w:val="99"/>
    <w:unhideWhenUsed/>
    <w:rsid w:val="002607AF"/>
    <w:rPr>
      <w:vertAlign w:val="superscript"/>
    </w:rPr>
  </w:style>
  <w:style w:type="character" w:styleId="PlaceholderText">
    <w:name w:val="Placeholder Text"/>
    <w:uiPriority w:val="99"/>
    <w:semiHidden/>
    <w:rsid w:val="00B83B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36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4D8B2D7928845C692066B5D98F182E0"/>
        <w:category>
          <w:name w:val="General"/>
          <w:gallery w:val="placeholder"/>
        </w:category>
        <w:types>
          <w:type w:val="bbPlcHdr"/>
        </w:types>
        <w:behaviors>
          <w:behavior w:val="content"/>
        </w:behaviors>
        <w:guid w:val="{72D4FD07-AD79-4EC3-B1D3-62D64C85A827}"/>
      </w:docPartPr>
      <w:docPartBody>
        <w:p w:rsidR="00AB2907" w:rsidRDefault="00CC7FA8" w:rsidP="00CC7FA8">
          <w:pPr>
            <w:pStyle w:val="64D8B2D7928845C692066B5D98F182E0"/>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FA8"/>
    <w:rsid w:val="0022460B"/>
    <w:rsid w:val="003E3280"/>
    <w:rsid w:val="00AB2907"/>
    <w:rsid w:val="00CC7FA8"/>
    <w:rsid w:val="00CF1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CC7FA8"/>
    <w:rPr>
      <w:color w:val="808080"/>
    </w:rPr>
  </w:style>
  <w:style w:type="paragraph" w:customStyle="1" w:styleId="64D8B2D7928845C692066B5D98F182E0">
    <w:name w:val="64D8B2D7928845C692066B5D98F182E0"/>
    <w:rsid w:val="00CC7F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49918-81F2-49F1-B3B7-8E4FD1324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3142</Words>
  <Characters>17912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 SAR</Company>
  <LinksUpToDate>false</LinksUpToDate>
  <CharactersWithSpaces>21012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subject/>
  <dc:creator>setup</dc:creator>
  <cp:keywords/>
  <cp:lastModifiedBy>Windows User</cp:lastModifiedBy>
  <cp:revision>2</cp:revision>
  <cp:lastPrinted>2018-04-24T07:04:00Z</cp:lastPrinted>
  <dcterms:created xsi:type="dcterms:W3CDTF">2018-04-24T08:05:00Z</dcterms:created>
  <dcterms:modified xsi:type="dcterms:W3CDTF">2018-04-24T08:05:00Z</dcterms:modified>
</cp:coreProperties>
</file>