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7DFF6" w14:textId="44D1B064" w:rsidR="00F26B60" w:rsidRPr="000C2CC5" w:rsidRDefault="00F26B60" w:rsidP="000C2CC5">
      <w:pPr>
        <w:pStyle w:val="Heading2"/>
        <w:tabs>
          <w:tab w:val="clear" w:pos="4320"/>
          <w:tab w:val="clear" w:pos="9072"/>
        </w:tabs>
        <w:snapToGrid w:val="0"/>
        <w:spacing w:line="360" w:lineRule="auto"/>
        <w:jc w:val="right"/>
        <w:rPr>
          <w:rFonts w:eastAsia="PMingLiU"/>
          <w:b w:val="0"/>
          <w:bCs w:val="0"/>
          <w:sz w:val="28"/>
          <w:szCs w:val="28"/>
        </w:rPr>
      </w:pPr>
      <w:r w:rsidRPr="000C2CC5">
        <w:rPr>
          <w:rFonts w:eastAsia="PMingLiU"/>
          <w:b w:val="0"/>
          <w:bCs w:val="0"/>
          <w:sz w:val="28"/>
          <w:szCs w:val="28"/>
        </w:rPr>
        <w:t>DC</w:t>
      </w:r>
      <w:r w:rsidR="00214A74" w:rsidRPr="000C2CC5">
        <w:rPr>
          <w:rFonts w:eastAsia="PMingLiU"/>
          <w:b w:val="0"/>
          <w:bCs w:val="0"/>
          <w:sz w:val="28"/>
          <w:szCs w:val="28"/>
        </w:rPr>
        <w:t>EO</w:t>
      </w:r>
      <w:r w:rsidRPr="000C2CC5">
        <w:rPr>
          <w:rFonts w:eastAsia="PMingLiU"/>
          <w:b w:val="0"/>
          <w:bCs w:val="0"/>
          <w:sz w:val="28"/>
          <w:szCs w:val="28"/>
        </w:rPr>
        <w:t xml:space="preserve"> </w:t>
      </w:r>
      <w:r w:rsidR="00214A74" w:rsidRPr="000C2CC5">
        <w:rPr>
          <w:rFonts w:eastAsia="PMingLiU"/>
          <w:b w:val="0"/>
          <w:bCs w:val="0"/>
          <w:sz w:val="28"/>
          <w:szCs w:val="28"/>
        </w:rPr>
        <w:t>12</w:t>
      </w:r>
      <w:r w:rsidRPr="000C2CC5">
        <w:rPr>
          <w:rFonts w:eastAsia="PMingLiU"/>
          <w:b w:val="0"/>
          <w:bCs w:val="0"/>
          <w:sz w:val="28"/>
          <w:szCs w:val="28"/>
        </w:rPr>
        <w:t>/20</w:t>
      </w:r>
      <w:r w:rsidR="005E4F81" w:rsidRPr="000C2CC5">
        <w:rPr>
          <w:rFonts w:eastAsia="PMingLiU"/>
          <w:b w:val="0"/>
          <w:bCs w:val="0"/>
          <w:sz w:val="28"/>
          <w:szCs w:val="28"/>
        </w:rPr>
        <w:t>1</w:t>
      </w:r>
      <w:r w:rsidR="00214A74" w:rsidRPr="000C2CC5">
        <w:rPr>
          <w:rFonts w:eastAsia="PMingLiU"/>
          <w:b w:val="0"/>
          <w:bCs w:val="0"/>
          <w:sz w:val="28"/>
          <w:szCs w:val="28"/>
        </w:rPr>
        <w:t>7</w:t>
      </w:r>
    </w:p>
    <w:p w14:paraId="2C456B21" w14:textId="1FAF7D46" w:rsidR="00DC093D" w:rsidRPr="000C2CC5" w:rsidRDefault="008566FB" w:rsidP="00AA7F4D">
      <w:pPr>
        <w:tabs>
          <w:tab w:val="clear" w:pos="9072"/>
        </w:tabs>
        <w:spacing w:line="360" w:lineRule="auto"/>
        <w:jc w:val="right"/>
        <w:rPr>
          <w:rFonts w:eastAsia="PMingLiU"/>
        </w:rPr>
      </w:pPr>
      <w:sdt>
        <w:sdtPr>
          <w:rPr>
            <w:rFonts w:eastAsia="PMingLiU"/>
          </w:rPr>
          <w:alias w:val="neutral citation number"/>
          <w:tag w:val="neutral citation number"/>
          <w:id w:val="210003420"/>
          <w:placeholder>
            <w:docPart w:val="75FF50F6C5AB4A6B9BA556C25EC9073A"/>
          </w:placeholder>
          <w:text/>
        </w:sdtPr>
        <w:sdtEndPr/>
        <w:sdtContent>
          <w:r w:rsidR="000A0464" w:rsidRPr="000C2CC5">
            <w:rPr>
              <w:rFonts w:eastAsia="PMingLiU"/>
            </w:rPr>
            <w:t>[2018] HKDC 1234</w:t>
          </w:r>
        </w:sdtContent>
      </w:sdt>
    </w:p>
    <w:p w14:paraId="3387B629" w14:textId="77777777" w:rsidR="00F26B60" w:rsidRPr="000C2CC5" w:rsidRDefault="00F26B60" w:rsidP="000C2CC5">
      <w:pPr>
        <w:pStyle w:val="normal3"/>
        <w:tabs>
          <w:tab w:val="clear" w:pos="4320"/>
          <w:tab w:val="clear" w:pos="4500"/>
          <w:tab w:val="clear" w:pos="9000"/>
          <w:tab w:val="clear" w:pos="9072"/>
        </w:tabs>
        <w:overflowPunct/>
        <w:autoSpaceDE/>
        <w:autoSpaceDN/>
        <w:rPr>
          <w:rFonts w:eastAsia="PMingLiU"/>
          <w:lang w:val="en-US"/>
        </w:rPr>
      </w:pPr>
    </w:p>
    <w:p w14:paraId="78641BE8" w14:textId="77777777" w:rsidR="005E4F81" w:rsidRPr="000C2CC5" w:rsidRDefault="005E4F81" w:rsidP="000C2CC5">
      <w:pPr>
        <w:pStyle w:val="normal3"/>
        <w:tabs>
          <w:tab w:val="clear" w:pos="4320"/>
          <w:tab w:val="clear" w:pos="4500"/>
          <w:tab w:val="clear" w:pos="9000"/>
          <w:tab w:val="clear" w:pos="9072"/>
        </w:tabs>
        <w:overflowPunct/>
        <w:autoSpaceDE/>
        <w:autoSpaceDN/>
        <w:rPr>
          <w:rFonts w:eastAsia="PMingLiU"/>
          <w:lang w:val="en-US"/>
        </w:rPr>
        <w:sectPr w:rsidR="005E4F81" w:rsidRPr="000C2CC5" w:rsidSect="00EB4E6E">
          <w:headerReference w:type="default" r:id="rId8"/>
          <w:footerReference w:type="default" r:id="rId9"/>
          <w:pgSz w:w="11906" w:h="16838" w:code="9"/>
          <w:pgMar w:top="1800" w:right="1800" w:bottom="1440" w:left="1800" w:header="720" w:footer="720" w:gutter="0"/>
          <w:cols w:space="708"/>
          <w:docGrid w:linePitch="380"/>
        </w:sectPr>
      </w:pPr>
    </w:p>
    <w:p w14:paraId="338F8B64" w14:textId="77777777" w:rsidR="00F26B60" w:rsidRPr="000C2CC5" w:rsidRDefault="00F26B60" w:rsidP="000C2CC5">
      <w:pPr>
        <w:tabs>
          <w:tab w:val="clear" w:pos="4320"/>
          <w:tab w:val="clear" w:pos="9072"/>
        </w:tabs>
        <w:spacing w:line="360" w:lineRule="auto"/>
        <w:jc w:val="center"/>
        <w:rPr>
          <w:rFonts w:eastAsia="PMingLiU"/>
          <w:b/>
        </w:rPr>
      </w:pPr>
      <w:r w:rsidRPr="000C2CC5">
        <w:rPr>
          <w:rFonts w:eastAsia="PMingLiU"/>
          <w:b/>
        </w:rPr>
        <w:t>IN THE DISTRICT COURT OF THE</w:t>
      </w:r>
    </w:p>
    <w:p w14:paraId="24E35BC3" w14:textId="77777777" w:rsidR="00F26B60" w:rsidRPr="000C2CC5" w:rsidRDefault="00F26B60" w:rsidP="000C2CC5">
      <w:pPr>
        <w:pStyle w:val="Heading1"/>
        <w:snapToGrid w:val="0"/>
        <w:spacing w:before="0" w:after="0" w:line="360" w:lineRule="auto"/>
        <w:jc w:val="center"/>
        <w:rPr>
          <w:rFonts w:ascii="Times New Roman" w:eastAsia="PMingLiU" w:hAnsi="Times New Roman"/>
        </w:rPr>
      </w:pPr>
      <w:r w:rsidRPr="000C2CC5">
        <w:rPr>
          <w:rFonts w:ascii="Times New Roman" w:eastAsia="PMingLiU" w:hAnsi="Times New Roman"/>
        </w:rPr>
        <w:t>HONG KONG SPECIAL ADMINISTRATIVE REGION</w:t>
      </w:r>
    </w:p>
    <w:p w14:paraId="414418EA" w14:textId="4CDC920A" w:rsidR="00F26B60" w:rsidRPr="000C2CC5" w:rsidRDefault="00214A74" w:rsidP="000C2CC5">
      <w:pPr>
        <w:tabs>
          <w:tab w:val="clear" w:pos="4320"/>
          <w:tab w:val="clear" w:pos="9072"/>
        </w:tabs>
        <w:spacing w:line="360" w:lineRule="auto"/>
        <w:jc w:val="center"/>
        <w:rPr>
          <w:rFonts w:eastAsia="PMingLiU"/>
        </w:rPr>
      </w:pPr>
      <w:r w:rsidRPr="000C2CC5">
        <w:rPr>
          <w:rFonts w:eastAsia="PMingLiU"/>
        </w:rPr>
        <w:t>EQUAL OPPORTUNITIES</w:t>
      </w:r>
      <w:r w:rsidR="00A81AFF" w:rsidRPr="000C2CC5">
        <w:rPr>
          <w:rFonts w:eastAsia="PMingLiU"/>
        </w:rPr>
        <w:t xml:space="preserve"> ACTION</w:t>
      </w:r>
      <w:r w:rsidR="00F26B60" w:rsidRPr="000C2CC5">
        <w:rPr>
          <w:rFonts w:eastAsia="PMingLiU"/>
        </w:rPr>
        <w:t xml:space="preserve"> NO </w:t>
      </w:r>
      <w:r w:rsidRPr="000C2CC5">
        <w:rPr>
          <w:rFonts w:eastAsia="PMingLiU"/>
        </w:rPr>
        <w:t>12</w:t>
      </w:r>
      <w:r w:rsidR="00F26B60" w:rsidRPr="000C2CC5">
        <w:rPr>
          <w:rFonts w:eastAsia="PMingLiU"/>
        </w:rPr>
        <w:t xml:space="preserve"> OF 20</w:t>
      </w:r>
      <w:r w:rsidR="005E4F81" w:rsidRPr="000C2CC5">
        <w:rPr>
          <w:rFonts w:eastAsia="PMingLiU"/>
        </w:rPr>
        <w:t>1</w:t>
      </w:r>
      <w:r w:rsidRPr="000C2CC5">
        <w:rPr>
          <w:rFonts w:eastAsia="PMingLiU"/>
        </w:rPr>
        <w:t>7</w:t>
      </w:r>
    </w:p>
    <w:p w14:paraId="6C7C9103" w14:textId="77777777" w:rsidR="005E4F81" w:rsidRPr="000C2CC5" w:rsidRDefault="005E4F81" w:rsidP="000C2CC5">
      <w:pPr>
        <w:tabs>
          <w:tab w:val="clear" w:pos="4320"/>
          <w:tab w:val="clear" w:pos="9072"/>
        </w:tabs>
        <w:spacing w:line="360" w:lineRule="auto"/>
        <w:jc w:val="center"/>
        <w:rPr>
          <w:rFonts w:eastAsia="PMingLiU"/>
        </w:rPr>
      </w:pPr>
    </w:p>
    <w:p w14:paraId="01D40F4A" w14:textId="77777777" w:rsidR="005E4F81" w:rsidRPr="000C2CC5" w:rsidRDefault="005E4F81" w:rsidP="000C2CC5">
      <w:pPr>
        <w:tabs>
          <w:tab w:val="clear" w:pos="4320"/>
          <w:tab w:val="clear" w:pos="9072"/>
        </w:tabs>
        <w:spacing w:line="360" w:lineRule="auto"/>
        <w:jc w:val="center"/>
        <w:rPr>
          <w:rFonts w:eastAsia="PMingLiU"/>
        </w:rPr>
      </w:pPr>
      <w:r w:rsidRPr="000C2CC5">
        <w:rPr>
          <w:rFonts w:eastAsia="PMingLiU"/>
        </w:rPr>
        <w:t>-------------------------</w:t>
      </w:r>
    </w:p>
    <w:p w14:paraId="3F5B2C46" w14:textId="77777777" w:rsidR="00F26B60" w:rsidRPr="000C2CC5" w:rsidRDefault="00F26B60" w:rsidP="000C2CC5">
      <w:pPr>
        <w:tabs>
          <w:tab w:val="clear" w:pos="4320"/>
          <w:tab w:val="clear" w:pos="9072"/>
        </w:tabs>
        <w:spacing w:line="360" w:lineRule="auto"/>
        <w:rPr>
          <w:rFonts w:eastAsia="PMingLiU"/>
        </w:rPr>
      </w:pPr>
      <w:r w:rsidRPr="000C2CC5">
        <w:rPr>
          <w:rFonts w:eastAsia="PMingLiU"/>
        </w:rPr>
        <w:t>BETWEEN</w:t>
      </w:r>
    </w:p>
    <w:p w14:paraId="27BE6196" w14:textId="50FDAC6E" w:rsidR="00F26B60" w:rsidRPr="000C2CC5" w:rsidRDefault="00F26B60" w:rsidP="00AA7F4D">
      <w:pPr>
        <w:tabs>
          <w:tab w:val="clear" w:pos="1440"/>
          <w:tab w:val="clear" w:pos="4320"/>
          <w:tab w:val="clear" w:pos="9072"/>
          <w:tab w:val="center" w:pos="3960"/>
          <w:tab w:val="right" w:pos="8280"/>
        </w:tabs>
        <w:spacing w:line="360" w:lineRule="auto"/>
        <w:rPr>
          <w:rFonts w:eastAsia="PMingLiU"/>
          <w:lang w:eastAsia="zh-TW"/>
        </w:rPr>
      </w:pPr>
      <w:r w:rsidRPr="000C2CC5">
        <w:rPr>
          <w:rFonts w:eastAsia="PMingLiU"/>
        </w:rPr>
        <w:tab/>
      </w:r>
      <w:r w:rsidR="00214A74" w:rsidRPr="000C2CC5">
        <w:rPr>
          <w:rFonts w:eastAsia="PMingLiU"/>
        </w:rPr>
        <w:t>CHEUK KIT MAN (</w:t>
      </w:r>
      <w:r w:rsidR="00B05A63" w:rsidRPr="000C2CC5">
        <w:rPr>
          <w:rFonts w:eastAsia="PMingLiU"/>
        </w:rPr>
        <w:t>卓潔文</w:t>
      </w:r>
      <w:r w:rsidR="00214A74" w:rsidRPr="000C2CC5">
        <w:rPr>
          <w:rFonts w:eastAsia="PMingLiU"/>
        </w:rPr>
        <w:t>)</w:t>
      </w:r>
      <w:r w:rsidRPr="000C2CC5">
        <w:rPr>
          <w:rFonts w:eastAsia="PMingLiU"/>
        </w:rPr>
        <w:tab/>
      </w:r>
      <w:r w:rsidR="00214A74" w:rsidRPr="000C2CC5">
        <w:rPr>
          <w:rFonts w:eastAsia="PMingLiU"/>
        </w:rPr>
        <w:t>Claimant</w:t>
      </w:r>
    </w:p>
    <w:p w14:paraId="4DB26E0A" w14:textId="002C0230" w:rsidR="00B41A5F" w:rsidRPr="000C2CC5" w:rsidRDefault="00B41A5F" w:rsidP="00AA7F4D">
      <w:pPr>
        <w:tabs>
          <w:tab w:val="clear" w:pos="1440"/>
          <w:tab w:val="clear" w:pos="4320"/>
          <w:tab w:val="clear" w:pos="9072"/>
          <w:tab w:val="center" w:pos="4140"/>
          <w:tab w:val="right" w:pos="8280"/>
        </w:tabs>
        <w:spacing w:line="360" w:lineRule="auto"/>
        <w:ind w:right="-29"/>
        <w:jc w:val="center"/>
        <w:rPr>
          <w:rFonts w:eastAsia="PMingLiU"/>
        </w:rPr>
      </w:pPr>
      <w:r w:rsidRPr="000C2CC5">
        <w:rPr>
          <w:rFonts w:eastAsia="PMingLiU"/>
        </w:rPr>
        <w:t>and</w:t>
      </w:r>
    </w:p>
    <w:p w14:paraId="7A929DD5" w14:textId="7CDD2C2E" w:rsidR="00C604C9" w:rsidRPr="000C2CC5" w:rsidRDefault="00214A74" w:rsidP="00AA7F4D">
      <w:pPr>
        <w:tabs>
          <w:tab w:val="clear" w:pos="1440"/>
          <w:tab w:val="clear" w:pos="4320"/>
          <w:tab w:val="clear" w:pos="9072"/>
          <w:tab w:val="center" w:pos="4140"/>
          <w:tab w:val="right" w:pos="8280"/>
        </w:tabs>
        <w:jc w:val="center"/>
        <w:rPr>
          <w:rFonts w:eastAsia="PMingLiU"/>
        </w:rPr>
      </w:pPr>
      <w:r w:rsidRPr="000C2CC5">
        <w:rPr>
          <w:rFonts w:eastAsia="PMingLiU"/>
        </w:rPr>
        <w:t>FWD LIFE INSURANCE</w:t>
      </w:r>
    </w:p>
    <w:p w14:paraId="51345876" w14:textId="209CC574" w:rsidR="00A81AFF" w:rsidRPr="000C2CC5" w:rsidRDefault="00C604C9" w:rsidP="00AA7F4D">
      <w:pPr>
        <w:tabs>
          <w:tab w:val="clear" w:pos="1440"/>
          <w:tab w:val="clear" w:pos="4320"/>
          <w:tab w:val="clear" w:pos="9072"/>
          <w:tab w:val="center" w:pos="4140"/>
          <w:tab w:val="right" w:pos="8280"/>
        </w:tabs>
        <w:spacing w:line="360" w:lineRule="auto"/>
        <w:rPr>
          <w:rFonts w:eastAsia="PMingLiU"/>
        </w:rPr>
      </w:pPr>
      <w:r w:rsidRPr="000C2CC5">
        <w:rPr>
          <w:rFonts w:eastAsia="PMingLiU"/>
        </w:rPr>
        <w:tab/>
        <w:t xml:space="preserve">COMPANY </w:t>
      </w:r>
      <w:r w:rsidR="00214A74" w:rsidRPr="000C2CC5">
        <w:rPr>
          <w:rFonts w:eastAsia="PMingLiU"/>
        </w:rPr>
        <w:t>(BERMUDA) LIMITED</w:t>
      </w:r>
      <w:r w:rsidR="00B41A5F" w:rsidRPr="000C2CC5">
        <w:rPr>
          <w:rFonts w:eastAsia="PMingLiU"/>
        </w:rPr>
        <w:tab/>
      </w:r>
      <w:r w:rsidR="00214A74" w:rsidRPr="000C2CC5">
        <w:rPr>
          <w:rFonts w:eastAsia="PMingLiU"/>
        </w:rPr>
        <w:t>1</w:t>
      </w:r>
      <w:r w:rsidR="00214A74" w:rsidRPr="000C2CC5">
        <w:rPr>
          <w:rFonts w:eastAsia="PMingLiU"/>
          <w:vertAlign w:val="superscript"/>
        </w:rPr>
        <w:t>st</w:t>
      </w:r>
      <w:r w:rsidR="00214A74" w:rsidRPr="000C2CC5">
        <w:rPr>
          <w:rFonts w:eastAsia="PMingLiU"/>
        </w:rPr>
        <w:t xml:space="preserve"> Respondent</w:t>
      </w:r>
    </w:p>
    <w:p w14:paraId="08127439" w14:textId="1BC36AB7" w:rsidR="00214A74" w:rsidRPr="000C2CC5" w:rsidRDefault="00C604C9" w:rsidP="00AA7F4D">
      <w:pPr>
        <w:tabs>
          <w:tab w:val="clear" w:pos="1440"/>
          <w:tab w:val="clear" w:pos="4320"/>
          <w:tab w:val="clear" w:pos="9072"/>
          <w:tab w:val="center" w:pos="4140"/>
          <w:tab w:val="right" w:pos="8280"/>
        </w:tabs>
        <w:spacing w:line="360" w:lineRule="auto"/>
        <w:rPr>
          <w:rFonts w:eastAsia="PMingLiU"/>
        </w:rPr>
      </w:pPr>
      <w:r w:rsidRPr="000C2CC5">
        <w:rPr>
          <w:rFonts w:eastAsia="PMingLiU"/>
        </w:rPr>
        <w:tab/>
      </w:r>
      <w:r w:rsidR="00214A74" w:rsidRPr="000C2CC5">
        <w:rPr>
          <w:rFonts w:eastAsia="PMingLiU"/>
        </w:rPr>
        <w:t>WONG DAVID TAI WAI</w:t>
      </w:r>
      <w:r w:rsidR="00214A74" w:rsidRPr="000C2CC5">
        <w:rPr>
          <w:rFonts w:eastAsia="PMingLiU"/>
        </w:rPr>
        <w:tab/>
        <w:t>2</w:t>
      </w:r>
      <w:r w:rsidR="00214A74" w:rsidRPr="000C2CC5">
        <w:rPr>
          <w:rFonts w:eastAsia="PMingLiU"/>
          <w:vertAlign w:val="superscript"/>
        </w:rPr>
        <w:t>nd</w:t>
      </w:r>
      <w:r w:rsidR="000C2CC5" w:rsidRPr="000C2CC5">
        <w:rPr>
          <w:rFonts w:eastAsia="PMingLiU"/>
        </w:rPr>
        <w:t xml:space="preserve"> </w:t>
      </w:r>
      <w:r w:rsidR="00214A74" w:rsidRPr="000C2CC5">
        <w:rPr>
          <w:rFonts w:eastAsia="PMingLiU"/>
        </w:rPr>
        <w:t>Respondent</w:t>
      </w:r>
    </w:p>
    <w:p w14:paraId="4F652414" w14:textId="6BD5A9EF" w:rsidR="00214A74" w:rsidRPr="000C2CC5" w:rsidRDefault="00C604C9" w:rsidP="00AA7F4D">
      <w:pPr>
        <w:tabs>
          <w:tab w:val="clear" w:pos="1440"/>
          <w:tab w:val="clear" w:pos="4320"/>
          <w:tab w:val="clear" w:pos="9072"/>
          <w:tab w:val="center" w:pos="4140"/>
          <w:tab w:val="right" w:pos="8280"/>
        </w:tabs>
        <w:spacing w:line="360" w:lineRule="auto"/>
        <w:rPr>
          <w:rFonts w:eastAsia="PMingLiU"/>
        </w:rPr>
      </w:pPr>
      <w:r w:rsidRPr="000C2CC5">
        <w:rPr>
          <w:rFonts w:eastAsia="PMingLiU"/>
        </w:rPr>
        <w:tab/>
      </w:r>
      <w:r w:rsidR="00214A74" w:rsidRPr="000C2CC5">
        <w:rPr>
          <w:rFonts w:eastAsia="PMingLiU"/>
        </w:rPr>
        <w:t>CHOW KIN FAI</w:t>
      </w:r>
      <w:r w:rsidR="00214A74" w:rsidRPr="000C2CC5">
        <w:rPr>
          <w:rFonts w:eastAsia="PMingLiU"/>
        </w:rPr>
        <w:tab/>
        <w:t>3</w:t>
      </w:r>
      <w:r w:rsidR="00214A74" w:rsidRPr="000C2CC5">
        <w:rPr>
          <w:rFonts w:eastAsia="PMingLiU"/>
          <w:vertAlign w:val="superscript"/>
        </w:rPr>
        <w:t>rd</w:t>
      </w:r>
      <w:r w:rsidRPr="000C2CC5">
        <w:rPr>
          <w:rFonts w:eastAsia="PMingLiU"/>
        </w:rPr>
        <w:t xml:space="preserve"> </w:t>
      </w:r>
      <w:r w:rsidR="00214A74" w:rsidRPr="000C2CC5">
        <w:rPr>
          <w:rFonts w:eastAsia="PMingLiU"/>
        </w:rPr>
        <w:t>Respondent</w:t>
      </w:r>
    </w:p>
    <w:p w14:paraId="3AC841A4" w14:textId="5F8040B5" w:rsidR="00214A74" w:rsidRPr="000C2CC5" w:rsidRDefault="00C604C9" w:rsidP="00AA7F4D">
      <w:pPr>
        <w:tabs>
          <w:tab w:val="clear" w:pos="1440"/>
          <w:tab w:val="clear" w:pos="4320"/>
          <w:tab w:val="clear" w:pos="9072"/>
          <w:tab w:val="center" w:pos="4140"/>
          <w:tab w:val="right" w:pos="8280"/>
        </w:tabs>
        <w:spacing w:line="360" w:lineRule="auto"/>
        <w:jc w:val="both"/>
        <w:rPr>
          <w:rFonts w:eastAsia="PMingLiU"/>
        </w:rPr>
      </w:pPr>
      <w:r w:rsidRPr="000C2CC5">
        <w:rPr>
          <w:rFonts w:eastAsia="PMingLiU"/>
        </w:rPr>
        <w:tab/>
      </w:r>
      <w:r w:rsidR="00214A74" w:rsidRPr="000C2CC5">
        <w:rPr>
          <w:rFonts w:eastAsia="PMingLiU"/>
        </w:rPr>
        <w:t>YVONNE POON</w:t>
      </w:r>
      <w:r w:rsidR="00214A74" w:rsidRPr="000C2CC5">
        <w:rPr>
          <w:rFonts w:eastAsia="PMingLiU"/>
        </w:rPr>
        <w:tab/>
        <w:t>4</w:t>
      </w:r>
      <w:r w:rsidR="00214A74" w:rsidRPr="000C2CC5">
        <w:rPr>
          <w:rFonts w:eastAsia="PMingLiU"/>
          <w:vertAlign w:val="superscript"/>
        </w:rPr>
        <w:t>th</w:t>
      </w:r>
      <w:r w:rsidRPr="000C2CC5">
        <w:rPr>
          <w:rFonts w:eastAsia="PMingLiU"/>
        </w:rPr>
        <w:t xml:space="preserve"> </w:t>
      </w:r>
      <w:r w:rsidR="00214A74" w:rsidRPr="000C2CC5">
        <w:rPr>
          <w:rFonts w:eastAsia="PMingLiU"/>
        </w:rPr>
        <w:t>Respondent</w:t>
      </w:r>
    </w:p>
    <w:p w14:paraId="6032971C" w14:textId="77777777" w:rsidR="005E4F81" w:rsidRPr="000C2CC5" w:rsidRDefault="005E4F81" w:rsidP="00AA7F4D">
      <w:pPr>
        <w:tabs>
          <w:tab w:val="clear" w:pos="1440"/>
          <w:tab w:val="clear" w:pos="4320"/>
          <w:tab w:val="clear" w:pos="9072"/>
          <w:tab w:val="left" w:pos="6930"/>
        </w:tabs>
        <w:spacing w:line="360" w:lineRule="auto"/>
        <w:jc w:val="center"/>
        <w:rPr>
          <w:rFonts w:eastAsia="PMingLiU"/>
        </w:rPr>
      </w:pPr>
      <w:r w:rsidRPr="000C2CC5">
        <w:rPr>
          <w:rFonts w:eastAsia="PMingLiU"/>
        </w:rPr>
        <w:t>-------------------------</w:t>
      </w:r>
    </w:p>
    <w:p w14:paraId="0FDBEAC3" w14:textId="77777777" w:rsidR="00A8299F" w:rsidRPr="000C2CC5" w:rsidRDefault="00A8299F" w:rsidP="000C2CC5">
      <w:pPr>
        <w:tabs>
          <w:tab w:val="right" w:pos="8100"/>
        </w:tabs>
        <w:spacing w:line="360" w:lineRule="auto"/>
        <w:rPr>
          <w:rFonts w:eastAsia="PMingLiU"/>
        </w:rPr>
      </w:pPr>
    </w:p>
    <w:p w14:paraId="02C9E94D" w14:textId="42E1D1FD" w:rsidR="00A8299F" w:rsidRPr="000C2CC5" w:rsidRDefault="00A8299F" w:rsidP="000C2CC5">
      <w:pPr>
        <w:tabs>
          <w:tab w:val="clear" w:pos="1440"/>
          <w:tab w:val="clear" w:pos="4320"/>
          <w:tab w:val="clear" w:pos="9072"/>
        </w:tabs>
        <w:spacing w:line="360" w:lineRule="auto"/>
        <w:jc w:val="both"/>
        <w:rPr>
          <w:rFonts w:eastAsia="PMingLiU"/>
        </w:rPr>
      </w:pPr>
      <w:r w:rsidRPr="000C2CC5">
        <w:rPr>
          <w:rFonts w:eastAsia="PMingLiU"/>
        </w:rPr>
        <w:t xml:space="preserve">Before:  </w:t>
      </w:r>
      <w:r w:rsidR="00DB5FE9" w:rsidRPr="000C2CC5">
        <w:rPr>
          <w:rFonts w:eastAsia="PMingLiU"/>
        </w:rPr>
        <w:t>H</w:t>
      </w:r>
      <w:r w:rsidR="004C0CCE" w:rsidRPr="000C2CC5">
        <w:rPr>
          <w:rFonts w:eastAsia="PMingLiU"/>
        </w:rPr>
        <w:t xml:space="preserve">er </w:t>
      </w:r>
      <w:r w:rsidR="00DB5FE9" w:rsidRPr="000C2CC5">
        <w:rPr>
          <w:rFonts w:eastAsia="PMingLiU"/>
        </w:rPr>
        <w:t>H</w:t>
      </w:r>
      <w:r w:rsidR="004C0CCE" w:rsidRPr="000C2CC5">
        <w:rPr>
          <w:rFonts w:eastAsia="PMingLiU"/>
        </w:rPr>
        <w:t>onour</w:t>
      </w:r>
      <w:r w:rsidRPr="000C2CC5">
        <w:rPr>
          <w:rFonts w:eastAsia="PMingLiU"/>
        </w:rPr>
        <w:t xml:space="preserve"> Judge </w:t>
      </w:r>
      <w:r w:rsidR="00345412" w:rsidRPr="000C2CC5">
        <w:rPr>
          <w:rFonts w:eastAsia="PMingLiU"/>
        </w:rPr>
        <w:t>Winnie Tsui</w:t>
      </w:r>
      <w:r w:rsidRPr="000C2CC5">
        <w:rPr>
          <w:rFonts w:eastAsia="PMingLiU"/>
        </w:rPr>
        <w:t xml:space="preserve"> in C</w:t>
      </w:r>
      <w:r w:rsidR="00345412" w:rsidRPr="000C2CC5">
        <w:rPr>
          <w:rFonts w:eastAsia="PMingLiU"/>
        </w:rPr>
        <w:t>hambers</w:t>
      </w:r>
      <w:r w:rsidR="004C0CCE" w:rsidRPr="000C2CC5">
        <w:rPr>
          <w:rFonts w:eastAsia="PMingLiU"/>
        </w:rPr>
        <w:t xml:space="preserve"> (open to public)</w:t>
      </w:r>
    </w:p>
    <w:p w14:paraId="1707D3C4" w14:textId="1589D97A" w:rsidR="00A8299F" w:rsidRPr="000C2CC5" w:rsidRDefault="00A8299F" w:rsidP="000C2CC5">
      <w:pPr>
        <w:tabs>
          <w:tab w:val="left" w:pos="2100"/>
          <w:tab w:val="left" w:pos="2380"/>
          <w:tab w:val="right" w:pos="8100"/>
        </w:tabs>
        <w:spacing w:line="360" w:lineRule="auto"/>
        <w:rPr>
          <w:rFonts w:eastAsia="PMingLiU"/>
        </w:rPr>
      </w:pPr>
      <w:r w:rsidRPr="000C2CC5">
        <w:rPr>
          <w:rFonts w:eastAsia="PMingLiU"/>
        </w:rPr>
        <w:t xml:space="preserve">Date of Hearing:  </w:t>
      </w:r>
      <w:r w:rsidR="00214A74" w:rsidRPr="000C2CC5">
        <w:rPr>
          <w:rFonts w:eastAsia="PMingLiU"/>
        </w:rPr>
        <w:t>11 June</w:t>
      </w:r>
      <w:r w:rsidR="00345412" w:rsidRPr="000C2CC5">
        <w:rPr>
          <w:rFonts w:eastAsia="PMingLiU"/>
        </w:rPr>
        <w:t xml:space="preserve"> 2018</w:t>
      </w:r>
    </w:p>
    <w:p w14:paraId="2253C0CD" w14:textId="2D2C63AB" w:rsidR="00A8299F" w:rsidRPr="000C2CC5" w:rsidRDefault="00A8299F" w:rsidP="000C2CC5">
      <w:pPr>
        <w:pStyle w:val="normal3"/>
        <w:tabs>
          <w:tab w:val="clear" w:pos="1440"/>
          <w:tab w:val="clear" w:pos="4500"/>
          <w:tab w:val="clear" w:pos="9000"/>
          <w:tab w:val="left" w:pos="2100"/>
          <w:tab w:val="left" w:pos="2380"/>
          <w:tab w:val="right" w:pos="8100"/>
        </w:tabs>
        <w:overflowPunct/>
        <w:autoSpaceDE/>
        <w:autoSpaceDN/>
        <w:rPr>
          <w:rFonts w:eastAsia="PMingLiU"/>
          <w:lang w:val="en-US"/>
        </w:rPr>
      </w:pPr>
      <w:r w:rsidRPr="000C2CC5">
        <w:rPr>
          <w:rFonts w:eastAsia="PMingLiU"/>
          <w:lang w:val="en-US"/>
        </w:rPr>
        <w:t xml:space="preserve">Date of </w:t>
      </w:r>
      <w:r w:rsidR="00852CB0" w:rsidRPr="000C2CC5">
        <w:rPr>
          <w:rFonts w:eastAsia="PMingLiU"/>
          <w:lang w:val="en-US"/>
        </w:rPr>
        <w:t>Decision</w:t>
      </w:r>
      <w:r w:rsidR="009758AD" w:rsidRPr="000C2CC5">
        <w:rPr>
          <w:rFonts w:eastAsia="PMingLiU"/>
          <w:lang w:val="en-US"/>
        </w:rPr>
        <w:t>:</w:t>
      </w:r>
      <w:r w:rsidR="00306E68">
        <w:rPr>
          <w:rFonts w:eastAsia="PMingLiU"/>
          <w:lang w:val="en-US"/>
        </w:rPr>
        <w:t xml:space="preserve">  10 O</w:t>
      </w:r>
      <w:bookmarkStart w:id="0" w:name="_GoBack"/>
      <w:bookmarkEnd w:id="0"/>
      <w:r w:rsidR="00214A74" w:rsidRPr="000C2CC5">
        <w:rPr>
          <w:rFonts w:eastAsia="PMingLiU"/>
          <w:lang w:val="en-US"/>
        </w:rPr>
        <w:t>ctober</w:t>
      </w:r>
      <w:r w:rsidR="00852CB0" w:rsidRPr="000C2CC5">
        <w:rPr>
          <w:rFonts w:eastAsia="PMingLiU"/>
          <w:lang w:val="en-US"/>
        </w:rPr>
        <w:t xml:space="preserve"> </w:t>
      </w:r>
      <w:r w:rsidRPr="000C2CC5">
        <w:rPr>
          <w:rFonts w:eastAsia="PMingLiU"/>
          <w:lang w:val="en-US"/>
        </w:rPr>
        <w:t>201</w:t>
      </w:r>
      <w:r w:rsidR="0063639F" w:rsidRPr="000C2CC5">
        <w:rPr>
          <w:rFonts w:eastAsia="PMingLiU"/>
          <w:lang w:val="en-US"/>
        </w:rPr>
        <w:t>8</w:t>
      </w:r>
    </w:p>
    <w:p w14:paraId="0218449B" w14:textId="77777777" w:rsidR="00F26B60" w:rsidRPr="000C2CC5" w:rsidRDefault="00F26B60" w:rsidP="000C2CC5">
      <w:pPr>
        <w:tabs>
          <w:tab w:val="clear" w:pos="4320"/>
          <w:tab w:val="clear" w:pos="9072"/>
        </w:tabs>
        <w:spacing w:line="360" w:lineRule="auto"/>
        <w:rPr>
          <w:rFonts w:eastAsia="PMingLiU"/>
          <w:lang w:eastAsia="zh-TW"/>
        </w:rPr>
      </w:pPr>
    </w:p>
    <w:p w14:paraId="780C9066" w14:textId="77777777" w:rsidR="005E4F81" w:rsidRPr="000C2CC5" w:rsidRDefault="005E4F81" w:rsidP="000C2CC5">
      <w:pPr>
        <w:tabs>
          <w:tab w:val="clear" w:pos="4320"/>
          <w:tab w:val="clear" w:pos="9072"/>
        </w:tabs>
        <w:spacing w:line="360" w:lineRule="auto"/>
        <w:jc w:val="center"/>
        <w:rPr>
          <w:rFonts w:eastAsia="PMingLiU"/>
        </w:rPr>
      </w:pPr>
      <w:r w:rsidRPr="000C2CC5">
        <w:rPr>
          <w:rFonts w:eastAsia="PMingLiU"/>
        </w:rPr>
        <w:t>---</w:t>
      </w:r>
      <w:r w:rsidR="00A8299F" w:rsidRPr="000C2CC5">
        <w:rPr>
          <w:rFonts w:eastAsia="PMingLiU"/>
        </w:rPr>
        <w:t>-----------------</w:t>
      </w:r>
      <w:r w:rsidR="009758AD" w:rsidRPr="000C2CC5">
        <w:rPr>
          <w:rFonts w:eastAsia="PMingLiU"/>
        </w:rPr>
        <w:t>---</w:t>
      </w:r>
    </w:p>
    <w:p w14:paraId="150C8BB3" w14:textId="7CB8BFC9" w:rsidR="005E4F81" w:rsidRPr="000C2CC5" w:rsidRDefault="00852CB0" w:rsidP="000C2CC5">
      <w:pPr>
        <w:tabs>
          <w:tab w:val="clear" w:pos="4320"/>
          <w:tab w:val="clear" w:pos="9072"/>
        </w:tabs>
        <w:spacing w:line="360" w:lineRule="auto"/>
        <w:jc w:val="center"/>
        <w:rPr>
          <w:rFonts w:eastAsia="PMingLiU"/>
        </w:rPr>
      </w:pPr>
      <w:r w:rsidRPr="000C2CC5">
        <w:rPr>
          <w:rFonts w:eastAsia="PMingLiU"/>
        </w:rPr>
        <w:t>DECISION</w:t>
      </w:r>
    </w:p>
    <w:p w14:paraId="1D581923" w14:textId="77777777" w:rsidR="00A8299F" w:rsidRPr="000C2CC5" w:rsidRDefault="00A8299F" w:rsidP="000C2CC5">
      <w:pPr>
        <w:tabs>
          <w:tab w:val="clear" w:pos="4320"/>
          <w:tab w:val="clear" w:pos="9072"/>
        </w:tabs>
        <w:spacing w:line="360" w:lineRule="auto"/>
        <w:jc w:val="center"/>
        <w:rPr>
          <w:rFonts w:eastAsia="PMingLiU"/>
        </w:rPr>
      </w:pPr>
      <w:r w:rsidRPr="000C2CC5">
        <w:rPr>
          <w:rFonts w:eastAsia="PMingLiU"/>
        </w:rPr>
        <w:t>----------</w:t>
      </w:r>
      <w:r w:rsidR="009758AD" w:rsidRPr="000C2CC5">
        <w:rPr>
          <w:rFonts w:eastAsia="PMingLiU"/>
        </w:rPr>
        <w:t>------------</w:t>
      </w:r>
    </w:p>
    <w:p w14:paraId="57C915A7" w14:textId="3914D2E9" w:rsidR="00B55F95" w:rsidRPr="000C2CC5" w:rsidRDefault="00B55F95" w:rsidP="000C2CC5">
      <w:pPr>
        <w:tabs>
          <w:tab w:val="clear" w:pos="4320"/>
          <w:tab w:val="clear" w:pos="9072"/>
        </w:tabs>
        <w:spacing w:line="360" w:lineRule="auto"/>
        <w:jc w:val="both"/>
        <w:rPr>
          <w:rFonts w:eastAsia="PMingLiU"/>
          <w:bCs/>
        </w:rPr>
      </w:pPr>
    </w:p>
    <w:p w14:paraId="6EEBFBC0" w14:textId="2C720AA7" w:rsidR="00345412" w:rsidRPr="000C2CC5" w:rsidRDefault="0098097F" w:rsidP="000C2CC5">
      <w:pPr>
        <w:keepNext/>
        <w:keepLines/>
        <w:widowControl w:val="0"/>
        <w:tabs>
          <w:tab w:val="clear" w:pos="4320"/>
          <w:tab w:val="clear" w:pos="9072"/>
        </w:tabs>
        <w:spacing w:line="360" w:lineRule="auto"/>
        <w:jc w:val="both"/>
        <w:rPr>
          <w:rFonts w:eastAsia="PMingLiU"/>
          <w:bCs/>
          <w:i/>
        </w:rPr>
      </w:pPr>
      <w:r w:rsidRPr="000C2CC5">
        <w:rPr>
          <w:rFonts w:eastAsia="PMingLiU"/>
          <w:bCs/>
          <w:i/>
        </w:rPr>
        <w:lastRenderedPageBreak/>
        <w:t>INTRODUCTION</w:t>
      </w:r>
    </w:p>
    <w:p w14:paraId="11BBECE7" w14:textId="77777777" w:rsidR="00345412" w:rsidRPr="000C2CC5" w:rsidRDefault="00345412" w:rsidP="000C2CC5">
      <w:pPr>
        <w:keepNext/>
        <w:keepLines/>
        <w:widowControl w:val="0"/>
        <w:tabs>
          <w:tab w:val="clear" w:pos="4320"/>
          <w:tab w:val="clear" w:pos="9072"/>
        </w:tabs>
        <w:spacing w:line="360" w:lineRule="auto"/>
        <w:jc w:val="both"/>
        <w:rPr>
          <w:rFonts w:eastAsia="PMingLiU"/>
          <w:bCs/>
        </w:rPr>
      </w:pPr>
    </w:p>
    <w:p w14:paraId="6460B7F7" w14:textId="486F68A8" w:rsidR="007375ED" w:rsidRPr="000C2CC5" w:rsidRDefault="00214A74"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This is the 1</w:t>
      </w:r>
      <w:r w:rsidRPr="000C2CC5">
        <w:rPr>
          <w:rFonts w:eastAsia="PMingLiU"/>
          <w:vertAlign w:val="superscript"/>
        </w:rPr>
        <w:t>st</w:t>
      </w:r>
      <w:r w:rsidRPr="000C2CC5">
        <w:rPr>
          <w:rFonts w:eastAsia="PMingLiU"/>
        </w:rPr>
        <w:t xml:space="preserve"> to 4</w:t>
      </w:r>
      <w:r w:rsidRPr="000C2CC5">
        <w:rPr>
          <w:rFonts w:eastAsia="PMingLiU"/>
          <w:vertAlign w:val="superscript"/>
        </w:rPr>
        <w:t>th</w:t>
      </w:r>
      <w:r w:rsidRPr="000C2CC5">
        <w:rPr>
          <w:rFonts w:eastAsia="PMingLiU"/>
        </w:rPr>
        <w:t xml:space="preserve"> respondents’ application to transfer the </w:t>
      </w:r>
      <w:r w:rsidR="001D33AB" w:rsidRPr="000C2CC5">
        <w:rPr>
          <w:rFonts w:eastAsia="PMingLiU"/>
        </w:rPr>
        <w:t xml:space="preserve">present </w:t>
      </w:r>
      <w:r w:rsidRPr="000C2CC5">
        <w:rPr>
          <w:rFonts w:eastAsia="PMingLiU"/>
        </w:rPr>
        <w:t xml:space="preserve">equal opportunities claim to the Court of First Instance under section </w:t>
      </w:r>
      <w:r w:rsidR="001D33AB" w:rsidRPr="000C2CC5">
        <w:rPr>
          <w:rFonts w:eastAsia="PMingLiU"/>
        </w:rPr>
        <w:t>42</w:t>
      </w:r>
      <w:r w:rsidRPr="000C2CC5">
        <w:rPr>
          <w:rFonts w:eastAsia="PMingLiU"/>
        </w:rPr>
        <w:t xml:space="preserve"> of the District Court Ordinance, Cap 336.</w:t>
      </w:r>
      <w:r w:rsidR="00F40185" w:rsidRPr="000C2CC5">
        <w:rPr>
          <w:rFonts w:eastAsia="PMingLiU"/>
        </w:rPr>
        <w:t xml:space="preserve">  The</w:t>
      </w:r>
      <w:r w:rsidR="00CF2F3E" w:rsidRPr="000C2CC5">
        <w:rPr>
          <w:rFonts w:eastAsia="PMingLiU"/>
        </w:rPr>
        <w:t>ir</w:t>
      </w:r>
      <w:r w:rsidR="00F40185" w:rsidRPr="000C2CC5">
        <w:rPr>
          <w:rFonts w:eastAsia="PMingLiU"/>
        </w:rPr>
        <w:t xml:space="preserve"> ground is that the EO claim should be heard together with another action commenced by the 1</w:t>
      </w:r>
      <w:r w:rsidR="00F40185" w:rsidRPr="000C2CC5">
        <w:rPr>
          <w:rFonts w:eastAsia="PMingLiU"/>
          <w:vertAlign w:val="superscript"/>
        </w:rPr>
        <w:t>st</w:t>
      </w:r>
      <w:r w:rsidR="00F40185" w:rsidRPr="000C2CC5">
        <w:rPr>
          <w:rFonts w:eastAsia="PMingLiU"/>
        </w:rPr>
        <w:t xml:space="preserve"> respondent against the claimant in HCA </w:t>
      </w:r>
      <w:r w:rsidR="00F46137">
        <w:rPr>
          <w:rFonts w:eastAsia="PMingLiU"/>
        </w:rPr>
        <w:t xml:space="preserve">1713 of </w:t>
      </w:r>
      <w:r w:rsidR="00F40185" w:rsidRPr="000C2CC5">
        <w:rPr>
          <w:rFonts w:eastAsia="PMingLiU"/>
        </w:rPr>
        <w:t>2017 which con</w:t>
      </w:r>
      <w:r w:rsidR="0098097F" w:rsidRPr="000C2CC5">
        <w:rPr>
          <w:rFonts w:eastAsia="PMingLiU"/>
        </w:rPr>
        <w:t>cerns the same subject-matter</w:t>
      </w:r>
      <w:r w:rsidR="00F40185" w:rsidRPr="000C2CC5">
        <w:rPr>
          <w:rFonts w:eastAsia="PMingLiU"/>
        </w:rPr>
        <w:t>.</w:t>
      </w:r>
    </w:p>
    <w:p w14:paraId="7396DD21" w14:textId="3580C3BC" w:rsidR="00345412" w:rsidRPr="000C2CC5" w:rsidRDefault="00345412" w:rsidP="000C2CC5">
      <w:pPr>
        <w:tabs>
          <w:tab w:val="clear" w:pos="4320"/>
          <w:tab w:val="clear" w:pos="9072"/>
        </w:tabs>
        <w:snapToGrid/>
        <w:spacing w:line="360" w:lineRule="auto"/>
        <w:jc w:val="both"/>
        <w:rPr>
          <w:rFonts w:eastAsia="PMingLiU"/>
        </w:rPr>
      </w:pPr>
    </w:p>
    <w:p w14:paraId="23CDC291" w14:textId="2B3F62D9" w:rsidR="007375ED" w:rsidRPr="000C2CC5" w:rsidRDefault="00214A74"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The claimant opposes the application</w:t>
      </w:r>
      <w:r w:rsidR="0017146D" w:rsidRPr="000C2CC5">
        <w:rPr>
          <w:rFonts w:eastAsia="PMingLiU"/>
        </w:rPr>
        <w:t>.</w:t>
      </w:r>
      <w:r w:rsidRPr="000C2CC5">
        <w:rPr>
          <w:rFonts w:eastAsia="PMingLiU"/>
        </w:rPr>
        <w:t xml:space="preserve">  First, she contends that the </w:t>
      </w:r>
      <w:r w:rsidR="001D33AB" w:rsidRPr="000C2CC5">
        <w:rPr>
          <w:rFonts w:eastAsia="PMingLiU"/>
        </w:rPr>
        <w:t>CFI</w:t>
      </w:r>
      <w:r w:rsidRPr="000C2CC5">
        <w:rPr>
          <w:rFonts w:eastAsia="PMingLiU"/>
        </w:rPr>
        <w:t xml:space="preserve"> has no jurisdiction to hear equal opportunities claims as the District Court’s jurisdiction over such claims are exclusive; and, secondly, even if she is wrong and the </w:t>
      </w:r>
      <w:r w:rsidR="001D33AB" w:rsidRPr="000C2CC5">
        <w:rPr>
          <w:rFonts w:eastAsia="PMingLiU"/>
        </w:rPr>
        <w:t>CFI</w:t>
      </w:r>
      <w:r w:rsidRPr="000C2CC5">
        <w:rPr>
          <w:rFonts w:eastAsia="PMingLiU"/>
        </w:rPr>
        <w:t xml:space="preserve"> does have jurisdiction, I should not exercise my disc</w:t>
      </w:r>
      <w:r w:rsidR="0098097F" w:rsidRPr="000C2CC5">
        <w:rPr>
          <w:rFonts w:eastAsia="PMingLiU"/>
        </w:rPr>
        <w:t>retion to order a transfer</w:t>
      </w:r>
      <w:r w:rsidRPr="000C2CC5">
        <w:rPr>
          <w:rFonts w:eastAsia="PMingLiU"/>
        </w:rPr>
        <w:t>.</w:t>
      </w:r>
    </w:p>
    <w:p w14:paraId="27ADF0B2" w14:textId="77777777" w:rsidR="007375ED" w:rsidRPr="000C2CC5" w:rsidRDefault="007375ED" w:rsidP="000C2CC5">
      <w:pPr>
        <w:spacing w:line="360" w:lineRule="auto"/>
        <w:jc w:val="both"/>
        <w:rPr>
          <w:rFonts w:eastAsia="PMingLiU"/>
        </w:rPr>
      </w:pPr>
    </w:p>
    <w:p w14:paraId="56F7A318" w14:textId="5520E364" w:rsidR="007375ED" w:rsidRPr="000C2CC5" w:rsidRDefault="0090530B" w:rsidP="000C2CC5">
      <w:pPr>
        <w:spacing w:line="360" w:lineRule="auto"/>
        <w:jc w:val="both"/>
        <w:rPr>
          <w:rFonts w:eastAsia="PMingLiU"/>
          <w:i/>
        </w:rPr>
      </w:pPr>
      <w:r w:rsidRPr="000C2CC5">
        <w:rPr>
          <w:rFonts w:eastAsia="PMingLiU"/>
          <w:i/>
        </w:rPr>
        <w:t>FACTUAL</w:t>
      </w:r>
      <w:r w:rsidR="0098097F" w:rsidRPr="000C2CC5">
        <w:rPr>
          <w:rFonts w:eastAsia="PMingLiU"/>
          <w:i/>
        </w:rPr>
        <w:t xml:space="preserve"> BACKGROUND</w:t>
      </w:r>
    </w:p>
    <w:p w14:paraId="7538C607" w14:textId="77777777" w:rsidR="007375ED" w:rsidRPr="000C2CC5" w:rsidRDefault="007375ED" w:rsidP="000C2CC5">
      <w:pPr>
        <w:spacing w:line="360" w:lineRule="auto"/>
        <w:jc w:val="both"/>
        <w:rPr>
          <w:rFonts w:eastAsia="PMingLiU"/>
        </w:rPr>
      </w:pPr>
    </w:p>
    <w:p w14:paraId="1E11F37B" w14:textId="6587221E" w:rsidR="007375ED" w:rsidRPr="000C2CC5" w:rsidRDefault="001D33AB"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The 1</w:t>
      </w:r>
      <w:r w:rsidRPr="000C2CC5">
        <w:rPr>
          <w:rFonts w:eastAsia="PMingLiU"/>
          <w:vertAlign w:val="superscript"/>
        </w:rPr>
        <w:t>st</w:t>
      </w:r>
      <w:r w:rsidRPr="000C2CC5">
        <w:rPr>
          <w:rFonts w:eastAsia="PMingLiU"/>
        </w:rPr>
        <w:t xml:space="preserve"> respondent is an </w:t>
      </w:r>
      <w:r w:rsidR="0098097F" w:rsidRPr="000C2CC5">
        <w:rPr>
          <w:rFonts w:eastAsia="PMingLiU"/>
        </w:rPr>
        <w:t xml:space="preserve">authorised </w:t>
      </w:r>
      <w:r w:rsidRPr="000C2CC5">
        <w:rPr>
          <w:rFonts w:eastAsia="PMingLiU"/>
        </w:rPr>
        <w:t xml:space="preserve">insurer </w:t>
      </w:r>
      <w:r w:rsidR="0098097F" w:rsidRPr="000C2CC5">
        <w:rPr>
          <w:rFonts w:eastAsia="PMingLiU"/>
        </w:rPr>
        <w:t xml:space="preserve">in Hong Kong </w:t>
      </w:r>
      <w:r w:rsidRPr="000C2CC5">
        <w:rPr>
          <w:rFonts w:eastAsia="PMingLiU"/>
        </w:rPr>
        <w:t>carry</w:t>
      </w:r>
      <w:r w:rsidR="0098097F" w:rsidRPr="000C2CC5">
        <w:rPr>
          <w:rFonts w:eastAsia="PMingLiU"/>
        </w:rPr>
        <w:t xml:space="preserve">ing on life insurance business, </w:t>
      </w:r>
      <w:r w:rsidRPr="000C2CC5">
        <w:rPr>
          <w:rFonts w:eastAsia="PMingLiU"/>
        </w:rPr>
        <w:t>amongst its other business</w:t>
      </w:r>
      <w:r w:rsidR="0098097F" w:rsidRPr="000C2CC5">
        <w:rPr>
          <w:rFonts w:eastAsia="PMingLiU"/>
        </w:rPr>
        <w:t>es</w:t>
      </w:r>
      <w:r w:rsidR="008E1603" w:rsidRPr="000C2CC5">
        <w:rPr>
          <w:rFonts w:eastAsia="PMingLiU"/>
        </w:rPr>
        <w:t>.</w:t>
      </w:r>
    </w:p>
    <w:p w14:paraId="31B66FC1" w14:textId="77777777" w:rsidR="007375ED" w:rsidRPr="000C2CC5" w:rsidRDefault="007375ED" w:rsidP="000C2CC5">
      <w:pPr>
        <w:spacing w:line="360" w:lineRule="auto"/>
        <w:jc w:val="both"/>
        <w:rPr>
          <w:rFonts w:eastAsia="PMingLiU"/>
        </w:rPr>
      </w:pPr>
    </w:p>
    <w:p w14:paraId="3EEA1030" w14:textId="60BD84CB" w:rsidR="007375ED" w:rsidRPr="000C2CC5" w:rsidRDefault="001D33AB"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The claimant </w:t>
      </w:r>
      <w:r w:rsidR="0098097F" w:rsidRPr="000C2CC5">
        <w:rPr>
          <w:rFonts w:eastAsia="PMingLiU"/>
        </w:rPr>
        <w:t>joined the 1</w:t>
      </w:r>
      <w:r w:rsidR="0098097F" w:rsidRPr="000C2CC5">
        <w:rPr>
          <w:rFonts w:eastAsia="PMingLiU"/>
          <w:vertAlign w:val="superscript"/>
        </w:rPr>
        <w:t>st</w:t>
      </w:r>
      <w:r w:rsidR="0098097F" w:rsidRPr="000C2CC5">
        <w:rPr>
          <w:rFonts w:eastAsia="PMingLiU"/>
        </w:rPr>
        <w:t xml:space="preserve"> respondent as an insurance agent in about </w:t>
      </w:r>
      <w:r w:rsidR="00263E20" w:rsidRPr="000C2CC5">
        <w:rPr>
          <w:rFonts w:eastAsia="PMingLiU"/>
        </w:rPr>
        <w:t>July 2015</w:t>
      </w:r>
      <w:r w:rsidR="008E1603" w:rsidRPr="000C2CC5">
        <w:rPr>
          <w:rFonts w:eastAsia="PMingLiU"/>
        </w:rPr>
        <w:t>.</w:t>
      </w:r>
      <w:r w:rsidR="00263E20" w:rsidRPr="000C2CC5">
        <w:rPr>
          <w:rFonts w:eastAsia="PMingLiU"/>
        </w:rPr>
        <w:t xml:space="preserve">  Her title was Senior Agency Director.</w:t>
      </w:r>
      <w:r w:rsidR="007D17BD" w:rsidRPr="000C2CC5">
        <w:rPr>
          <w:rFonts w:eastAsia="PMingLiU"/>
        </w:rPr>
        <w:t xml:space="preserve">  Her appointment was later terminated </w:t>
      </w:r>
      <w:r w:rsidR="00385049" w:rsidRPr="000C2CC5">
        <w:rPr>
          <w:rFonts w:eastAsia="PMingLiU"/>
        </w:rPr>
        <w:t>by the 1</w:t>
      </w:r>
      <w:r w:rsidR="00385049" w:rsidRPr="000C2CC5">
        <w:rPr>
          <w:rFonts w:eastAsia="PMingLiU"/>
          <w:vertAlign w:val="superscript"/>
        </w:rPr>
        <w:t>st</w:t>
      </w:r>
      <w:r w:rsidR="00385049" w:rsidRPr="000C2CC5">
        <w:rPr>
          <w:rFonts w:eastAsia="PMingLiU"/>
        </w:rPr>
        <w:t xml:space="preserve"> respondent with effect on 17</w:t>
      </w:r>
      <w:r w:rsidR="00093A3D">
        <w:rPr>
          <w:rFonts w:eastAsia="PMingLiU"/>
        </w:rPr>
        <w:t> </w:t>
      </w:r>
      <w:r w:rsidR="00385049" w:rsidRPr="000C2CC5">
        <w:rPr>
          <w:rFonts w:eastAsia="PMingLiU"/>
        </w:rPr>
        <w:t>May 2017.  The termination forms the subject-matter of the present EO claim and the High Court action.</w:t>
      </w:r>
    </w:p>
    <w:p w14:paraId="347BC972" w14:textId="77777777" w:rsidR="007375ED" w:rsidRPr="000C2CC5" w:rsidRDefault="007375ED" w:rsidP="000C2CC5">
      <w:pPr>
        <w:pStyle w:val="ListParagraph"/>
        <w:spacing w:line="360" w:lineRule="auto"/>
        <w:ind w:left="0"/>
        <w:jc w:val="both"/>
        <w:rPr>
          <w:rFonts w:eastAsia="PMingLiU"/>
        </w:rPr>
      </w:pPr>
    </w:p>
    <w:p w14:paraId="41313799" w14:textId="6989DE63" w:rsidR="00267E4B" w:rsidRPr="000C2CC5" w:rsidRDefault="00F46137" w:rsidP="000C2CC5">
      <w:pPr>
        <w:numPr>
          <w:ilvl w:val="0"/>
          <w:numId w:val="20"/>
        </w:numPr>
        <w:tabs>
          <w:tab w:val="clear" w:pos="4320"/>
          <w:tab w:val="clear" w:pos="9072"/>
        </w:tabs>
        <w:snapToGrid/>
        <w:spacing w:line="360" w:lineRule="auto"/>
        <w:ind w:left="0" w:firstLine="0"/>
        <w:jc w:val="both"/>
        <w:rPr>
          <w:rFonts w:eastAsia="PMingLiU"/>
        </w:rPr>
      </w:pPr>
      <w:r>
        <w:rPr>
          <w:rFonts w:eastAsia="PMingLiU"/>
        </w:rPr>
        <w:t>In 2015, t</w:t>
      </w:r>
      <w:r w:rsidR="00263E20" w:rsidRPr="000C2CC5">
        <w:rPr>
          <w:rFonts w:eastAsia="PMingLiU"/>
        </w:rPr>
        <w:t>he claimant and the 1</w:t>
      </w:r>
      <w:r w:rsidR="00263E20" w:rsidRPr="000C2CC5">
        <w:rPr>
          <w:rFonts w:eastAsia="PMingLiU"/>
          <w:vertAlign w:val="superscript"/>
        </w:rPr>
        <w:t>st</w:t>
      </w:r>
      <w:r w:rsidR="00263E20" w:rsidRPr="000C2CC5">
        <w:rPr>
          <w:rFonts w:eastAsia="PMingLiU"/>
        </w:rPr>
        <w:t xml:space="preserve"> respondent entered into two agreements which made provisions for, amongst other things, </w:t>
      </w:r>
      <w:r>
        <w:rPr>
          <w:rFonts w:eastAsia="PMingLiU"/>
        </w:rPr>
        <w:t>remunerations</w:t>
      </w:r>
      <w:r w:rsidR="00263E20" w:rsidRPr="000C2CC5">
        <w:rPr>
          <w:rFonts w:eastAsia="PMingLiU"/>
        </w:rPr>
        <w:t xml:space="preserve"> payable to the claimant.  The two documents are a letter dated </w:t>
      </w:r>
      <w:r w:rsidR="002A2DDB" w:rsidRPr="000C2CC5">
        <w:rPr>
          <w:rFonts w:eastAsia="PMingLiU"/>
        </w:rPr>
        <w:t>27 April 2015 (“the Letter”) and an Independent Agency Agreement entered into on 24 July 2015 (“the IAA”).</w:t>
      </w:r>
    </w:p>
    <w:p w14:paraId="289F381B" w14:textId="77777777" w:rsidR="00267E4B" w:rsidRPr="000C2CC5" w:rsidRDefault="00267E4B" w:rsidP="00093A3D">
      <w:pPr>
        <w:pStyle w:val="ListParagraph"/>
        <w:spacing w:line="360" w:lineRule="auto"/>
        <w:ind w:left="0"/>
        <w:jc w:val="both"/>
        <w:rPr>
          <w:rFonts w:eastAsia="PMingLiU"/>
        </w:rPr>
      </w:pPr>
    </w:p>
    <w:p w14:paraId="0212E6D7" w14:textId="59FD372F" w:rsidR="002A2DDB" w:rsidRPr="000C2CC5" w:rsidRDefault="00F46137" w:rsidP="000C2CC5">
      <w:pPr>
        <w:numPr>
          <w:ilvl w:val="0"/>
          <w:numId w:val="20"/>
        </w:numPr>
        <w:tabs>
          <w:tab w:val="clear" w:pos="4320"/>
          <w:tab w:val="clear" w:pos="9072"/>
        </w:tabs>
        <w:snapToGrid/>
        <w:spacing w:line="360" w:lineRule="auto"/>
        <w:ind w:left="0" w:firstLine="0"/>
        <w:jc w:val="both"/>
        <w:rPr>
          <w:rFonts w:eastAsia="PMingLiU"/>
        </w:rPr>
      </w:pPr>
      <w:r>
        <w:rPr>
          <w:rFonts w:eastAsia="PMingLiU"/>
        </w:rPr>
        <w:t>U</w:t>
      </w:r>
      <w:r w:rsidR="002A2DDB" w:rsidRPr="000C2CC5">
        <w:rPr>
          <w:rFonts w:eastAsia="PMingLiU"/>
        </w:rPr>
        <w:t>nder the Letter and the IAA</w:t>
      </w:r>
      <w:r>
        <w:rPr>
          <w:rFonts w:eastAsia="PMingLiU"/>
        </w:rPr>
        <w:t>, t</w:t>
      </w:r>
      <w:r w:rsidRPr="000C2CC5">
        <w:rPr>
          <w:rFonts w:eastAsia="PMingLiU"/>
        </w:rPr>
        <w:t xml:space="preserve">he following sums </w:t>
      </w:r>
      <w:r>
        <w:rPr>
          <w:rFonts w:eastAsia="PMingLiU"/>
        </w:rPr>
        <w:t xml:space="preserve">were </w:t>
      </w:r>
      <w:r w:rsidRPr="000C2CC5">
        <w:rPr>
          <w:rFonts w:eastAsia="PMingLiU"/>
        </w:rPr>
        <w:t>payable to the claimant</w:t>
      </w:r>
      <w:r w:rsidR="002A2DDB" w:rsidRPr="000C2CC5">
        <w:rPr>
          <w:rFonts w:eastAsia="PMingLiU"/>
        </w:rPr>
        <w:t xml:space="preserve">.  </w:t>
      </w:r>
    </w:p>
    <w:p w14:paraId="0DEB95FD" w14:textId="77777777" w:rsidR="002A2DDB" w:rsidRPr="000C2CC5" w:rsidRDefault="002A2DDB" w:rsidP="00093A3D">
      <w:pPr>
        <w:pStyle w:val="ListParagraph"/>
        <w:spacing w:line="360" w:lineRule="auto"/>
        <w:ind w:left="0"/>
        <w:jc w:val="both"/>
        <w:rPr>
          <w:rFonts w:eastAsia="PMingLiU"/>
        </w:rPr>
      </w:pPr>
    </w:p>
    <w:p w14:paraId="0BEBE33F" w14:textId="6C9521B7" w:rsidR="007375ED" w:rsidRDefault="00F46137" w:rsidP="00093A3D">
      <w:pPr>
        <w:numPr>
          <w:ilvl w:val="1"/>
          <w:numId w:val="20"/>
        </w:numPr>
        <w:tabs>
          <w:tab w:val="clear" w:pos="1440"/>
          <w:tab w:val="clear" w:pos="4320"/>
          <w:tab w:val="clear" w:pos="9072"/>
          <w:tab w:val="left" w:pos="2160"/>
        </w:tabs>
        <w:snapToGrid/>
        <w:spacing w:line="360" w:lineRule="auto"/>
        <w:ind w:left="2160" w:hanging="720"/>
        <w:jc w:val="both"/>
        <w:rPr>
          <w:rFonts w:eastAsia="PMingLiU"/>
        </w:rPr>
      </w:pPr>
      <w:r>
        <w:rPr>
          <w:rFonts w:eastAsia="PMingLiU"/>
        </w:rPr>
        <w:t>T</w:t>
      </w:r>
      <w:r w:rsidR="002A2DDB" w:rsidRPr="000C2CC5">
        <w:rPr>
          <w:rFonts w:eastAsia="PMingLiU"/>
        </w:rPr>
        <w:t>he 1</w:t>
      </w:r>
      <w:r w:rsidR="002A2DDB" w:rsidRPr="000C2CC5">
        <w:rPr>
          <w:rFonts w:eastAsia="PMingLiU"/>
          <w:vertAlign w:val="superscript"/>
        </w:rPr>
        <w:t>st</w:t>
      </w:r>
      <w:r w:rsidR="002A2DDB" w:rsidRPr="000C2CC5">
        <w:rPr>
          <w:rFonts w:eastAsia="PMingLiU"/>
        </w:rPr>
        <w:t xml:space="preserve"> respondent would pay a one-off signing fee in the sum of $2,174,414 to the claimant upon her registration with the Insurance Agents Registration Board and her signing of the IAA</w:t>
      </w:r>
      <w:r>
        <w:rPr>
          <w:rFonts w:eastAsia="PMingLiU"/>
        </w:rPr>
        <w:t xml:space="preserve"> (“the signing fee”)</w:t>
      </w:r>
      <w:r w:rsidR="002A2DDB" w:rsidRPr="000C2CC5">
        <w:rPr>
          <w:rFonts w:eastAsia="PMingLiU"/>
        </w:rPr>
        <w:t>.</w:t>
      </w:r>
    </w:p>
    <w:p w14:paraId="7716DCBF" w14:textId="77777777" w:rsidR="00093A3D" w:rsidRPr="000C2CC5" w:rsidRDefault="00093A3D" w:rsidP="00093A3D">
      <w:pPr>
        <w:tabs>
          <w:tab w:val="clear" w:pos="1440"/>
          <w:tab w:val="clear" w:pos="4320"/>
          <w:tab w:val="clear" w:pos="9072"/>
          <w:tab w:val="left" w:pos="2160"/>
        </w:tabs>
        <w:snapToGrid/>
        <w:spacing w:line="360" w:lineRule="auto"/>
        <w:ind w:left="2160"/>
        <w:jc w:val="both"/>
        <w:rPr>
          <w:rFonts w:eastAsia="PMingLiU"/>
        </w:rPr>
      </w:pPr>
    </w:p>
    <w:p w14:paraId="6DBF39E8" w14:textId="15B0DA65" w:rsidR="002A2DDB" w:rsidRPr="000C2CC5" w:rsidRDefault="00F46137" w:rsidP="00093A3D">
      <w:pPr>
        <w:numPr>
          <w:ilvl w:val="1"/>
          <w:numId w:val="20"/>
        </w:numPr>
        <w:tabs>
          <w:tab w:val="clear" w:pos="1440"/>
          <w:tab w:val="clear" w:pos="4320"/>
          <w:tab w:val="clear" w:pos="9072"/>
          <w:tab w:val="left" w:pos="2160"/>
        </w:tabs>
        <w:snapToGrid/>
        <w:spacing w:line="360" w:lineRule="auto"/>
        <w:ind w:left="2160" w:hanging="720"/>
        <w:jc w:val="both"/>
        <w:rPr>
          <w:rFonts w:eastAsia="PMingLiU"/>
        </w:rPr>
      </w:pPr>
      <w:r>
        <w:rPr>
          <w:rFonts w:eastAsia="PMingLiU"/>
        </w:rPr>
        <w:t>T</w:t>
      </w:r>
      <w:r w:rsidR="002A2DDB" w:rsidRPr="000C2CC5">
        <w:rPr>
          <w:rFonts w:eastAsia="PMingLiU"/>
        </w:rPr>
        <w:t>he 1</w:t>
      </w:r>
      <w:r w:rsidR="002A2DDB" w:rsidRPr="00093A3D">
        <w:rPr>
          <w:rFonts w:eastAsia="PMingLiU"/>
          <w:vertAlign w:val="superscript"/>
        </w:rPr>
        <w:t>st</w:t>
      </w:r>
      <w:r w:rsidR="002A2DDB" w:rsidRPr="000C2CC5">
        <w:rPr>
          <w:rFonts w:eastAsia="PMingLiU"/>
        </w:rPr>
        <w:t xml:space="preserve"> respondent would pay a monthly special bonus of $90,601 </w:t>
      </w:r>
      <w:r w:rsidR="004A42B3" w:rsidRPr="000C2CC5">
        <w:rPr>
          <w:rFonts w:eastAsia="PMingLiU"/>
        </w:rPr>
        <w:t>for 24 months provided that pre-set sales targets</w:t>
      </w:r>
      <w:r w:rsidR="005A383B" w:rsidRPr="000C2CC5">
        <w:rPr>
          <w:rFonts w:eastAsia="PMingLiU"/>
        </w:rPr>
        <w:t xml:space="preserve"> were met</w:t>
      </w:r>
      <w:r>
        <w:rPr>
          <w:rFonts w:eastAsia="PMingLiU"/>
        </w:rPr>
        <w:t xml:space="preserve"> by the claimant (“the special bonuses”)</w:t>
      </w:r>
      <w:r w:rsidR="004A42B3" w:rsidRPr="000C2CC5">
        <w:rPr>
          <w:rFonts w:eastAsia="PMingLiU"/>
        </w:rPr>
        <w:t>.</w:t>
      </w:r>
    </w:p>
    <w:p w14:paraId="3648A09C" w14:textId="77777777" w:rsidR="00093A3D" w:rsidRDefault="00093A3D" w:rsidP="00093A3D">
      <w:pPr>
        <w:tabs>
          <w:tab w:val="clear" w:pos="1440"/>
          <w:tab w:val="clear" w:pos="4320"/>
          <w:tab w:val="clear" w:pos="9072"/>
          <w:tab w:val="left" w:pos="2160"/>
        </w:tabs>
        <w:snapToGrid/>
        <w:spacing w:line="360" w:lineRule="auto"/>
        <w:ind w:left="2160"/>
        <w:jc w:val="both"/>
        <w:rPr>
          <w:rFonts w:eastAsia="PMingLiU"/>
        </w:rPr>
      </w:pPr>
    </w:p>
    <w:p w14:paraId="1D389055" w14:textId="75D4CEFD" w:rsidR="005A383B" w:rsidRPr="000C2CC5" w:rsidRDefault="00F46137" w:rsidP="00093A3D">
      <w:pPr>
        <w:numPr>
          <w:ilvl w:val="1"/>
          <w:numId w:val="20"/>
        </w:numPr>
        <w:tabs>
          <w:tab w:val="clear" w:pos="1440"/>
          <w:tab w:val="clear" w:pos="4320"/>
          <w:tab w:val="clear" w:pos="9072"/>
          <w:tab w:val="left" w:pos="2160"/>
        </w:tabs>
        <w:snapToGrid/>
        <w:spacing w:line="360" w:lineRule="auto"/>
        <w:ind w:left="2160" w:hanging="720"/>
        <w:jc w:val="both"/>
        <w:rPr>
          <w:rFonts w:eastAsia="PMingLiU"/>
        </w:rPr>
      </w:pPr>
      <w:r>
        <w:rPr>
          <w:rFonts w:eastAsia="PMingLiU"/>
        </w:rPr>
        <w:t>T</w:t>
      </w:r>
      <w:r w:rsidR="005A383B" w:rsidRPr="000C2CC5">
        <w:rPr>
          <w:rFonts w:eastAsia="PMingLiU"/>
        </w:rPr>
        <w:t>he claimant was entitled to receive commissions on policies issued</w:t>
      </w:r>
      <w:r w:rsidR="00093A3D">
        <w:rPr>
          <w:rFonts w:eastAsia="PMingLiU" w:hint="eastAsia"/>
          <w:lang w:eastAsia="zh-TW"/>
        </w:rPr>
        <w:t>.</w:t>
      </w:r>
    </w:p>
    <w:p w14:paraId="2D63681F" w14:textId="77777777" w:rsidR="00093A3D" w:rsidRDefault="00093A3D" w:rsidP="00093A3D">
      <w:pPr>
        <w:tabs>
          <w:tab w:val="clear" w:pos="4320"/>
          <w:tab w:val="clear" w:pos="9072"/>
        </w:tabs>
        <w:snapToGrid/>
        <w:spacing w:line="360" w:lineRule="auto"/>
        <w:jc w:val="both"/>
        <w:rPr>
          <w:rFonts w:eastAsia="PMingLiU"/>
        </w:rPr>
      </w:pPr>
    </w:p>
    <w:p w14:paraId="0A488D9E" w14:textId="24E74FC5" w:rsidR="004A42B3" w:rsidRDefault="004A42B3"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The Letter further provided that if the IAA was terminated by either party for any reason within the first 24 contractual months from the date of the IAA, the signing fee and the special bonuses received by the claimant should be forthwith repaid in full.</w:t>
      </w:r>
    </w:p>
    <w:p w14:paraId="58EC0298" w14:textId="77777777" w:rsidR="00093A3D" w:rsidRPr="000C2CC5" w:rsidRDefault="00093A3D" w:rsidP="00093A3D">
      <w:pPr>
        <w:tabs>
          <w:tab w:val="clear" w:pos="4320"/>
          <w:tab w:val="clear" w:pos="9072"/>
        </w:tabs>
        <w:snapToGrid/>
        <w:spacing w:line="360" w:lineRule="auto"/>
        <w:jc w:val="both"/>
        <w:rPr>
          <w:rFonts w:eastAsia="PMingLiU"/>
        </w:rPr>
      </w:pPr>
    </w:p>
    <w:p w14:paraId="419359DA" w14:textId="0E2D603A" w:rsidR="002A2DDB" w:rsidRPr="000C2CC5" w:rsidRDefault="005A383B"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Separately, the 1</w:t>
      </w:r>
      <w:r w:rsidRPr="000C2CC5">
        <w:rPr>
          <w:rFonts w:eastAsia="PMingLiU"/>
          <w:vertAlign w:val="superscript"/>
        </w:rPr>
        <w:t>st</w:t>
      </w:r>
      <w:r w:rsidRPr="000C2CC5">
        <w:rPr>
          <w:rFonts w:eastAsia="PMingLiU"/>
        </w:rPr>
        <w:t xml:space="preserve"> respondent operated </w:t>
      </w:r>
      <w:r w:rsidR="004A42B3" w:rsidRPr="000C2CC5">
        <w:rPr>
          <w:rFonts w:eastAsia="PMingLiU"/>
        </w:rPr>
        <w:t>a scheme known as the “Give Me Five”</w:t>
      </w:r>
      <w:r w:rsidRPr="000C2CC5">
        <w:rPr>
          <w:rFonts w:eastAsia="PMingLiU"/>
        </w:rPr>
        <w:t xml:space="preserve"> Sales Incentive.  </w:t>
      </w:r>
      <w:r w:rsidR="004A42B3" w:rsidRPr="000C2CC5">
        <w:rPr>
          <w:rFonts w:eastAsia="PMingLiU"/>
        </w:rPr>
        <w:t xml:space="preserve">The </w:t>
      </w:r>
      <w:r w:rsidRPr="000C2CC5">
        <w:rPr>
          <w:rFonts w:eastAsia="PMingLiU"/>
        </w:rPr>
        <w:t>rules of the scheme provided</w:t>
      </w:r>
      <w:r w:rsidR="004A42B3" w:rsidRPr="000C2CC5">
        <w:rPr>
          <w:rFonts w:eastAsia="PMingLiU"/>
        </w:rPr>
        <w:t xml:space="preserve"> that if the IAA </w:t>
      </w:r>
      <w:r w:rsidR="00F46137">
        <w:rPr>
          <w:rFonts w:eastAsia="PMingLiU"/>
        </w:rPr>
        <w:t>wa</w:t>
      </w:r>
      <w:r w:rsidR="004A42B3" w:rsidRPr="000C2CC5">
        <w:rPr>
          <w:rFonts w:eastAsia="PMingLiU"/>
        </w:rPr>
        <w:t xml:space="preserve">s terminated for whatever reason on or before 30 April 2018, the claimant </w:t>
      </w:r>
      <w:r w:rsidRPr="000C2CC5">
        <w:rPr>
          <w:rFonts w:eastAsia="PMingLiU"/>
        </w:rPr>
        <w:t>would</w:t>
      </w:r>
      <w:r w:rsidR="004A42B3" w:rsidRPr="000C2CC5">
        <w:rPr>
          <w:rFonts w:eastAsia="PMingLiU"/>
        </w:rPr>
        <w:t xml:space="preserve"> repay all the sales incentive payments received by her to the 1</w:t>
      </w:r>
      <w:r w:rsidR="004A42B3" w:rsidRPr="000C2CC5">
        <w:rPr>
          <w:rFonts w:eastAsia="PMingLiU"/>
          <w:vertAlign w:val="superscript"/>
        </w:rPr>
        <w:t>st</w:t>
      </w:r>
      <w:r w:rsidR="004A42B3" w:rsidRPr="000C2CC5">
        <w:rPr>
          <w:rFonts w:eastAsia="PMingLiU"/>
        </w:rPr>
        <w:t xml:space="preserve"> respondent immediately.</w:t>
      </w:r>
    </w:p>
    <w:p w14:paraId="54E35813" w14:textId="77777777" w:rsidR="00093A3D" w:rsidRDefault="00093A3D" w:rsidP="00093A3D">
      <w:pPr>
        <w:tabs>
          <w:tab w:val="clear" w:pos="4320"/>
          <w:tab w:val="clear" w:pos="9072"/>
        </w:tabs>
        <w:snapToGrid/>
        <w:spacing w:line="360" w:lineRule="auto"/>
        <w:jc w:val="both"/>
        <w:rPr>
          <w:rFonts w:eastAsia="PMingLiU"/>
        </w:rPr>
      </w:pPr>
    </w:p>
    <w:p w14:paraId="29FA3AE2" w14:textId="0D6AD53D" w:rsidR="005A383B" w:rsidRDefault="005A383B"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Pursuant to the above terms, the claimant received the following payments</w:t>
      </w:r>
      <w:r w:rsidR="00A7756D" w:rsidRPr="000C2CC5">
        <w:rPr>
          <w:rFonts w:eastAsia="PMingLiU"/>
        </w:rPr>
        <w:t xml:space="preserve"> totaling $4,187,190.01</w:t>
      </w:r>
      <w:r w:rsidR="00385049" w:rsidRPr="000C2CC5">
        <w:rPr>
          <w:rFonts w:eastAsia="PMingLiU"/>
        </w:rPr>
        <w:t xml:space="preserve"> during her appointment</w:t>
      </w:r>
      <w:r w:rsidRPr="000C2CC5">
        <w:rPr>
          <w:rFonts w:eastAsia="PMingLiU"/>
        </w:rPr>
        <w:t>:</w:t>
      </w:r>
      <w:r w:rsidR="00093A3D">
        <w:rPr>
          <w:rFonts w:eastAsia="PMingLiU" w:hint="eastAsia"/>
          <w:lang w:eastAsia="zh-TW"/>
        </w:rPr>
        <w:t>-</w:t>
      </w:r>
    </w:p>
    <w:p w14:paraId="27D15DB5" w14:textId="77777777" w:rsidR="00093A3D" w:rsidRPr="000C2CC5" w:rsidRDefault="00093A3D" w:rsidP="00093A3D">
      <w:pPr>
        <w:tabs>
          <w:tab w:val="clear" w:pos="4320"/>
          <w:tab w:val="clear" w:pos="9072"/>
        </w:tabs>
        <w:snapToGrid/>
        <w:spacing w:line="360" w:lineRule="auto"/>
        <w:jc w:val="both"/>
        <w:rPr>
          <w:rFonts w:eastAsia="PMingLiU"/>
        </w:rPr>
      </w:pPr>
    </w:p>
    <w:p w14:paraId="4BE6E372" w14:textId="3529E891" w:rsidR="005A383B" w:rsidRPr="000C2CC5" w:rsidRDefault="005A383B" w:rsidP="00093A3D">
      <w:pPr>
        <w:numPr>
          <w:ilvl w:val="1"/>
          <w:numId w:val="20"/>
        </w:numPr>
        <w:tabs>
          <w:tab w:val="clear" w:pos="1440"/>
          <w:tab w:val="clear" w:pos="4320"/>
          <w:tab w:val="clear" w:pos="9072"/>
          <w:tab w:val="left" w:pos="2160"/>
        </w:tabs>
        <w:snapToGrid/>
        <w:spacing w:line="360" w:lineRule="auto"/>
        <w:ind w:left="2160" w:hanging="720"/>
        <w:jc w:val="both"/>
        <w:rPr>
          <w:rFonts w:eastAsia="PMingLiU"/>
        </w:rPr>
      </w:pPr>
      <w:r w:rsidRPr="000C2CC5">
        <w:rPr>
          <w:rFonts w:eastAsia="PMingLiU"/>
        </w:rPr>
        <w:t>The signing fee;</w:t>
      </w:r>
    </w:p>
    <w:p w14:paraId="2F9C7320" w14:textId="77777777" w:rsidR="00093A3D" w:rsidRDefault="00093A3D" w:rsidP="00093A3D">
      <w:pPr>
        <w:tabs>
          <w:tab w:val="clear" w:pos="1440"/>
          <w:tab w:val="clear" w:pos="4320"/>
          <w:tab w:val="clear" w:pos="9072"/>
          <w:tab w:val="left" w:pos="2160"/>
        </w:tabs>
        <w:snapToGrid/>
        <w:spacing w:line="360" w:lineRule="auto"/>
        <w:ind w:left="2160"/>
        <w:jc w:val="both"/>
        <w:rPr>
          <w:rFonts w:eastAsia="PMingLiU"/>
        </w:rPr>
      </w:pPr>
    </w:p>
    <w:p w14:paraId="29951802" w14:textId="647D225F" w:rsidR="005A383B" w:rsidRPr="000C2CC5" w:rsidRDefault="005A383B" w:rsidP="00093A3D">
      <w:pPr>
        <w:numPr>
          <w:ilvl w:val="1"/>
          <w:numId w:val="20"/>
        </w:numPr>
        <w:tabs>
          <w:tab w:val="clear" w:pos="1440"/>
          <w:tab w:val="clear" w:pos="4320"/>
          <w:tab w:val="clear" w:pos="9072"/>
          <w:tab w:val="left" w:pos="2160"/>
        </w:tabs>
        <w:snapToGrid/>
        <w:spacing w:line="360" w:lineRule="auto"/>
        <w:ind w:left="2160" w:hanging="720"/>
        <w:jc w:val="both"/>
        <w:rPr>
          <w:rFonts w:eastAsia="PMingLiU"/>
        </w:rPr>
      </w:pPr>
      <w:r w:rsidRPr="000C2CC5">
        <w:rPr>
          <w:rFonts w:eastAsia="PMingLiU"/>
        </w:rPr>
        <w:t>Special bonuses for 22 months amounting to $1,993,222 in total;</w:t>
      </w:r>
    </w:p>
    <w:p w14:paraId="2FC598A4" w14:textId="77777777" w:rsidR="00093A3D" w:rsidRDefault="00093A3D" w:rsidP="00093A3D">
      <w:pPr>
        <w:tabs>
          <w:tab w:val="clear" w:pos="1440"/>
          <w:tab w:val="clear" w:pos="4320"/>
          <w:tab w:val="clear" w:pos="9072"/>
          <w:tab w:val="left" w:pos="2160"/>
        </w:tabs>
        <w:snapToGrid/>
        <w:spacing w:line="360" w:lineRule="auto"/>
        <w:ind w:left="2160"/>
        <w:jc w:val="both"/>
        <w:rPr>
          <w:rFonts w:eastAsia="PMingLiU"/>
        </w:rPr>
      </w:pPr>
    </w:p>
    <w:p w14:paraId="5490FBCB" w14:textId="79273EF3" w:rsidR="005A383B" w:rsidRPr="000C2CC5" w:rsidRDefault="00A7756D" w:rsidP="00093A3D">
      <w:pPr>
        <w:numPr>
          <w:ilvl w:val="1"/>
          <w:numId w:val="20"/>
        </w:numPr>
        <w:tabs>
          <w:tab w:val="clear" w:pos="1440"/>
          <w:tab w:val="clear" w:pos="4320"/>
          <w:tab w:val="clear" w:pos="9072"/>
          <w:tab w:val="left" w:pos="2160"/>
        </w:tabs>
        <w:snapToGrid/>
        <w:spacing w:line="360" w:lineRule="auto"/>
        <w:ind w:left="2160" w:hanging="720"/>
        <w:jc w:val="both"/>
        <w:rPr>
          <w:rFonts w:eastAsia="PMingLiU"/>
        </w:rPr>
      </w:pPr>
      <w:r w:rsidRPr="000C2CC5">
        <w:rPr>
          <w:rFonts w:eastAsia="PMingLiU"/>
        </w:rPr>
        <w:t>“Give Me Five” sales incentive in the sum of $19,554.01</w:t>
      </w:r>
      <w:r w:rsidR="00093A3D">
        <w:rPr>
          <w:rFonts w:eastAsia="PMingLiU" w:hint="eastAsia"/>
          <w:lang w:eastAsia="zh-TW"/>
        </w:rPr>
        <w:t>.</w:t>
      </w:r>
    </w:p>
    <w:p w14:paraId="75551186" w14:textId="77777777" w:rsidR="00093A3D" w:rsidRDefault="00093A3D" w:rsidP="00093A3D">
      <w:pPr>
        <w:tabs>
          <w:tab w:val="clear" w:pos="4320"/>
          <w:tab w:val="clear" w:pos="9072"/>
        </w:tabs>
        <w:snapToGrid/>
        <w:spacing w:line="360" w:lineRule="auto"/>
        <w:jc w:val="both"/>
        <w:rPr>
          <w:rFonts w:eastAsia="PMingLiU"/>
        </w:rPr>
      </w:pPr>
    </w:p>
    <w:p w14:paraId="7409F485" w14:textId="5FD6F072" w:rsidR="002A2DDB" w:rsidRPr="000C2CC5" w:rsidRDefault="00A7756D"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The claimant’s husband, Mr Ng Man Hung, was </w:t>
      </w:r>
      <w:r w:rsidR="007D17BD" w:rsidRPr="000C2CC5">
        <w:rPr>
          <w:rFonts w:eastAsia="PMingLiU"/>
        </w:rPr>
        <w:t xml:space="preserve">also </w:t>
      </w:r>
      <w:r w:rsidRPr="000C2CC5">
        <w:rPr>
          <w:rFonts w:eastAsia="PMingLiU"/>
        </w:rPr>
        <w:t>an insurance agent of the 1</w:t>
      </w:r>
      <w:r w:rsidRPr="000C2CC5">
        <w:rPr>
          <w:rFonts w:eastAsia="PMingLiU"/>
          <w:vertAlign w:val="superscript"/>
        </w:rPr>
        <w:t>st</w:t>
      </w:r>
      <w:r w:rsidRPr="000C2CC5">
        <w:rPr>
          <w:rFonts w:eastAsia="PMingLiU"/>
        </w:rPr>
        <w:t xml:space="preserve"> respondent.  His title was Regional Director</w:t>
      </w:r>
      <w:r w:rsidR="00931348">
        <w:rPr>
          <w:rFonts w:eastAsia="PMingLiU"/>
        </w:rPr>
        <w:t>.  H</w:t>
      </w:r>
      <w:r w:rsidRPr="000C2CC5">
        <w:rPr>
          <w:rFonts w:eastAsia="PMingLiU"/>
        </w:rPr>
        <w:t>e was more senior than the claimant by one grade.</w:t>
      </w:r>
    </w:p>
    <w:p w14:paraId="6410463C" w14:textId="77777777" w:rsidR="00093A3D" w:rsidRDefault="00093A3D" w:rsidP="00093A3D">
      <w:pPr>
        <w:tabs>
          <w:tab w:val="clear" w:pos="4320"/>
          <w:tab w:val="clear" w:pos="9072"/>
        </w:tabs>
        <w:snapToGrid/>
        <w:spacing w:line="360" w:lineRule="auto"/>
        <w:jc w:val="both"/>
        <w:rPr>
          <w:rFonts w:eastAsia="PMingLiU"/>
        </w:rPr>
      </w:pPr>
    </w:p>
    <w:p w14:paraId="3185369C" w14:textId="2950F72E" w:rsidR="007D17BD" w:rsidRPr="000C2CC5" w:rsidRDefault="007D17BD"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On about 5 May 2017, the husband notified the 1</w:t>
      </w:r>
      <w:r w:rsidRPr="000C2CC5">
        <w:rPr>
          <w:rFonts w:eastAsia="PMingLiU"/>
          <w:vertAlign w:val="superscript"/>
        </w:rPr>
        <w:t>st</w:t>
      </w:r>
      <w:r w:rsidRPr="000C2CC5">
        <w:rPr>
          <w:rFonts w:eastAsia="PMingLiU"/>
        </w:rPr>
        <w:t xml:space="preserve"> respondent that he would resign.  </w:t>
      </w:r>
      <w:r w:rsidR="00385049" w:rsidRPr="000C2CC5">
        <w:rPr>
          <w:rFonts w:eastAsia="PMingLiU"/>
        </w:rPr>
        <w:t>Shortly afterwards</w:t>
      </w:r>
      <w:r w:rsidRPr="000C2CC5">
        <w:rPr>
          <w:rFonts w:eastAsia="PMingLiU"/>
        </w:rPr>
        <w:t>, he joined AIA International Ltd</w:t>
      </w:r>
      <w:r w:rsidR="0070215A" w:rsidRPr="000C2CC5">
        <w:rPr>
          <w:rFonts w:eastAsia="PMingLiU"/>
        </w:rPr>
        <w:t>, a major competitor of the 1</w:t>
      </w:r>
      <w:r w:rsidR="0070215A" w:rsidRPr="000C2CC5">
        <w:rPr>
          <w:rFonts w:eastAsia="PMingLiU"/>
          <w:vertAlign w:val="superscript"/>
        </w:rPr>
        <w:t>st</w:t>
      </w:r>
      <w:r w:rsidR="0070215A" w:rsidRPr="000C2CC5">
        <w:rPr>
          <w:rFonts w:eastAsia="PMingLiU"/>
        </w:rPr>
        <w:t xml:space="preserve"> respondent</w:t>
      </w:r>
      <w:r w:rsidRPr="000C2CC5">
        <w:rPr>
          <w:rFonts w:eastAsia="PMingLiU"/>
        </w:rPr>
        <w:t>.</w:t>
      </w:r>
    </w:p>
    <w:p w14:paraId="46D3C2F8" w14:textId="77777777" w:rsidR="00093A3D" w:rsidRDefault="00093A3D" w:rsidP="00093A3D">
      <w:pPr>
        <w:tabs>
          <w:tab w:val="clear" w:pos="4320"/>
          <w:tab w:val="clear" w:pos="9072"/>
        </w:tabs>
        <w:snapToGrid/>
        <w:spacing w:line="360" w:lineRule="auto"/>
        <w:jc w:val="both"/>
        <w:rPr>
          <w:rFonts w:eastAsia="PMingLiU"/>
        </w:rPr>
      </w:pPr>
    </w:p>
    <w:p w14:paraId="611D1DE0" w14:textId="4C4FB2A0" w:rsidR="007D17BD" w:rsidRPr="000C2CC5" w:rsidRDefault="007D17BD"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About three days after the husband </w:t>
      </w:r>
      <w:r w:rsidR="00931348">
        <w:rPr>
          <w:rFonts w:eastAsia="PMingLiU"/>
        </w:rPr>
        <w:t>resigned</w:t>
      </w:r>
      <w:r w:rsidRPr="000C2CC5">
        <w:rPr>
          <w:rFonts w:eastAsia="PMingLiU"/>
        </w:rPr>
        <w:t xml:space="preserve">, </w:t>
      </w:r>
      <w:r w:rsidR="00385049" w:rsidRPr="000C2CC5">
        <w:rPr>
          <w:rFonts w:eastAsia="PMingLiU"/>
        </w:rPr>
        <w:t>the 1</w:t>
      </w:r>
      <w:r w:rsidR="00385049" w:rsidRPr="000C2CC5">
        <w:rPr>
          <w:rFonts w:eastAsia="PMingLiU"/>
          <w:vertAlign w:val="superscript"/>
        </w:rPr>
        <w:t>st</w:t>
      </w:r>
      <w:r w:rsidR="00385049" w:rsidRPr="000C2CC5">
        <w:rPr>
          <w:rFonts w:eastAsia="PMingLiU"/>
        </w:rPr>
        <w:t xml:space="preserve"> respondent notified the claimant that the IAA would be terminated with effect from 17 May 2017.  The termination was in accordance with the IAA which provided that the agreement may be terminated by either party on not less than six days’ written notice.</w:t>
      </w:r>
    </w:p>
    <w:p w14:paraId="020A40C2" w14:textId="77777777" w:rsidR="00566647" w:rsidRDefault="00566647" w:rsidP="00566647">
      <w:pPr>
        <w:tabs>
          <w:tab w:val="clear" w:pos="4320"/>
          <w:tab w:val="clear" w:pos="9072"/>
        </w:tabs>
        <w:snapToGrid/>
        <w:spacing w:line="360" w:lineRule="auto"/>
        <w:jc w:val="both"/>
        <w:rPr>
          <w:rFonts w:eastAsia="PMingLiU"/>
        </w:rPr>
      </w:pPr>
    </w:p>
    <w:p w14:paraId="2F69C7AF" w14:textId="22BB5776" w:rsidR="007D17BD" w:rsidRPr="000C2CC5" w:rsidRDefault="00F46137" w:rsidP="000C2CC5">
      <w:pPr>
        <w:numPr>
          <w:ilvl w:val="0"/>
          <w:numId w:val="20"/>
        </w:numPr>
        <w:tabs>
          <w:tab w:val="clear" w:pos="4320"/>
          <w:tab w:val="clear" w:pos="9072"/>
        </w:tabs>
        <w:snapToGrid/>
        <w:spacing w:line="360" w:lineRule="auto"/>
        <w:ind w:left="0" w:firstLine="0"/>
        <w:jc w:val="both"/>
        <w:rPr>
          <w:rFonts w:eastAsia="PMingLiU"/>
        </w:rPr>
      </w:pPr>
      <w:r>
        <w:rPr>
          <w:rFonts w:eastAsia="PMingLiU"/>
        </w:rPr>
        <w:t xml:space="preserve">Relying on the provisions in the Letter, </w:t>
      </w:r>
      <w:r w:rsidR="00385049" w:rsidRPr="000C2CC5">
        <w:rPr>
          <w:rFonts w:eastAsia="PMingLiU"/>
        </w:rPr>
        <w:t>the IAA and the “Give Me Five” sales incentive scheme rules, the 1</w:t>
      </w:r>
      <w:r w:rsidR="00385049" w:rsidRPr="000C2CC5">
        <w:rPr>
          <w:rFonts w:eastAsia="PMingLiU"/>
          <w:vertAlign w:val="superscript"/>
        </w:rPr>
        <w:t>st</w:t>
      </w:r>
      <w:r w:rsidR="00385049" w:rsidRPr="000C2CC5">
        <w:rPr>
          <w:rFonts w:eastAsia="PMingLiU"/>
        </w:rPr>
        <w:t xml:space="preserve"> respondent now says that the signing fee</w:t>
      </w:r>
      <w:r w:rsidR="00FF048C" w:rsidRPr="000C2CC5">
        <w:rPr>
          <w:rFonts w:eastAsia="PMingLiU"/>
        </w:rPr>
        <w:t>, the special bonuses and the sales incentive should be forthwith repaid by the claimant as (a) the IAA was terminated within 24 months of its signing and (b) it was terminated before 30 April 2018.</w:t>
      </w:r>
    </w:p>
    <w:p w14:paraId="6805FAB2" w14:textId="77777777" w:rsidR="00566647" w:rsidRDefault="00566647" w:rsidP="00566647">
      <w:pPr>
        <w:tabs>
          <w:tab w:val="clear" w:pos="4320"/>
          <w:tab w:val="clear" w:pos="9072"/>
        </w:tabs>
        <w:snapToGrid/>
        <w:spacing w:line="360" w:lineRule="auto"/>
        <w:jc w:val="both"/>
        <w:rPr>
          <w:rFonts w:eastAsia="PMingLiU"/>
        </w:rPr>
      </w:pPr>
    </w:p>
    <w:p w14:paraId="3F8D09B6" w14:textId="7890D9F1" w:rsidR="004F47E0" w:rsidRPr="000C2CC5" w:rsidRDefault="00FF048C"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As of the date of termination, the 1</w:t>
      </w:r>
      <w:r w:rsidRPr="000C2CC5">
        <w:rPr>
          <w:rFonts w:eastAsia="PMingLiU"/>
          <w:vertAlign w:val="superscript"/>
        </w:rPr>
        <w:t>st</w:t>
      </w:r>
      <w:r w:rsidRPr="000C2CC5">
        <w:rPr>
          <w:rFonts w:eastAsia="PMingLiU"/>
        </w:rPr>
        <w:t xml:space="preserve"> respondent alleges that there was a credit balance in the sum of $116,507.71 in the claimant’s commission account and after giving credit to it, the claimant is indebted to the 1</w:t>
      </w:r>
      <w:r w:rsidRPr="000C2CC5">
        <w:rPr>
          <w:rFonts w:eastAsia="PMingLiU"/>
          <w:vertAlign w:val="superscript"/>
        </w:rPr>
        <w:t>st</w:t>
      </w:r>
      <w:r w:rsidRPr="000C2CC5">
        <w:rPr>
          <w:rFonts w:eastAsia="PMingLiU"/>
        </w:rPr>
        <w:t xml:space="preserve"> respondent in the sum of $4,070,682.30.  </w:t>
      </w:r>
    </w:p>
    <w:p w14:paraId="0D3F5DB9" w14:textId="77777777" w:rsidR="00566647" w:rsidRDefault="00566647" w:rsidP="000C2CC5">
      <w:pPr>
        <w:tabs>
          <w:tab w:val="clear" w:pos="4320"/>
          <w:tab w:val="clear" w:pos="9072"/>
        </w:tabs>
        <w:snapToGrid/>
        <w:spacing w:line="360" w:lineRule="auto"/>
        <w:jc w:val="both"/>
        <w:rPr>
          <w:rFonts w:eastAsia="PMingLiU"/>
          <w:i/>
        </w:rPr>
      </w:pPr>
    </w:p>
    <w:p w14:paraId="1097D1C6" w14:textId="5CDDA689" w:rsidR="004F47E0" w:rsidRDefault="0090530B" w:rsidP="000C2CC5">
      <w:pPr>
        <w:tabs>
          <w:tab w:val="clear" w:pos="4320"/>
          <w:tab w:val="clear" w:pos="9072"/>
        </w:tabs>
        <w:snapToGrid/>
        <w:spacing w:line="360" w:lineRule="auto"/>
        <w:jc w:val="both"/>
        <w:rPr>
          <w:rFonts w:eastAsia="PMingLiU"/>
          <w:i/>
        </w:rPr>
      </w:pPr>
      <w:r w:rsidRPr="000C2CC5">
        <w:rPr>
          <w:rFonts w:eastAsia="PMingLiU"/>
          <w:i/>
        </w:rPr>
        <w:t>THE TWO ACTIONS</w:t>
      </w:r>
    </w:p>
    <w:p w14:paraId="3E4AAFD5" w14:textId="77777777" w:rsidR="00566647" w:rsidRPr="000C2CC5" w:rsidRDefault="00566647" w:rsidP="000C2CC5">
      <w:pPr>
        <w:tabs>
          <w:tab w:val="clear" w:pos="4320"/>
          <w:tab w:val="clear" w:pos="9072"/>
        </w:tabs>
        <w:snapToGrid/>
        <w:spacing w:line="360" w:lineRule="auto"/>
        <w:jc w:val="both"/>
        <w:rPr>
          <w:rFonts w:eastAsia="PMingLiU"/>
          <w:i/>
        </w:rPr>
      </w:pPr>
    </w:p>
    <w:p w14:paraId="40480B72" w14:textId="7FCEFE77" w:rsidR="007D17BD" w:rsidRPr="000C2CC5" w:rsidRDefault="00FF048C"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Notwithstanding written demands made by the 1</w:t>
      </w:r>
      <w:r w:rsidRPr="000C2CC5">
        <w:rPr>
          <w:rFonts w:eastAsia="PMingLiU"/>
          <w:vertAlign w:val="superscript"/>
        </w:rPr>
        <w:t>st</w:t>
      </w:r>
      <w:r w:rsidRPr="000C2CC5">
        <w:rPr>
          <w:rFonts w:eastAsia="PMingLiU"/>
        </w:rPr>
        <w:t xml:space="preserve"> respondent, the claimant </w:t>
      </w:r>
      <w:r w:rsidR="00281526" w:rsidRPr="000C2CC5">
        <w:rPr>
          <w:rFonts w:eastAsia="PMingLiU"/>
        </w:rPr>
        <w:t>has refused</w:t>
      </w:r>
      <w:r w:rsidRPr="000C2CC5">
        <w:rPr>
          <w:rFonts w:eastAsia="PMingLiU"/>
        </w:rPr>
        <w:t xml:space="preserve"> to pay.  The 1</w:t>
      </w:r>
      <w:r w:rsidRPr="000C2CC5">
        <w:rPr>
          <w:rFonts w:eastAsia="PMingLiU"/>
          <w:vertAlign w:val="superscript"/>
        </w:rPr>
        <w:t>st</w:t>
      </w:r>
      <w:r w:rsidR="00566647">
        <w:rPr>
          <w:rFonts w:eastAsia="PMingLiU"/>
        </w:rPr>
        <w:t> </w:t>
      </w:r>
      <w:r w:rsidRPr="000C2CC5">
        <w:rPr>
          <w:rFonts w:eastAsia="PMingLiU"/>
        </w:rPr>
        <w:t>respondent commenced the High Court action to claim the sum in July 2017.</w:t>
      </w:r>
    </w:p>
    <w:p w14:paraId="4DDA2C74" w14:textId="77777777" w:rsidR="00566647" w:rsidRDefault="00566647" w:rsidP="00566647">
      <w:pPr>
        <w:tabs>
          <w:tab w:val="clear" w:pos="4320"/>
          <w:tab w:val="clear" w:pos="9072"/>
        </w:tabs>
        <w:snapToGrid/>
        <w:spacing w:line="360" w:lineRule="auto"/>
        <w:jc w:val="both"/>
        <w:rPr>
          <w:rFonts w:eastAsia="PMingLiU"/>
        </w:rPr>
      </w:pPr>
    </w:p>
    <w:p w14:paraId="1CDC04B4" w14:textId="45110986" w:rsidR="00FF048C" w:rsidRPr="000C2CC5" w:rsidRDefault="00FF048C"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The claimant filed a defence in </w:t>
      </w:r>
      <w:r w:rsidR="0088743D" w:rsidRPr="000C2CC5">
        <w:rPr>
          <w:rFonts w:eastAsia="PMingLiU"/>
        </w:rPr>
        <w:t xml:space="preserve">late </w:t>
      </w:r>
      <w:r w:rsidRPr="000C2CC5">
        <w:rPr>
          <w:rFonts w:eastAsia="PMingLiU"/>
        </w:rPr>
        <w:t>October 2017.  The above background facts are on the whole not disputed.</w:t>
      </w:r>
      <w:r w:rsidR="00D860D4" w:rsidRPr="000C2CC5">
        <w:rPr>
          <w:rFonts w:eastAsia="PMingLiU"/>
        </w:rPr>
        <w:t xml:space="preserve">  She alleges that after being notified of the termination of the IAA, she has been requesting an explanation from Mr Dick Li, a Regional Director </w:t>
      </w:r>
      <w:r w:rsidR="00931348">
        <w:rPr>
          <w:rFonts w:eastAsia="PMingLiU"/>
        </w:rPr>
        <w:t>and her direct</w:t>
      </w:r>
      <w:r w:rsidR="00D860D4" w:rsidRPr="000C2CC5">
        <w:rPr>
          <w:rFonts w:eastAsia="PMingLiU"/>
        </w:rPr>
        <w:t xml:space="preserve"> supervisor.</w:t>
      </w:r>
      <w:r w:rsidR="00281526" w:rsidRPr="000C2CC5">
        <w:rPr>
          <w:rFonts w:eastAsia="PMingLiU"/>
        </w:rPr>
        <w:t xml:space="preserve">  Li told her that the IAA was terminated because of </w:t>
      </w:r>
      <w:r w:rsidR="000A1D21">
        <w:rPr>
          <w:rFonts w:eastAsia="PMingLiU"/>
        </w:rPr>
        <w:t>her</w:t>
      </w:r>
      <w:r w:rsidR="00281526" w:rsidRPr="000C2CC5">
        <w:rPr>
          <w:rFonts w:eastAsia="PMingLiU"/>
        </w:rPr>
        <w:t xml:space="preserve"> husband’s resignation and </w:t>
      </w:r>
      <w:r w:rsidR="00931348">
        <w:rPr>
          <w:rFonts w:eastAsia="PMingLiU"/>
        </w:rPr>
        <w:t>it</w:t>
      </w:r>
      <w:r w:rsidR="000A1D21">
        <w:rPr>
          <w:rFonts w:eastAsia="PMingLiU"/>
        </w:rPr>
        <w:t xml:space="preserve"> was </w:t>
      </w:r>
      <w:r w:rsidR="00281526" w:rsidRPr="000C2CC5">
        <w:rPr>
          <w:rFonts w:eastAsia="PMingLiU"/>
        </w:rPr>
        <w:t>in accordance with the 1</w:t>
      </w:r>
      <w:r w:rsidR="00281526" w:rsidRPr="000C2CC5">
        <w:rPr>
          <w:rFonts w:eastAsia="PMingLiU"/>
          <w:vertAlign w:val="superscript"/>
        </w:rPr>
        <w:t>st</w:t>
      </w:r>
      <w:r w:rsidR="00281526" w:rsidRPr="000C2CC5">
        <w:rPr>
          <w:rFonts w:eastAsia="PMingLiU"/>
        </w:rPr>
        <w:t xml:space="preserve"> respondent’s policy.</w:t>
      </w:r>
      <w:r w:rsidR="0088743D" w:rsidRPr="000C2CC5">
        <w:rPr>
          <w:rFonts w:eastAsia="PMingLiU"/>
        </w:rPr>
        <w:t xml:space="preserve">    </w:t>
      </w:r>
    </w:p>
    <w:p w14:paraId="781A3D2C" w14:textId="77777777" w:rsidR="00566647" w:rsidRDefault="00566647" w:rsidP="00566647">
      <w:pPr>
        <w:tabs>
          <w:tab w:val="clear" w:pos="4320"/>
          <w:tab w:val="clear" w:pos="9072"/>
        </w:tabs>
        <w:snapToGrid/>
        <w:spacing w:line="360" w:lineRule="auto"/>
        <w:jc w:val="both"/>
        <w:rPr>
          <w:rFonts w:eastAsia="PMingLiU"/>
        </w:rPr>
      </w:pPr>
    </w:p>
    <w:p w14:paraId="7F014F48" w14:textId="4182A9C2" w:rsidR="000D7927" w:rsidRPr="000C2CC5" w:rsidRDefault="000A1D21"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The termination of the IAA, she contends, was void and ineffective.</w:t>
      </w:r>
      <w:r>
        <w:rPr>
          <w:rFonts w:eastAsia="PMingLiU"/>
        </w:rPr>
        <w:t xml:space="preserve">  She pleads</w:t>
      </w:r>
      <w:r w:rsidR="000D7927" w:rsidRPr="000C2CC5">
        <w:rPr>
          <w:rFonts w:eastAsia="PMingLiU"/>
        </w:rPr>
        <w:t xml:space="preserve"> as follows:</w:t>
      </w:r>
      <w:r w:rsidR="00566647">
        <w:rPr>
          <w:rFonts w:eastAsia="PMingLiU" w:hint="eastAsia"/>
          <w:lang w:eastAsia="zh-TW"/>
        </w:rPr>
        <w:t>-</w:t>
      </w:r>
    </w:p>
    <w:p w14:paraId="59AE5A70" w14:textId="77777777" w:rsidR="00566647" w:rsidRDefault="00566647" w:rsidP="000C2CC5">
      <w:pPr>
        <w:tabs>
          <w:tab w:val="clear" w:pos="4320"/>
          <w:tab w:val="clear" w:pos="9072"/>
        </w:tabs>
        <w:snapToGrid/>
        <w:spacing w:line="360" w:lineRule="auto"/>
        <w:jc w:val="both"/>
        <w:rPr>
          <w:rFonts w:eastAsia="PMingLiU"/>
        </w:rPr>
      </w:pPr>
    </w:p>
    <w:p w14:paraId="7531B183" w14:textId="6AE3758A" w:rsidR="000D7927" w:rsidRPr="00566647" w:rsidRDefault="00A46CB0" w:rsidP="00566647">
      <w:pPr>
        <w:tabs>
          <w:tab w:val="clear" w:pos="1440"/>
          <w:tab w:val="clear" w:pos="4320"/>
          <w:tab w:val="clear" w:pos="9072"/>
          <w:tab w:val="left" w:pos="2160"/>
        </w:tabs>
        <w:snapToGrid/>
        <w:ind w:left="1440" w:right="746"/>
        <w:jc w:val="both"/>
        <w:rPr>
          <w:rFonts w:eastAsia="PMingLiU"/>
          <w:sz w:val="24"/>
          <w:szCs w:val="24"/>
        </w:rPr>
      </w:pPr>
      <w:r w:rsidRPr="00566647">
        <w:rPr>
          <w:rFonts w:eastAsia="PMingLiU"/>
          <w:sz w:val="24"/>
          <w:szCs w:val="24"/>
        </w:rPr>
        <w:t>“5.11</w:t>
      </w:r>
      <w:r w:rsidRPr="00566647">
        <w:rPr>
          <w:rFonts w:eastAsia="PMingLiU"/>
          <w:sz w:val="24"/>
          <w:szCs w:val="24"/>
        </w:rPr>
        <w:tab/>
        <w:t>in the premises, [</w:t>
      </w:r>
      <w:r w:rsidR="000A1D21">
        <w:rPr>
          <w:rFonts w:eastAsia="PMingLiU"/>
          <w:sz w:val="24"/>
          <w:szCs w:val="24"/>
        </w:rPr>
        <w:t>the claimant’s</w:t>
      </w:r>
      <w:r w:rsidRPr="00566647">
        <w:rPr>
          <w:rFonts w:eastAsia="PMingLiU"/>
          <w:sz w:val="24"/>
          <w:szCs w:val="24"/>
        </w:rPr>
        <w:t>] marital status and/or family status, namely her status as the Husband’s wife, was:</w:t>
      </w:r>
    </w:p>
    <w:p w14:paraId="62C90BDD" w14:textId="5F080E74" w:rsidR="00A46CB0" w:rsidRPr="00566647" w:rsidRDefault="000A1D21" w:rsidP="00566647">
      <w:pPr>
        <w:pStyle w:val="ListParagraph"/>
        <w:numPr>
          <w:ilvl w:val="0"/>
          <w:numId w:val="27"/>
        </w:numPr>
        <w:tabs>
          <w:tab w:val="clear" w:pos="4320"/>
          <w:tab w:val="clear" w:pos="9072"/>
          <w:tab w:val="left" w:pos="2880"/>
        </w:tabs>
        <w:snapToGrid/>
        <w:ind w:left="2880" w:right="746" w:hanging="720"/>
        <w:jc w:val="both"/>
        <w:rPr>
          <w:rFonts w:eastAsia="PMingLiU"/>
          <w:sz w:val="24"/>
          <w:szCs w:val="24"/>
        </w:rPr>
      </w:pPr>
      <w:r>
        <w:rPr>
          <w:rFonts w:eastAsia="PMingLiU"/>
          <w:sz w:val="24"/>
          <w:szCs w:val="24"/>
        </w:rPr>
        <w:t>t</w:t>
      </w:r>
      <w:r w:rsidR="00A46CB0" w:rsidRPr="00566647">
        <w:rPr>
          <w:rFonts w:eastAsia="PMingLiU"/>
          <w:sz w:val="24"/>
          <w:szCs w:val="24"/>
        </w:rPr>
        <w:t xml:space="preserve">he sole reason for </w:t>
      </w:r>
      <w:r>
        <w:rPr>
          <w:rFonts w:eastAsia="PMingLiU"/>
          <w:sz w:val="24"/>
          <w:szCs w:val="24"/>
        </w:rPr>
        <w:t>[</w:t>
      </w:r>
      <w:r w:rsidR="00A46CB0" w:rsidRPr="00566647">
        <w:rPr>
          <w:rFonts w:eastAsia="PMingLiU"/>
          <w:sz w:val="24"/>
          <w:szCs w:val="24"/>
        </w:rPr>
        <w:t>the 1</w:t>
      </w:r>
      <w:r w:rsidR="00A46CB0" w:rsidRPr="00566647">
        <w:rPr>
          <w:rFonts w:eastAsia="PMingLiU"/>
          <w:sz w:val="24"/>
          <w:szCs w:val="24"/>
          <w:vertAlign w:val="superscript"/>
        </w:rPr>
        <w:t>st</w:t>
      </w:r>
      <w:r w:rsidR="00A46CB0" w:rsidRPr="00566647">
        <w:rPr>
          <w:rFonts w:eastAsia="PMingLiU"/>
          <w:sz w:val="24"/>
          <w:szCs w:val="24"/>
        </w:rPr>
        <w:t xml:space="preserve"> respondent’s] decision to terminate the IAA; or</w:t>
      </w:r>
    </w:p>
    <w:p w14:paraId="3507250D" w14:textId="1E0900CD" w:rsidR="00A46CB0" w:rsidRPr="00566647" w:rsidRDefault="000A1D21" w:rsidP="00566647">
      <w:pPr>
        <w:pStyle w:val="ListParagraph"/>
        <w:numPr>
          <w:ilvl w:val="0"/>
          <w:numId w:val="27"/>
        </w:numPr>
        <w:tabs>
          <w:tab w:val="clear" w:pos="4320"/>
          <w:tab w:val="clear" w:pos="9072"/>
          <w:tab w:val="left" w:pos="2880"/>
        </w:tabs>
        <w:snapToGrid/>
        <w:ind w:left="2880" w:right="746" w:hanging="720"/>
        <w:jc w:val="both"/>
        <w:rPr>
          <w:rFonts w:eastAsia="PMingLiU"/>
          <w:sz w:val="24"/>
          <w:szCs w:val="24"/>
        </w:rPr>
      </w:pPr>
      <w:r>
        <w:rPr>
          <w:rFonts w:eastAsia="PMingLiU"/>
          <w:sz w:val="24"/>
          <w:szCs w:val="24"/>
        </w:rPr>
        <w:t>a</w:t>
      </w:r>
      <w:r w:rsidR="00A46CB0" w:rsidRPr="00566647">
        <w:rPr>
          <w:rFonts w:eastAsia="PMingLiU"/>
          <w:sz w:val="24"/>
          <w:szCs w:val="24"/>
        </w:rPr>
        <w:t>lternatively, one of the reasons for [the] decision to terminate the IAA;</w:t>
      </w:r>
    </w:p>
    <w:p w14:paraId="5DC03DD6" w14:textId="3E9F06A8" w:rsidR="00A46CB0" w:rsidRPr="00566647" w:rsidRDefault="00A46CB0" w:rsidP="00566647">
      <w:pPr>
        <w:pStyle w:val="ListParagraph"/>
        <w:tabs>
          <w:tab w:val="clear" w:pos="4320"/>
          <w:tab w:val="clear" w:pos="9072"/>
        </w:tabs>
        <w:snapToGrid/>
        <w:jc w:val="both"/>
        <w:rPr>
          <w:rFonts w:eastAsia="PMingLiU"/>
          <w:sz w:val="24"/>
          <w:szCs w:val="24"/>
        </w:rPr>
      </w:pPr>
    </w:p>
    <w:p w14:paraId="75CF408E" w14:textId="59CE678B" w:rsidR="00A46CB0" w:rsidRPr="00566647" w:rsidRDefault="00A46CB0" w:rsidP="00566647">
      <w:pPr>
        <w:tabs>
          <w:tab w:val="clear" w:pos="1440"/>
          <w:tab w:val="clear" w:pos="4320"/>
          <w:tab w:val="clear" w:pos="9072"/>
          <w:tab w:val="left" w:pos="2160"/>
        </w:tabs>
        <w:snapToGrid/>
        <w:ind w:left="1440" w:right="746"/>
        <w:jc w:val="both"/>
        <w:rPr>
          <w:rFonts w:eastAsia="PMingLiU"/>
          <w:sz w:val="24"/>
          <w:szCs w:val="24"/>
        </w:rPr>
      </w:pPr>
      <w:r w:rsidRPr="00566647">
        <w:rPr>
          <w:rFonts w:eastAsia="PMingLiU"/>
          <w:sz w:val="24"/>
          <w:szCs w:val="24"/>
        </w:rPr>
        <w:t>5.12</w:t>
      </w:r>
      <w:r w:rsidR="00566647" w:rsidRPr="00566647">
        <w:rPr>
          <w:rFonts w:eastAsia="PMingLiU"/>
          <w:sz w:val="24"/>
          <w:szCs w:val="24"/>
        </w:rPr>
        <w:tab/>
      </w:r>
      <w:r w:rsidRPr="00566647">
        <w:rPr>
          <w:rFonts w:eastAsia="PMingLiU"/>
          <w:sz w:val="24"/>
          <w:szCs w:val="24"/>
        </w:rPr>
        <w:t>for the matters pleaded above, while [</w:t>
      </w:r>
      <w:r w:rsidR="000A1D21">
        <w:rPr>
          <w:rFonts w:eastAsia="PMingLiU"/>
          <w:sz w:val="24"/>
          <w:szCs w:val="24"/>
        </w:rPr>
        <w:t xml:space="preserve">the claimant] was working for [the </w:t>
      </w:r>
      <w:r w:rsidRPr="00566647">
        <w:rPr>
          <w:rFonts w:eastAsia="PMingLiU"/>
          <w:sz w:val="24"/>
          <w:szCs w:val="24"/>
        </w:rPr>
        <w:t>1</w:t>
      </w:r>
      <w:r w:rsidRPr="00566647">
        <w:rPr>
          <w:rFonts w:eastAsia="PMingLiU"/>
          <w:sz w:val="24"/>
          <w:szCs w:val="24"/>
          <w:vertAlign w:val="superscript"/>
        </w:rPr>
        <w:t>st</w:t>
      </w:r>
      <w:r w:rsidRPr="00566647">
        <w:rPr>
          <w:rFonts w:eastAsia="PMingLiU"/>
          <w:sz w:val="24"/>
          <w:szCs w:val="24"/>
        </w:rPr>
        <w:t xml:space="preserve"> respondent] as a commission agent, </w:t>
      </w:r>
      <w:r w:rsidR="000A1D21">
        <w:rPr>
          <w:rFonts w:eastAsia="PMingLiU"/>
          <w:sz w:val="24"/>
          <w:szCs w:val="24"/>
        </w:rPr>
        <w:t>[</w:t>
      </w:r>
      <w:r w:rsidRPr="00566647">
        <w:rPr>
          <w:rFonts w:eastAsia="PMingLiU"/>
          <w:sz w:val="24"/>
          <w:szCs w:val="24"/>
        </w:rPr>
        <w:t>the 1</w:t>
      </w:r>
      <w:r w:rsidRPr="00566647">
        <w:rPr>
          <w:rFonts w:eastAsia="PMingLiU"/>
          <w:sz w:val="24"/>
          <w:szCs w:val="24"/>
          <w:vertAlign w:val="superscript"/>
        </w:rPr>
        <w:t>st</w:t>
      </w:r>
      <w:r w:rsidR="00E7432E">
        <w:rPr>
          <w:rFonts w:eastAsia="PMingLiU"/>
          <w:sz w:val="24"/>
          <w:szCs w:val="24"/>
          <w:vertAlign w:val="superscript"/>
        </w:rPr>
        <w:t> </w:t>
      </w:r>
      <w:r w:rsidRPr="00566647">
        <w:rPr>
          <w:rFonts w:eastAsia="PMingLiU"/>
          <w:sz w:val="24"/>
          <w:szCs w:val="24"/>
        </w:rPr>
        <w:t>respondent] unlawfully discriminated against her by treating her less favourably than a person not of the same marital status and/or family status; and/or otherwise subjecting her to detriment, contrary to sections 4, 7, 20 and 46 of the [Sex Discrimination Ordinance] and sections 4, 5, 16 and 34 of the [Family Status Discrimination Ordinance].”</w:t>
      </w:r>
    </w:p>
    <w:p w14:paraId="16E8531D" w14:textId="77777777" w:rsidR="00A46CB0" w:rsidRPr="000C2CC5" w:rsidRDefault="00A46CB0" w:rsidP="000C2CC5">
      <w:pPr>
        <w:pStyle w:val="ListParagraph"/>
        <w:tabs>
          <w:tab w:val="clear" w:pos="4320"/>
          <w:tab w:val="clear" w:pos="9072"/>
        </w:tabs>
        <w:snapToGrid/>
        <w:spacing w:line="360" w:lineRule="auto"/>
        <w:jc w:val="both"/>
        <w:rPr>
          <w:rFonts w:eastAsia="PMingLiU"/>
        </w:rPr>
      </w:pPr>
    </w:p>
    <w:p w14:paraId="701CE63B" w14:textId="2492F954" w:rsidR="000D7927" w:rsidRPr="000C2CC5" w:rsidRDefault="000D7927"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For that reason, </w:t>
      </w:r>
      <w:r w:rsidR="0088743D" w:rsidRPr="000C2CC5">
        <w:rPr>
          <w:rFonts w:eastAsia="PMingLiU"/>
        </w:rPr>
        <w:t>the claimant denies that she is indebted to the 1</w:t>
      </w:r>
      <w:r w:rsidR="0088743D" w:rsidRPr="000C2CC5">
        <w:rPr>
          <w:rFonts w:eastAsia="PMingLiU"/>
          <w:vertAlign w:val="superscript"/>
        </w:rPr>
        <w:t>st</w:t>
      </w:r>
      <w:r w:rsidR="0088743D" w:rsidRPr="000C2CC5">
        <w:rPr>
          <w:rFonts w:eastAsia="PMingLiU"/>
        </w:rPr>
        <w:t xml:space="preserve"> respondent at all.  </w:t>
      </w:r>
      <w:r w:rsidRPr="000C2CC5">
        <w:rPr>
          <w:rFonts w:eastAsia="PMingLiU"/>
        </w:rPr>
        <w:t xml:space="preserve">That is the </w:t>
      </w:r>
      <w:r w:rsidRPr="000A1D21">
        <w:rPr>
          <w:rFonts w:eastAsia="PMingLiU"/>
          <w:i/>
        </w:rPr>
        <w:t>only</w:t>
      </w:r>
      <w:r w:rsidRPr="000C2CC5">
        <w:rPr>
          <w:rFonts w:eastAsia="PMingLiU"/>
        </w:rPr>
        <w:t xml:space="preserve"> defence put forward by the claimant in the High Court action.</w:t>
      </w:r>
    </w:p>
    <w:p w14:paraId="2DC06DAA" w14:textId="77777777" w:rsidR="00566647" w:rsidRDefault="00566647" w:rsidP="00566647">
      <w:pPr>
        <w:tabs>
          <w:tab w:val="clear" w:pos="4320"/>
          <w:tab w:val="clear" w:pos="9072"/>
        </w:tabs>
        <w:snapToGrid/>
        <w:spacing w:line="360" w:lineRule="auto"/>
        <w:jc w:val="both"/>
        <w:rPr>
          <w:rFonts w:eastAsia="PMingLiU"/>
        </w:rPr>
      </w:pPr>
    </w:p>
    <w:p w14:paraId="685B5D93" w14:textId="11888C78" w:rsidR="00604D00" w:rsidRPr="000A1D21" w:rsidRDefault="0088743D" w:rsidP="000A1D21">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A few days after the filing of the defence, the claimant commenced the present EO claim in the District Court.</w:t>
      </w:r>
      <w:r w:rsidR="00604D00" w:rsidRPr="000C2CC5">
        <w:rPr>
          <w:rFonts w:eastAsia="PMingLiU"/>
        </w:rPr>
        <w:t xml:space="preserve">  In the notice of claim, she </w:t>
      </w:r>
      <w:r w:rsidR="000A1D21">
        <w:rPr>
          <w:rFonts w:eastAsia="PMingLiU"/>
        </w:rPr>
        <w:t>recites</w:t>
      </w:r>
      <w:r w:rsidR="00604D00" w:rsidRPr="000C2CC5">
        <w:rPr>
          <w:rFonts w:eastAsia="PMingLiU"/>
        </w:rPr>
        <w:t xml:space="preserve"> the same factual allegations as in her defence.  </w:t>
      </w:r>
      <w:r w:rsidR="000A1D21" w:rsidRPr="000A1D21">
        <w:rPr>
          <w:rFonts w:eastAsia="PMingLiU"/>
        </w:rPr>
        <w:t>More specifically, s</w:t>
      </w:r>
      <w:r w:rsidR="00743BFF" w:rsidRPr="000A1D21">
        <w:rPr>
          <w:rFonts w:eastAsia="PMingLiU"/>
        </w:rPr>
        <w:t xml:space="preserve">he repeats her contention that the termination of the IAA </w:t>
      </w:r>
      <w:r w:rsidR="000A1D21">
        <w:rPr>
          <w:rFonts w:eastAsia="PMingLiU"/>
        </w:rPr>
        <w:t>wa</w:t>
      </w:r>
      <w:r w:rsidR="00743BFF" w:rsidRPr="000A1D21">
        <w:rPr>
          <w:rFonts w:eastAsia="PMingLiU"/>
        </w:rPr>
        <w:t xml:space="preserve">s unlawful under the </w:t>
      </w:r>
      <w:r w:rsidR="002F6172" w:rsidRPr="000A1D21">
        <w:rPr>
          <w:rFonts w:eastAsia="PMingLiU"/>
        </w:rPr>
        <w:t>Sex Discrimination Ordinance, Cap 480 (“the SDO”) and the Family Status Discrimination Ordinance, Cap 527 (“the FSDO”)</w:t>
      </w:r>
      <w:r w:rsidR="00743BFF" w:rsidRPr="000A1D21">
        <w:rPr>
          <w:rFonts w:eastAsia="PMingLiU"/>
        </w:rPr>
        <w:t xml:space="preserve"> by reason of her marital status and/or family status.  </w:t>
      </w:r>
    </w:p>
    <w:p w14:paraId="35687604" w14:textId="77777777" w:rsidR="00566647" w:rsidRDefault="00566647" w:rsidP="00566647">
      <w:pPr>
        <w:tabs>
          <w:tab w:val="clear" w:pos="4320"/>
          <w:tab w:val="clear" w:pos="9072"/>
        </w:tabs>
        <w:snapToGrid/>
        <w:spacing w:line="360" w:lineRule="auto"/>
        <w:jc w:val="both"/>
        <w:rPr>
          <w:rFonts w:eastAsia="PMingLiU"/>
        </w:rPr>
      </w:pPr>
    </w:p>
    <w:p w14:paraId="4FE107BD" w14:textId="6C75D366" w:rsidR="00FF048C" w:rsidRPr="000A1D21" w:rsidRDefault="000A1D21" w:rsidP="000A1D21">
      <w:pPr>
        <w:numPr>
          <w:ilvl w:val="0"/>
          <w:numId w:val="20"/>
        </w:numPr>
        <w:tabs>
          <w:tab w:val="clear" w:pos="4320"/>
          <w:tab w:val="clear" w:pos="9072"/>
        </w:tabs>
        <w:snapToGrid/>
        <w:spacing w:line="360" w:lineRule="auto"/>
        <w:ind w:left="0" w:firstLine="0"/>
        <w:jc w:val="both"/>
        <w:rPr>
          <w:rFonts w:eastAsia="PMingLiU"/>
        </w:rPr>
      </w:pPr>
      <w:r>
        <w:rPr>
          <w:rFonts w:eastAsia="PMingLiU"/>
        </w:rPr>
        <w:t>I should point out two aspects of</w:t>
      </w:r>
      <w:r w:rsidR="00743BFF" w:rsidRPr="000C2CC5">
        <w:rPr>
          <w:rFonts w:eastAsia="PMingLiU"/>
        </w:rPr>
        <w:t xml:space="preserve"> the EO claim</w:t>
      </w:r>
      <w:r>
        <w:rPr>
          <w:rFonts w:eastAsia="PMingLiU"/>
        </w:rPr>
        <w:t xml:space="preserve"> which do not feature in the High Court action</w:t>
      </w:r>
      <w:r w:rsidR="00743BFF" w:rsidRPr="000C2CC5">
        <w:rPr>
          <w:rFonts w:eastAsia="PMingLiU"/>
        </w:rPr>
        <w:t>.  First, in addition to the 1</w:t>
      </w:r>
      <w:r w:rsidR="00743BFF" w:rsidRPr="000C2CC5">
        <w:rPr>
          <w:rFonts w:eastAsia="PMingLiU"/>
          <w:vertAlign w:val="superscript"/>
        </w:rPr>
        <w:t>st</w:t>
      </w:r>
      <w:r w:rsidR="00743BFF" w:rsidRPr="000C2CC5">
        <w:rPr>
          <w:rFonts w:eastAsia="PMingLiU"/>
        </w:rPr>
        <w:t xml:space="preserve"> respondent, the </w:t>
      </w:r>
      <w:r>
        <w:rPr>
          <w:rFonts w:eastAsia="PMingLiU"/>
        </w:rPr>
        <w:t xml:space="preserve">EO </w:t>
      </w:r>
      <w:r w:rsidR="00743BFF" w:rsidRPr="000C2CC5">
        <w:rPr>
          <w:rFonts w:eastAsia="PMingLiU"/>
        </w:rPr>
        <w:t>claim is also made against three individuals who work for the 1</w:t>
      </w:r>
      <w:r w:rsidR="00743BFF" w:rsidRPr="000C2CC5">
        <w:rPr>
          <w:rFonts w:eastAsia="PMingLiU"/>
          <w:vertAlign w:val="superscript"/>
        </w:rPr>
        <w:t>st</w:t>
      </w:r>
      <w:r w:rsidR="00743BFF" w:rsidRPr="000C2CC5">
        <w:rPr>
          <w:rFonts w:eastAsia="PMingLiU"/>
        </w:rPr>
        <w:t xml:space="preserve"> respondent.</w:t>
      </w:r>
      <w:r>
        <w:rPr>
          <w:rFonts w:eastAsia="PMingLiU"/>
        </w:rPr>
        <w:t xml:space="preserve">  </w:t>
      </w:r>
      <w:r w:rsidR="00931348">
        <w:rPr>
          <w:rFonts w:eastAsia="PMingLiU"/>
        </w:rPr>
        <w:t>T</w:t>
      </w:r>
      <w:r>
        <w:rPr>
          <w:rFonts w:eastAsia="PMingLiU"/>
        </w:rPr>
        <w:t>he four respondents are represented by the same legal team.</w:t>
      </w:r>
      <w:r w:rsidR="00743BFF" w:rsidRPr="000C2CC5">
        <w:rPr>
          <w:rFonts w:eastAsia="PMingLiU"/>
        </w:rPr>
        <w:t xml:space="preserve">  Secondly, the claimant seeks a declaration that the respondents have unlawfully discriminated against </w:t>
      </w:r>
      <w:r>
        <w:rPr>
          <w:rFonts w:eastAsia="PMingLiU"/>
        </w:rPr>
        <w:t>her</w:t>
      </w:r>
      <w:r w:rsidR="00743BFF" w:rsidRPr="000C2CC5">
        <w:rPr>
          <w:rFonts w:eastAsia="PMingLiU"/>
        </w:rPr>
        <w:t>.  She also seeks other remedies, including a written apology, damages for loss of income, damages for injury to feelings, punitive and/or exemplary damages.</w:t>
      </w:r>
      <w:r>
        <w:rPr>
          <w:rFonts w:eastAsia="PMingLiU"/>
        </w:rPr>
        <w:t xml:space="preserve">  </w:t>
      </w:r>
      <w:r w:rsidRPr="000A1D21">
        <w:rPr>
          <w:rFonts w:eastAsia="PMingLiU"/>
        </w:rPr>
        <w:t>She</w:t>
      </w:r>
      <w:r w:rsidR="00743BFF" w:rsidRPr="000A1D21">
        <w:rPr>
          <w:rFonts w:eastAsia="PMingLiU"/>
        </w:rPr>
        <w:t xml:space="preserve"> makes no counterclaim in the High Court action </w:t>
      </w:r>
      <w:r w:rsidR="00EA5477" w:rsidRPr="000A1D21">
        <w:rPr>
          <w:rFonts w:eastAsia="PMingLiU"/>
        </w:rPr>
        <w:t>at all</w:t>
      </w:r>
      <w:r w:rsidR="00743BFF" w:rsidRPr="000A1D21">
        <w:rPr>
          <w:rFonts w:eastAsia="PMingLiU"/>
        </w:rPr>
        <w:t>.</w:t>
      </w:r>
    </w:p>
    <w:p w14:paraId="1F78CCE2" w14:textId="77777777" w:rsidR="00566647" w:rsidRDefault="00566647" w:rsidP="00566647">
      <w:pPr>
        <w:tabs>
          <w:tab w:val="clear" w:pos="4320"/>
          <w:tab w:val="clear" w:pos="9072"/>
        </w:tabs>
        <w:snapToGrid/>
        <w:spacing w:line="360" w:lineRule="auto"/>
        <w:jc w:val="both"/>
        <w:rPr>
          <w:rFonts w:eastAsia="PMingLiU"/>
        </w:rPr>
      </w:pPr>
    </w:p>
    <w:p w14:paraId="0E8EC045" w14:textId="6A54155D" w:rsidR="00EA5477" w:rsidRDefault="00A84085"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On 1 February 2018, the 1</w:t>
      </w:r>
      <w:r w:rsidRPr="000C2CC5">
        <w:rPr>
          <w:rFonts w:eastAsia="PMingLiU"/>
          <w:vertAlign w:val="superscript"/>
        </w:rPr>
        <w:t>st</w:t>
      </w:r>
      <w:r w:rsidRPr="000C2CC5">
        <w:rPr>
          <w:rFonts w:eastAsia="PMingLiU"/>
        </w:rPr>
        <w:t xml:space="preserve"> respondent filed a reply in the High Court action and the four respondents filed a notice of response</w:t>
      </w:r>
      <w:r w:rsidR="000A1D21">
        <w:rPr>
          <w:rFonts w:eastAsia="PMingLiU"/>
        </w:rPr>
        <w:t xml:space="preserve"> in the EO claim</w:t>
      </w:r>
      <w:r w:rsidRPr="000C2CC5">
        <w:rPr>
          <w:rFonts w:eastAsia="PMingLiU"/>
        </w:rPr>
        <w:t xml:space="preserve">.  </w:t>
      </w:r>
      <w:r w:rsidR="0070215A" w:rsidRPr="000C2CC5">
        <w:rPr>
          <w:rFonts w:eastAsia="PMingLiU"/>
        </w:rPr>
        <w:t>In gist</w:t>
      </w:r>
      <w:r w:rsidRPr="000C2CC5">
        <w:rPr>
          <w:rFonts w:eastAsia="PMingLiU"/>
        </w:rPr>
        <w:t xml:space="preserve">, </w:t>
      </w:r>
      <w:r w:rsidR="0070215A" w:rsidRPr="000C2CC5">
        <w:rPr>
          <w:rFonts w:eastAsia="PMingLiU"/>
        </w:rPr>
        <w:t xml:space="preserve">their case </w:t>
      </w:r>
      <w:r w:rsidR="000A1D21">
        <w:rPr>
          <w:rFonts w:eastAsia="PMingLiU"/>
        </w:rPr>
        <w:t>as regards</w:t>
      </w:r>
      <w:r w:rsidR="0070215A" w:rsidRPr="000C2CC5">
        <w:rPr>
          <w:rFonts w:eastAsia="PMingLiU"/>
        </w:rPr>
        <w:t xml:space="preserve"> the termination of the IAA is</w:t>
      </w:r>
      <w:r w:rsidRPr="000C2CC5">
        <w:rPr>
          <w:rFonts w:eastAsia="PMingLiU"/>
        </w:rPr>
        <w:t xml:space="preserve"> that </w:t>
      </w:r>
      <w:r w:rsidR="0070215A" w:rsidRPr="000C2CC5">
        <w:rPr>
          <w:rFonts w:eastAsia="PMingLiU"/>
        </w:rPr>
        <w:t>in April and May 2017, the claimant and her husband invited or enticed some of the 1</w:t>
      </w:r>
      <w:r w:rsidR="0070215A" w:rsidRPr="000C2CC5">
        <w:rPr>
          <w:rFonts w:eastAsia="PMingLiU"/>
          <w:vertAlign w:val="superscript"/>
        </w:rPr>
        <w:t>st</w:t>
      </w:r>
      <w:r w:rsidR="00566647">
        <w:rPr>
          <w:rFonts w:eastAsia="PMingLiU"/>
        </w:rPr>
        <w:t> </w:t>
      </w:r>
      <w:r w:rsidR="0070215A" w:rsidRPr="000C2CC5">
        <w:rPr>
          <w:rFonts w:eastAsia="PMingLiU"/>
        </w:rPr>
        <w:t>respondent’s insurance agents to join AIA.  One of the 1</w:t>
      </w:r>
      <w:r w:rsidR="0070215A" w:rsidRPr="000C2CC5">
        <w:rPr>
          <w:rFonts w:eastAsia="PMingLiU"/>
          <w:vertAlign w:val="superscript"/>
        </w:rPr>
        <w:t>st</w:t>
      </w:r>
      <w:r w:rsidR="0070215A" w:rsidRPr="000C2CC5">
        <w:rPr>
          <w:rFonts w:eastAsia="PMingLiU"/>
        </w:rPr>
        <w:t xml:space="preserve"> respondent’s main concerns</w:t>
      </w:r>
      <w:r w:rsidR="000A1D21">
        <w:rPr>
          <w:rFonts w:eastAsia="PMingLiU"/>
        </w:rPr>
        <w:t xml:space="preserve"> then</w:t>
      </w:r>
      <w:r w:rsidR="0070215A" w:rsidRPr="000C2CC5">
        <w:rPr>
          <w:rFonts w:eastAsia="PMingLiU"/>
        </w:rPr>
        <w:t xml:space="preserve"> was to control the damage caused by such solicitations.  It was also concerned that confidential information to which the claimant had access would be disclosed to AIA via the husband.  The respondents deny that the claimant’s marital status and/or family status was a concern when the decision to terminate the IAA was made.</w:t>
      </w:r>
    </w:p>
    <w:p w14:paraId="06190360" w14:textId="77777777" w:rsidR="00566647" w:rsidRPr="000C2CC5" w:rsidRDefault="00566647" w:rsidP="00566647">
      <w:pPr>
        <w:tabs>
          <w:tab w:val="clear" w:pos="4320"/>
          <w:tab w:val="clear" w:pos="9072"/>
        </w:tabs>
        <w:snapToGrid/>
        <w:spacing w:line="360" w:lineRule="auto"/>
        <w:jc w:val="both"/>
        <w:rPr>
          <w:rFonts w:eastAsia="PMingLiU"/>
        </w:rPr>
      </w:pPr>
    </w:p>
    <w:p w14:paraId="10CB5C3B" w14:textId="2F756170" w:rsidR="000B3993" w:rsidRDefault="000B3993" w:rsidP="000C2CC5">
      <w:pPr>
        <w:tabs>
          <w:tab w:val="clear" w:pos="4320"/>
          <w:tab w:val="clear" w:pos="9072"/>
        </w:tabs>
        <w:snapToGrid/>
        <w:spacing w:line="360" w:lineRule="auto"/>
        <w:jc w:val="both"/>
        <w:rPr>
          <w:rFonts w:eastAsia="PMingLiU"/>
          <w:i/>
        </w:rPr>
      </w:pPr>
      <w:r w:rsidRPr="000C2CC5">
        <w:rPr>
          <w:rFonts w:eastAsia="PMingLiU"/>
          <w:i/>
        </w:rPr>
        <w:t xml:space="preserve">THE WAY FORWARD </w:t>
      </w:r>
      <w:r w:rsidR="007A0693" w:rsidRPr="000C2CC5">
        <w:rPr>
          <w:rFonts w:eastAsia="PMingLiU"/>
          <w:i/>
        </w:rPr>
        <w:t>– THE PARTIES’ RIVAL POSITIONS</w:t>
      </w:r>
    </w:p>
    <w:p w14:paraId="4527E42C" w14:textId="77777777" w:rsidR="00566647" w:rsidRPr="00566647" w:rsidRDefault="00566647" w:rsidP="000C2CC5">
      <w:pPr>
        <w:tabs>
          <w:tab w:val="clear" w:pos="4320"/>
          <w:tab w:val="clear" w:pos="9072"/>
        </w:tabs>
        <w:snapToGrid/>
        <w:spacing w:line="360" w:lineRule="auto"/>
        <w:jc w:val="both"/>
        <w:rPr>
          <w:rFonts w:eastAsia="PMingLiU"/>
        </w:rPr>
      </w:pPr>
    </w:p>
    <w:p w14:paraId="1562BABD" w14:textId="642D4A09" w:rsidR="000B3993" w:rsidRPr="000C2CC5" w:rsidRDefault="000B3993"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At this juncture, it would be appropriate to make two observations.</w:t>
      </w:r>
    </w:p>
    <w:p w14:paraId="1DB6ADAD" w14:textId="77777777" w:rsidR="00566647" w:rsidRDefault="00566647" w:rsidP="00566647">
      <w:pPr>
        <w:tabs>
          <w:tab w:val="clear" w:pos="4320"/>
          <w:tab w:val="clear" w:pos="9072"/>
        </w:tabs>
        <w:snapToGrid/>
        <w:spacing w:line="360" w:lineRule="auto"/>
        <w:jc w:val="both"/>
        <w:rPr>
          <w:rFonts w:eastAsia="PMingLiU"/>
        </w:rPr>
      </w:pPr>
    </w:p>
    <w:p w14:paraId="30FD9CCA" w14:textId="22981150" w:rsidR="00971EC3" w:rsidRPr="000C2CC5" w:rsidRDefault="00971EC3"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First, </w:t>
      </w:r>
      <w:r w:rsidR="000D42D8" w:rsidRPr="000C2CC5">
        <w:rPr>
          <w:rFonts w:eastAsia="PMingLiU"/>
        </w:rPr>
        <w:t xml:space="preserve">it would be plain from the above that the High Court action and the EO claim </w:t>
      </w:r>
      <w:r w:rsidR="000A1D21">
        <w:rPr>
          <w:rFonts w:eastAsia="PMingLiU"/>
        </w:rPr>
        <w:t xml:space="preserve">both </w:t>
      </w:r>
      <w:r w:rsidR="000D42D8" w:rsidRPr="000C2CC5">
        <w:rPr>
          <w:rFonts w:eastAsia="PMingLiU"/>
        </w:rPr>
        <w:t xml:space="preserve">arise out of </w:t>
      </w:r>
      <w:r w:rsidR="00931348">
        <w:rPr>
          <w:rFonts w:eastAsia="PMingLiU"/>
        </w:rPr>
        <w:t>the same</w:t>
      </w:r>
      <w:r w:rsidR="000D42D8" w:rsidRPr="000C2CC5">
        <w:rPr>
          <w:rFonts w:eastAsia="PMingLiU"/>
        </w:rPr>
        <w:t xml:space="preserve"> set of facts.  Further, Mr</w:t>
      </w:r>
      <w:r w:rsidR="00566647">
        <w:rPr>
          <w:rFonts w:eastAsia="PMingLiU"/>
        </w:rPr>
        <w:t> </w:t>
      </w:r>
      <w:r w:rsidR="000D42D8" w:rsidRPr="000C2CC5">
        <w:rPr>
          <w:rFonts w:eastAsia="PMingLiU"/>
        </w:rPr>
        <w:t xml:space="preserve">Hector Pun, SC, appearing with Mr Carter Chim, for the claimant confirmed at the hearing that </w:t>
      </w:r>
      <w:r w:rsidR="000A1D21">
        <w:rPr>
          <w:rFonts w:eastAsia="PMingLiU"/>
        </w:rPr>
        <w:t xml:space="preserve">apart from the discrimination point, </w:t>
      </w:r>
      <w:r w:rsidR="000D42D8" w:rsidRPr="000C2CC5">
        <w:rPr>
          <w:rFonts w:eastAsia="PMingLiU"/>
        </w:rPr>
        <w:t xml:space="preserve">the claimant </w:t>
      </w:r>
      <w:r w:rsidR="000A1D21">
        <w:rPr>
          <w:rFonts w:eastAsia="PMingLiU"/>
        </w:rPr>
        <w:t>does</w:t>
      </w:r>
      <w:r w:rsidR="000D42D8" w:rsidRPr="000C2CC5">
        <w:rPr>
          <w:rFonts w:eastAsia="PMingLiU"/>
        </w:rPr>
        <w:t xml:space="preserve"> not</w:t>
      </w:r>
      <w:r w:rsidR="000A1D21">
        <w:rPr>
          <w:rFonts w:eastAsia="PMingLiU"/>
        </w:rPr>
        <w:t xml:space="preserve"> intend to</w:t>
      </w:r>
      <w:r w:rsidR="000D42D8" w:rsidRPr="000C2CC5">
        <w:rPr>
          <w:rFonts w:eastAsia="PMingLiU"/>
        </w:rPr>
        <w:t xml:space="preserve"> rely on any other defence in the High Court action. </w:t>
      </w:r>
      <w:r w:rsidR="00D24D0D" w:rsidRPr="000C2CC5">
        <w:rPr>
          <w:rFonts w:eastAsia="PMingLiU"/>
        </w:rPr>
        <w:t xml:space="preserve"> The claimant’s position is therefore that the disposal of the EO claim will </w:t>
      </w:r>
      <w:r w:rsidR="00D24D0D" w:rsidRPr="000A1D21">
        <w:rPr>
          <w:rFonts w:eastAsia="PMingLiU"/>
          <w:i/>
        </w:rPr>
        <w:t>automatically</w:t>
      </w:r>
      <w:r w:rsidR="00D24D0D" w:rsidRPr="000C2CC5">
        <w:rPr>
          <w:rFonts w:eastAsia="PMingLiU"/>
        </w:rPr>
        <w:t xml:space="preserve"> dispose of the High Court action.</w:t>
      </w:r>
    </w:p>
    <w:p w14:paraId="62A24ABA" w14:textId="77777777" w:rsidR="00566647" w:rsidRDefault="00566647" w:rsidP="00566647">
      <w:pPr>
        <w:tabs>
          <w:tab w:val="clear" w:pos="4320"/>
          <w:tab w:val="clear" w:pos="9072"/>
        </w:tabs>
        <w:snapToGrid/>
        <w:spacing w:line="360" w:lineRule="auto"/>
        <w:jc w:val="both"/>
        <w:rPr>
          <w:rFonts w:eastAsia="PMingLiU"/>
        </w:rPr>
      </w:pPr>
    </w:p>
    <w:p w14:paraId="2D745505" w14:textId="650D72A8" w:rsidR="000D42D8" w:rsidRPr="000C2CC5" w:rsidRDefault="000D42D8"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Second,</w:t>
      </w:r>
      <w:r w:rsidR="00D24D0D" w:rsidRPr="000C2CC5">
        <w:rPr>
          <w:rFonts w:eastAsia="PMingLiU"/>
        </w:rPr>
        <w:t xml:space="preserve"> </w:t>
      </w:r>
      <w:r w:rsidR="00C61B81" w:rsidRPr="000C2CC5">
        <w:rPr>
          <w:rFonts w:eastAsia="PMingLiU"/>
        </w:rPr>
        <w:t xml:space="preserve">on the procedural front, the two actions have been progressing in sync since </w:t>
      </w:r>
      <w:r w:rsidR="000A1D21">
        <w:rPr>
          <w:rFonts w:eastAsia="PMingLiU"/>
        </w:rPr>
        <w:t>late</w:t>
      </w:r>
      <w:r w:rsidR="00C61B81" w:rsidRPr="000C2CC5">
        <w:rPr>
          <w:rFonts w:eastAsia="PMingLiU"/>
        </w:rPr>
        <w:t xml:space="preserve"> 2017 when the claimant filed the defence in the High Court </w:t>
      </w:r>
      <w:r w:rsidR="00931348">
        <w:rPr>
          <w:rFonts w:eastAsia="PMingLiU"/>
        </w:rPr>
        <w:t>a</w:t>
      </w:r>
      <w:r w:rsidR="00C61B81" w:rsidRPr="000C2CC5">
        <w:rPr>
          <w:rFonts w:eastAsia="PMingLiU"/>
        </w:rPr>
        <w:t xml:space="preserve">ction and commenced the EO claim in the District Court at around the same time.  </w:t>
      </w:r>
    </w:p>
    <w:p w14:paraId="277C3D9F" w14:textId="77777777" w:rsidR="00566647" w:rsidRDefault="00566647" w:rsidP="00566647">
      <w:pPr>
        <w:tabs>
          <w:tab w:val="clear" w:pos="4320"/>
          <w:tab w:val="clear" w:pos="9072"/>
        </w:tabs>
        <w:snapToGrid/>
        <w:spacing w:line="360" w:lineRule="auto"/>
        <w:jc w:val="both"/>
        <w:rPr>
          <w:rFonts w:eastAsia="PMingLiU"/>
        </w:rPr>
      </w:pPr>
    </w:p>
    <w:p w14:paraId="19422543" w14:textId="453EBE1A" w:rsidR="005C31F0" w:rsidRPr="000C2CC5" w:rsidRDefault="00C61B81"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w:t>
      </w:r>
      <w:r w:rsidR="000A1D21">
        <w:rPr>
          <w:rFonts w:eastAsia="PMingLiU"/>
        </w:rPr>
        <w:t>n the circumstances, i</w:t>
      </w:r>
      <w:r w:rsidRPr="000C2CC5">
        <w:rPr>
          <w:rFonts w:eastAsia="PMingLiU"/>
        </w:rPr>
        <w:t>t is abundantly clear that the two actions</w:t>
      </w:r>
      <w:r w:rsidR="0007226E" w:rsidRPr="000C2CC5">
        <w:rPr>
          <w:rFonts w:eastAsia="PMingLiU"/>
        </w:rPr>
        <w:t xml:space="preserve"> ought to be dealt with or case managed together</w:t>
      </w:r>
      <w:r w:rsidR="000A1D21">
        <w:rPr>
          <w:rFonts w:eastAsia="PMingLiU"/>
        </w:rPr>
        <w:t xml:space="preserve"> in some way</w:t>
      </w:r>
      <w:r w:rsidR="0007226E" w:rsidRPr="000C2CC5">
        <w:rPr>
          <w:rFonts w:eastAsia="PMingLiU"/>
        </w:rPr>
        <w:t xml:space="preserve">, instead of each progressing further independently and without regard to the other.  </w:t>
      </w:r>
      <w:r w:rsidR="000A1D21">
        <w:rPr>
          <w:rFonts w:eastAsia="PMingLiU"/>
        </w:rPr>
        <w:t>Once that is recognised, t</w:t>
      </w:r>
      <w:r w:rsidR="00892C99" w:rsidRPr="000C2CC5">
        <w:rPr>
          <w:rFonts w:eastAsia="PMingLiU"/>
        </w:rPr>
        <w:t xml:space="preserve">he </w:t>
      </w:r>
      <w:r w:rsidR="00F445FF">
        <w:rPr>
          <w:rFonts w:eastAsia="PMingLiU"/>
        </w:rPr>
        <w:t>key</w:t>
      </w:r>
      <w:r w:rsidR="00274860" w:rsidRPr="000C2CC5">
        <w:rPr>
          <w:rFonts w:eastAsia="PMingLiU"/>
        </w:rPr>
        <w:t xml:space="preserve"> </w:t>
      </w:r>
      <w:r w:rsidR="00892C99" w:rsidRPr="000C2CC5">
        <w:rPr>
          <w:rFonts w:eastAsia="PMingLiU"/>
        </w:rPr>
        <w:t xml:space="preserve">questions </w:t>
      </w:r>
      <w:r w:rsidR="00F445FF">
        <w:rPr>
          <w:rFonts w:eastAsia="PMingLiU"/>
        </w:rPr>
        <w:t>then</w:t>
      </w:r>
      <w:r w:rsidR="00274860" w:rsidRPr="000C2CC5">
        <w:rPr>
          <w:rFonts w:eastAsia="PMingLiU"/>
        </w:rPr>
        <w:t xml:space="preserve"> become –</w:t>
      </w:r>
      <w:r w:rsidR="00892C99" w:rsidRPr="000C2CC5">
        <w:rPr>
          <w:rFonts w:eastAsia="PMingLiU"/>
        </w:rPr>
        <w:t xml:space="preserve"> </w:t>
      </w:r>
      <w:r w:rsidR="005C31F0" w:rsidRPr="000C2CC5">
        <w:rPr>
          <w:rFonts w:eastAsia="PMingLiU"/>
        </w:rPr>
        <w:t>H</w:t>
      </w:r>
      <w:r w:rsidR="00892C99" w:rsidRPr="000C2CC5">
        <w:rPr>
          <w:rFonts w:eastAsia="PMingLiU"/>
        </w:rPr>
        <w:t>ow</w:t>
      </w:r>
      <w:r w:rsidR="00274860" w:rsidRPr="000C2CC5">
        <w:rPr>
          <w:rFonts w:eastAsia="PMingLiU"/>
        </w:rPr>
        <w:t xml:space="preserve"> should they be dealt with together</w:t>
      </w:r>
      <w:r w:rsidR="005C31F0" w:rsidRPr="000C2CC5">
        <w:rPr>
          <w:rFonts w:eastAsia="PMingLiU"/>
        </w:rPr>
        <w:t>?</w:t>
      </w:r>
      <w:r w:rsidR="00274860" w:rsidRPr="000C2CC5">
        <w:rPr>
          <w:rFonts w:eastAsia="PMingLiU"/>
        </w:rPr>
        <w:t xml:space="preserve">  And, i</w:t>
      </w:r>
      <w:r w:rsidR="00892C99" w:rsidRPr="000C2CC5">
        <w:rPr>
          <w:rFonts w:eastAsia="PMingLiU"/>
        </w:rPr>
        <w:t xml:space="preserve">n </w:t>
      </w:r>
      <w:r w:rsidR="00274860" w:rsidRPr="000C2CC5">
        <w:rPr>
          <w:rFonts w:eastAsia="PMingLiU"/>
        </w:rPr>
        <w:t>which</w:t>
      </w:r>
      <w:r w:rsidR="00892C99" w:rsidRPr="000C2CC5">
        <w:rPr>
          <w:rFonts w:eastAsia="PMingLiU"/>
        </w:rPr>
        <w:t xml:space="preserve"> forum</w:t>
      </w:r>
      <w:r w:rsidR="00274860" w:rsidRPr="000C2CC5">
        <w:rPr>
          <w:rFonts w:eastAsia="PMingLiU"/>
        </w:rPr>
        <w:t xml:space="preserve"> – the District Court, the CFI or both</w:t>
      </w:r>
      <w:r w:rsidR="005C31F0" w:rsidRPr="000C2CC5">
        <w:rPr>
          <w:rFonts w:eastAsia="PMingLiU"/>
        </w:rPr>
        <w:t>?</w:t>
      </w:r>
      <w:r w:rsidR="00892C99" w:rsidRPr="000C2CC5">
        <w:rPr>
          <w:rFonts w:eastAsia="PMingLiU"/>
        </w:rPr>
        <w:t xml:space="preserve">  A</w:t>
      </w:r>
      <w:r w:rsidRPr="000C2CC5">
        <w:rPr>
          <w:rFonts w:eastAsia="PMingLiU"/>
        </w:rPr>
        <w:t xml:space="preserve"> decision ought to be made</w:t>
      </w:r>
      <w:r w:rsidR="00892C99" w:rsidRPr="000C2CC5">
        <w:rPr>
          <w:rFonts w:eastAsia="PMingLiU"/>
        </w:rPr>
        <w:t xml:space="preserve"> now</w:t>
      </w:r>
      <w:r w:rsidRPr="000C2CC5">
        <w:rPr>
          <w:rFonts w:eastAsia="PMingLiU"/>
        </w:rPr>
        <w:t xml:space="preserve"> on how to manage the actions </w:t>
      </w:r>
      <w:r w:rsidR="00892C99" w:rsidRPr="000C2CC5">
        <w:rPr>
          <w:rFonts w:eastAsia="PMingLiU"/>
        </w:rPr>
        <w:t xml:space="preserve">together </w:t>
      </w:r>
      <w:r w:rsidR="00F445FF">
        <w:rPr>
          <w:rFonts w:eastAsia="PMingLiU"/>
        </w:rPr>
        <w:t xml:space="preserve">and take them forward in </w:t>
      </w:r>
      <w:r w:rsidR="00931348">
        <w:rPr>
          <w:rFonts w:eastAsia="PMingLiU"/>
        </w:rPr>
        <w:t>a</w:t>
      </w:r>
      <w:r w:rsidR="00F445FF">
        <w:rPr>
          <w:rFonts w:eastAsia="PMingLiU"/>
        </w:rPr>
        <w:t xml:space="preserve"> speedy</w:t>
      </w:r>
      <w:r w:rsidRPr="000C2CC5">
        <w:rPr>
          <w:rFonts w:eastAsia="PMingLiU"/>
        </w:rPr>
        <w:t xml:space="preserve">, cost-effective and fair manner.  The parties </w:t>
      </w:r>
      <w:r w:rsidR="0007226E" w:rsidRPr="000C2CC5">
        <w:rPr>
          <w:rFonts w:eastAsia="PMingLiU"/>
        </w:rPr>
        <w:t>are</w:t>
      </w:r>
      <w:r w:rsidR="005C31F0" w:rsidRPr="000C2CC5">
        <w:rPr>
          <w:rFonts w:eastAsia="PMingLiU"/>
        </w:rPr>
        <w:t xml:space="preserve"> however</w:t>
      </w:r>
      <w:r w:rsidR="0007226E" w:rsidRPr="000C2CC5">
        <w:rPr>
          <w:rFonts w:eastAsia="PMingLiU"/>
        </w:rPr>
        <w:t xml:space="preserve"> unable to agree</w:t>
      </w:r>
      <w:r w:rsidR="005C31F0" w:rsidRPr="000C2CC5">
        <w:rPr>
          <w:rFonts w:eastAsia="PMingLiU"/>
        </w:rPr>
        <w:t xml:space="preserve"> on </w:t>
      </w:r>
      <w:r w:rsidR="000B3993" w:rsidRPr="000C2CC5">
        <w:rPr>
          <w:rFonts w:eastAsia="PMingLiU"/>
        </w:rPr>
        <w:t>the way forward</w:t>
      </w:r>
      <w:r w:rsidR="005C31F0" w:rsidRPr="000C2CC5">
        <w:rPr>
          <w:rFonts w:eastAsia="PMingLiU"/>
        </w:rPr>
        <w:t>.</w:t>
      </w:r>
    </w:p>
    <w:p w14:paraId="3BA04D50" w14:textId="77777777" w:rsidR="00566647" w:rsidRDefault="00566647" w:rsidP="00566647">
      <w:pPr>
        <w:tabs>
          <w:tab w:val="clear" w:pos="4320"/>
          <w:tab w:val="clear" w:pos="9072"/>
        </w:tabs>
        <w:snapToGrid/>
        <w:spacing w:line="360" w:lineRule="auto"/>
        <w:jc w:val="both"/>
        <w:rPr>
          <w:rFonts w:eastAsia="PMingLiU"/>
        </w:rPr>
      </w:pPr>
    </w:p>
    <w:p w14:paraId="21314FE8" w14:textId="578F9DA9" w:rsidR="007A0693" w:rsidRPr="000C2CC5" w:rsidRDefault="005C31F0"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Mr Norman Nip, counsel for </w:t>
      </w:r>
      <w:r w:rsidR="000B3993" w:rsidRPr="000C2CC5">
        <w:rPr>
          <w:rFonts w:eastAsia="PMingLiU"/>
        </w:rPr>
        <w:t xml:space="preserve">the respondents, submitted that the District Court’s jurisdiction over the EO claim is not exclusive and the court should exercise its discretion to transfer the EO claim to the CFI so that the two actions can be heard and determined together there.  </w:t>
      </w:r>
    </w:p>
    <w:p w14:paraId="4A94765D" w14:textId="77777777" w:rsidR="00566647" w:rsidRDefault="00566647" w:rsidP="00566647">
      <w:pPr>
        <w:tabs>
          <w:tab w:val="clear" w:pos="4320"/>
          <w:tab w:val="clear" w:pos="9072"/>
        </w:tabs>
        <w:snapToGrid/>
        <w:spacing w:line="360" w:lineRule="auto"/>
        <w:jc w:val="both"/>
        <w:rPr>
          <w:rFonts w:eastAsia="PMingLiU"/>
        </w:rPr>
      </w:pPr>
    </w:p>
    <w:p w14:paraId="4D49677A" w14:textId="5C06BBF5" w:rsidR="007A0693" w:rsidRPr="000C2CC5" w:rsidRDefault="000B3993"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On the</w:t>
      </w:r>
      <w:r w:rsidR="00082311" w:rsidRPr="000C2CC5">
        <w:rPr>
          <w:rFonts w:eastAsia="PMingLiU"/>
        </w:rPr>
        <w:t xml:space="preserve"> issue of</w:t>
      </w:r>
      <w:r w:rsidRPr="000C2CC5">
        <w:rPr>
          <w:rFonts w:eastAsia="PMingLiU"/>
        </w:rPr>
        <w:t xml:space="preserve"> jurisdiction, Mr Nip relied on the recent Court of Appeal decision in </w:t>
      </w:r>
      <w:r w:rsidRPr="000C2CC5">
        <w:rPr>
          <w:rFonts w:eastAsia="PMingLiU"/>
          <w:i/>
        </w:rPr>
        <w:t>Lee Kwok Tung Albert v Chiyu Banking Corporation Ltd</w:t>
      </w:r>
      <w:r w:rsidRPr="000C2CC5">
        <w:rPr>
          <w:rFonts w:eastAsia="PMingLiU"/>
        </w:rPr>
        <w:t xml:space="preserve"> [2018] 2 HKLRD 273, [2018] HKCA 123</w:t>
      </w:r>
      <w:r w:rsidR="00082311" w:rsidRPr="000C2CC5">
        <w:rPr>
          <w:rFonts w:eastAsia="PMingLiU"/>
        </w:rPr>
        <w:t xml:space="preserve">.  It was held that the District Court does </w:t>
      </w:r>
      <w:r w:rsidR="00082311" w:rsidRPr="000C2CC5">
        <w:rPr>
          <w:rFonts w:eastAsia="PMingLiU"/>
          <w:i/>
        </w:rPr>
        <w:t>not</w:t>
      </w:r>
      <w:r w:rsidR="00082311" w:rsidRPr="000C2CC5">
        <w:rPr>
          <w:rFonts w:eastAsia="PMingLiU"/>
        </w:rPr>
        <w:t xml:space="preserve"> have exclusive jurisdiction to hear claims brought under the </w:t>
      </w:r>
      <w:r w:rsidR="00082311" w:rsidRPr="00F445FF">
        <w:rPr>
          <w:rFonts w:eastAsia="PMingLiU"/>
        </w:rPr>
        <w:t>Personal Data Privacy Ordinance</w:t>
      </w:r>
      <w:r w:rsidR="00082311" w:rsidRPr="000C2CC5">
        <w:rPr>
          <w:rFonts w:eastAsia="PMingLiU"/>
        </w:rPr>
        <w:t xml:space="preserve">, Cap 486 </w:t>
      </w:r>
      <w:r w:rsidR="004F47E0" w:rsidRPr="000C2CC5">
        <w:rPr>
          <w:rFonts w:eastAsia="PMingLiU"/>
        </w:rPr>
        <w:t xml:space="preserve">(“the PDPO”) </w:t>
      </w:r>
      <w:r w:rsidR="00082311" w:rsidRPr="000C2CC5">
        <w:rPr>
          <w:rFonts w:eastAsia="PMingLiU"/>
        </w:rPr>
        <w:t xml:space="preserve">and that in appropriate cases, such claims may be transferred to the CFI.  The respondents’ contention is that the court’s reasoning should equally </w:t>
      </w:r>
      <w:r w:rsidR="00F445FF">
        <w:rPr>
          <w:rFonts w:eastAsia="PMingLiU"/>
        </w:rPr>
        <w:t xml:space="preserve">apply </w:t>
      </w:r>
      <w:r w:rsidR="00082311" w:rsidRPr="000C2CC5">
        <w:rPr>
          <w:rFonts w:eastAsia="PMingLiU"/>
        </w:rPr>
        <w:t xml:space="preserve">to the discrimination legislation.  </w:t>
      </w:r>
    </w:p>
    <w:p w14:paraId="07A1E84F" w14:textId="77777777" w:rsidR="00097A0A" w:rsidRDefault="00097A0A" w:rsidP="00097A0A">
      <w:pPr>
        <w:tabs>
          <w:tab w:val="clear" w:pos="4320"/>
          <w:tab w:val="clear" w:pos="9072"/>
        </w:tabs>
        <w:snapToGrid/>
        <w:spacing w:line="360" w:lineRule="auto"/>
        <w:jc w:val="both"/>
        <w:rPr>
          <w:rFonts w:eastAsia="PMingLiU"/>
        </w:rPr>
      </w:pPr>
    </w:p>
    <w:p w14:paraId="70603100" w14:textId="47F17A7B" w:rsidR="005C31F0" w:rsidRPr="000C2CC5" w:rsidRDefault="00082311"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On the issue of discretion, </w:t>
      </w:r>
      <w:r w:rsidR="007A0693" w:rsidRPr="000C2CC5">
        <w:rPr>
          <w:rFonts w:eastAsia="PMingLiU"/>
        </w:rPr>
        <w:t>it was</w:t>
      </w:r>
      <w:r w:rsidR="00B0515F" w:rsidRPr="000C2CC5">
        <w:rPr>
          <w:rFonts w:eastAsia="PMingLiU"/>
        </w:rPr>
        <w:t xml:space="preserve"> emphasised </w:t>
      </w:r>
      <w:r w:rsidR="007A0693" w:rsidRPr="000C2CC5">
        <w:rPr>
          <w:rFonts w:eastAsia="PMingLiU"/>
        </w:rPr>
        <w:t xml:space="preserve">in the </w:t>
      </w:r>
      <w:r w:rsidR="002B416C" w:rsidRPr="000C2CC5">
        <w:rPr>
          <w:rFonts w:eastAsia="PMingLiU"/>
        </w:rPr>
        <w:t>respondents’</w:t>
      </w:r>
      <w:r w:rsidR="007A0693" w:rsidRPr="000C2CC5">
        <w:rPr>
          <w:rFonts w:eastAsia="PMingLiU"/>
        </w:rPr>
        <w:t xml:space="preserve"> written submissions that the two actions should be tried together given the substantial overlap on the factual background, the intertwining issues in dispute and the time and costs savings that can be made by having the two actions determined together.  In his oral submissions, Mr Nip </w:t>
      </w:r>
      <w:r w:rsidR="002B416C" w:rsidRPr="000C2CC5">
        <w:rPr>
          <w:rFonts w:eastAsia="PMingLiU"/>
        </w:rPr>
        <w:t>highlighted that the 1</w:t>
      </w:r>
      <w:r w:rsidR="002B416C" w:rsidRPr="000C2CC5">
        <w:rPr>
          <w:rFonts w:eastAsia="PMingLiU"/>
          <w:vertAlign w:val="superscript"/>
        </w:rPr>
        <w:t>st</w:t>
      </w:r>
      <w:r w:rsidR="002B416C" w:rsidRPr="000C2CC5">
        <w:rPr>
          <w:rFonts w:eastAsia="PMingLiU"/>
        </w:rPr>
        <w:t xml:space="preserve"> respondent commenced the contractual claim in the CFI </w:t>
      </w:r>
      <w:r w:rsidR="002B416C" w:rsidRPr="000C2CC5">
        <w:rPr>
          <w:rFonts w:eastAsia="PMingLiU"/>
          <w:i/>
        </w:rPr>
        <w:t>as of right</w:t>
      </w:r>
      <w:r w:rsidR="002B416C" w:rsidRPr="000C2CC5">
        <w:rPr>
          <w:rFonts w:eastAsia="PMingLiU"/>
        </w:rPr>
        <w:t xml:space="preserve"> and that the claim is for over $4 million</w:t>
      </w:r>
      <w:r w:rsidR="00F445FF">
        <w:rPr>
          <w:rFonts w:eastAsia="PMingLiU"/>
        </w:rPr>
        <w:t>.  T</w:t>
      </w:r>
      <w:r w:rsidR="002B416C" w:rsidRPr="000C2CC5">
        <w:rPr>
          <w:rFonts w:eastAsia="PMingLiU"/>
        </w:rPr>
        <w:t>he CFI</w:t>
      </w:r>
      <w:r w:rsidR="00F445FF">
        <w:rPr>
          <w:rFonts w:eastAsia="PMingLiU"/>
        </w:rPr>
        <w:t>, he submitted,</w:t>
      </w:r>
      <w:r w:rsidR="002B416C" w:rsidRPr="000C2CC5">
        <w:rPr>
          <w:rFonts w:eastAsia="PMingLiU"/>
        </w:rPr>
        <w:t xml:space="preserve"> is clearly the proper forum for the two actions.</w:t>
      </w:r>
    </w:p>
    <w:p w14:paraId="72FF7FFC" w14:textId="77777777" w:rsidR="00097A0A" w:rsidRDefault="00097A0A" w:rsidP="00097A0A">
      <w:pPr>
        <w:tabs>
          <w:tab w:val="clear" w:pos="4320"/>
          <w:tab w:val="clear" w:pos="9072"/>
        </w:tabs>
        <w:snapToGrid/>
        <w:spacing w:line="360" w:lineRule="auto"/>
        <w:jc w:val="both"/>
        <w:rPr>
          <w:rFonts w:eastAsia="PMingLiU"/>
        </w:rPr>
      </w:pPr>
    </w:p>
    <w:p w14:paraId="730AC845" w14:textId="32789353" w:rsidR="00082311" w:rsidRPr="000C2CC5" w:rsidRDefault="00082311"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On the other hand, </w:t>
      </w:r>
      <w:r w:rsidR="002F6172" w:rsidRPr="000C2CC5">
        <w:rPr>
          <w:rFonts w:eastAsia="PMingLiU"/>
        </w:rPr>
        <w:t>Mr Pun disagree</w:t>
      </w:r>
      <w:r w:rsidR="00F445FF">
        <w:rPr>
          <w:rFonts w:eastAsia="PMingLiU"/>
        </w:rPr>
        <w:t>d</w:t>
      </w:r>
      <w:r w:rsidR="002F6172" w:rsidRPr="000C2CC5">
        <w:rPr>
          <w:rFonts w:eastAsia="PMingLiU"/>
        </w:rPr>
        <w:t xml:space="preserve"> on both issues.  He submitted that the District Court has exclusive jurisdiction over </w:t>
      </w:r>
      <w:r w:rsidR="00051558" w:rsidRPr="000C2CC5">
        <w:rPr>
          <w:rFonts w:eastAsia="PMingLiU"/>
        </w:rPr>
        <w:t xml:space="preserve">claims brought under the SDO and the FSDO.  But if he </w:t>
      </w:r>
      <w:r w:rsidR="00F445FF">
        <w:rPr>
          <w:rFonts w:eastAsia="PMingLiU"/>
        </w:rPr>
        <w:t>wa</w:t>
      </w:r>
      <w:r w:rsidR="00051558" w:rsidRPr="000C2CC5">
        <w:rPr>
          <w:rFonts w:eastAsia="PMingLiU"/>
        </w:rPr>
        <w:t xml:space="preserve">s wrong on that, he argued that the most cost-effective and fair way of resolving the disputes is for the EO claim to remain in the District Court and be tried here and the High Court action should in the meantime be adjourned </w:t>
      </w:r>
      <w:r w:rsidR="00F24300" w:rsidRPr="000C2CC5">
        <w:rPr>
          <w:rFonts w:eastAsia="PMingLiU"/>
          <w:i/>
        </w:rPr>
        <w:t>sine dine</w:t>
      </w:r>
      <w:r w:rsidR="00F24300" w:rsidRPr="000C2CC5">
        <w:rPr>
          <w:rFonts w:eastAsia="PMingLiU"/>
        </w:rPr>
        <w:t xml:space="preserve"> </w:t>
      </w:r>
      <w:r w:rsidR="00051558" w:rsidRPr="000C2CC5">
        <w:rPr>
          <w:rFonts w:eastAsia="PMingLiU"/>
        </w:rPr>
        <w:t>pending the final determination of the EO claim.</w:t>
      </w:r>
      <w:r w:rsidR="00D94E6D" w:rsidRPr="000C2CC5">
        <w:rPr>
          <w:rFonts w:eastAsia="PMingLiU"/>
        </w:rPr>
        <w:t xml:space="preserve">  As noted above, the claimant’s position is that the resolution of the EO claim would be determinative of her only defence in the High Court action.</w:t>
      </w:r>
    </w:p>
    <w:p w14:paraId="7379B0A4" w14:textId="6B42B15F" w:rsidR="007375ED" w:rsidRPr="000C2CC5" w:rsidRDefault="007375ED" w:rsidP="000C2CC5">
      <w:pPr>
        <w:pStyle w:val="ListParagraph"/>
        <w:spacing w:line="360" w:lineRule="auto"/>
        <w:ind w:left="0"/>
        <w:jc w:val="both"/>
        <w:rPr>
          <w:rFonts w:eastAsia="PMingLiU"/>
        </w:rPr>
      </w:pPr>
    </w:p>
    <w:p w14:paraId="789B831E" w14:textId="5521779E" w:rsidR="00A35B41" w:rsidRPr="000C2CC5" w:rsidRDefault="00C74B84" w:rsidP="000C2CC5">
      <w:pPr>
        <w:pStyle w:val="ListParagraph"/>
        <w:spacing w:line="360" w:lineRule="auto"/>
        <w:ind w:left="0"/>
        <w:jc w:val="both"/>
        <w:rPr>
          <w:rFonts w:eastAsia="PMingLiU"/>
          <w:i/>
        </w:rPr>
      </w:pPr>
      <w:r w:rsidRPr="000C2CC5">
        <w:rPr>
          <w:rFonts w:eastAsia="PMingLiU"/>
          <w:i/>
        </w:rPr>
        <w:t>JURISDICTION</w:t>
      </w:r>
    </w:p>
    <w:p w14:paraId="1AF58113" w14:textId="77777777" w:rsidR="00A35B41" w:rsidRPr="000C2CC5" w:rsidRDefault="00A35B41" w:rsidP="000C2CC5">
      <w:pPr>
        <w:pStyle w:val="ListParagraph"/>
        <w:spacing w:line="360" w:lineRule="auto"/>
        <w:ind w:left="0"/>
        <w:jc w:val="both"/>
        <w:rPr>
          <w:rFonts w:eastAsia="PMingLiU"/>
        </w:rPr>
      </w:pPr>
    </w:p>
    <w:p w14:paraId="1E7A6BBB" w14:textId="575FCCDF" w:rsidR="007375ED" w:rsidRPr="000C2CC5" w:rsidRDefault="00F24300"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The issue of jurisdiction turns on the proper interpretation of section 76 of the SDO and section 54 of the FSDO</w:t>
      </w:r>
      <w:r w:rsidR="007D70B1" w:rsidRPr="000C2CC5">
        <w:rPr>
          <w:rFonts w:eastAsia="PMingLiU"/>
        </w:rPr>
        <w:t>.</w:t>
      </w:r>
    </w:p>
    <w:p w14:paraId="2575C5DA" w14:textId="77777777" w:rsidR="00097A0A" w:rsidRDefault="00097A0A" w:rsidP="00097A0A">
      <w:pPr>
        <w:tabs>
          <w:tab w:val="clear" w:pos="4320"/>
          <w:tab w:val="clear" w:pos="9072"/>
        </w:tabs>
        <w:snapToGrid/>
        <w:spacing w:line="360" w:lineRule="auto"/>
        <w:jc w:val="both"/>
        <w:rPr>
          <w:rFonts w:eastAsia="PMingLiU"/>
        </w:rPr>
      </w:pPr>
    </w:p>
    <w:p w14:paraId="11437037" w14:textId="1BBC2924" w:rsidR="00F24300" w:rsidRPr="000C2CC5" w:rsidRDefault="00F24300"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The two sections are almost identical.  For the present purpose of determining whether the District Court has exclusive jurisdiction over claims brought under the two Ordinances, there are no material differences between the wording </w:t>
      </w:r>
      <w:r w:rsidR="00F445FF">
        <w:rPr>
          <w:rFonts w:eastAsia="PMingLiU"/>
        </w:rPr>
        <w:t>used</w:t>
      </w:r>
      <w:r w:rsidRPr="000C2CC5">
        <w:rPr>
          <w:rFonts w:eastAsia="PMingLiU"/>
        </w:rPr>
        <w:t xml:space="preserve"> in th</w:t>
      </w:r>
      <w:r w:rsidR="00BE17C1" w:rsidRPr="000C2CC5">
        <w:rPr>
          <w:rFonts w:eastAsia="PMingLiU"/>
        </w:rPr>
        <w:t xml:space="preserve">e </w:t>
      </w:r>
      <w:r w:rsidR="00F445FF">
        <w:rPr>
          <w:rFonts w:eastAsia="PMingLiU"/>
        </w:rPr>
        <w:t xml:space="preserve">relevant </w:t>
      </w:r>
      <w:r w:rsidR="008201B3" w:rsidRPr="000C2CC5">
        <w:rPr>
          <w:rFonts w:eastAsia="PMingLiU"/>
        </w:rPr>
        <w:t>statutory provisions</w:t>
      </w:r>
      <w:r w:rsidR="00BE17C1" w:rsidRPr="000C2CC5">
        <w:rPr>
          <w:rFonts w:eastAsia="PMingLiU"/>
        </w:rPr>
        <w:t xml:space="preserve"> </w:t>
      </w:r>
      <w:r w:rsidRPr="000C2CC5">
        <w:rPr>
          <w:rFonts w:eastAsia="PMingLiU"/>
        </w:rPr>
        <w:t xml:space="preserve">and </w:t>
      </w:r>
      <w:r w:rsidR="00BE17C1" w:rsidRPr="000C2CC5">
        <w:rPr>
          <w:rFonts w:eastAsia="PMingLiU"/>
        </w:rPr>
        <w:t xml:space="preserve">also </w:t>
      </w:r>
      <w:r w:rsidRPr="000C2CC5">
        <w:rPr>
          <w:rFonts w:eastAsia="PMingLiU"/>
        </w:rPr>
        <w:t xml:space="preserve">the </w:t>
      </w:r>
      <w:r w:rsidR="00F445FF">
        <w:rPr>
          <w:rFonts w:eastAsia="PMingLiU"/>
        </w:rPr>
        <w:t>two</w:t>
      </w:r>
      <w:r w:rsidRPr="000C2CC5">
        <w:rPr>
          <w:rFonts w:eastAsia="PMingLiU"/>
        </w:rPr>
        <w:t xml:space="preserve"> legislation</w:t>
      </w:r>
      <w:r w:rsidR="00F445FF">
        <w:rPr>
          <w:rFonts w:eastAsia="PMingLiU"/>
        </w:rPr>
        <w:t>s are similarly structured</w:t>
      </w:r>
      <w:r w:rsidRPr="000C2CC5">
        <w:rPr>
          <w:rFonts w:eastAsia="PMingLiU"/>
        </w:rPr>
        <w:t xml:space="preserve"> as a whole.  I s</w:t>
      </w:r>
      <w:r w:rsidR="008201B3" w:rsidRPr="000C2CC5">
        <w:rPr>
          <w:rFonts w:eastAsia="PMingLiU"/>
        </w:rPr>
        <w:t xml:space="preserve">hall therefore proceed </w:t>
      </w:r>
      <w:r w:rsidR="00F445FF">
        <w:rPr>
          <w:rFonts w:eastAsia="PMingLiU"/>
        </w:rPr>
        <w:t>to consider the jurisdiction issue by reference to</w:t>
      </w:r>
      <w:r w:rsidRPr="000C2CC5">
        <w:rPr>
          <w:rFonts w:eastAsia="PMingLiU"/>
        </w:rPr>
        <w:t xml:space="preserve"> the SDO </w:t>
      </w:r>
      <w:r w:rsidR="00BE17C1" w:rsidRPr="000C2CC5">
        <w:rPr>
          <w:rFonts w:eastAsia="PMingLiU"/>
        </w:rPr>
        <w:t xml:space="preserve">only.  </w:t>
      </w:r>
      <w:r w:rsidRPr="000C2CC5">
        <w:rPr>
          <w:rFonts w:eastAsia="PMingLiU"/>
        </w:rPr>
        <w:t xml:space="preserve">The conclusion </w:t>
      </w:r>
      <w:r w:rsidR="00BE17C1" w:rsidRPr="000C2CC5">
        <w:rPr>
          <w:rFonts w:eastAsia="PMingLiU"/>
        </w:rPr>
        <w:t xml:space="preserve">reached for that Ordinance </w:t>
      </w:r>
      <w:r w:rsidR="008201B3" w:rsidRPr="000C2CC5">
        <w:rPr>
          <w:rFonts w:eastAsia="PMingLiU"/>
        </w:rPr>
        <w:t>will</w:t>
      </w:r>
      <w:r w:rsidRPr="000C2CC5">
        <w:rPr>
          <w:rFonts w:eastAsia="PMingLiU"/>
        </w:rPr>
        <w:t xml:space="preserve"> </w:t>
      </w:r>
      <w:r w:rsidR="00BE17C1" w:rsidRPr="000C2CC5">
        <w:rPr>
          <w:rFonts w:eastAsia="PMingLiU"/>
        </w:rPr>
        <w:t>apply</w:t>
      </w:r>
      <w:r w:rsidR="008201B3" w:rsidRPr="000C2CC5">
        <w:rPr>
          <w:rFonts w:eastAsia="PMingLiU"/>
        </w:rPr>
        <w:t xml:space="preserve"> equally</w:t>
      </w:r>
      <w:r w:rsidR="00BE17C1" w:rsidRPr="000C2CC5">
        <w:rPr>
          <w:rFonts w:eastAsia="PMingLiU"/>
        </w:rPr>
        <w:t xml:space="preserve"> to</w:t>
      </w:r>
      <w:r w:rsidRPr="000C2CC5">
        <w:rPr>
          <w:rFonts w:eastAsia="PMingLiU"/>
        </w:rPr>
        <w:t xml:space="preserve"> the FSDO.</w:t>
      </w:r>
    </w:p>
    <w:p w14:paraId="5983AAFE" w14:textId="422B2F7E" w:rsidR="007375ED" w:rsidRPr="000C2CC5" w:rsidRDefault="007375ED" w:rsidP="000C2CC5">
      <w:pPr>
        <w:pStyle w:val="ListParagraph"/>
        <w:spacing w:line="360" w:lineRule="auto"/>
        <w:ind w:left="0"/>
        <w:jc w:val="both"/>
        <w:rPr>
          <w:rFonts w:eastAsia="PMingLiU"/>
        </w:rPr>
      </w:pPr>
    </w:p>
    <w:p w14:paraId="0DC9C51A" w14:textId="398DBD30" w:rsidR="0090530B" w:rsidRPr="000C2CC5" w:rsidRDefault="0090530B" w:rsidP="000C2CC5">
      <w:pPr>
        <w:pStyle w:val="ListParagraph"/>
        <w:spacing w:line="360" w:lineRule="auto"/>
        <w:ind w:left="0"/>
        <w:jc w:val="both"/>
        <w:rPr>
          <w:rFonts w:eastAsia="PMingLiU"/>
          <w:i/>
        </w:rPr>
      </w:pPr>
      <w:r w:rsidRPr="000C2CC5">
        <w:rPr>
          <w:rFonts w:eastAsia="PMingLiU"/>
          <w:i/>
        </w:rPr>
        <w:t>Section 76(</w:t>
      </w:r>
      <w:r w:rsidR="00F445FF">
        <w:rPr>
          <w:rFonts w:eastAsia="PMingLiU"/>
          <w:i/>
        </w:rPr>
        <w:t>3</w:t>
      </w:r>
      <w:r w:rsidRPr="000C2CC5">
        <w:rPr>
          <w:rFonts w:eastAsia="PMingLiU"/>
          <w:i/>
        </w:rPr>
        <w:t>) of the SDO and other</w:t>
      </w:r>
      <w:r w:rsidR="00D6023B">
        <w:rPr>
          <w:rFonts w:eastAsia="PMingLiU"/>
          <w:i/>
        </w:rPr>
        <w:t xml:space="preserve"> relevant</w:t>
      </w:r>
      <w:r w:rsidRPr="000C2CC5">
        <w:rPr>
          <w:rFonts w:eastAsia="PMingLiU"/>
          <w:i/>
        </w:rPr>
        <w:t xml:space="preserve"> statutory provisions</w:t>
      </w:r>
      <w:r w:rsidR="00F445FF">
        <w:rPr>
          <w:rFonts w:eastAsia="PMingLiU"/>
          <w:i/>
        </w:rPr>
        <w:t xml:space="preserve"> </w:t>
      </w:r>
    </w:p>
    <w:p w14:paraId="66F5EDC9" w14:textId="77777777" w:rsidR="0090530B" w:rsidRPr="000C2CC5" w:rsidRDefault="0090530B" w:rsidP="000C2CC5">
      <w:pPr>
        <w:pStyle w:val="ListParagraph"/>
        <w:spacing w:line="360" w:lineRule="auto"/>
        <w:ind w:left="0"/>
        <w:jc w:val="both"/>
        <w:rPr>
          <w:rFonts w:eastAsia="PMingLiU"/>
        </w:rPr>
      </w:pPr>
    </w:p>
    <w:p w14:paraId="2B83775C" w14:textId="68D23AD1" w:rsidR="0049695A" w:rsidRPr="000C2CC5" w:rsidRDefault="0072160B"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The following subsections of</w:t>
      </w:r>
      <w:r w:rsidR="0049695A" w:rsidRPr="000C2CC5">
        <w:rPr>
          <w:rFonts w:eastAsia="PMingLiU"/>
        </w:rPr>
        <w:t xml:space="preserve"> section 76</w:t>
      </w:r>
      <w:r w:rsidRPr="000C2CC5">
        <w:rPr>
          <w:rFonts w:eastAsia="PMingLiU"/>
        </w:rPr>
        <w:t xml:space="preserve"> </w:t>
      </w:r>
      <w:r w:rsidR="008201B3" w:rsidRPr="000C2CC5">
        <w:rPr>
          <w:rFonts w:eastAsia="PMingLiU"/>
        </w:rPr>
        <w:t xml:space="preserve">of the SDO </w:t>
      </w:r>
      <w:r w:rsidRPr="000C2CC5">
        <w:rPr>
          <w:rFonts w:eastAsia="PMingLiU"/>
        </w:rPr>
        <w:t>are relevant here.</w:t>
      </w:r>
    </w:p>
    <w:p w14:paraId="60814979" w14:textId="77777777" w:rsidR="0049695A" w:rsidRPr="000C2CC5" w:rsidRDefault="0049695A" w:rsidP="000C2CC5">
      <w:pPr>
        <w:pStyle w:val="ListParagraph"/>
        <w:spacing w:line="360" w:lineRule="auto"/>
        <w:rPr>
          <w:rFonts w:eastAsia="PMingLiU"/>
        </w:rPr>
      </w:pPr>
    </w:p>
    <w:p w14:paraId="5EC844DF" w14:textId="77777777" w:rsidR="0049695A" w:rsidRPr="000C2CC5" w:rsidRDefault="0049695A"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Subsection (1) provides that a discrimination claim by a person against another person may be made the subject of civil proceedings in like manner as any other claim in tort.  </w:t>
      </w:r>
    </w:p>
    <w:p w14:paraId="39C01EC5" w14:textId="77777777" w:rsidR="0049695A" w:rsidRPr="000C2CC5" w:rsidRDefault="0049695A" w:rsidP="000C2CC5">
      <w:pPr>
        <w:pStyle w:val="ListParagraph"/>
        <w:spacing w:line="360" w:lineRule="auto"/>
        <w:rPr>
          <w:rFonts w:eastAsia="PMingLiU"/>
        </w:rPr>
      </w:pPr>
    </w:p>
    <w:p w14:paraId="0E994494" w14:textId="79FAF6FA" w:rsidR="0049695A" w:rsidRPr="000C2CC5" w:rsidRDefault="0049695A"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Subsection (3), which is the key provision in this dispute, provides as follows:</w:t>
      </w:r>
      <w:r w:rsidR="00017D7F">
        <w:rPr>
          <w:rFonts w:eastAsia="PMingLiU" w:hint="eastAsia"/>
          <w:lang w:eastAsia="zh-TW"/>
        </w:rPr>
        <w:t>-</w:t>
      </w:r>
    </w:p>
    <w:p w14:paraId="3A068E70" w14:textId="77777777" w:rsidR="0049695A" w:rsidRPr="000C2CC5" w:rsidRDefault="0049695A" w:rsidP="000C2CC5">
      <w:pPr>
        <w:pStyle w:val="ListParagraph"/>
        <w:spacing w:line="360" w:lineRule="auto"/>
        <w:rPr>
          <w:rFonts w:eastAsia="PMingLiU"/>
        </w:rPr>
      </w:pPr>
    </w:p>
    <w:p w14:paraId="3F9F37A2" w14:textId="3E44C0DC" w:rsidR="0049695A" w:rsidRPr="00017D7F" w:rsidRDefault="0049695A" w:rsidP="00017D7F">
      <w:pPr>
        <w:tabs>
          <w:tab w:val="clear" w:pos="4320"/>
          <w:tab w:val="clear" w:pos="9072"/>
        </w:tabs>
        <w:snapToGrid/>
        <w:ind w:left="1440" w:right="746"/>
        <w:jc w:val="both"/>
        <w:rPr>
          <w:rFonts w:eastAsia="PMingLiU"/>
          <w:sz w:val="24"/>
          <w:szCs w:val="24"/>
        </w:rPr>
      </w:pPr>
      <w:r w:rsidRPr="00017D7F">
        <w:rPr>
          <w:rFonts w:eastAsia="PMingLiU"/>
          <w:sz w:val="24"/>
          <w:szCs w:val="24"/>
        </w:rPr>
        <w:t>“Proceedings under subsection (1) shall be brought in the District Court but all such remedies shall be obtainable in such proceedings as, apart from this subsection and section 75(1), would be obtainable in the Court of First Instance.”</w:t>
      </w:r>
    </w:p>
    <w:p w14:paraId="2EF02781" w14:textId="77777777" w:rsidR="0049695A" w:rsidRPr="000C2CC5" w:rsidRDefault="0049695A" w:rsidP="000C2CC5">
      <w:pPr>
        <w:pStyle w:val="ListParagraph"/>
        <w:spacing w:line="360" w:lineRule="auto"/>
        <w:rPr>
          <w:rFonts w:eastAsia="PMingLiU"/>
        </w:rPr>
      </w:pPr>
    </w:p>
    <w:p w14:paraId="2B43A5BF" w14:textId="2A3BC73C" w:rsidR="007375ED" w:rsidRPr="000C2CC5" w:rsidRDefault="0049695A"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Subsection (3A) goes on to set out a list of remedies or reliefs which the District Court may grant in a SDO claim.  They are wide-ranging</w:t>
      </w:r>
      <w:r w:rsidR="000E5FAA" w:rsidRPr="000C2CC5">
        <w:rPr>
          <w:rFonts w:eastAsia="PMingLiU"/>
        </w:rPr>
        <w:t xml:space="preserve">, including, amongst others things, </w:t>
      </w:r>
      <w:r w:rsidRPr="000C2CC5">
        <w:rPr>
          <w:rFonts w:eastAsia="PMingLiU"/>
        </w:rPr>
        <w:t>a declaration that the respondent’s act is unlawful under the SDO, an order that the respondent shall employ, re-employ or promote the claimant and damages.</w:t>
      </w:r>
    </w:p>
    <w:p w14:paraId="27E28FAF" w14:textId="77777777" w:rsidR="00017D7F" w:rsidRDefault="00017D7F" w:rsidP="00017D7F">
      <w:pPr>
        <w:tabs>
          <w:tab w:val="clear" w:pos="4320"/>
          <w:tab w:val="clear" w:pos="9072"/>
        </w:tabs>
        <w:snapToGrid/>
        <w:spacing w:line="360" w:lineRule="auto"/>
        <w:jc w:val="both"/>
        <w:rPr>
          <w:rFonts w:eastAsia="PMingLiU"/>
        </w:rPr>
      </w:pPr>
    </w:p>
    <w:p w14:paraId="06AA06F1" w14:textId="3681AD4F" w:rsidR="00C94E53" w:rsidRPr="000C2CC5" w:rsidRDefault="00C94E53"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Subsection (4) states that </w:t>
      </w:r>
      <w:r w:rsidR="0072160B" w:rsidRPr="000C2CC5">
        <w:rPr>
          <w:rFonts w:eastAsia="PMingLiU"/>
        </w:rPr>
        <w:t>notwithstanding any law, the District Court shall have jurisdiction to hear and determine any proceedings under subsection (1) and shall have all such powers as are necessary or expedient for it to have in order to provide, grant or make any remedy, injunction or order mentioned in the SDO.</w:t>
      </w:r>
    </w:p>
    <w:p w14:paraId="5D3A5133" w14:textId="77777777" w:rsidR="007375ED" w:rsidRPr="000C2CC5" w:rsidRDefault="007375ED" w:rsidP="000C2CC5">
      <w:pPr>
        <w:pStyle w:val="ListParagraph"/>
        <w:spacing w:line="360" w:lineRule="auto"/>
        <w:ind w:left="0"/>
        <w:jc w:val="both"/>
        <w:rPr>
          <w:rFonts w:eastAsia="PMingLiU"/>
        </w:rPr>
      </w:pPr>
    </w:p>
    <w:p w14:paraId="600E5BD3" w14:textId="25F5ED16" w:rsidR="0072160B" w:rsidRPr="000C2CC5" w:rsidRDefault="0072160B"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Section 75(1), which is referred to in section 76(3) and on which Mr Pun placed great emphasis, provides as follows:</w:t>
      </w:r>
      <w:r w:rsidR="00017D7F">
        <w:rPr>
          <w:rFonts w:eastAsia="PMingLiU" w:hint="eastAsia"/>
          <w:lang w:eastAsia="zh-TW"/>
        </w:rPr>
        <w:t>-</w:t>
      </w:r>
    </w:p>
    <w:p w14:paraId="45B59C7D" w14:textId="77777777" w:rsidR="0072160B" w:rsidRPr="000C2CC5" w:rsidRDefault="0072160B" w:rsidP="000C2CC5">
      <w:pPr>
        <w:pStyle w:val="ListParagraph"/>
        <w:spacing w:line="360" w:lineRule="auto"/>
        <w:rPr>
          <w:rFonts w:eastAsia="PMingLiU"/>
        </w:rPr>
      </w:pPr>
    </w:p>
    <w:p w14:paraId="5B0B93A0" w14:textId="5B4F3355" w:rsidR="0072160B" w:rsidRPr="00017D7F" w:rsidRDefault="0072160B" w:rsidP="00017D7F">
      <w:pPr>
        <w:tabs>
          <w:tab w:val="clear" w:pos="4320"/>
          <w:tab w:val="clear" w:pos="9072"/>
        </w:tabs>
        <w:snapToGrid/>
        <w:ind w:left="1440" w:right="746"/>
        <w:jc w:val="both"/>
        <w:rPr>
          <w:rFonts w:eastAsia="PMingLiU"/>
          <w:sz w:val="24"/>
          <w:szCs w:val="24"/>
        </w:rPr>
      </w:pPr>
      <w:r w:rsidRPr="00017D7F">
        <w:rPr>
          <w:rFonts w:eastAsia="PMingLiU"/>
          <w:sz w:val="24"/>
          <w:szCs w:val="24"/>
        </w:rPr>
        <w:t>“Except as provided by this Ordinance no proceedings, whether civil or criminal, shall lie against any person in respect of any act by reason that the act is unlawful by virtue of a provision of this Ordinance.”</w:t>
      </w:r>
    </w:p>
    <w:p w14:paraId="40D220F4" w14:textId="77777777" w:rsidR="0072160B" w:rsidRPr="000C2CC5" w:rsidRDefault="0072160B" w:rsidP="000C2CC5">
      <w:pPr>
        <w:pStyle w:val="ListParagraph"/>
        <w:spacing w:line="360" w:lineRule="auto"/>
        <w:rPr>
          <w:rFonts w:eastAsia="PMingLiU"/>
        </w:rPr>
      </w:pPr>
    </w:p>
    <w:p w14:paraId="0B6C5661" w14:textId="3087ADFE" w:rsidR="0049695A" w:rsidRPr="000C2CC5" w:rsidRDefault="0049695A"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In addition</w:t>
      </w:r>
      <w:r w:rsidR="002F4367" w:rsidRPr="000C2CC5">
        <w:rPr>
          <w:rFonts w:eastAsia="PMingLiU"/>
        </w:rPr>
        <w:t xml:space="preserve"> to the above</w:t>
      </w:r>
      <w:r w:rsidRPr="000C2CC5">
        <w:rPr>
          <w:rFonts w:eastAsia="PMingLiU"/>
        </w:rPr>
        <w:t xml:space="preserve"> provisions </w:t>
      </w:r>
      <w:r w:rsidR="002F4367" w:rsidRPr="000C2CC5">
        <w:rPr>
          <w:rFonts w:eastAsia="PMingLiU"/>
        </w:rPr>
        <w:t xml:space="preserve">contained in the SDO, </w:t>
      </w:r>
      <w:r w:rsidR="00451D03" w:rsidRPr="000C2CC5">
        <w:rPr>
          <w:rFonts w:eastAsia="PMingLiU"/>
        </w:rPr>
        <w:t xml:space="preserve">a new </w:t>
      </w:r>
      <w:r w:rsidR="002F4367" w:rsidRPr="000C2CC5">
        <w:rPr>
          <w:rFonts w:eastAsia="PMingLiU"/>
        </w:rPr>
        <w:t>section</w:t>
      </w:r>
      <w:r w:rsidR="00451D03" w:rsidRPr="000C2CC5">
        <w:rPr>
          <w:rFonts w:eastAsia="PMingLiU"/>
        </w:rPr>
        <w:t xml:space="preserve"> entitled “Rules in relation to jurisdiction under Sex Discrimination Ordinance” was added to</w:t>
      </w:r>
      <w:r w:rsidR="002F4367" w:rsidRPr="000C2CC5">
        <w:rPr>
          <w:rFonts w:eastAsia="PMingLiU"/>
        </w:rPr>
        <w:t xml:space="preserve"> the</w:t>
      </w:r>
      <w:r w:rsidR="00451D03" w:rsidRPr="000C2CC5">
        <w:rPr>
          <w:rFonts w:eastAsia="PMingLiU"/>
        </w:rPr>
        <w:t xml:space="preserve"> District Court Ordinance</w:t>
      </w:r>
      <w:r w:rsidR="00F445FF">
        <w:rPr>
          <w:rFonts w:eastAsia="PMingLiU"/>
        </w:rPr>
        <w:t xml:space="preserve"> (“the DCO”)</w:t>
      </w:r>
      <w:r w:rsidR="00451D03" w:rsidRPr="000C2CC5">
        <w:rPr>
          <w:rFonts w:eastAsia="PMingLiU"/>
        </w:rPr>
        <w:t xml:space="preserve"> as section 73B at the same time when the SDO </w:t>
      </w:r>
      <w:r w:rsidR="00931348">
        <w:rPr>
          <w:rFonts w:eastAsia="PMingLiU"/>
        </w:rPr>
        <w:t>came into force.  (S</w:t>
      </w:r>
      <w:r w:rsidR="00F445FF">
        <w:rPr>
          <w:rFonts w:eastAsia="PMingLiU"/>
        </w:rPr>
        <w:t>ee para 15 of Schedule 8 of the Ordinance No 67 of 1995</w:t>
      </w:r>
      <w:r w:rsidR="00931348">
        <w:rPr>
          <w:rFonts w:eastAsia="PMingLiU"/>
        </w:rPr>
        <w:t>.</w:t>
      </w:r>
      <w:r w:rsidR="00F445FF">
        <w:rPr>
          <w:rFonts w:eastAsia="PMingLiU"/>
        </w:rPr>
        <w:t>)</w:t>
      </w:r>
      <w:r w:rsidR="00451D03" w:rsidRPr="000C2CC5">
        <w:rPr>
          <w:rFonts w:eastAsia="PMingLiU"/>
        </w:rPr>
        <w:t xml:space="preserve">  Section 73B of the DCO</w:t>
      </w:r>
      <w:r w:rsidR="002F4367" w:rsidRPr="000C2CC5">
        <w:rPr>
          <w:rFonts w:eastAsia="PMingLiU"/>
        </w:rPr>
        <w:t xml:space="preserve"> also features heavily in Mr Pun’s submissions.  In gist, the section empowers the District Court Rules Committee to make rules to regulate the practice of the District Court when hearing SDO claims – see subsections (1), (2), (4), (6) to (9).  </w:t>
      </w:r>
    </w:p>
    <w:p w14:paraId="3CBB8678" w14:textId="77777777" w:rsidR="00017D7F" w:rsidRDefault="00017D7F" w:rsidP="00017D7F">
      <w:pPr>
        <w:tabs>
          <w:tab w:val="clear" w:pos="4320"/>
          <w:tab w:val="clear" w:pos="9072"/>
        </w:tabs>
        <w:snapToGrid/>
        <w:spacing w:line="360" w:lineRule="auto"/>
        <w:jc w:val="both"/>
        <w:rPr>
          <w:rFonts w:eastAsia="PMingLiU"/>
        </w:rPr>
      </w:pPr>
    </w:p>
    <w:p w14:paraId="3982692F" w14:textId="67EAA361" w:rsidR="002F4367" w:rsidRPr="000C2CC5" w:rsidRDefault="002F4367"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Separately, </w:t>
      </w:r>
      <w:r w:rsidR="0049769D" w:rsidRPr="000C2CC5">
        <w:rPr>
          <w:rFonts w:eastAsia="PMingLiU"/>
        </w:rPr>
        <w:t>section 73B</w:t>
      </w:r>
      <w:r w:rsidRPr="000C2CC5">
        <w:rPr>
          <w:rFonts w:eastAsia="PMingLiU"/>
        </w:rPr>
        <w:t>(3)</w:t>
      </w:r>
      <w:r w:rsidR="00700A71" w:rsidRPr="000C2CC5">
        <w:rPr>
          <w:rFonts w:eastAsia="PMingLiU"/>
        </w:rPr>
        <w:t xml:space="preserve"> deals with costs when the District Court hears a SDO claim.  </w:t>
      </w:r>
      <w:r w:rsidR="0049769D" w:rsidRPr="000C2CC5">
        <w:rPr>
          <w:rFonts w:eastAsia="PMingLiU"/>
        </w:rPr>
        <w:t>It alters the general costs position in civil cases as follows:</w:t>
      </w:r>
      <w:r w:rsidR="00017D7F">
        <w:rPr>
          <w:rFonts w:eastAsia="PMingLiU" w:hint="eastAsia"/>
          <w:lang w:eastAsia="zh-TW"/>
        </w:rPr>
        <w:t>-</w:t>
      </w:r>
    </w:p>
    <w:p w14:paraId="62DC4FDC" w14:textId="77777777" w:rsidR="00017D7F" w:rsidRDefault="00017D7F" w:rsidP="000C2CC5">
      <w:pPr>
        <w:tabs>
          <w:tab w:val="clear" w:pos="4320"/>
          <w:tab w:val="clear" w:pos="9072"/>
        </w:tabs>
        <w:snapToGrid/>
        <w:spacing w:line="360" w:lineRule="auto"/>
        <w:jc w:val="both"/>
        <w:rPr>
          <w:rFonts w:eastAsia="PMingLiU"/>
        </w:rPr>
      </w:pPr>
    </w:p>
    <w:p w14:paraId="13956201" w14:textId="662C8287" w:rsidR="00700A71" w:rsidRPr="00017D7F" w:rsidRDefault="00700A71" w:rsidP="00017D7F">
      <w:pPr>
        <w:tabs>
          <w:tab w:val="clear" w:pos="1440"/>
          <w:tab w:val="clear" w:pos="4320"/>
          <w:tab w:val="clear" w:pos="9072"/>
          <w:tab w:val="left" w:pos="2160"/>
        </w:tabs>
        <w:snapToGrid/>
        <w:ind w:left="1440" w:right="746"/>
        <w:jc w:val="both"/>
        <w:rPr>
          <w:rFonts w:eastAsia="PMingLiU"/>
          <w:sz w:val="24"/>
          <w:szCs w:val="24"/>
        </w:rPr>
      </w:pPr>
      <w:r w:rsidRPr="00017D7F">
        <w:rPr>
          <w:rFonts w:eastAsia="PMingLiU"/>
          <w:sz w:val="24"/>
          <w:szCs w:val="24"/>
        </w:rPr>
        <w:t xml:space="preserve">“Each party to any proceedings in the Court in the exercise of its jurisdiction under the Sex Discrimination Ordinance (Cap. 480) shall bear its own costs unless the Court otherwise orders on the ground that – </w:t>
      </w:r>
    </w:p>
    <w:p w14:paraId="2AC0B6D1" w14:textId="77777777" w:rsidR="00017D7F" w:rsidRPr="00017D7F" w:rsidRDefault="00017D7F" w:rsidP="00017D7F">
      <w:pPr>
        <w:tabs>
          <w:tab w:val="clear" w:pos="4320"/>
          <w:tab w:val="clear" w:pos="9072"/>
        </w:tabs>
        <w:snapToGrid/>
        <w:ind w:left="1440" w:right="746"/>
        <w:jc w:val="both"/>
        <w:rPr>
          <w:rFonts w:eastAsia="PMingLiU"/>
          <w:sz w:val="24"/>
          <w:szCs w:val="24"/>
        </w:rPr>
      </w:pPr>
    </w:p>
    <w:p w14:paraId="57A8A6AF" w14:textId="2540F81E" w:rsidR="00700A71" w:rsidRPr="00017D7F" w:rsidRDefault="00700A71" w:rsidP="00017D7F">
      <w:pPr>
        <w:pStyle w:val="ListParagraph"/>
        <w:numPr>
          <w:ilvl w:val="0"/>
          <w:numId w:val="26"/>
        </w:numPr>
        <w:tabs>
          <w:tab w:val="clear" w:pos="1440"/>
          <w:tab w:val="clear" w:pos="4320"/>
          <w:tab w:val="clear" w:pos="9072"/>
          <w:tab w:val="left" w:pos="2880"/>
        </w:tabs>
        <w:snapToGrid/>
        <w:ind w:left="2880" w:right="746" w:hanging="720"/>
        <w:jc w:val="both"/>
        <w:rPr>
          <w:rFonts w:eastAsia="PMingLiU"/>
          <w:sz w:val="24"/>
          <w:szCs w:val="24"/>
        </w:rPr>
      </w:pPr>
      <w:r w:rsidRPr="00017D7F">
        <w:rPr>
          <w:rFonts w:eastAsia="PMingLiU"/>
          <w:sz w:val="24"/>
          <w:szCs w:val="24"/>
        </w:rPr>
        <w:t>the proceedings were brought maliciously or frivolously; or</w:t>
      </w:r>
    </w:p>
    <w:p w14:paraId="6A87189B" w14:textId="77777777" w:rsidR="00017D7F" w:rsidRPr="00017D7F" w:rsidRDefault="00017D7F" w:rsidP="00017D7F">
      <w:pPr>
        <w:pStyle w:val="ListParagraph"/>
        <w:tabs>
          <w:tab w:val="clear" w:pos="1440"/>
          <w:tab w:val="clear" w:pos="4320"/>
          <w:tab w:val="clear" w:pos="9072"/>
          <w:tab w:val="left" w:pos="2880"/>
        </w:tabs>
        <w:snapToGrid/>
        <w:ind w:left="2880" w:right="746"/>
        <w:jc w:val="both"/>
        <w:rPr>
          <w:rFonts w:eastAsia="PMingLiU"/>
          <w:sz w:val="24"/>
          <w:szCs w:val="24"/>
        </w:rPr>
      </w:pPr>
    </w:p>
    <w:p w14:paraId="487B4BB9" w14:textId="71266F42" w:rsidR="00700A71" w:rsidRPr="00017D7F" w:rsidRDefault="00700A71" w:rsidP="00017D7F">
      <w:pPr>
        <w:pStyle w:val="ListParagraph"/>
        <w:numPr>
          <w:ilvl w:val="0"/>
          <w:numId w:val="26"/>
        </w:numPr>
        <w:tabs>
          <w:tab w:val="clear" w:pos="1440"/>
          <w:tab w:val="clear" w:pos="4320"/>
          <w:tab w:val="clear" w:pos="9072"/>
          <w:tab w:val="left" w:pos="2880"/>
        </w:tabs>
        <w:snapToGrid/>
        <w:ind w:left="2880" w:right="746" w:hanging="720"/>
        <w:jc w:val="both"/>
        <w:rPr>
          <w:rFonts w:eastAsia="PMingLiU"/>
          <w:sz w:val="24"/>
          <w:szCs w:val="24"/>
        </w:rPr>
      </w:pPr>
      <w:r w:rsidRPr="00017D7F">
        <w:rPr>
          <w:rFonts w:eastAsia="PMingLiU"/>
          <w:sz w:val="24"/>
          <w:szCs w:val="24"/>
        </w:rPr>
        <w:t>there are special circumstances which warrant an award of costs.”</w:t>
      </w:r>
    </w:p>
    <w:p w14:paraId="3BD0C46A" w14:textId="77777777" w:rsidR="0049695A" w:rsidRPr="000C2CC5" w:rsidRDefault="0049695A" w:rsidP="00017D7F">
      <w:pPr>
        <w:pStyle w:val="ListParagraph"/>
        <w:spacing w:line="360" w:lineRule="auto"/>
        <w:ind w:left="1440" w:right="746"/>
        <w:rPr>
          <w:rFonts w:eastAsia="PMingLiU"/>
        </w:rPr>
      </w:pPr>
    </w:p>
    <w:p w14:paraId="34FFE8CF" w14:textId="553254F5" w:rsidR="0049695A" w:rsidRPr="000C2CC5" w:rsidRDefault="0049769D"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Section 73B(5) relaxes the rules of evidence when the District Court hears a SDO claim as follows:</w:t>
      </w:r>
      <w:r w:rsidR="00017D7F">
        <w:rPr>
          <w:rFonts w:eastAsia="PMingLiU" w:hint="eastAsia"/>
          <w:lang w:eastAsia="zh-TW"/>
        </w:rPr>
        <w:t>-</w:t>
      </w:r>
    </w:p>
    <w:p w14:paraId="46AEB7F3" w14:textId="77777777" w:rsidR="00017D7F" w:rsidRPr="00017D7F" w:rsidRDefault="00017D7F" w:rsidP="00017D7F">
      <w:pPr>
        <w:tabs>
          <w:tab w:val="clear" w:pos="4320"/>
          <w:tab w:val="clear" w:pos="9072"/>
        </w:tabs>
        <w:snapToGrid/>
        <w:jc w:val="both"/>
        <w:rPr>
          <w:rFonts w:eastAsia="PMingLiU"/>
          <w:sz w:val="24"/>
          <w:szCs w:val="24"/>
        </w:rPr>
      </w:pPr>
    </w:p>
    <w:p w14:paraId="22628F3B" w14:textId="5EF38A2B" w:rsidR="0049769D" w:rsidRPr="00017D7F" w:rsidRDefault="0049769D" w:rsidP="00017D7F">
      <w:pPr>
        <w:tabs>
          <w:tab w:val="clear" w:pos="1440"/>
          <w:tab w:val="clear" w:pos="4320"/>
          <w:tab w:val="clear" w:pos="9072"/>
          <w:tab w:val="left" w:pos="2160"/>
        </w:tabs>
        <w:snapToGrid/>
        <w:ind w:left="1440" w:right="746"/>
        <w:jc w:val="both"/>
        <w:rPr>
          <w:rFonts w:eastAsia="PMingLiU"/>
          <w:sz w:val="24"/>
          <w:szCs w:val="24"/>
        </w:rPr>
      </w:pPr>
      <w:r w:rsidRPr="00017D7F">
        <w:rPr>
          <w:rFonts w:eastAsia="PMingLiU"/>
          <w:sz w:val="24"/>
          <w:szCs w:val="24"/>
        </w:rPr>
        <w:t>“The Court in the exercise of its jurisdiction under the Sex Discr</w:t>
      </w:r>
      <w:r w:rsidR="004F47E0" w:rsidRPr="00017D7F">
        <w:rPr>
          <w:rFonts w:eastAsia="PMingLiU"/>
          <w:sz w:val="24"/>
          <w:szCs w:val="24"/>
        </w:rPr>
        <w:t>i</w:t>
      </w:r>
      <w:r w:rsidRPr="00017D7F">
        <w:rPr>
          <w:rFonts w:eastAsia="PMingLiU"/>
          <w:sz w:val="24"/>
          <w:szCs w:val="24"/>
        </w:rPr>
        <w:t>mination Ordinance (Cap. 480) shall not be bound by the rules of evidence and may inform itself on any matter in such manner as it sees fit, with due regard to the rights of the parties to proceedings therein to a fair hearing, the need to determine the substantial merits of the case and the need to achieve a prompt hearing of the matters at issue between the parties.”</w:t>
      </w:r>
    </w:p>
    <w:p w14:paraId="691E6400" w14:textId="77777777" w:rsidR="00017D7F" w:rsidRDefault="00017D7F" w:rsidP="00017D7F">
      <w:pPr>
        <w:tabs>
          <w:tab w:val="clear" w:pos="4320"/>
          <w:tab w:val="clear" w:pos="9072"/>
        </w:tabs>
        <w:snapToGrid/>
        <w:spacing w:line="360" w:lineRule="auto"/>
        <w:jc w:val="both"/>
        <w:rPr>
          <w:rFonts w:eastAsia="PMingLiU"/>
        </w:rPr>
      </w:pPr>
    </w:p>
    <w:p w14:paraId="51B78A5C" w14:textId="09AC0FFF" w:rsidR="0049695A" w:rsidRPr="000C2CC5" w:rsidRDefault="00F445FF" w:rsidP="000C2CC5">
      <w:pPr>
        <w:numPr>
          <w:ilvl w:val="0"/>
          <w:numId w:val="20"/>
        </w:numPr>
        <w:tabs>
          <w:tab w:val="clear" w:pos="4320"/>
          <w:tab w:val="clear" w:pos="9072"/>
        </w:tabs>
        <w:snapToGrid/>
        <w:spacing w:line="360" w:lineRule="auto"/>
        <w:ind w:left="0" w:firstLine="0"/>
        <w:jc w:val="both"/>
        <w:rPr>
          <w:rFonts w:eastAsia="PMingLiU"/>
        </w:rPr>
      </w:pPr>
      <w:r>
        <w:rPr>
          <w:rFonts w:eastAsia="PMingLiU"/>
        </w:rPr>
        <w:t>It is of note that t</w:t>
      </w:r>
      <w:r w:rsidR="003925CE" w:rsidRPr="000C2CC5">
        <w:rPr>
          <w:rFonts w:eastAsia="PMingLiU"/>
        </w:rPr>
        <w:t>he statutory provisions</w:t>
      </w:r>
      <w:r w:rsidR="00DE5BB7" w:rsidRPr="000C2CC5">
        <w:rPr>
          <w:rFonts w:eastAsia="PMingLiU"/>
        </w:rPr>
        <w:t xml:space="preserve"> make express references to </w:t>
      </w:r>
      <w:r w:rsidR="00931348">
        <w:rPr>
          <w:rFonts w:eastAsia="PMingLiU"/>
        </w:rPr>
        <w:t>“</w:t>
      </w:r>
      <w:r w:rsidR="00DE5BB7" w:rsidRPr="000C2CC5">
        <w:rPr>
          <w:rFonts w:eastAsia="PMingLiU"/>
        </w:rPr>
        <w:t>the District Court</w:t>
      </w:r>
      <w:r w:rsidR="00931348">
        <w:rPr>
          <w:rFonts w:eastAsia="PMingLiU"/>
        </w:rPr>
        <w:t>”</w:t>
      </w:r>
      <w:r w:rsidR="00DE5BB7" w:rsidRPr="000C2CC5">
        <w:rPr>
          <w:rFonts w:eastAsia="PMingLiU"/>
        </w:rPr>
        <w:t xml:space="preserve">.  In particular, the costs and evidence provisions which are </w:t>
      </w:r>
      <w:r w:rsidR="004F47E0" w:rsidRPr="000C2CC5">
        <w:rPr>
          <w:rFonts w:eastAsia="PMingLiU"/>
        </w:rPr>
        <w:t>special to</w:t>
      </w:r>
      <w:r w:rsidR="00931348">
        <w:rPr>
          <w:rFonts w:eastAsia="PMingLiU"/>
        </w:rPr>
        <w:t>,</w:t>
      </w:r>
      <w:r w:rsidR="004F47E0" w:rsidRPr="000C2CC5">
        <w:rPr>
          <w:rFonts w:eastAsia="PMingLiU"/>
        </w:rPr>
        <w:t xml:space="preserve"> and tailor-made f</w:t>
      </w:r>
      <w:r w:rsidR="00DE5BB7" w:rsidRPr="000C2CC5">
        <w:rPr>
          <w:rFonts w:eastAsia="PMingLiU"/>
        </w:rPr>
        <w:t>o</w:t>
      </w:r>
      <w:r w:rsidR="004F47E0" w:rsidRPr="000C2CC5">
        <w:rPr>
          <w:rFonts w:eastAsia="PMingLiU"/>
        </w:rPr>
        <w:t>r</w:t>
      </w:r>
      <w:r w:rsidR="00931348">
        <w:rPr>
          <w:rFonts w:eastAsia="PMingLiU"/>
        </w:rPr>
        <w:t>,</w:t>
      </w:r>
      <w:r w:rsidR="00DE5BB7" w:rsidRPr="000C2CC5">
        <w:rPr>
          <w:rFonts w:eastAsia="PMingLiU"/>
        </w:rPr>
        <w:t xml:space="preserve"> the SDO regime are contained in the </w:t>
      </w:r>
      <w:r>
        <w:rPr>
          <w:rFonts w:eastAsia="PMingLiU"/>
        </w:rPr>
        <w:t>DCO</w:t>
      </w:r>
      <w:r w:rsidR="00DE5BB7" w:rsidRPr="000C2CC5">
        <w:rPr>
          <w:rFonts w:eastAsia="PMingLiU"/>
        </w:rPr>
        <w:t xml:space="preserve"> </w:t>
      </w:r>
      <w:r w:rsidR="004F47E0" w:rsidRPr="000C2CC5">
        <w:rPr>
          <w:rFonts w:eastAsia="PMingLiU"/>
        </w:rPr>
        <w:t>but</w:t>
      </w:r>
      <w:r w:rsidR="00DE5BB7" w:rsidRPr="000C2CC5">
        <w:rPr>
          <w:rFonts w:eastAsia="PMingLiU"/>
        </w:rPr>
        <w:t xml:space="preserve"> not in the SDO itself.</w:t>
      </w:r>
      <w:r w:rsidR="004F47E0" w:rsidRPr="000C2CC5">
        <w:rPr>
          <w:rFonts w:eastAsia="PMingLiU"/>
        </w:rPr>
        <w:t xml:space="preserve">  </w:t>
      </w:r>
      <w:r w:rsidR="00931348">
        <w:rPr>
          <w:rFonts w:eastAsia="PMingLiU"/>
        </w:rPr>
        <w:t>Given such language, a</w:t>
      </w:r>
      <w:r w:rsidR="004F47E0" w:rsidRPr="000C2CC5">
        <w:rPr>
          <w:rFonts w:eastAsia="PMingLiU"/>
        </w:rPr>
        <w:t xml:space="preserve">s a matter of statutory interpretation, does section 76(3) of the SDO confer on the District Court the </w:t>
      </w:r>
      <w:r w:rsidR="004F47E0" w:rsidRPr="000C2CC5">
        <w:rPr>
          <w:rFonts w:eastAsia="PMingLiU"/>
          <w:i/>
        </w:rPr>
        <w:t>exclusive</w:t>
      </w:r>
      <w:r w:rsidR="004F47E0" w:rsidRPr="000C2CC5">
        <w:rPr>
          <w:rFonts w:eastAsia="PMingLiU"/>
        </w:rPr>
        <w:t xml:space="preserve"> jurisdiction to hear SDO claims?  In other words, is the general jurisdiction of the CFI ousted in this area?  </w:t>
      </w:r>
    </w:p>
    <w:p w14:paraId="1D0C9F0C" w14:textId="77777777" w:rsidR="00A01861" w:rsidRDefault="00A01861" w:rsidP="000C2CC5">
      <w:pPr>
        <w:tabs>
          <w:tab w:val="clear" w:pos="4320"/>
          <w:tab w:val="clear" w:pos="9072"/>
        </w:tabs>
        <w:snapToGrid/>
        <w:spacing w:line="360" w:lineRule="auto"/>
        <w:jc w:val="both"/>
        <w:rPr>
          <w:rFonts w:eastAsia="PMingLiU"/>
          <w:i/>
        </w:rPr>
      </w:pPr>
    </w:p>
    <w:p w14:paraId="6EF2EB9F" w14:textId="03636FF5" w:rsidR="0090530B" w:rsidRDefault="0090530B" w:rsidP="000C2CC5">
      <w:pPr>
        <w:tabs>
          <w:tab w:val="clear" w:pos="4320"/>
          <w:tab w:val="clear" w:pos="9072"/>
        </w:tabs>
        <w:snapToGrid/>
        <w:spacing w:line="360" w:lineRule="auto"/>
        <w:jc w:val="both"/>
        <w:rPr>
          <w:rFonts w:eastAsia="PMingLiU"/>
          <w:i/>
        </w:rPr>
      </w:pPr>
      <w:r w:rsidRPr="000C2CC5">
        <w:rPr>
          <w:rFonts w:eastAsia="PMingLiU"/>
          <w:i/>
        </w:rPr>
        <w:t xml:space="preserve">The </w:t>
      </w:r>
      <w:r w:rsidR="00F445FF">
        <w:rPr>
          <w:rFonts w:eastAsia="PMingLiU"/>
          <w:i/>
        </w:rPr>
        <w:t xml:space="preserve">Court of Appeal </w:t>
      </w:r>
      <w:r w:rsidRPr="000C2CC5">
        <w:rPr>
          <w:rFonts w:eastAsia="PMingLiU"/>
          <w:i/>
        </w:rPr>
        <w:t>decision in Lee Kwok Tung</w:t>
      </w:r>
    </w:p>
    <w:p w14:paraId="312C91C2" w14:textId="77777777" w:rsidR="00A01861" w:rsidRPr="000C2CC5" w:rsidRDefault="00A01861" w:rsidP="000C2CC5">
      <w:pPr>
        <w:tabs>
          <w:tab w:val="clear" w:pos="4320"/>
          <w:tab w:val="clear" w:pos="9072"/>
        </w:tabs>
        <w:snapToGrid/>
        <w:spacing w:line="360" w:lineRule="auto"/>
        <w:jc w:val="both"/>
        <w:rPr>
          <w:rFonts w:eastAsia="PMingLiU"/>
          <w:i/>
        </w:rPr>
      </w:pPr>
    </w:p>
    <w:p w14:paraId="3945023A" w14:textId="51CDA770" w:rsidR="0049695A" w:rsidRDefault="004F47E0"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The</w:t>
      </w:r>
      <w:r w:rsidR="0090530B" w:rsidRPr="000C2CC5">
        <w:rPr>
          <w:rFonts w:eastAsia="PMingLiU"/>
        </w:rPr>
        <w:t xml:space="preserve"> very</w:t>
      </w:r>
      <w:r w:rsidRPr="000C2CC5">
        <w:rPr>
          <w:rFonts w:eastAsia="PMingLiU"/>
        </w:rPr>
        <w:t xml:space="preserve"> same issue arose for determination in respect of the PDPO regime in </w:t>
      </w:r>
      <w:r w:rsidRPr="000C2CC5">
        <w:rPr>
          <w:rFonts w:eastAsia="PMingLiU"/>
          <w:i/>
        </w:rPr>
        <w:t>Lee Kwok Tung</w:t>
      </w:r>
      <w:r w:rsidRPr="000C2CC5">
        <w:rPr>
          <w:rFonts w:eastAsia="PMingLiU"/>
        </w:rPr>
        <w:t xml:space="preserve">.  </w:t>
      </w:r>
    </w:p>
    <w:p w14:paraId="655A2BAA" w14:textId="77777777" w:rsidR="00A01861" w:rsidRPr="000C2CC5" w:rsidRDefault="00A01861" w:rsidP="00A01861">
      <w:pPr>
        <w:tabs>
          <w:tab w:val="clear" w:pos="4320"/>
          <w:tab w:val="clear" w:pos="9072"/>
        </w:tabs>
        <w:snapToGrid/>
        <w:spacing w:line="360" w:lineRule="auto"/>
        <w:jc w:val="both"/>
        <w:rPr>
          <w:rFonts w:eastAsia="PMingLiU"/>
        </w:rPr>
      </w:pPr>
    </w:p>
    <w:p w14:paraId="7CEC07B3" w14:textId="70E7A1F7" w:rsidR="0090530B" w:rsidRDefault="005A39FE"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It is necessary to set out the jurisdiction-conferring provisions in the PDPO.  Section 66(1) provides that an individual who suffers damage by reason of a contravention of a requirement under the PDPO by a data user concerning the former’s personal data shall be entitled to compensation.</w:t>
      </w:r>
      <w:r w:rsidR="00D6023B">
        <w:rPr>
          <w:rFonts w:eastAsia="PMingLiU"/>
        </w:rPr>
        <w:t xml:space="preserve">  </w:t>
      </w:r>
      <w:r w:rsidRPr="000C2CC5">
        <w:rPr>
          <w:rFonts w:eastAsia="PMingLiU"/>
        </w:rPr>
        <w:t>Section 66(5) then set outs the manner in which proceedings should be brought:</w:t>
      </w:r>
      <w:r w:rsidR="00A01861">
        <w:rPr>
          <w:rFonts w:eastAsia="PMingLiU" w:hint="eastAsia"/>
          <w:lang w:eastAsia="zh-TW"/>
        </w:rPr>
        <w:t>-</w:t>
      </w:r>
    </w:p>
    <w:p w14:paraId="4DAEFB91" w14:textId="77777777" w:rsidR="00A01861" w:rsidRPr="000C2CC5" w:rsidRDefault="00A01861" w:rsidP="00A01861">
      <w:pPr>
        <w:tabs>
          <w:tab w:val="clear" w:pos="4320"/>
          <w:tab w:val="clear" w:pos="9072"/>
        </w:tabs>
        <w:snapToGrid/>
        <w:spacing w:line="360" w:lineRule="auto"/>
        <w:jc w:val="both"/>
        <w:rPr>
          <w:rFonts w:eastAsia="PMingLiU"/>
        </w:rPr>
      </w:pPr>
    </w:p>
    <w:p w14:paraId="72C3F3B7" w14:textId="496267BA" w:rsidR="005A39FE" w:rsidRPr="00C92D40" w:rsidRDefault="005A39FE" w:rsidP="00A01861">
      <w:pPr>
        <w:tabs>
          <w:tab w:val="clear" w:pos="1440"/>
          <w:tab w:val="clear" w:pos="4320"/>
          <w:tab w:val="clear" w:pos="9072"/>
          <w:tab w:val="left" w:pos="2160"/>
        </w:tabs>
        <w:snapToGrid/>
        <w:ind w:left="1440" w:right="746"/>
        <w:jc w:val="both"/>
        <w:rPr>
          <w:rFonts w:eastAsia="PMingLiU"/>
          <w:sz w:val="24"/>
          <w:szCs w:val="24"/>
        </w:rPr>
      </w:pPr>
      <w:r w:rsidRPr="00C92D40">
        <w:rPr>
          <w:rFonts w:eastAsia="PMingLiU"/>
          <w:sz w:val="24"/>
          <w:szCs w:val="24"/>
        </w:rPr>
        <w:t>“Proceedings brought by an individual in reliance on subsection (1) are to be brought in the District Court but all such remedies are obtainable in those proceedings as would be obtainable in the Court of First Instance.”</w:t>
      </w:r>
    </w:p>
    <w:p w14:paraId="246F5F1B" w14:textId="77777777" w:rsidR="00A01861" w:rsidRDefault="00A01861" w:rsidP="00A01861">
      <w:pPr>
        <w:tabs>
          <w:tab w:val="clear" w:pos="4320"/>
          <w:tab w:val="clear" w:pos="9072"/>
        </w:tabs>
        <w:snapToGrid/>
        <w:spacing w:line="360" w:lineRule="auto"/>
        <w:jc w:val="both"/>
        <w:rPr>
          <w:rFonts w:eastAsia="PMingLiU"/>
        </w:rPr>
      </w:pPr>
    </w:p>
    <w:p w14:paraId="417ECE43" w14:textId="1BB6823E" w:rsidR="0090530B" w:rsidRPr="000C2CC5" w:rsidRDefault="005A39FE"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I should add here that, same as the SDO regime, </w:t>
      </w:r>
      <w:r w:rsidR="00290BD1" w:rsidRPr="000C2CC5">
        <w:rPr>
          <w:rFonts w:eastAsia="PMingLiU"/>
        </w:rPr>
        <w:t>a new</w:t>
      </w:r>
      <w:r w:rsidR="00F445FF">
        <w:rPr>
          <w:rFonts w:eastAsia="PMingLiU"/>
        </w:rPr>
        <w:t xml:space="preserve"> section</w:t>
      </w:r>
      <w:r w:rsidR="00290BD1" w:rsidRPr="000C2CC5">
        <w:rPr>
          <w:rFonts w:eastAsia="PMingLiU"/>
        </w:rPr>
        <w:t xml:space="preserve"> entitled “Rules in relation to jurisdiction under Personal Data (Privacy) Ordinance</w:t>
      </w:r>
      <w:r w:rsidR="00F445FF">
        <w:rPr>
          <w:rFonts w:eastAsia="PMingLiU"/>
        </w:rPr>
        <w:t>”</w:t>
      </w:r>
      <w:r w:rsidR="00290BD1" w:rsidRPr="000C2CC5">
        <w:rPr>
          <w:rFonts w:eastAsia="PMingLiU"/>
        </w:rPr>
        <w:t xml:space="preserve"> was added to </w:t>
      </w:r>
      <w:r w:rsidRPr="000C2CC5">
        <w:rPr>
          <w:rFonts w:eastAsia="PMingLiU"/>
        </w:rPr>
        <w:t xml:space="preserve">the </w:t>
      </w:r>
      <w:r w:rsidR="00F445FF">
        <w:rPr>
          <w:rFonts w:eastAsia="PMingLiU"/>
        </w:rPr>
        <w:t>DCO</w:t>
      </w:r>
      <w:r w:rsidR="00290BD1" w:rsidRPr="000C2CC5">
        <w:rPr>
          <w:rFonts w:eastAsia="PMingLiU"/>
        </w:rPr>
        <w:t xml:space="preserve"> as section 73F at the same time when </w:t>
      </w:r>
      <w:r w:rsidR="0003298E" w:rsidRPr="000C2CC5">
        <w:rPr>
          <w:rFonts w:eastAsia="PMingLiU"/>
        </w:rPr>
        <w:t>sub</w:t>
      </w:r>
      <w:r w:rsidR="00290BD1" w:rsidRPr="000C2CC5">
        <w:rPr>
          <w:rFonts w:eastAsia="PMingLiU"/>
        </w:rPr>
        <w:t>section</w:t>
      </w:r>
      <w:r w:rsidR="00F445FF">
        <w:rPr>
          <w:rFonts w:eastAsia="PMingLiU"/>
        </w:rPr>
        <w:t xml:space="preserve"> </w:t>
      </w:r>
      <w:r w:rsidR="0003298E" w:rsidRPr="000C2CC5">
        <w:rPr>
          <w:rFonts w:eastAsia="PMingLiU"/>
        </w:rPr>
        <w:t>(</w:t>
      </w:r>
      <w:r w:rsidR="00290BD1" w:rsidRPr="000C2CC5">
        <w:rPr>
          <w:rFonts w:eastAsia="PMingLiU"/>
        </w:rPr>
        <w:t>5)</w:t>
      </w:r>
      <w:r w:rsidR="0003298E" w:rsidRPr="000C2CC5">
        <w:rPr>
          <w:rFonts w:eastAsia="PMingLiU"/>
        </w:rPr>
        <w:t xml:space="preserve"> was added to section 66 of the PDPO.  </w:t>
      </w:r>
      <w:r w:rsidR="00F445FF">
        <w:rPr>
          <w:rFonts w:eastAsia="PMingLiU"/>
        </w:rPr>
        <w:t>(See section</w:t>
      </w:r>
      <w:r w:rsidR="00931348">
        <w:rPr>
          <w:rFonts w:eastAsia="PMingLiU"/>
        </w:rPr>
        <w:t>s 38 and</w:t>
      </w:r>
      <w:r w:rsidR="00F445FF">
        <w:rPr>
          <w:rFonts w:eastAsia="PMingLiU"/>
        </w:rPr>
        <w:t xml:space="preserve"> 43 of the Personal Data (Privacy) Amendment Ordinance 2012.)  </w:t>
      </w:r>
      <w:r w:rsidR="0003298E" w:rsidRPr="000C2CC5">
        <w:rPr>
          <w:rFonts w:eastAsia="PMingLiU"/>
        </w:rPr>
        <w:t>Section 73F is</w:t>
      </w:r>
      <w:r w:rsidRPr="000C2CC5">
        <w:rPr>
          <w:rFonts w:eastAsia="PMingLiU"/>
        </w:rPr>
        <w:t xml:space="preserve"> substa</w:t>
      </w:r>
      <w:r w:rsidR="00F445FF">
        <w:rPr>
          <w:rFonts w:eastAsia="PMingLiU"/>
        </w:rPr>
        <w:t>ntially the same as section 73B</w:t>
      </w:r>
      <w:r w:rsidR="0003298E" w:rsidRPr="000C2CC5">
        <w:rPr>
          <w:rFonts w:eastAsia="PMingLiU"/>
        </w:rPr>
        <w:t>.</w:t>
      </w:r>
      <w:r w:rsidR="005D1301" w:rsidRPr="000C2CC5">
        <w:rPr>
          <w:rFonts w:eastAsia="PMingLiU"/>
        </w:rPr>
        <w:t xml:space="preserve">  In other words, the special costs and evidence provisions also apply to PDPO claims.</w:t>
      </w:r>
    </w:p>
    <w:p w14:paraId="1CD67D80" w14:textId="77777777" w:rsidR="00C92D40" w:rsidRDefault="00C92D40" w:rsidP="00C92D40">
      <w:pPr>
        <w:tabs>
          <w:tab w:val="clear" w:pos="4320"/>
          <w:tab w:val="clear" w:pos="9072"/>
        </w:tabs>
        <w:snapToGrid/>
        <w:spacing w:line="360" w:lineRule="auto"/>
        <w:jc w:val="both"/>
        <w:rPr>
          <w:rFonts w:eastAsia="PMingLiU"/>
        </w:rPr>
      </w:pPr>
    </w:p>
    <w:p w14:paraId="2722B04A" w14:textId="372E3417" w:rsidR="008E7619" w:rsidRPr="000C2CC5" w:rsidRDefault="005D1301"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In </w:t>
      </w:r>
      <w:r w:rsidRPr="000C2CC5">
        <w:rPr>
          <w:rFonts w:eastAsia="PMingLiU"/>
          <w:i/>
        </w:rPr>
        <w:t xml:space="preserve">Lee Kwok Tung, </w:t>
      </w:r>
      <w:r w:rsidRPr="000C2CC5">
        <w:rPr>
          <w:rFonts w:eastAsia="PMingLiU"/>
        </w:rPr>
        <w:t xml:space="preserve">the Court of Appeal reviewed the wording used in section 66(5) of the PDPO and noted that it does not say that the District Court has exclusive jurisdiction in such an action and that words indicating exclusivity such as </w:t>
      </w:r>
      <w:r w:rsidR="00F445FF">
        <w:rPr>
          <w:rFonts w:eastAsia="PMingLiU"/>
        </w:rPr>
        <w:t>“</w:t>
      </w:r>
      <w:r w:rsidRPr="000C2CC5">
        <w:rPr>
          <w:rFonts w:eastAsia="PMingLiU"/>
        </w:rPr>
        <w:t>only</w:t>
      </w:r>
      <w:r w:rsidR="00F445FF">
        <w:rPr>
          <w:rFonts w:eastAsia="PMingLiU"/>
        </w:rPr>
        <w:t>”</w:t>
      </w:r>
      <w:r w:rsidRPr="000C2CC5">
        <w:rPr>
          <w:rFonts w:eastAsia="PMingLiU"/>
        </w:rPr>
        <w:t xml:space="preserve"> is not used.  </w:t>
      </w:r>
      <w:r w:rsidR="008E7619" w:rsidRPr="000C2CC5">
        <w:rPr>
          <w:rFonts w:eastAsia="PMingLiU"/>
        </w:rPr>
        <w:t>Cheung JA commented, at para 4.3:</w:t>
      </w:r>
      <w:r w:rsidR="00C92D40">
        <w:rPr>
          <w:rFonts w:eastAsia="PMingLiU" w:hint="eastAsia"/>
          <w:lang w:eastAsia="zh-TW"/>
        </w:rPr>
        <w:t>-</w:t>
      </w:r>
    </w:p>
    <w:p w14:paraId="44663519" w14:textId="77777777" w:rsidR="00C92D40" w:rsidRDefault="00C92D40" w:rsidP="00C92D40">
      <w:pPr>
        <w:tabs>
          <w:tab w:val="clear" w:pos="1440"/>
          <w:tab w:val="clear" w:pos="4320"/>
          <w:tab w:val="clear" w:pos="9072"/>
          <w:tab w:val="left" w:pos="2160"/>
        </w:tabs>
        <w:snapToGrid/>
        <w:ind w:left="1440" w:right="746"/>
        <w:jc w:val="both"/>
        <w:rPr>
          <w:rFonts w:eastAsia="PMingLiU"/>
          <w:sz w:val="24"/>
          <w:szCs w:val="24"/>
        </w:rPr>
      </w:pPr>
    </w:p>
    <w:p w14:paraId="6E1B0D5B" w14:textId="18AD7AB4" w:rsidR="0090530B" w:rsidRPr="00C92D40" w:rsidRDefault="008E7619" w:rsidP="00C92D40">
      <w:pPr>
        <w:tabs>
          <w:tab w:val="clear" w:pos="1440"/>
          <w:tab w:val="clear" w:pos="4320"/>
          <w:tab w:val="clear" w:pos="9072"/>
          <w:tab w:val="left" w:pos="2160"/>
        </w:tabs>
        <w:snapToGrid/>
        <w:ind w:left="1440" w:right="746"/>
        <w:jc w:val="both"/>
        <w:rPr>
          <w:rFonts w:eastAsia="PMingLiU"/>
          <w:sz w:val="24"/>
          <w:szCs w:val="24"/>
        </w:rPr>
      </w:pPr>
      <w:r w:rsidRPr="00C92D40">
        <w:rPr>
          <w:rFonts w:eastAsia="PMingLiU"/>
          <w:sz w:val="24"/>
          <w:szCs w:val="24"/>
        </w:rPr>
        <w:t>“As can be seen from</w:t>
      </w:r>
      <w:r w:rsidR="005D1301" w:rsidRPr="00C92D40">
        <w:rPr>
          <w:rFonts w:eastAsia="PMingLiU"/>
          <w:sz w:val="24"/>
          <w:szCs w:val="24"/>
        </w:rPr>
        <w:t xml:space="preserve"> </w:t>
      </w:r>
      <w:r w:rsidRPr="00C92D40">
        <w:rPr>
          <w:rFonts w:eastAsia="PMingLiU"/>
          <w:sz w:val="24"/>
          <w:szCs w:val="24"/>
        </w:rPr>
        <w:t xml:space="preserve">other legislation, where the legislature confers exclusive jurisdiction on a particular court or tribunal, this is done </w:t>
      </w:r>
      <w:r w:rsidRPr="00931348">
        <w:rPr>
          <w:rFonts w:eastAsia="PMingLiU"/>
          <w:i/>
          <w:sz w:val="24"/>
          <w:szCs w:val="24"/>
        </w:rPr>
        <w:t>in clear and express terms</w:t>
      </w:r>
      <w:r w:rsidRPr="00C92D40">
        <w:rPr>
          <w:rFonts w:eastAsia="PMingLiU"/>
          <w:sz w:val="24"/>
          <w:szCs w:val="24"/>
        </w:rPr>
        <w:t>.”</w:t>
      </w:r>
      <w:r w:rsidR="00931348">
        <w:rPr>
          <w:rFonts w:eastAsia="PMingLiU"/>
          <w:sz w:val="24"/>
          <w:szCs w:val="24"/>
        </w:rPr>
        <w:t xml:space="preserve"> (emphasis added)</w:t>
      </w:r>
    </w:p>
    <w:p w14:paraId="3CCEE89A" w14:textId="77777777" w:rsidR="00C92D40" w:rsidRDefault="00C92D40" w:rsidP="00C92D40">
      <w:pPr>
        <w:tabs>
          <w:tab w:val="clear" w:pos="4320"/>
          <w:tab w:val="clear" w:pos="9072"/>
        </w:tabs>
        <w:snapToGrid/>
        <w:spacing w:line="360" w:lineRule="auto"/>
        <w:jc w:val="both"/>
        <w:rPr>
          <w:rFonts w:eastAsia="PMingLiU"/>
        </w:rPr>
      </w:pPr>
    </w:p>
    <w:p w14:paraId="471CBC32" w14:textId="1459D79A" w:rsidR="0090530B" w:rsidRPr="000C2CC5" w:rsidRDefault="008E7619"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As an illustration, Cheung JA referred to the explicit wording employed in section 7(2) of the Labour Tribunal Ordinance, Cap 25 and section 5(2) of the Small Claims Tribunal Ordinance, Cap 338</w:t>
      </w:r>
      <w:r w:rsidR="00931348">
        <w:rPr>
          <w:rFonts w:eastAsia="PMingLiU"/>
        </w:rPr>
        <w:t>, namely “no claim within the jurisdiction of the tribunal shall be actionable in any court in Hong Kong”</w:t>
      </w:r>
      <w:r w:rsidRPr="000C2CC5">
        <w:rPr>
          <w:rFonts w:eastAsia="PMingLiU"/>
        </w:rPr>
        <w:t>.</w:t>
      </w:r>
    </w:p>
    <w:p w14:paraId="6471FE93" w14:textId="77777777" w:rsidR="00C92D40" w:rsidRDefault="00C92D40" w:rsidP="00C92D40">
      <w:pPr>
        <w:tabs>
          <w:tab w:val="clear" w:pos="4320"/>
          <w:tab w:val="clear" w:pos="9072"/>
        </w:tabs>
        <w:snapToGrid/>
        <w:spacing w:line="360" w:lineRule="auto"/>
        <w:jc w:val="both"/>
        <w:rPr>
          <w:rFonts w:eastAsia="PMingLiU"/>
        </w:rPr>
      </w:pPr>
    </w:p>
    <w:p w14:paraId="0941D57F" w14:textId="17384313" w:rsidR="007D38A7" w:rsidRPr="000C2CC5" w:rsidRDefault="008E7619"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Furthermore, the High Court which comprises the Court of Appeal and the CFI is a court of unlimited civil jurisdiction and the CFI is expressly stated to be a superior court of record: sections 3 and 12 of the High Court Ordinance, Cap 4</w:t>
      </w:r>
      <w:r w:rsidR="007D38A7" w:rsidRPr="000C2CC5">
        <w:rPr>
          <w:rFonts w:eastAsia="PMingLiU"/>
        </w:rPr>
        <w:t xml:space="preserve"> (“the HCO”)</w:t>
      </w:r>
      <w:r w:rsidRPr="000C2CC5">
        <w:rPr>
          <w:rFonts w:eastAsia="PMingLiU"/>
        </w:rPr>
        <w:t xml:space="preserve">.  Hence the presumption of jurisdiction applies and </w:t>
      </w:r>
      <w:r w:rsidRPr="000C2CC5">
        <w:rPr>
          <w:rFonts w:eastAsia="PMingLiU"/>
          <w:i/>
        </w:rPr>
        <w:t>prima facie</w:t>
      </w:r>
      <w:r w:rsidRPr="000C2CC5">
        <w:rPr>
          <w:rFonts w:eastAsia="PMingLiU"/>
        </w:rPr>
        <w:t xml:space="preserve"> no matter is deemed to be beyond the jurisdiction of a superior court unless it is expressly shown to be so.  It was held that there is nothing </w:t>
      </w:r>
      <w:r w:rsidR="007D38A7" w:rsidRPr="000C2CC5">
        <w:rPr>
          <w:rFonts w:eastAsia="PMingLiU"/>
        </w:rPr>
        <w:t>in the HCO</w:t>
      </w:r>
      <w:r w:rsidRPr="000C2CC5">
        <w:rPr>
          <w:rFonts w:eastAsia="PMingLiU"/>
        </w:rPr>
        <w:t xml:space="preserve"> to show that the unlimited jurisdiction of the CFI had been taken away by the enactment of the PDPO</w:t>
      </w:r>
      <w:r w:rsidR="007D38A7" w:rsidRPr="000C2CC5">
        <w:rPr>
          <w:rFonts w:eastAsia="PMingLiU"/>
        </w:rPr>
        <w:t>: paras 4.12-4.18</w:t>
      </w:r>
      <w:r w:rsidRPr="000C2CC5">
        <w:rPr>
          <w:rFonts w:eastAsia="PMingLiU"/>
        </w:rPr>
        <w:t xml:space="preserve">.  </w:t>
      </w:r>
    </w:p>
    <w:p w14:paraId="2EE19421" w14:textId="77777777" w:rsidR="00C92D40" w:rsidRDefault="00C92D40" w:rsidP="00C92D40">
      <w:pPr>
        <w:tabs>
          <w:tab w:val="clear" w:pos="4320"/>
          <w:tab w:val="clear" w:pos="9072"/>
        </w:tabs>
        <w:snapToGrid/>
        <w:spacing w:line="360" w:lineRule="auto"/>
        <w:jc w:val="both"/>
        <w:rPr>
          <w:rFonts w:eastAsia="PMingLiU"/>
        </w:rPr>
      </w:pPr>
    </w:p>
    <w:p w14:paraId="13E521FB" w14:textId="71A3F720" w:rsidR="008E7619" w:rsidRDefault="007D38A7"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In conclusion, </w:t>
      </w:r>
      <w:r w:rsidR="00F445FF">
        <w:rPr>
          <w:rFonts w:eastAsia="PMingLiU"/>
        </w:rPr>
        <w:t xml:space="preserve">the court held that </w:t>
      </w:r>
      <w:r w:rsidR="008E7619" w:rsidRPr="000C2CC5">
        <w:rPr>
          <w:rFonts w:eastAsia="PMingLiU"/>
        </w:rPr>
        <w:t>nothing in either the PDPO or the HCO</w:t>
      </w:r>
      <w:r w:rsidRPr="000C2CC5">
        <w:rPr>
          <w:rFonts w:eastAsia="PMingLiU"/>
        </w:rPr>
        <w:t xml:space="preserve"> points to the District Court having exclusive jurisdiction of proceedings under section 66(1) of the PDPO or the lack of jurisdiction by the CFI over the same subject matter: para </w:t>
      </w:r>
      <w:r w:rsidR="008E7619" w:rsidRPr="000C2CC5">
        <w:rPr>
          <w:rFonts w:eastAsia="PMingLiU"/>
        </w:rPr>
        <w:t>4.19.</w:t>
      </w:r>
      <w:r w:rsidRPr="000C2CC5">
        <w:rPr>
          <w:rFonts w:eastAsia="PMingLiU"/>
        </w:rPr>
        <w:t xml:space="preserve">  The court further held that the wording of section 66(5) does point to a requirement that a PDPO claim should, in the first instance, be litigated in the District Court but in appropriate circumstances, the claim may be ordered to be transferred to the CFI: para 4.21</w:t>
      </w:r>
      <w:r w:rsidR="00C92D40">
        <w:rPr>
          <w:rFonts w:eastAsia="PMingLiU" w:hint="eastAsia"/>
          <w:lang w:eastAsia="zh-TW"/>
        </w:rPr>
        <w:t>.</w:t>
      </w:r>
    </w:p>
    <w:p w14:paraId="54FEA440" w14:textId="77777777" w:rsidR="00C92D40" w:rsidRPr="000C2CC5" w:rsidRDefault="00C92D40" w:rsidP="00C92D40">
      <w:pPr>
        <w:tabs>
          <w:tab w:val="clear" w:pos="4320"/>
          <w:tab w:val="clear" w:pos="9072"/>
        </w:tabs>
        <w:snapToGrid/>
        <w:spacing w:line="360" w:lineRule="auto"/>
        <w:jc w:val="both"/>
        <w:rPr>
          <w:rFonts w:eastAsia="PMingLiU"/>
        </w:rPr>
      </w:pPr>
    </w:p>
    <w:p w14:paraId="3F59A716" w14:textId="40C57160" w:rsidR="00F3279E" w:rsidRPr="000C2CC5" w:rsidRDefault="007D38A7"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That is the conclusion reached in respect of the proper forum </w:t>
      </w:r>
      <w:r w:rsidR="00931348">
        <w:rPr>
          <w:rFonts w:eastAsia="PMingLiU"/>
        </w:rPr>
        <w:t>for</w:t>
      </w:r>
      <w:r w:rsidRPr="000C2CC5">
        <w:rPr>
          <w:rFonts w:eastAsia="PMingLiU"/>
        </w:rPr>
        <w:t xml:space="preserve"> a PDPO </w:t>
      </w:r>
      <w:r w:rsidR="00F445FF">
        <w:rPr>
          <w:rFonts w:eastAsia="PMingLiU"/>
        </w:rPr>
        <w:t>claim</w:t>
      </w:r>
      <w:r w:rsidRPr="000C2CC5">
        <w:rPr>
          <w:rFonts w:eastAsia="PMingLiU"/>
        </w:rPr>
        <w:t xml:space="preserve">.  It is, in my view, plain and clear </w:t>
      </w:r>
      <w:r w:rsidR="00325848" w:rsidRPr="000C2CC5">
        <w:rPr>
          <w:rFonts w:eastAsia="PMingLiU"/>
        </w:rPr>
        <w:t xml:space="preserve">that the same conclusion should apply to the SDO regime because of the substantially similar wording employed in the jurisdiction-conferring sections </w:t>
      </w:r>
      <w:r w:rsidR="00F445FF">
        <w:rPr>
          <w:rFonts w:eastAsia="PMingLiU"/>
        </w:rPr>
        <w:t xml:space="preserve">in the two Ordinances </w:t>
      </w:r>
      <w:r w:rsidR="00325848" w:rsidRPr="000C2CC5">
        <w:rPr>
          <w:rFonts w:eastAsia="PMingLiU"/>
        </w:rPr>
        <w:t>and the similarity in the broad overall structure of the two statutes as far as the issue of jurisdiction is concerned.</w:t>
      </w:r>
      <w:r w:rsidR="00F3279E" w:rsidRPr="000C2CC5">
        <w:rPr>
          <w:rFonts w:eastAsia="PMingLiU"/>
        </w:rPr>
        <w:t xml:space="preserve">  The reasoning and analysis in </w:t>
      </w:r>
      <w:r w:rsidR="00F3279E" w:rsidRPr="000C2CC5">
        <w:rPr>
          <w:rFonts w:eastAsia="PMingLiU"/>
          <w:i/>
        </w:rPr>
        <w:t>Lee Kwok Tung</w:t>
      </w:r>
      <w:r w:rsidR="00F3279E" w:rsidRPr="000C2CC5">
        <w:rPr>
          <w:rFonts w:eastAsia="PMingLiU"/>
        </w:rPr>
        <w:t>, namely the lack of any “exclusivity” wording and the presumption of jurisdiction in favour of the CFI, should apply with full force to the SDO.  In fact, in the Court of Appeal’s analysis, the SDO provisions were referred to and it was noted that section 76(</w:t>
      </w:r>
      <w:r w:rsidR="00D03454" w:rsidRPr="000C2CC5">
        <w:rPr>
          <w:rFonts w:eastAsia="PMingLiU"/>
        </w:rPr>
        <w:t>3</w:t>
      </w:r>
      <w:r w:rsidR="00F3279E" w:rsidRPr="000C2CC5">
        <w:rPr>
          <w:rFonts w:eastAsia="PMingLiU"/>
        </w:rPr>
        <w:t xml:space="preserve">) of the SDO is similarly worded </w:t>
      </w:r>
      <w:r w:rsidR="00DC1A4F" w:rsidRPr="000C2CC5">
        <w:rPr>
          <w:rFonts w:eastAsia="PMingLiU"/>
        </w:rPr>
        <w:t>as</w:t>
      </w:r>
      <w:r w:rsidR="00F3279E" w:rsidRPr="000C2CC5">
        <w:rPr>
          <w:rFonts w:eastAsia="PMingLiU"/>
        </w:rPr>
        <w:t xml:space="preserve"> section 66(5) of the PDPO</w:t>
      </w:r>
      <w:r w:rsidR="00931348">
        <w:rPr>
          <w:rFonts w:eastAsia="PMingLiU"/>
        </w:rPr>
        <w:t>: para 4.9</w:t>
      </w:r>
      <w:r w:rsidR="00F3279E" w:rsidRPr="000C2CC5">
        <w:rPr>
          <w:rFonts w:eastAsia="PMingLiU"/>
        </w:rPr>
        <w:t xml:space="preserve">.  </w:t>
      </w:r>
    </w:p>
    <w:p w14:paraId="119A8519" w14:textId="3E200ED1" w:rsidR="003F54DD" w:rsidRDefault="003F54DD" w:rsidP="003F54DD">
      <w:pPr>
        <w:tabs>
          <w:tab w:val="clear" w:pos="4320"/>
          <w:tab w:val="clear" w:pos="9072"/>
        </w:tabs>
        <w:snapToGrid/>
        <w:spacing w:line="360" w:lineRule="auto"/>
        <w:jc w:val="both"/>
        <w:rPr>
          <w:rFonts w:eastAsia="PMingLiU"/>
        </w:rPr>
      </w:pPr>
    </w:p>
    <w:p w14:paraId="6EE5383F" w14:textId="58D873B2" w:rsidR="00F445FF" w:rsidRPr="00F445FF" w:rsidRDefault="00F445FF" w:rsidP="003F54DD">
      <w:pPr>
        <w:tabs>
          <w:tab w:val="clear" w:pos="4320"/>
          <w:tab w:val="clear" w:pos="9072"/>
        </w:tabs>
        <w:snapToGrid/>
        <w:spacing w:line="360" w:lineRule="auto"/>
        <w:jc w:val="both"/>
        <w:rPr>
          <w:rFonts w:eastAsia="PMingLiU"/>
          <w:i/>
        </w:rPr>
      </w:pPr>
      <w:r>
        <w:rPr>
          <w:rFonts w:eastAsia="PMingLiU"/>
          <w:i/>
        </w:rPr>
        <w:t>The claimant’s submissions</w:t>
      </w:r>
    </w:p>
    <w:p w14:paraId="6220B8C5" w14:textId="77777777" w:rsidR="00F445FF" w:rsidRDefault="00F445FF" w:rsidP="003F54DD">
      <w:pPr>
        <w:tabs>
          <w:tab w:val="clear" w:pos="4320"/>
          <w:tab w:val="clear" w:pos="9072"/>
        </w:tabs>
        <w:snapToGrid/>
        <w:spacing w:line="360" w:lineRule="auto"/>
        <w:jc w:val="both"/>
        <w:rPr>
          <w:rFonts w:eastAsia="PMingLiU"/>
        </w:rPr>
      </w:pPr>
    </w:p>
    <w:p w14:paraId="1B0F4BA5" w14:textId="078EF004" w:rsidR="00F3279E" w:rsidRPr="000C2CC5" w:rsidRDefault="00DC1A4F"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Mr Pun made a number of </w:t>
      </w:r>
      <w:r w:rsidR="00C66FA9" w:rsidRPr="000C2CC5">
        <w:rPr>
          <w:rFonts w:eastAsia="PMingLiU"/>
        </w:rPr>
        <w:t>submissions arguing</w:t>
      </w:r>
      <w:r w:rsidRPr="000C2CC5">
        <w:rPr>
          <w:rFonts w:eastAsia="PMingLiU"/>
        </w:rPr>
        <w:t xml:space="preserve"> that the District Court’s jurisdiction over SDO claims is exclusive.</w:t>
      </w:r>
    </w:p>
    <w:p w14:paraId="575FED4C" w14:textId="77777777" w:rsidR="003F54DD" w:rsidRDefault="003F54DD" w:rsidP="003F54DD">
      <w:pPr>
        <w:tabs>
          <w:tab w:val="clear" w:pos="4320"/>
          <w:tab w:val="clear" w:pos="9072"/>
        </w:tabs>
        <w:snapToGrid/>
        <w:spacing w:line="360" w:lineRule="auto"/>
        <w:jc w:val="both"/>
        <w:rPr>
          <w:rFonts w:eastAsia="PMingLiU"/>
        </w:rPr>
      </w:pPr>
    </w:p>
    <w:p w14:paraId="0CFCCC42" w14:textId="64D9D5FC" w:rsidR="00DC1A4F" w:rsidRPr="000C2CC5" w:rsidRDefault="00DC1A4F"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First, </w:t>
      </w:r>
      <w:r w:rsidR="00C66FA9" w:rsidRPr="000C2CC5">
        <w:rPr>
          <w:rFonts w:eastAsia="PMingLiU"/>
        </w:rPr>
        <w:t xml:space="preserve">he submitted that </w:t>
      </w:r>
      <w:r w:rsidR="00C66FA9" w:rsidRPr="000C2CC5">
        <w:rPr>
          <w:rFonts w:eastAsia="PMingLiU"/>
          <w:i/>
        </w:rPr>
        <w:t>Lee Kwok Tung</w:t>
      </w:r>
      <w:r w:rsidR="00C66FA9" w:rsidRPr="000C2CC5">
        <w:rPr>
          <w:rFonts w:eastAsia="PMingLiU"/>
        </w:rPr>
        <w:t xml:space="preserve"> should be distinguished and </w:t>
      </w:r>
      <w:r w:rsidR="00F445FF">
        <w:rPr>
          <w:rFonts w:eastAsia="PMingLiU"/>
        </w:rPr>
        <w:t xml:space="preserve">should </w:t>
      </w:r>
      <w:r w:rsidR="00C66FA9" w:rsidRPr="000C2CC5">
        <w:rPr>
          <w:rFonts w:eastAsia="PMingLiU"/>
        </w:rPr>
        <w:t xml:space="preserve">not be followed.  This is because, he said, that decision concerns a different statutory context, which is section 66(5) of the PDPO and not the SDO.  This submission does not advance the claimant’s case at all.  </w:t>
      </w:r>
      <w:r w:rsidR="00C66FA9" w:rsidRPr="000C2CC5">
        <w:rPr>
          <w:rFonts w:eastAsia="PMingLiU"/>
          <w:i/>
        </w:rPr>
        <w:t>Lee Kwok Tung</w:t>
      </w:r>
      <w:r w:rsidR="00C66FA9" w:rsidRPr="000C2CC5">
        <w:rPr>
          <w:rFonts w:eastAsia="PMingLiU"/>
        </w:rPr>
        <w:t xml:space="preserve"> is of course not about the interpretation of the SDO.  However, as explained above, the reasoning of, and the analysis undertaken by, the </w:t>
      </w:r>
      <w:r w:rsidR="00F445FF">
        <w:rPr>
          <w:rFonts w:eastAsia="PMingLiU"/>
        </w:rPr>
        <w:t>C</w:t>
      </w:r>
      <w:r w:rsidR="00C66FA9" w:rsidRPr="000C2CC5">
        <w:rPr>
          <w:rFonts w:eastAsia="PMingLiU"/>
        </w:rPr>
        <w:t>ourt</w:t>
      </w:r>
      <w:r w:rsidR="00F445FF">
        <w:rPr>
          <w:rFonts w:eastAsia="PMingLiU"/>
        </w:rPr>
        <w:t xml:space="preserve"> of Appeal</w:t>
      </w:r>
      <w:r w:rsidR="00C66FA9" w:rsidRPr="000C2CC5">
        <w:rPr>
          <w:rFonts w:eastAsia="PMingLiU"/>
        </w:rPr>
        <w:t xml:space="preserve"> should apply to the SDO context with full force.</w:t>
      </w:r>
    </w:p>
    <w:p w14:paraId="450A327F" w14:textId="77777777" w:rsidR="003F54DD" w:rsidRDefault="003F54DD" w:rsidP="003F54DD">
      <w:pPr>
        <w:tabs>
          <w:tab w:val="clear" w:pos="4320"/>
          <w:tab w:val="clear" w:pos="9072"/>
        </w:tabs>
        <w:snapToGrid/>
        <w:spacing w:line="360" w:lineRule="auto"/>
        <w:jc w:val="both"/>
        <w:rPr>
          <w:rFonts w:eastAsia="PMingLiU"/>
        </w:rPr>
      </w:pPr>
    </w:p>
    <w:p w14:paraId="7CDB2EF1" w14:textId="7E59DBEB" w:rsidR="00286CB0" w:rsidRPr="000C2CC5" w:rsidRDefault="00C66FA9"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Secondly, Mr Pun relied on two CFI decisions in which the master held that the District Court has exclusive jurisdiction over SDO claims: </w:t>
      </w:r>
      <w:r w:rsidRPr="000C2CC5">
        <w:rPr>
          <w:rFonts w:eastAsia="PMingLiU"/>
          <w:i/>
        </w:rPr>
        <w:t>Sunny Tadjudin v Bank</w:t>
      </w:r>
      <w:r w:rsidR="00C4748C" w:rsidRPr="000C2CC5">
        <w:rPr>
          <w:rFonts w:eastAsia="PMingLiU"/>
          <w:i/>
        </w:rPr>
        <w:t xml:space="preserve"> of America</w:t>
      </w:r>
      <w:r w:rsidRPr="000C2CC5">
        <w:rPr>
          <w:rFonts w:eastAsia="PMingLiU"/>
          <w:i/>
        </w:rPr>
        <w:t xml:space="preserve"> NA</w:t>
      </w:r>
      <w:r w:rsidRPr="000C2CC5">
        <w:rPr>
          <w:rFonts w:eastAsia="PMingLiU"/>
        </w:rPr>
        <w:t xml:space="preserve"> HCA</w:t>
      </w:r>
      <w:r w:rsidR="00C4748C" w:rsidRPr="000C2CC5">
        <w:rPr>
          <w:rFonts w:eastAsia="PMingLiU"/>
        </w:rPr>
        <w:t xml:space="preserve"> 322/2008, </w:t>
      </w:r>
      <w:r w:rsidR="00931348">
        <w:rPr>
          <w:rFonts w:eastAsia="PMingLiU"/>
        </w:rPr>
        <w:t>28 October 2008, at paras 17-19</w:t>
      </w:r>
      <w:r w:rsidR="00C4748C" w:rsidRPr="000C2CC5">
        <w:rPr>
          <w:rFonts w:eastAsia="PMingLiU"/>
        </w:rPr>
        <w:t xml:space="preserve"> </w:t>
      </w:r>
      <w:r w:rsidRPr="000C2CC5">
        <w:rPr>
          <w:rFonts w:eastAsia="PMingLiU"/>
        </w:rPr>
        <w:t xml:space="preserve">and </w:t>
      </w:r>
      <w:r w:rsidRPr="000C2CC5">
        <w:rPr>
          <w:rFonts w:eastAsia="PMingLiU"/>
          <w:i/>
        </w:rPr>
        <w:t>Dr Alice Li Miu Ling v Dr Thomas Wong Kwok Shing</w:t>
      </w:r>
      <w:r w:rsidR="00C4748C" w:rsidRPr="000C2CC5">
        <w:rPr>
          <w:rFonts w:eastAsia="PMingLiU"/>
        </w:rPr>
        <w:t xml:space="preserve"> HCA 155/2006, 6 April 2009, </w:t>
      </w:r>
      <w:r w:rsidRPr="000C2CC5">
        <w:rPr>
          <w:rFonts w:eastAsia="PMingLiU"/>
        </w:rPr>
        <w:t>at para 37.</w:t>
      </w:r>
      <w:r w:rsidR="00C4748C" w:rsidRPr="000C2CC5">
        <w:rPr>
          <w:rFonts w:eastAsia="PMingLiU"/>
        </w:rPr>
        <w:t xml:space="preserve">  However, in </w:t>
      </w:r>
      <w:r w:rsidR="00C4748C" w:rsidRPr="000C2CC5">
        <w:rPr>
          <w:rFonts w:eastAsia="PMingLiU"/>
          <w:i/>
        </w:rPr>
        <w:t xml:space="preserve">Lee </w:t>
      </w:r>
      <w:r w:rsidR="005D18DB">
        <w:rPr>
          <w:rFonts w:eastAsia="PMingLiU"/>
          <w:i/>
        </w:rPr>
        <w:t xml:space="preserve">Kwok </w:t>
      </w:r>
      <w:r w:rsidR="00C4748C" w:rsidRPr="000C2CC5">
        <w:rPr>
          <w:rFonts w:eastAsia="PMingLiU"/>
          <w:i/>
        </w:rPr>
        <w:t>Tung</w:t>
      </w:r>
      <w:r w:rsidR="00C4748C" w:rsidRPr="000C2CC5">
        <w:rPr>
          <w:rFonts w:eastAsia="PMingLiU"/>
        </w:rPr>
        <w:t>, after referring to these two decisions and other decisions on the Disability Discrimination Ordinance, Cap 487, Cheung JA commented that “these cases are not authorities in support of the exclusive jurisdiction of the District Court” as the judges there did not have the benefit of full argument on this issue: see paras 4.8-4.11.</w:t>
      </w:r>
      <w:r w:rsidR="00286CB0" w:rsidRPr="000C2CC5">
        <w:rPr>
          <w:rFonts w:eastAsia="PMingLiU"/>
        </w:rPr>
        <w:t xml:space="preserve">  In light of the actual decision of the Court of Appeal, the two cases relied on by the claimant cannot stand as authority in support of the exclusivity of the District Court’s jurisdiction over SDO claims.</w:t>
      </w:r>
    </w:p>
    <w:p w14:paraId="0B4B75AA" w14:textId="77777777" w:rsidR="00664772" w:rsidRDefault="00664772" w:rsidP="00664772">
      <w:pPr>
        <w:tabs>
          <w:tab w:val="clear" w:pos="4320"/>
          <w:tab w:val="clear" w:pos="9072"/>
        </w:tabs>
        <w:snapToGrid/>
        <w:spacing w:line="360" w:lineRule="auto"/>
        <w:jc w:val="both"/>
        <w:rPr>
          <w:rFonts w:eastAsia="PMingLiU"/>
        </w:rPr>
      </w:pPr>
    </w:p>
    <w:p w14:paraId="351494C4" w14:textId="70B0F757" w:rsidR="00C66FA9" w:rsidRPr="000C2CC5" w:rsidRDefault="00286CB0"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Thirdly, </w:t>
      </w:r>
      <w:r w:rsidR="00495924" w:rsidRPr="000C2CC5">
        <w:rPr>
          <w:rFonts w:eastAsia="PMingLiU"/>
        </w:rPr>
        <w:t>Mr Pun urged the court to construe section 76(</w:t>
      </w:r>
      <w:r w:rsidR="00D03454" w:rsidRPr="000C2CC5">
        <w:rPr>
          <w:rFonts w:eastAsia="PMingLiU"/>
        </w:rPr>
        <w:t>3</w:t>
      </w:r>
      <w:r w:rsidR="00495924" w:rsidRPr="000C2CC5">
        <w:rPr>
          <w:rFonts w:eastAsia="PMingLiU"/>
        </w:rPr>
        <w:t xml:space="preserve">) in conjunction with section 75(1).  The text is reproduced in para </w:t>
      </w:r>
      <w:r w:rsidR="00FB7C31">
        <w:rPr>
          <w:rFonts w:eastAsia="PMingLiU"/>
        </w:rPr>
        <w:t>37</w:t>
      </w:r>
      <w:r w:rsidR="00495924" w:rsidRPr="000C2CC5">
        <w:rPr>
          <w:rFonts w:eastAsia="PMingLiU"/>
        </w:rPr>
        <w:t xml:space="preserve"> above</w:t>
      </w:r>
      <w:r w:rsidR="00240552" w:rsidRPr="000C2CC5">
        <w:rPr>
          <w:rFonts w:eastAsia="PMingLiU"/>
        </w:rPr>
        <w:t>.  There is no equivalent section in the PDPO.</w:t>
      </w:r>
      <w:r w:rsidR="00495924" w:rsidRPr="000C2CC5">
        <w:rPr>
          <w:rFonts w:eastAsia="PMingLiU"/>
        </w:rPr>
        <w:t xml:space="preserve">  </w:t>
      </w:r>
      <w:r w:rsidR="00B93E3D" w:rsidRPr="000C2CC5">
        <w:rPr>
          <w:rFonts w:eastAsia="PMingLiU"/>
        </w:rPr>
        <w:t xml:space="preserve"> When read together, the language</w:t>
      </w:r>
      <w:r w:rsidR="00240552" w:rsidRPr="000C2CC5">
        <w:rPr>
          <w:rFonts w:eastAsia="PMingLiU"/>
        </w:rPr>
        <w:t xml:space="preserve"> of the SDO</w:t>
      </w:r>
      <w:r w:rsidR="00B93E3D" w:rsidRPr="000C2CC5">
        <w:rPr>
          <w:rFonts w:eastAsia="PMingLiU"/>
        </w:rPr>
        <w:t>, Mr Pun submitted, is mandatory in the sense</w:t>
      </w:r>
      <w:r w:rsidR="00F445FF">
        <w:rPr>
          <w:rFonts w:eastAsia="PMingLiU"/>
        </w:rPr>
        <w:t xml:space="preserve"> that</w:t>
      </w:r>
      <w:r w:rsidRPr="000C2CC5">
        <w:rPr>
          <w:rFonts w:eastAsia="PMingLiU"/>
        </w:rPr>
        <w:t xml:space="preserve"> </w:t>
      </w:r>
      <w:r w:rsidR="00B93E3D" w:rsidRPr="000C2CC5">
        <w:rPr>
          <w:rFonts w:eastAsia="PMingLiU"/>
        </w:rPr>
        <w:t xml:space="preserve">the District Court is the only venue for the hearing of SDO claims.  As I understand it, the logic underlying the submission is this.  Section 75(1) says that no SDO proceedings shall lie against any person </w:t>
      </w:r>
      <w:r w:rsidR="00B93E3D" w:rsidRPr="000C2CC5">
        <w:rPr>
          <w:rFonts w:eastAsia="PMingLiU"/>
          <w:i/>
        </w:rPr>
        <w:t>except as provided by the Ordinance</w:t>
      </w:r>
      <w:r w:rsidR="00B93E3D" w:rsidRPr="000C2CC5">
        <w:rPr>
          <w:rFonts w:eastAsia="PMingLiU"/>
        </w:rPr>
        <w:t>.</w:t>
      </w:r>
      <w:r w:rsidR="00D03454" w:rsidRPr="000C2CC5">
        <w:rPr>
          <w:rFonts w:eastAsia="PMingLiU"/>
        </w:rPr>
        <w:t xml:space="preserve">  And </w:t>
      </w:r>
      <w:r w:rsidR="007A2338" w:rsidRPr="000C2CC5">
        <w:rPr>
          <w:rFonts w:eastAsia="PMingLiU"/>
        </w:rPr>
        <w:t>that</w:t>
      </w:r>
      <w:r w:rsidR="00D03454" w:rsidRPr="000C2CC5">
        <w:rPr>
          <w:rFonts w:eastAsia="PMingLiU"/>
        </w:rPr>
        <w:t xml:space="preserve"> very provision is to be found in section 76(3) which says that SDO proceedings “shall be brought in the District Court”. </w:t>
      </w:r>
      <w:r w:rsidR="007A2338" w:rsidRPr="000C2CC5">
        <w:rPr>
          <w:rFonts w:eastAsia="PMingLiU"/>
        </w:rPr>
        <w:t xml:space="preserve"> In other words, the argument goes, SDO proceedings cannot be brought in any other court.</w:t>
      </w:r>
    </w:p>
    <w:p w14:paraId="59FEC19D" w14:textId="77777777" w:rsidR="00664772" w:rsidRDefault="00664772" w:rsidP="00664772">
      <w:pPr>
        <w:tabs>
          <w:tab w:val="clear" w:pos="4320"/>
          <w:tab w:val="clear" w:pos="9072"/>
        </w:tabs>
        <w:snapToGrid/>
        <w:spacing w:line="360" w:lineRule="auto"/>
        <w:jc w:val="both"/>
        <w:rPr>
          <w:rFonts w:eastAsia="PMingLiU"/>
        </w:rPr>
      </w:pPr>
    </w:p>
    <w:p w14:paraId="2BF0DD73" w14:textId="664541C8" w:rsidR="00922441" w:rsidRPr="000C2CC5" w:rsidRDefault="00E25B22"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I do not think that this argument advances the claimant’s position.  </w:t>
      </w:r>
      <w:r w:rsidR="00473460" w:rsidRPr="000C2CC5">
        <w:rPr>
          <w:rFonts w:eastAsia="PMingLiU"/>
        </w:rPr>
        <w:t xml:space="preserve">As </w:t>
      </w:r>
      <w:r w:rsidR="00922441" w:rsidRPr="000C2CC5">
        <w:rPr>
          <w:rFonts w:eastAsia="PMingLiU"/>
        </w:rPr>
        <w:t xml:space="preserve">is </w:t>
      </w:r>
      <w:r w:rsidR="00473460" w:rsidRPr="000C2CC5">
        <w:rPr>
          <w:rFonts w:eastAsia="PMingLiU"/>
        </w:rPr>
        <w:t xml:space="preserve">made clear in </w:t>
      </w:r>
      <w:r w:rsidR="00473460" w:rsidRPr="000C2CC5">
        <w:rPr>
          <w:rFonts w:eastAsia="PMingLiU"/>
          <w:i/>
        </w:rPr>
        <w:t>Lee Kwok Tung</w:t>
      </w:r>
      <w:r w:rsidR="00473460" w:rsidRPr="000C2CC5">
        <w:rPr>
          <w:rFonts w:eastAsia="PMingLiU"/>
        </w:rPr>
        <w:t>,</w:t>
      </w:r>
      <w:r w:rsidR="00931348">
        <w:rPr>
          <w:rFonts w:eastAsia="PMingLiU"/>
        </w:rPr>
        <w:t xml:space="preserve"> the task here is to search for “clear and express terms” which have the effect of granting exclusivity on the District Court or ousting the presumed jurisdiction of the CFI.  In my view, section 75(1) does not have that effect.  For present purposes, it adds nothing to section 76(3).  Granting exclusivity can be easily and readily achieved by the use of simple and straightforward wording, such as that used in the Labour Tribunal Ordinance and the Small Claims Tribunal Ordinance.  Such wording or the like is simply not the present in the sections relied on by Mr Pun.</w:t>
      </w:r>
    </w:p>
    <w:p w14:paraId="12E6DC80" w14:textId="77777777" w:rsidR="00664772" w:rsidRDefault="00664772" w:rsidP="00664772">
      <w:pPr>
        <w:tabs>
          <w:tab w:val="clear" w:pos="4320"/>
          <w:tab w:val="clear" w:pos="9072"/>
        </w:tabs>
        <w:snapToGrid/>
        <w:spacing w:line="360" w:lineRule="auto"/>
        <w:jc w:val="both"/>
        <w:rPr>
          <w:rFonts w:eastAsia="PMingLiU"/>
        </w:rPr>
      </w:pPr>
    </w:p>
    <w:p w14:paraId="0D0A6A02" w14:textId="3B8B6DA8" w:rsidR="00922441" w:rsidRPr="000C2CC5" w:rsidRDefault="00922441"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Accordingly, I reject Mr Pun’s submission </w:t>
      </w:r>
      <w:r w:rsidR="00240552" w:rsidRPr="000C2CC5">
        <w:rPr>
          <w:rFonts w:eastAsia="PMingLiU"/>
        </w:rPr>
        <w:t>with regard to the effect of</w:t>
      </w:r>
      <w:r w:rsidRPr="000C2CC5">
        <w:rPr>
          <w:rFonts w:eastAsia="PMingLiU"/>
        </w:rPr>
        <w:t xml:space="preserve"> section 75(1) </w:t>
      </w:r>
      <w:r w:rsidR="00240552" w:rsidRPr="000C2CC5">
        <w:rPr>
          <w:rFonts w:eastAsia="PMingLiU"/>
        </w:rPr>
        <w:t>of the SDO.</w:t>
      </w:r>
    </w:p>
    <w:p w14:paraId="1598C3C8" w14:textId="77777777" w:rsidR="00664772" w:rsidRDefault="00664772" w:rsidP="00664772">
      <w:pPr>
        <w:tabs>
          <w:tab w:val="clear" w:pos="4320"/>
          <w:tab w:val="clear" w:pos="9072"/>
        </w:tabs>
        <w:snapToGrid/>
        <w:spacing w:line="360" w:lineRule="auto"/>
        <w:jc w:val="both"/>
        <w:rPr>
          <w:rFonts w:eastAsia="PMingLiU"/>
        </w:rPr>
      </w:pPr>
    </w:p>
    <w:p w14:paraId="4D823912" w14:textId="0D2B76F5" w:rsidR="00240552" w:rsidRPr="000C2CC5" w:rsidRDefault="00240552"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Fourthly, Mr Pun invited the court </w:t>
      </w:r>
      <w:r w:rsidR="00F445FF">
        <w:rPr>
          <w:rFonts w:eastAsia="PMingLiU"/>
        </w:rPr>
        <w:t xml:space="preserve">to </w:t>
      </w:r>
      <w:r w:rsidR="0064755D" w:rsidRPr="000C2CC5">
        <w:rPr>
          <w:rFonts w:eastAsia="PMingLiU"/>
        </w:rPr>
        <w:t xml:space="preserve">consider the context </w:t>
      </w:r>
      <w:r w:rsidR="005163A3" w:rsidRPr="000C2CC5">
        <w:rPr>
          <w:rFonts w:eastAsia="PMingLiU"/>
        </w:rPr>
        <w:t xml:space="preserve">and purpose of the SDO.  He highlighted that the legislative intention was to set up a special court at the District Court level </w:t>
      </w:r>
      <w:r w:rsidR="00315E64" w:rsidRPr="000C2CC5">
        <w:rPr>
          <w:rFonts w:eastAsia="PMingLiU"/>
        </w:rPr>
        <w:t xml:space="preserve">which would provide a speedy, cost-effective and accessible avenue of redress for the aggrieved. </w:t>
      </w:r>
      <w:r w:rsidR="00664772">
        <w:rPr>
          <w:rFonts w:eastAsia="PMingLiU"/>
        </w:rPr>
        <w:t xml:space="preserve"> </w:t>
      </w:r>
      <w:r w:rsidR="00315E64" w:rsidRPr="000C2CC5">
        <w:rPr>
          <w:rFonts w:eastAsia="PMingLiU"/>
        </w:rPr>
        <w:t xml:space="preserve">He referred to a number of legislative materials in this regard.  </w:t>
      </w:r>
    </w:p>
    <w:p w14:paraId="7AB9F8D7" w14:textId="77777777" w:rsidR="00664772" w:rsidRDefault="00664772" w:rsidP="00664772">
      <w:pPr>
        <w:tabs>
          <w:tab w:val="clear" w:pos="4320"/>
          <w:tab w:val="clear" w:pos="9072"/>
        </w:tabs>
        <w:snapToGrid/>
        <w:spacing w:line="360" w:lineRule="auto"/>
        <w:jc w:val="both"/>
        <w:rPr>
          <w:rFonts w:eastAsia="PMingLiU"/>
        </w:rPr>
      </w:pPr>
    </w:p>
    <w:p w14:paraId="6FF89EB0" w14:textId="64F4D475" w:rsidR="00315E64" w:rsidRDefault="00315E64"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In the Legislative Council Brief on the Sex Discrimination Bill dated 14 October 1994, the “Enforcement” section read:</w:t>
      </w:r>
      <w:r w:rsidR="00664772">
        <w:rPr>
          <w:rFonts w:eastAsia="PMingLiU"/>
        </w:rPr>
        <w:t>-</w:t>
      </w:r>
    </w:p>
    <w:p w14:paraId="1EEFBFB3" w14:textId="77777777" w:rsidR="00664772" w:rsidRPr="000C2CC5" w:rsidRDefault="00664772" w:rsidP="00664772">
      <w:pPr>
        <w:tabs>
          <w:tab w:val="clear" w:pos="4320"/>
          <w:tab w:val="clear" w:pos="9072"/>
        </w:tabs>
        <w:snapToGrid/>
        <w:spacing w:line="360" w:lineRule="auto"/>
        <w:jc w:val="both"/>
        <w:rPr>
          <w:rFonts w:eastAsia="PMingLiU"/>
        </w:rPr>
      </w:pPr>
    </w:p>
    <w:p w14:paraId="3D415F20" w14:textId="3494C305" w:rsidR="00315E64" w:rsidRPr="00664772" w:rsidRDefault="00315E64" w:rsidP="00664772">
      <w:pPr>
        <w:tabs>
          <w:tab w:val="clear" w:pos="1440"/>
          <w:tab w:val="clear" w:pos="4320"/>
          <w:tab w:val="clear" w:pos="9072"/>
          <w:tab w:val="left" w:pos="2160"/>
        </w:tabs>
        <w:snapToGrid/>
        <w:ind w:left="1440" w:right="746"/>
        <w:jc w:val="both"/>
        <w:rPr>
          <w:rFonts w:eastAsia="PMingLiU"/>
          <w:sz w:val="24"/>
          <w:szCs w:val="24"/>
        </w:rPr>
      </w:pPr>
      <w:r w:rsidRPr="00664772">
        <w:rPr>
          <w:rFonts w:eastAsia="PMingLiU"/>
          <w:sz w:val="24"/>
          <w:szCs w:val="24"/>
        </w:rPr>
        <w:t>“15.</w:t>
      </w:r>
      <w:r w:rsidRPr="00664772">
        <w:rPr>
          <w:rFonts w:eastAsia="PMingLiU"/>
          <w:sz w:val="24"/>
          <w:szCs w:val="24"/>
        </w:rPr>
        <w:tab/>
        <w:t>The Bill vests the power to hear all sex discrimination and sexual harassment cases under the Bill in the District Court.  … To make litigants less worried that they might have the other side’s large bill of costs to pay if they lose, consideration could also be given to making the Court’s power to make orders for costs exercisable only in exceptional circumstances.</w:t>
      </w:r>
    </w:p>
    <w:p w14:paraId="2F266B69" w14:textId="29AEF44A" w:rsidR="00315E64" w:rsidRPr="00664772" w:rsidRDefault="00315E64" w:rsidP="00664772">
      <w:pPr>
        <w:tabs>
          <w:tab w:val="clear" w:pos="1440"/>
          <w:tab w:val="clear" w:pos="4320"/>
          <w:tab w:val="clear" w:pos="9072"/>
          <w:tab w:val="left" w:pos="2160"/>
        </w:tabs>
        <w:snapToGrid/>
        <w:ind w:left="1440" w:right="746"/>
        <w:jc w:val="both"/>
        <w:rPr>
          <w:rFonts w:eastAsia="PMingLiU"/>
          <w:sz w:val="24"/>
          <w:szCs w:val="24"/>
        </w:rPr>
      </w:pPr>
    </w:p>
    <w:p w14:paraId="37DE7D32" w14:textId="4EA2ECF3" w:rsidR="00315E64" w:rsidRPr="00664772" w:rsidRDefault="00315E64" w:rsidP="00664772">
      <w:pPr>
        <w:tabs>
          <w:tab w:val="clear" w:pos="1440"/>
          <w:tab w:val="clear" w:pos="4320"/>
          <w:tab w:val="clear" w:pos="9072"/>
          <w:tab w:val="left" w:pos="2160"/>
        </w:tabs>
        <w:snapToGrid/>
        <w:ind w:left="1440" w:right="746"/>
        <w:jc w:val="both"/>
        <w:rPr>
          <w:rFonts w:eastAsia="PMingLiU"/>
          <w:sz w:val="24"/>
          <w:szCs w:val="24"/>
        </w:rPr>
      </w:pPr>
      <w:r w:rsidRPr="00664772">
        <w:rPr>
          <w:rFonts w:eastAsia="PMingLiU"/>
          <w:sz w:val="24"/>
          <w:szCs w:val="24"/>
        </w:rPr>
        <w:t>16.</w:t>
      </w:r>
      <w:r w:rsidRPr="00664772">
        <w:rPr>
          <w:rFonts w:eastAsia="PMingLiU"/>
          <w:sz w:val="24"/>
          <w:szCs w:val="24"/>
        </w:rPr>
        <w:tab/>
        <w:t>Taken together, the above measures will provide an efficient and accessible avenue of redress for the aggrieved. …”</w:t>
      </w:r>
    </w:p>
    <w:p w14:paraId="425C81FF" w14:textId="77777777" w:rsidR="00664772" w:rsidRDefault="00664772" w:rsidP="00664772">
      <w:pPr>
        <w:tabs>
          <w:tab w:val="clear" w:pos="4320"/>
          <w:tab w:val="clear" w:pos="9072"/>
        </w:tabs>
        <w:snapToGrid/>
        <w:spacing w:line="360" w:lineRule="auto"/>
        <w:jc w:val="both"/>
        <w:rPr>
          <w:rFonts w:eastAsia="PMingLiU"/>
        </w:rPr>
      </w:pPr>
    </w:p>
    <w:p w14:paraId="4E125B2B" w14:textId="2390CE88" w:rsidR="00315E64" w:rsidRDefault="00315E64"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In the Report to the House Committee on 16 June 1995, para 9 read:</w:t>
      </w:r>
      <w:r w:rsidR="00664772">
        <w:rPr>
          <w:rFonts w:eastAsia="PMingLiU"/>
        </w:rPr>
        <w:t>-</w:t>
      </w:r>
    </w:p>
    <w:p w14:paraId="039FD957" w14:textId="77777777" w:rsidR="00664772" w:rsidRPr="000C2CC5" w:rsidRDefault="00664772" w:rsidP="00664772">
      <w:pPr>
        <w:tabs>
          <w:tab w:val="clear" w:pos="4320"/>
          <w:tab w:val="clear" w:pos="9072"/>
        </w:tabs>
        <w:snapToGrid/>
        <w:spacing w:line="360" w:lineRule="auto"/>
        <w:jc w:val="both"/>
        <w:rPr>
          <w:rFonts w:eastAsia="PMingLiU"/>
        </w:rPr>
      </w:pPr>
    </w:p>
    <w:p w14:paraId="446A29DF" w14:textId="626E7F18" w:rsidR="00315E64" w:rsidRPr="00664772" w:rsidRDefault="00315E64" w:rsidP="00664772">
      <w:pPr>
        <w:tabs>
          <w:tab w:val="clear" w:pos="1440"/>
          <w:tab w:val="clear" w:pos="4320"/>
          <w:tab w:val="clear" w:pos="9072"/>
          <w:tab w:val="left" w:pos="2160"/>
        </w:tabs>
        <w:snapToGrid/>
        <w:ind w:left="1440" w:right="746"/>
        <w:jc w:val="both"/>
        <w:rPr>
          <w:rFonts w:eastAsia="PMingLiU"/>
          <w:sz w:val="24"/>
          <w:szCs w:val="24"/>
        </w:rPr>
      </w:pPr>
      <w:r w:rsidRPr="00664772">
        <w:rPr>
          <w:rFonts w:eastAsia="PMingLiU"/>
          <w:sz w:val="24"/>
          <w:szCs w:val="24"/>
        </w:rPr>
        <w:t>“The SDB proposes setting up a special court at District Court level to hear all sex discrimination and sex harassment cases under the Bill. … The EOB proposes to make discriminatory acts or practices, in general, civil wrongs, triable in District Court.  The EOB proposes that the court may disregard the ordinary rules of evidence to inform itself on any matter as it sees fit.  The EOB also proposes that each party to litigation will ordinarily bear that party’s own costs.  The court may, however, award costs as it thinks fit in exceptional circumstances.”</w:t>
      </w:r>
    </w:p>
    <w:p w14:paraId="440EB421" w14:textId="77777777" w:rsidR="00315E64" w:rsidRPr="000C2CC5" w:rsidRDefault="00315E64" w:rsidP="000C2CC5">
      <w:pPr>
        <w:tabs>
          <w:tab w:val="clear" w:pos="4320"/>
          <w:tab w:val="clear" w:pos="9072"/>
        </w:tabs>
        <w:snapToGrid/>
        <w:spacing w:line="360" w:lineRule="auto"/>
        <w:jc w:val="both"/>
        <w:rPr>
          <w:rFonts w:eastAsia="PMingLiU"/>
        </w:rPr>
      </w:pPr>
    </w:p>
    <w:p w14:paraId="4414813E" w14:textId="52696957" w:rsidR="00315E64" w:rsidRPr="000C2CC5" w:rsidRDefault="00B57AA1"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The proposals concerning costs and the relaxation of the rules of evidence were implemented by way of section 73</w:t>
      </w:r>
      <w:r w:rsidR="00F445FF">
        <w:rPr>
          <w:rFonts w:eastAsia="PMingLiU"/>
        </w:rPr>
        <w:t>B</w:t>
      </w:r>
      <w:r w:rsidRPr="000C2CC5">
        <w:rPr>
          <w:rFonts w:eastAsia="PMingLiU"/>
        </w:rPr>
        <w:t>(3) and (5) of the DCO.  (</w:t>
      </w:r>
      <w:r w:rsidR="00665162" w:rsidRPr="000C2CC5">
        <w:rPr>
          <w:rFonts w:eastAsia="PMingLiU"/>
        </w:rPr>
        <w:t>On the other hand, while the legislative deliberations referred to “all” discrimination cases being heard in the District Court, this proposal was not carried through to, or reflected in, the actual wording in the SDO.)</w:t>
      </w:r>
    </w:p>
    <w:p w14:paraId="2E98ED32" w14:textId="77777777" w:rsidR="00664772" w:rsidRDefault="00664772" w:rsidP="00664772">
      <w:pPr>
        <w:tabs>
          <w:tab w:val="clear" w:pos="4320"/>
          <w:tab w:val="clear" w:pos="9072"/>
        </w:tabs>
        <w:snapToGrid/>
        <w:spacing w:line="360" w:lineRule="auto"/>
        <w:jc w:val="both"/>
        <w:rPr>
          <w:rFonts w:eastAsia="PMingLiU"/>
        </w:rPr>
      </w:pPr>
    </w:p>
    <w:p w14:paraId="27B01F50" w14:textId="45E76BB0" w:rsidR="00665162" w:rsidRPr="000C2CC5" w:rsidRDefault="00665162"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Mr Pun therefore submitted that when the context is taken into account (as it should be), the conclusion </w:t>
      </w:r>
      <w:r w:rsidR="00F445FF">
        <w:rPr>
          <w:rFonts w:eastAsia="PMingLiU"/>
        </w:rPr>
        <w:t>must be</w:t>
      </w:r>
      <w:r w:rsidRPr="000C2CC5">
        <w:rPr>
          <w:rFonts w:eastAsia="PMingLiU"/>
        </w:rPr>
        <w:t xml:space="preserve"> that the District Court should have exclusive jurisdiction to hear SDO cases as it is equipped with the suitable statutory provisions to provide a speedy, cost-effective and accessible forum.  </w:t>
      </w:r>
    </w:p>
    <w:p w14:paraId="07D448BC" w14:textId="77777777" w:rsidR="00664772" w:rsidRDefault="00664772" w:rsidP="00664772">
      <w:pPr>
        <w:tabs>
          <w:tab w:val="clear" w:pos="4320"/>
          <w:tab w:val="clear" w:pos="9072"/>
        </w:tabs>
        <w:snapToGrid/>
        <w:spacing w:line="360" w:lineRule="auto"/>
        <w:jc w:val="both"/>
        <w:rPr>
          <w:rFonts w:eastAsia="PMingLiU"/>
        </w:rPr>
      </w:pPr>
    </w:p>
    <w:p w14:paraId="42C0AFAD" w14:textId="744C44E0" w:rsidR="005838B1" w:rsidRDefault="005838B1" w:rsidP="005838B1">
      <w:pPr>
        <w:numPr>
          <w:ilvl w:val="0"/>
          <w:numId w:val="20"/>
        </w:numPr>
        <w:tabs>
          <w:tab w:val="clear" w:pos="4320"/>
          <w:tab w:val="clear" w:pos="9072"/>
        </w:tabs>
        <w:snapToGrid/>
        <w:spacing w:line="360" w:lineRule="auto"/>
        <w:ind w:left="0" w:firstLine="0"/>
        <w:jc w:val="both"/>
        <w:rPr>
          <w:rFonts w:eastAsia="PMingLiU"/>
        </w:rPr>
      </w:pPr>
      <w:r>
        <w:rPr>
          <w:rFonts w:eastAsia="PMingLiU"/>
        </w:rPr>
        <w:t>On this submission, I would make the following observations.</w:t>
      </w:r>
    </w:p>
    <w:p w14:paraId="40A2FC4D" w14:textId="77777777" w:rsidR="005838B1" w:rsidRDefault="005838B1" w:rsidP="005838B1">
      <w:pPr>
        <w:pStyle w:val="ListParagraph"/>
        <w:rPr>
          <w:rFonts w:eastAsia="PMingLiU"/>
        </w:rPr>
      </w:pPr>
    </w:p>
    <w:p w14:paraId="0F92F2B6" w14:textId="443CE821" w:rsidR="005838B1" w:rsidRPr="000C2CC5" w:rsidRDefault="005838B1" w:rsidP="005838B1">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On the one hand, the express references to </w:t>
      </w:r>
      <w:r w:rsidR="00D17D35">
        <w:rPr>
          <w:rFonts w:eastAsia="PMingLiU"/>
        </w:rPr>
        <w:t>“</w:t>
      </w:r>
      <w:r w:rsidRPr="000C2CC5">
        <w:rPr>
          <w:rFonts w:eastAsia="PMingLiU"/>
        </w:rPr>
        <w:t>the District Court</w:t>
      </w:r>
      <w:r w:rsidR="00D17D35">
        <w:rPr>
          <w:rFonts w:eastAsia="PMingLiU"/>
        </w:rPr>
        <w:t>”</w:t>
      </w:r>
      <w:r w:rsidRPr="000C2CC5">
        <w:rPr>
          <w:rFonts w:eastAsia="PMingLiU"/>
        </w:rPr>
        <w:t xml:space="preserve"> throughout the </w:t>
      </w:r>
      <w:r>
        <w:rPr>
          <w:rFonts w:eastAsia="PMingLiU"/>
        </w:rPr>
        <w:t xml:space="preserve">text of the </w:t>
      </w:r>
      <w:r w:rsidRPr="000C2CC5">
        <w:rPr>
          <w:rFonts w:eastAsia="PMingLiU"/>
        </w:rPr>
        <w:t xml:space="preserve">SDO and the fact that SDO-related provisions were inserted into the DCO (ie section 73B) clearly </w:t>
      </w:r>
      <w:r w:rsidR="00D17D35">
        <w:rPr>
          <w:rFonts w:eastAsia="PMingLiU"/>
        </w:rPr>
        <w:t xml:space="preserve">and overwhelmingly </w:t>
      </w:r>
      <w:r w:rsidRPr="000C2CC5">
        <w:rPr>
          <w:rFonts w:eastAsia="PMingLiU"/>
        </w:rPr>
        <w:t xml:space="preserve">suggest that the legislature had contemplated that SDO claims should be heard in the District Court.  It may be said that the District Court is the natural forum for the adjudication of SDO claims.  </w:t>
      </w:r>
      <w:r w:rsidR="00D17D35">
        <w:rPr>
          <w:rFonts w:eastAsia="PMingLiU"/>
        </w:rPr>
        <w:t>The in-built EO claims-friendly provisions are conducive to a fair, speedy and cost-effective disposal of claims.  In addition</w:t>
      </w:r>
      <w:r w:rsidRPr="000C2CC5">
        <w:rPr>
          <w:rFonts w:eastAsia="PMingLiU"/>
        </w:rPr>
        <w:t xml:space="preserve">, it is to be noted that, unlike other civil claims such as contract and tort, the SDO does not stipulate any </w:t>
      </w:r>
      <w:r>
        <w:rPr>
          <w:rFonts w:eastAsia="PMingLiU"/>
        </w:rPr>
        <w:t xml:space="preserve">upper </w:t>
      </w:r>
      <w:r w:rsidRPr="000C2CC5">
        <w:rPr>
          <w:rFonts w:eastAsia="PMingLiU"/>
        </w:rPr>
        <w:t>monetary limit on the damages which the District Court may award in SDO proceedings – see the phrase “notwithstanding any law” in section 76(4); cf section 32 of the DCO.</w:t>
      </w:r>
    </w:p>
    <w:p w14:paraId="1375E578" w14:textId="77777777" w:rsidR="005838B1" w:rsidRDefault="005838B1" w:rsidP="005838B1">
      <w:pPr>
        <w:tabs>
          <w:tab w:val="clear" w:pos="4320"/>
          <w:tab w:val="clear" w:pos="9072"/>
        </w:tabs>
        <w:snapToGrid/>
        <w:spacing w:line="360" w:lineRule="auto"/>
        <w:jc w:val="both"/>
        <w:rPr>
          <w:rFonts w:eastAsia="PMingLiU"/>
        </w:rPr>
      </w:pPr>
    </w:p>
    <w:p w14:paraId="6AA91A55" w14:textId="77777777" w:rsidR="00D40790" w:rsidRDefault="005838B1" w:rsidP="00D17D3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On the other hand, </w:t>
      </w:r>
      <w:r w:rsidR="00D17D35">
        <w:rPr>
          <w:rFonts w:eastAsia="PMingLiU"/>
        </w:rPr>
        <w:t>short of clear and express statutory language, the</w:t>
      </w:r>
      <w:r w:rsidRPr="000C2CC5">
        <w:rPr>
          <w:rFonts w:eastAsia="PMingLiU"/>
        </w:rPr>
        <w:t xml:space="preserve"> </w:t>
      </w:r>
      <w:r>
        <w:rPr>
          <w:rFonts w:eastAsia="PMingLiU"/>
        </w:rPr>
        <w:t xml:space="preserve">strong </w:t>
      </w:r>
      <w:r w:rsidRPr="000C2CC5">
        <w:rPr>
          <w:rFonts w:eastAsia="PMingLiU"/>
        </w:rPr>
        <w:t xml:space="preserve">preference to have </w:t>
      </w:r>
      <w:r>
        <w:rPr>
          <w:rFonts w:eastAsia="PMingLiU"/>
        </w:rPr>
        <w:t xml:space="preserve">the District Court hear </w:t>
      </w:r>
      <w:r w:rsidRPr="000C2CC5">
        <w:rPr>
          <w:rFonts w:eastAsia="PMingLiU"/>
        </w:rPr>
        <w:t xml:space="preserve">SDO </w:t>
      </w:r>
      <w:r>
        <w:rPr>
          <w:rFonts w:eastAsia="PMingLiU"/>
        </w:rPr>
        <w:t>claims</w:t>
      </w:r>
      <w:r w:rsidRPr="000C2CC5">
        <w:rPr>
          <w:rFonts w:eastAsia="PMingLiU"/>
        </w:rPr>
        <w:t xml:space="preserve"> does not have the effect of ousting the jurisdiction of the CFI </w:t>
      </w:r>
      <w:r w:rsidR="00D17D35">
        <w:rPr>
          <w:rFonts w:eastAsia="PMingLiU"/>
          <w:i/>
        </w:rPr>
        <w:t>in toto</w:t>
      </w:r>
      <w:r w:rsidRPr="000C2CC5">
        <w:rPr>
          <w:rFonts w:eastAsia="PMingLiU"/>
        </w:rPr>
        <w:t xml:space="preserve">. </w:t>
      </w:r>
      <w:r w:rsidR="00D17D35">
        <w:rPr>
          <w:rFonts w:eastAsia="PMingLiU"/>
        </w:rPr>
        <w:t xml:space="preserve"> </w:t>
      </w:r>
    </w:p>
    <w:p w14:paraId="178BD61C" w14:textId="77777777" w:rsidR="00D40790" w:rsidRDefault="00D40790" w:rsidP="00D40790">
      <w:pPr>
        <w:pStyle w:val="ListParagraph"/>
        <w:rPr>
          <w:rFonts w:eastAsia="PMingLiU"/>
        </w:rPr>
      </w:pPr>
    </w:p>
    <w:p w14:paraId="2CF0ECA9" w14:textId="2BDA8E7F" w:rsidR="005838B1" w:rsidRPr="00D17D35" w:rsidRDefault="00D17D35" w:rsidP="00D17D35">
      <w:pPr>
        <w:numPr>
          <w:ilvl w:val="0"/>
          <w:numId w:val="20"/>
        </w:numPr>
        <w:tabs>
          <w:tab w:val="clear" w:pos="4320"/>
          <w:tab w:val="clear" w:pos="9072"/>
        </w:tabs>
        <w:snapToGrid/>
        <w:spacing w:line="360" w:lineRule="auto"/>
        <w:ind w:left="0" w:firstLine="0"/>
        <w:jc w:val="both"/>
        <w:rPr>
          <w:rFonts w:eastAsia="PMingLiU"/>
        </w:rPr>
      </w:pPr>
      <w:r>
        <w:rPr>
          <w:rFonts w:eastAsia="PMingLiU"/>
        </w:rPr>
        <w:t>While a litigant is required to commence his case in the District Court, in an appropriate case, the claim can be transferred to</w:t>
      </w:r>
      <w:r w:rsidR="00D40790">
        <w:rPr>
          <w:rFonts w:eastAsia="PMingLiU"/>
        </w:rPr>
        <w:t xml:space="preserve"> be heard by</w:t>
      </w:r>
      <w:r>
        <w:rPr>
          <w:rFonts w:eastAsia="PMingLiU"/>
        </w:rPr>
        <w:t xml:space="preserve"> the CFI. </w:t>
      </w:r>
      <w:r w:rsidR="00D40790">
        <w:rPr>
          <w:rFonts w:eastAsia="PMingLiU"/>
        </w:rPr>
        <w:t xml:space="preserve"> Applying </w:t>
      </w:r>
      <w:r w:rsidR="00D40790">
        <w:rPr>
          <w:rFonts w:eastAsia="PMingLiU"/>
          <w:i/>
        </w:rPr>
        <w:t>Lee Kwok Tung</w:t>
      </w:r>
      <w:r w:rsidR="00D40790">
        <w:rPr>
          <w:rFonts w:eastAsia="PMingLiU"/>
        </w:rPr>
        <w:t>, t</w:t>
      </w:r>
      <w:r>
        <w:rPr>
          <w:rFonts w:eastAsia="PMingLiU"/>
        </w:rPr>
        <w:t xml:space="preserve">his interpretation would </w:t>
      </w:r>
      <w:r w:rsidR="005838B1" w:rsidRPr="00D17D35">
        <w:rPr>
          <w:rFonts w:eastAsia="PMingLiU"/>
        </w:rPr>
        <w:t>best give effect to the legislative intent that while the District Court is the natural forum, the CFI is not prevented from hearing SDO claims where warranted by the circumstances of the case.</w:t>
      </w:r>
    </w:p>
    <w:p w14:paraId="47DD9820" w14:textId="77777777" w:rsidR="00664772" w:rsidRDefault="00664772" w:rsidP="000C2CC5">
      <w:pPr>
        <w:tabs>
          <w:tab w:val="clear" w:pos="4320"/>
          <w:tab w:val="clear" w:pos="9072"/>
        </w:tabs>
        <w:snapToGrid/>
        <w:spacing w:line="360" w:lineRule="auto"/>
        <w:jc w:val="both"/>
        <w:rPr>
          <w:rFonts w:eastAsia="PMingLiU"/>
          <w:i/>
        </w:rPr>
      </w:pPr>
    </w:p>
    <w:p w14:paraId="02C13618" w14:textId="44BAA876" w:rsidR="00B37284" w:rsidRPr="000C2CC5" w:rsidRDefault="00B37284" w:rsidP="000C2CC5">
      <w:pPr>
        <w:tabs>
          <w:tab w:val="clear" w:pos="4320"/>
          <w:tab w:val="clear" w:pos="9072"/>
        </w:tabs>
        <w:snapToGrid/>
        <w:spacing w:line="360" w:lineRule="auto"/>
        <w:jc w:val="both"/>
        <w:rPr>
          <w:rFonts w:eastAsia="PMingLiU"/>
          <w:i/>
        </w:rPr>
      </w:pPr>
      <w:r w:rsidRPr="000C2CC5">
        <w:rPr>
          <w:rFonts w:eastAsia="PMingLiU"/>
          <w:i/>
        </w:rPr>
        <w:t>Conclusion on jurisdiction</w:t>
      </w:r>
    </w:p>
    <w:p w14:paraId="6A761243" w14:textId="77777777" w:rsidR="00664772" w:rsidRDefault="00664772" w:rsidP="00664772">
      <w:pPr>
        <w:tabs>
          <w:tab w:val="clear" w:pos="4320"/>
          <w:tab w:val="clear" w:pos="9072"/>
        </w:tabs>
        <w:snapToGrid/>
        <w:spacing w:line="360" w:lineRule="auto"/>
        <w:jc w:val="both"/>
        <w:rPr>
          <w:rFonts w:eastAsia="PMingLiU"/>
        </w:rPr>
      </w:pPr>
    </w:p>
    <w:p w14:paraId="5657DE82" w14:textId="34EFB16A" w:rsidR="00F3279E" w:rsidRPr="000C2CC5" w:rsidRDefault="0083595D"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In conclusion, the District Court</w:t>
      </w:r>
      <w:r w:rsidR="00B37284" w:rsidRPr="000C2CC5">
        <w:rPr>
          <w:rFonts w:eastAsia="PMingLiU"/>
        </w:rPr>
        <w:t xml:space="preserve">’s </w:t>
      </w:r>
      <w:r w:rsidRPr="000C2CC5">
        <w:rPr>
          <w:rFonts w:eastAsia="PMingLiU"/>
        </w:rPr>
        <w:t xml:space="preserve">jurisdiction </w:t>
      </w:r>
      <w:r w:rsidR="00B37284" w:rsidRPr="000C2CC5">
        <w:rPr>
          <w:rFonts w:eastAsia="PMingLiU"/>
        </w:rPr>
        <w:t>over</w:t>
      </w:r>
      <w:r w:rsidRPr="000C2CC5">
        <w:rPr>
          <w:rFonts w:eastAsia="PMingLiU"/>
        </w:rPr>
        <w:t xml:space="preserve"> SDO claims</w:t>
      </w:r>
      <w:r w:rsidR="00B37284" w:rsidRPr="000C2CC5">
        <w:rPr>
          <w:rFonts w:eastAsia="PMingLiU"/>
        </w:rPr>
        <w:t xml:space="preserve"> is not exclusive</w:t>
      </w:r>
      <w:r w:rsidR="00F3279E" w:rsidRPr="000C2CC5">
        <w:rPr>
          <w:rFonts w:eastAsia="PMingLiU"/>
        </w:rPr>
        <w:t>.</w:t>
      </w:r>
      <w:r w:rsidRPr="000C2CC5">
        <w:rPr>
          <w:rFonts w:eastAsia="PMingLiU"/>
        </w:rPr>
        <w:t xml:space="preserve">  While a litigant is</w:t>
      </w:r>
      <w:r w:rsidR="00B37284" w:rsidRPr="000C2CC5">
        <w:rPr>
          <w:rFonts w:eastAsia="PMingLiU"/>
        </w:rPr>
        <w:t xml:space="preserve"> always</w:t>
      </w:r>
      <w:r w:rsidRPr="000C2CC5">
        <w:rPr>
          <w:rFonts w:eastAsia="PMingLiU"/>
        </w:rPr>
        <w:t xml:space="preserve"> required to commence a SDO claim in the District Court, the CFI has jurisdiction to hear</w:t>
      </w:r>
      <w:r w:rsidR="00B37284" w:rsidRPr="000C2CC5">
        <w:rPr>
          <w:rFonts w:eastAsia="PMingLiU"/>
        </w:rPr>
        <w:t xml:space="preserve"> such claim</w:t>
      </w:r>
      <w:r w:rsidRPr="000C2CC5">
        <w:rPr>
          <w:rFonts w:eastAsia="PMingLiU"/>
        </w:rPr>
        <w:t xml:space="preserve"> in </w:t>
      </w:r>
      <w:r w:rsidR="00B37284" w:rsidRPr="000C2CC5">
        <w:rPr>
          <w:rFonts w:eastAsia="PMingLiU"/>
        </w:rPr>
        <w:t>an appropriate case</w:t>
      </w:r>
      <w:r w:rsidRPr="000C2CC5">
        <w:rPr>
          <w:rFonts w:eastAsia="PMingLiU"/>
        </w:rPr>
        <w:t>.</w:t>
      </w:r>
    </w:p>
    <w:p w14:paraId="3A6B4F43" w14:textId="77777777" w:rsidR="00664772" w:rsidRDefault="00664772" w:rsidP="00664772">
      <w:pPr>
        <w:tabs>
          <w:tab w:val="clear" w:pos="4320"/>
          <w:tab w:val="clear" w:pos="9072"/>
        </w:tabs>
        <w:snapToGrid/>
        <w:spacing w:line="360" w:lineRule="auto"/>
        <w:jc w:val="both"/>
        <w:rPr>
          <w:rFonts w:eastAsia="PMingLiU"/>
        </w:rPr>
      </w:pPr>
    </w:p>
    <w:p w14:paraId="5F13D172" w14:textId="4B92BAC6" w:rsidR="0083595D" w:rsidRPr="000C2CC5" w:rsidRDefault="00B37284"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The above analysis also applies to the FSDO.  The </w:t>
      </w:r>
      <w:r w:rsidR="00F445FF">
        <w:rPr>
          <w:rFonts w:eastAsia="PMingLiU"/>
        </w:rPr>
        <w:t>equivalent</w:t>
      </w:r>
      <w:r w:rsidRPr="000C2CC5">
        <w:rPr>
          <w:rFonts w:eastAsia="PMingLiU"/>
        </w:rPr>
        <w:t xml:space="preserve"> provisions are sections 53(1), 54(1), (3) and (5)</w:t>
      </w:r>
      <w:r w:rsidR="003038BF">
        <w:rPr>
          <w:rFonts w:eastAsia="PMingLiU"/>
        </w:rPr>
        <w:t xml:space="preserve"> of the FSDO</w:t>
      </w:r>
      <w:r w:rsidRPr="000C2CC5">
        <w:rPr>
          <w:rFonts w:eastAsia="PMingLiU"/>
        </w:rPr>
        <w:t xml:space="preserve"> and section 73D of the DCO.  The conclusion stated in the preceding paragraph applies to the FSDO.  </w:t>
      </w:r>
    </w:p>
    <w:p w14:paraId="53483569" w14:textId="6B6994BD" w:rsidR="0013141B" w:rsidRDefault="0013141B" w:rsidP="000C2CC5">
      <w:pPr>
        <w:pStyle w:val="ListParagraph"/>
        <w:spacing w:line="360" w:lineRule="auto"/>
        <w:ind w:left="0"/>
        <w:jc w:val="both"/>
        <w:rPr>
          <w:rFonts w:eastAsia="PMingLiU"/>
        </w:rPr>
      </w:pPr>
    </w:p>
    <w:p w14:paraId="4C7C0E18" w14:textId="016A4C3E" w:rsidR="00D6023B" w:rsidRDefault="00D6023B" w:rsidP="000C2CC5">
      <w:pPr>
        <w:pStyle w:val="ListParagraph"/>
        <w:spacing w:line="360" w:lineRule="auto"/>
        <w:ind w:left="0"/>
        <w:jc w:val="both"/>
        <w:rPr>
          <w:rFonts w:eastAsia="PMingLiU"/>
        </w:rPr>
      </w:pPr>
    </w:p>
    <w:p w14:paraId="65FBA922" w14:textId="3C00DCB5" w:rsidR="00D6023B" w:rsidRDefault="00D6023B" w:rsidP="000C2CC5">
      <w:pPr>
        <w:pStyle w:val="ListParagraph"/>
        <w:spacing w:line="360" w:lineRule="auto"/>
        <w:ind w:left="0"/>
        <w:jc w:val="both"/>
        <w:rPr>
          <w:rFonts w:eastAsia="PMingLiU"/>
        </w:rPr>
      </w:pPr>
    </w:p>
    <w:p w14:paraId="081FCEE5" w14:textId="6750FB59" w:rsidR="00D6023B" w:rsidRDefault="00D6023B" w:rsidP="000C2CC5">
      <w:pPr>
        <w:pStyle w:val="ListParagraph"/>
        <w:spacing w:line="360" w:lineRule="auto"/>
        <w:ind w:left="0"/>
        <w:jc w:val="both"/>
        <w:rPr>
          <w:rFonts w:eastAsia="PMingLiU"/>
        </w:rPr>
      </w:pPr>
    </w:p>
    <w:p w14:paraId="28C76E4F" w14:textId="5CDB6425" w:rsidR="00D6023B" w:rsidRDefault="00D6023B" w:rsidP="000C2CC5">
      <w:pPr>
        <w:pStyle w:val="ListParagraph"/>
        <w:spacing w:line="360" w:lineRule="auto"/>
        <w:ind w:left="0"/>
        <w:jc w:val="both"/>
        <w:rPr>
          <w:rFonts w:eastAsia="PMingLiU"/>
        </w:rPr>
      </w:pPr>
    </w:p>
    <w:p w14:paraId="679DD873" w14:textId="77777777" w:rsidR="00D6023B" w:rsidRPr="000C2CC5" w:rsidRDefault="00D6023B" w:rsidP="000C2CC5">
      <w:pPr>
        <w:pStyle w:val="ListParagraph"/>
        <w:spacing w:line="360" w:lineRule="auto"/>
        <w:ind w:left="0"/>
        <w:jc w:val="both"/>
        <w:rPr>
          <w:rFonts w:eastAsia="PMingLiU"/>
        </w:rPr>
      </w:pPr>
    </w:p>
    <w:p w14:paraId="48F1171F" w14:textId="5A6329CD" w:rsidR="0013141B" w:rsidRPr="000C2CC5" w:rsidRDefault="0090530B" w:rsidP="000C2CC5">
      <w:pPr>
        <w:pStyle w:val="ListParagraph"/>
        <w:spacing w:line="360" w:lineRule="auto"/>
        <w:ind w:left="0"/>
        <w:jc w:val="both"/>
        <w:rPr>
          <w:rFonts w:eastAsia="PMingLiU"/>
          <w:i/>
        </w:rPr>
      </w:pPr>
      <w:r w:rsidRPr="000C2CC5">
        <w:rPr>
          <w:rFonts w:eastAsia="PMingLiU"/>
          <w:i/>
        </w:rPr>
        <w:t>DISCRETION</w:t>
      </w:r>
    </w:p>
    <w:p w14:paraId="5E1F3019" w14:textId="77777777" w:rsidR="0013141B" w:rsidRPr="000C2CC5" w:rsidRDefault="0013141B" w:rsidP="000C2CC5">
      <w:pPr>
        <w:pStyle w:val="ListParagraph"/>
        <w:spacing w:line="360" w:lineRule="auto"/>
        <w:ind w:left="0"/>
        <w:jc w:val="both"/>
        <w:rPr>
          <w:rFonts w:eastAsia="PMingLiU"/>
        </w:rPr>
      </w:pPr>
    </w:p>
    <w:p w14:paraId="438BFB02" w14:textId="4444E668" w:rsidR="007375ED" w:rsidRPr="000C2CC5" w:rsidRDefault="00233097"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At the outset, I should highlight one prominent feature of the present case</w:t>
      </w:r>
      <w:r w:rsidR="003B1871" w:rsidRPr="000C2CC5">
        <w:rPr>
          <w:rFonts w:eastAsia="PMingLiU"/>
        </w:rPr>
        <w:t>.</w:t>
      </w:r>
      <w:r w:rsidRPr="000C2CC5">
        <w:rPr>
          <w:rFonts w:eastAsia="PMingLiU"/>
        </w:rPr>
        <w:t xml:space="preserve">  Although the dispute between the parties has arisen out of the same set of factual allegations, the parties are pursuing two </w:t>
      </w:r>
      <w:r w:rsidR="00246414" w:rsidRPr="001753F7">
        <w:rPr>
          <w:rFonts w:eastAsia="PMingLiU"/>
          <w:i/>
        </w:rPr>
        <w:t>distinct</w:t>
      </w:r>
      <w:r w:rsidRPr="000C2CC5">
        <w:rPr>
          <w:rFonts w:eastAsia="PMingLiU"/>
        </w:rPr>
        <w:t xml:space="preserve"> causes of action.  </w:t>
      </w:r>
      <w:r w:rsidR="00F445FF">
        <w:rPr>
          <w:rFonts w:eastAsia="PMingLiU"/>
        </w:rPr>
        <w:t xml:space="preserve">In the High Court action, the </w:t>
      </w:r>
      <w:r w:rsidRPr="000C2CC5">
        <w:rPr>
          <w:rFonts w:eastAsia="PMingLiU"/>
        </w:rPr>
        <w:t>1</w:t>
      </w:r>
      <w:r w:rsidRPr="000C2CC5">
        <w:rPr>
          <w:rFonts w:eastAsia="PMingLiU"/>
          <w:vertAlign w:val="superscript"/>
        </w:rPr>
        <w:t>st</w:t>
      </w:r>
      <w:r w:rsidRPr="000C2CC5">
        <w:rPr>
          <w:rFonts w:eastAsia="PMingLiU"/>
        </w:rPr>
        <w:t xml:space="preserve"> respondent’s </w:t>
      </w:r>
      <w:r w:rsidR="00246414" w:rsidRPr="000C2CC5">
        <w:rPr>
          <w:rFonts w:eastAsia="PMingLiU"/>
        </w:rPr>
        <w:t xml:space="preserve">cause of action lies in contract.  </w:t>
      </w:r>
      <w:r w:rsidR="00FB7C31">
        <w:rPr>
          <w:rFonts w:eastAsia="PMingLiU"/>
        </w:rPr>
        <w:t>In the EO claim</w:t>
      </w:r>
      <w:r w:rsidR="00246414" w:rsidRPr="000C2CC5">
        <w:rPr>
          <w:rFonts w:eastAsia="PMingLiU"/>
        </w:rPr>
        <w:t>, t</w:t>
      </w:r>
      <w:r w:rsidRPr="000C2CC5">
        <w:rPr>
          <w:rFonts w:eastAsia="PMingLiU"/>
        </w:rPr>
        <w:t xml:space="preserve">he claimant is seeking relief for sexual </w:t>
      </w:r>
      <w:r w:rsidR="005D18DB">
        <w:rPr>
          <w:rFonts w:eastAsia="PMingLiU"/>
        </w:rPr>
        <w:t xml:space="preserve">and family status </w:t>
      </w:r>
      <w:r w:rsidRPr="000C2CC5">
        <w:rPr>
          <w:rFonts w:eastAsia="PMingLiU"/>
        </w:rPr>
        <w:t xml:space="preserve">discrimination under </w:t>
      </w:r>
      <w:r w:rsidR="005D18DB">
        <w:rPr>
          <w:rFonts w:eastAsia="PMingLiU"/>
        </w:rPr>
        <w:t>statute law</w:t>
      </w:r>
      <w:r w:rsidRPr="000C2CC5">
        <w:rPr>
          <w:rFonts w:eastAsia="PMingLiU"/>
        </w:rPr>
        <w:t xml:space="preserve">.  </w:t>
      </w:r>
      <w:r w:rsidR="00246414" w:rsidRPr="000C2CC5">
        <w:rPr>
          <w:rFonts w:eastAsia="PMingLiU"/>
        </w:rPr>
        <w:t xml:space="preserve">It </w:t>
      </w:r>
      <w:r w:rsidRPr="000C2CC5">
        <w:rPr>
          <w:rFonts w:eastAsia="PMingLiU"/>
        </w:rPr>
        <w:t xml:space="preserve">is </w:t>
      </w:r>
      <w:r w:rsidR="00FB7C31">
        <w:rPr>
          <w:rFonts w:eastAsia="PMingLiU"/>
        </w:rPr>
        <w:t xml:space="preserve">therefore </w:t>
      </w:r>
      <w:r w:rsidRPr="000C2CC5">
        <w:rPr>
          <w:rFonts w:eastAsia="PMingLiU"/>
        </w:rPr>
        <w:t xml:space="preserve">a </w:t>
      </w:r>
      <w:r w:rsidR="00246414" w:rsidRPr="000C2CC5">
        <w:rPr>
          <w:rFonts w:eastAsia="PMingLiU"/>
        </w:rPr>
        <w:t>“</w:t>
      </w:r>
      <w:r w:rsidRPr="000C2CC5">
        <w:rPr>
          <w:rFonts w:eastAsia="PMingLiU"/>
        </w:rPr>
        <w:t>mixed claim</w:t>
      </w:r>
      <w:r w:rsidR="00246414" w:rsidRPr="000C2CC5">
        <w:rPr>
          <w:rFonts w:eastAsia="PMingLiU"/>
        </w:rPr>
        <w:t xml:space="preserve">s” situation.  </w:t>
      </w:r>
      <w:r w:rsidR="00B66684" w:rsidRPr="000C2CC5">
        <w:rPr>
          <w:rFonts w:eastAsia="PMingLiU"/>
        </w:rPr>
        <w:t>As remarked above, as a matter of case management, the two claims ought to be dealt with together in some way.  The questions are “How?” and “In which forum?”</w:t>
      </w:r>
      <w:r w:rsidR="001753F7">
        <w:rPr>
          <w:rFonts w:eastAsia="PMingLiU"/>
        </w:rPr>
        <w:t>.</w:t>
      </w:r>
      <w:r w:rsidR="00B66684" w:rsidRPr="000C2CC5">
        <w:rPr>
          <w:rFonts w:eastAsia="PMingLiU"/>
        </w:rPr>
        <w:t xml:space="preserve">  The parties’ rival proposals are set out in paras </w:t>
      </w:r>
      <w:r w:rsidR="00FB7C31">
        <w:rPr>
          <w:rFonts w:eastAsia="PMingLiU"/>
        </w:rPr>
        <w:t>28</w:t>
      </w:r>
      <w:r w:rsidR="00B66684" w:rsidRPr="000C2CC5">
        <w:rPr>
          <w:rFonts w:eastAsia="PMingLiU"/>
        </w:rPr>
        <w:t xml:space="preserve"> and </w:t>
      </w:r>
      <w:r w:rsidR="00FB7C31">
        <w:rPr>
          <w:rFonts w:eastAsia="PMingLiU"/>
        </w:rPr>
        <w:t>29</w:t>
      </w:r>
      <w:r w:rsidR="00B66684" w:rsidRPr="000C2CC5">
        <w:rPr>
          <w:rFonts w:eastAsia="PMingLiU"/>
        </w:rPr>
        <w:t xml:space="preserve"> above.</w:t>
      </w:r>
    </w:p>
    <w:p w14:paraId="3A834FB4" w14:textId="39B8922B" w:rsidR="00664772" w:rsidRDefault="00664772" w:rsidP="00664772">
      <w:pPr>
        <w:tabs>
          <w:tab w:val="clear" w:pos="4320"/>
          <w:tab w:val="clear" w:pos="9072"/>
        </w:tabs>
        <w:snapToGrid/>
        <w:spacing w:line="360" w:lineRule="auto"/>
        <w:jc w:val="both"/>
        <w:rPr>
          <w:rFonts w:eastAsia="PMingLiU"/>
        </w:rPr>
      </w:pPr>
    </w:p>
    <w:p w14:paraId="78CC4366" w14:textId="5A1E0E6C" w:rsidR="00FB7C31" w:rsidRPr="00FB7C31" w:rsidRDefault="00FB7C31" w:rsidP="00664772">
      <w:pPr>
        <w:tabs>
          <w:tab w:val="clear" w:pos="4320"/>
          <w:tab w:val="clear" w:pos="9072"/>
        </w:tabs>
        <w:snapToGrid/>
        <w:spacing w:line="360" w:lineRule="auto"/>
        <w:jc w:val="both"/>
        <w:rPr>
          <w:rFonts w:eastAsia="PMingLiU"/>
          <w:i/>
        </w:rPr>
      </w:pPr>
      <w:r>
        <w:rPr>
          <w:rFonts w:eastAsia="PMingLiU"/>
          <w:i/>
        </w:rPr>
        <w:t>The claimant’s proposal</w:t>
      </w:r>
    </w:p>
    <w:p w14:paraId="25288398" w14:textId="77777777" w:rsidR="00FB7C31" w:rsidRDefault="00FB7C31" w:rsidP="00664772">
      <w:pPr>
        <w:tabs>
          <w:tab w:val="clear" w:pos="4320"/>
          <w:tab w:val="clear" w:pos="9072"/>
        </w:tabs>
        <w:snapToGrid/>
        <w:spacing w:line="360" w:lineRule="auto"/>
        <w:jc w:val="both"/>
        <w:rPr>
          <w:rFonts w:eastAsia="PMingLiU"/>
        </w:rPr>
      </w:pPr>
    </w:p>
    <w:p w14:paraId="5E2830DB" w14:textId="3AF1AEE1" w:rsidR="00FB7C31" w:rsidRDefault="00B66684"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At the hearing, the claimant’s prop</w:t>
      </w:r>
      <w:r w:rsidR="00FB7C31">
        <w:rPr>
          <w:rFonts w:eastAsia="PMingLiU"/>
        </w:rPr>
        <w:t>osal was explored and refined.  T</w:t>
      </w:r>
      <w:r w:rsidR="00FB7C31" w:rsidRPr="000C2CC5">
        <w:rPr>
          <w:rFonts w:eastAsia="PMingLiU"/>
        </w:rPr>
        <w:t xml:space="preserve">he respondents were </w:t>
      </w:r>
      <w:r w:rsidR="00FB7C31">
        <w:rPr>
          <w:rFonts w:eastAsia="PMingLiU"/>
        </w:rPr>
        <w:t>invited</w:t>
      </w:r>
      <w:r w:rsidR="00FB7C31" w:rsidRPr="000C2CC5">
        <w:rPr>
          <w:rFonts w:eastAsia="PMingLiU"/>
        </w:rPr>
        <w:t xml:space="preserve"> to consent to </w:t>
      </w:r>
      <w:r w:rsidR="00FB7C31">
        <w:rPr>
          <w:rFonts w:eastAsia="PMingLiU"/>
        </w:rPr>
        <w:t xml:space="preserve">(a) </w:t>
      </w:r>
      <w:r w:rsidR="00FB7C31" w:rsidRPr="000C2CC5">
        <w:rPr>
          <w:rFonts w:eastAsia="PMingLiU"/>
        </w:rPr>
        <w:t>the EO claim being carried on in the District Court</w:t>
      </w:r>
      <w:r w:rsidR="001753F7">
        <w:rPr>
          <w:rFonts w:eastAsia="PMingLiU"/>
        </w:rPr>
        <w:t>,</w:t>
      </w:r>
      <w:r w:rsidR="00FB7C31" w:rsidRPr="000C2CC5">
        <w:rPr>
          <w:rFonts w:eastAsia="PMingLiU"/>
        </w:rPr>
        <w:t xml:space="preserve"> and</w:t>
      </w:r>
      <w:r w:rsidR="00FB7C31">
        <w:rPr>
          <w:rFonts w:eastAsia="PMingLiU"/>
        </w:rPr>
        <w:t xml:space="preserve"> (b)</w:t>
      </w:r>
      <w:r w:rsidR="00FB7C31" w:rsidRPr="000C2CC5">
        <w:rPr>
          <w:rFonts w:eastAsia="PMingLiU"/>
        </w:rPr>
        <w:t xml:space="preserve"> the High Court action being stayed </w:t>
      </w:r>
      <w:r w:rsidR="00FB7C31">
        <w:rPr>
          <w:rFonts w:eastAsia="PMingLiU"/>
        </w:rPr>
        <w:t>in the meantime.  And</w:t>
      </w:r>
      <w:r w:rsidRPr="000C2CC5">
        <w:rPr>
          <w:rFonts w:eastAsia="PMingLiU"/>
        </w:rPr>
        <w:t>,</w:t>
      </w:r>
      <w:r w:rsidR="00FB7C31">
        <w:rPr>
          <w:rFonts w:eastAsia="PMingLiU"/>
        </w:rPr>
        <w:t xml:space="preserve"> on that basis,</w:t>
      </w:r>
      <w:r w:rsidRPr="000C2CC5">
        <w:rPr>
          <w:rFonts w:eastAsia="PMingLiU"/>
        </w:rPr>
        <w:t xml:space="preserve"> the claimant was prepared to undertak</w:t>
      </w:r>
      <w:r w:rsidR="00FB7C31">
        <w:rPr>
          <w:rFonts w:eastAsia="PMingLiU"/>
        </w:rPr>
        <w:t>e</w:t>
      </w:r>
      <w:r w:rsidRPr="000C2CC5">
        <w:rPr>
          <w:rFonts w:eastAsia="PMingLiU"/>
        </w:rPr>
        <w:t xml:space="preserve"> that </w:t>
      </w:r>
      <w:r w:rsidR="00FB7C31">
        <w:rPr>
          <w:rFonts w:eastAsia="PMingLiU"/>
        </w:rPr>
        <w:t>after</w:t>
      </w:r>
      <w:r w:rsidRPr="000C2CC5">
        <w:rPr>
          <w:rFonts w:eastAsia="PMingLiU"/>
        </w:rPr>
        <w:t xml:space="preserve"> her EO claim is adjudicated upon </w:t>
      </w:r>
      <w:r w:rsidR="00297485" w:rsidRPr="000C2CC5">
        <w:rPr>
          <w:rFonts w:eastAsia="PMingLiU"/>
        </w:rPr>
        <w:t>either after</w:t>
      </w:r>
      <w:r w:rsidRPr="000C2CC5">
        <w:rPr>
          <w:rFonts w:eastAsia="PMingLiU"/>
        </w:rPr>
        <w:t xml:space="preserve"> trial or in a striking out application (but subject to appeal), </w:t>
      </w:r>
      <w:r w:rsidR="00297485" w:rsidRPr="000C2CC5">
        <w:rPr>
          <w:rFonts w:eastAsia="PMingLiU"/>
        </w:rPr>
        <w:t xml:space="preserve">in addition to being bound by the factual findings and legal rulings made </w:t>
      </w:r>
      <w:r w:rsidR="00FB7C31">
        <w:rPr>
          <w:rFonts w:eastAsia="PMingLiU"/>
        </w:rPr>
        <w:t>by the District Court</w:t>
      </w:r>
      <w:r w:rsidR="00297485" w:rsidRPr="000C2CC5">
        <w:rPr>
          <w:rFonts w:eastAsia="PMingLiU"/>
        </w:rPr>
        <w:t xml:space="preserve">, </w:t>
      </w:r>
      <w:r w:rsidRPr="000C2CC5">
        <w:rPr>
          <w:rFonts w:eastAsia="PMingLiU"/>
        </w:rPr>
        <w:t xml:space="preserve">she would not raise any new points of law or defence </w:t>
      </w:r>
      <w:r w:rsidR="00297485" w:rsidRPr="000C2CC5">
        <w:rPr>
          <w:rFonts w:eastAsia="PMingLiU"/>
        </w:rPr>
        <w:t xml:space="preserve">in the High Court action.  </w:t>
      </w:r>
    </w:p>
    <w:p w14:paraId="0A0B8DA2" w14:textId="77777777" w:rsidR="00FB7C31" w:rsidRDefault="00FB7C31" w:rsidP="00FB7C31">
      <w:pPr>
        <w:tabs>
          <w:tab w:val="clear" w:pos="4320"/>
          <w:tab w:val="clear" w:pos="9072"/>
        </w:tabs>
        <w:snapToGrid/>
        <w:spacing w:line="360" w:lineRule="auto"/>
        <w:jc w:val="both"/>
        <w:rPr>
          <w:rFonts w:eastAsia="PMingLiU"/>
        </w:rPr>
      </w:pPr>
    </w:p>
    <w:p w14:paraId="07A5BAED" w14:textId="508DB728" w:rsidR="00B66684" w:rsidRPr="000C2CC5" w:rsidRDefault="00297485"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The </w:t>
      </w:r>
      <w:r w:rsidR="00A25A9A" w:rsidRPr="000C2CC5">
        <w:rPr>
          <w:rFonts w:eastAsia="PMingLiU"/>
        </w:rPr>
        <w:t>rationale</w:t>
      </w:r>
      <w:r w:rsidRPr="000C2CC5">
        <w:rPr>
          <w:rFonts w:eastAsia="PMingLiU"/>
        </w:rPr>
        <w:t xml:space="preserve"> of the proposed undertaking was to ensure that the outcome of the EO claim would </w:t>
      </w:r>
      <w:r w:rsidR="00A25A9A" w:rsidRPr="000C2CC5">
        <w:rPr>
          <w:rFonts w:eastAsia="PMingLiU"/>
          <w:i/>
        </w:rPr>
        <w:t>conclusively</w:t>
      </w:r>
      <w:r w:rsidRPr="000C2CC5">
        <w:rPr>
          <w:rFonts w:eastAsia="PMingLiU"/>
        </w:rPr>
        <w:t xml:space="preserve"> determine the High Court action</w:t>
      </w:r>
      <w:r w:rsidR="00A25A9A" w:rsidRPr="000C2CC5">
        <w:rPr>
          <w:rFonts w:eastAsia="PMingLiU"/>
        </w:rPr>
        <w:t xml:space="preserve"> and hence the parties would not find themselves in a situation </w:t>
      </w:r>
      <w:r w:rsidR="00800A1F" w:rsidRPr="000C2CC5">
        <w:rPr>
          <w:rFonts w:eastAsia="PMingLiU"/>
        </w:rPr>
        <w:t>where</w:t>
      </w:r>
      <w:r w:rsidR="00A25A9A" w:rsidRPr="000C2CC5">
        <w:rPr>
          <w:rFonts w:eastAsia="PMingLiU"/>
        </w:rPr>
        <w:t xml:space="preserve"> after going through the EO proceedings</w:t>
      </w:r>
      <w:r w:rsidR="00800A1F" w:rsidRPr="000C2CC5">
        <w:rPr>
          <w:rFonts w:eastAsia="PMingLiU"/>
        </w:rPr>
        <w:t xml:space="preserve"> to its conclusion</w:t>
      </w:r>
      <w:r w:rsidR="00A25A9A" w:rsidRPr="000C2CC5">
        <w:rPr>
          <w:rFonts w:eastAsia="PMingLiU"/>
        </w:rPr>
        <w:t>, they would have to starting fighting over any new issues which might arise in the contract claim in the High Court action</w:t>
      </w:r>
      <w:r w:rsidRPr="000C2CC5">
        <w:rPr>
          <w:rFonts w:eastAsia="PMingLiU"/>
        </w:rPr>
        <w:t>.</w:t>
      </w:r>
      <w:r w:rsidR="00A25A9A" w:rsidRPr="000C2CC5">
        <w:rPr>
          <w:rFonts w:eastAsia="PMingLiU"/>
        </w:rPr>
        <w:t xml:space="preserve">  In other words, the overall effect of the claimant’s pr</w:t>
      </w:r>
      <w:r w:rsidR="00800A1F" w:rsidRPr="000C2CC5">
        <w:rPr>
          <w:rFonts w:eastAsia="PMingLiU"/>
        </w:rPr>
        <w:t>oposal was to convert, from a practical perspective, the mixed claims into a “pure” EO claim which could be dealt with on its own, just like other EO claims which come before the District Court</w:t>
      </w:r>
      <w:r w:rsidR="00FB7C31">
        <w:rPr>
          <w:rFonts w:eastAsia="PMingLiU"/>
        </w:rPr>
        <w:t xml:space="preserve"> from time to time</w:t>
      </w:r>
      <w:r w:rsidR="00800A1F" w:rsidRPr="000C2CC5">
        <w:rPr>
          <w:rFonts w:eastAsia="PMingLiU"/>
        </w:rPr>
        <w:t>.</w:t>
      </w:r>
      <w:r w:rsidR="001753F7">
        <w:rPr>
          <w:rFonts w:eastAsia="PMingLiU"/>
        </w:rPr>
        <w:t xml:space="preserve">  It appeared to me to be a workable solution.</w:t>
      </w:r>
    </w:p>
    <w:p w14:paraId="4A0237B7" w14:textId="0FC55343" w:rsidR="00531D8E" w:rsidRPr="000C2CC5" w:rsidRDefault="00531D8E" w:rsidP="000C2CC5">
      <w:pPr>
        <w:tabs>
          <w:tab w:val="clear" w:pos="4320"/>
          <w:tab w:val="clear" w:pos="9072"/>
        </w:tabs>
        <w:snapToGrid/>
        <w:spacing w:line="360" w:lineRule="auto"/>
        <w:jc w:val="both"/>
        <w:rPr>
          <w:rFonts w:eastAsia="PMingLiU"/>
        </w:rPr>
      </w:pPr>
    </w:p>
    <w:p w14:paraId="2017ECC3" w14:textId="3E3E15A2" w:rsidR="003B1871" w:rsidRPr="000C2CC5" w:rsidRDefault="00800A1F"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The respondents rejected the proposal at the hearing.  Their st</w:t>
      </w:r>
      <w:r w:rsidR="002D3D7D" w:rsidRPr="000C2CC5">
        <w:rPr>
          <w:rFonts w:eastAsia="PMingLiU"/>
        </w:rPr>
        <w:t xml:space="preserve">ance </w:t>
      </w:r>
      <w:r w:rsidRPr="000C2CC5">
        <w:rPr>
          <w:rFonts w:eastAsia="PMingLiU"/>
        </w:rPr>
        <w:t>is simply that the 1</w:t>
      </w:r>
      <w:r w:rsidRPr="000C2CC5">
        <w:rPr>
          <w:rFonts w:eastAsia="PMingLiU"/>
          <w:vertAlign w:val="superscript"/>
        </w:rPr>
        <w:t>st</w:t>
      </w:r>
      <w:r w:rsidRPr="000C2CC5">
        <w:rPr>
          <w:rFonts w:eastAsia="PMingLiU"/>
        </w:rPr>
        <w:t xml:space="preserve"> respondent’s contractual claim </w:t>
      </w:r>
      <w:r w:rsidR="00FB7C31">
        <w:rPr>
          <w:rFonts w:eastAsia="PMingLiU"/>
        </w:rPr>
        <w:t>for</w:t>
      </w:r>
      <w:r w:rsidRPr="000C2CC5">
        <w:rPr>
          <w:rFonts w:eastAsia="PMingLiU"/>
        </w:rPr>
        <w:t xml:space="preserve"> over $4 million was brought in the CFI </w:t>
      </w:r>
      <w:r w:rsidR="0058042F" w:rsidRPr="000C2CC5">
        <w:rPr>
          <w:rFonts w:eastAsia="PMingLiU"/>
        </w:rPr>
        <w:t>“as of right” and the EO claim should be transferred to be heard together</w:t>
      </w:r>
      <w:r w:rsidR="00FB7C31">
        <w:rPr>
          <w:rFonts w:eastAsia="PMingLiU"/>
        </w:rPr>
        <w:t xml:space="preserve"> with the High Court action</w:t>
      </w:r>
      <w:r w:rsidR="0058042F" w:rsidRPr="000C2CC5">
        <w:rPr>
          <w:rFonts w:eastAsia="PMingLiU"/>
        </w:rPr>
        <w:t xml:space="preserve"> to avoid duplication.</w:t>
      </w:r>
    </w:p>
    <w:p w14:paraId="1322CF8D" w14:textId="77777777" w:rsidR="002D3D7D" w:rsidRPr="000C2CC5" w:rsidRDefault="002D3D7D" w:rsidP="000C2CC5">
      <w:pPr>
        <w:pStyle w:val="ListParagraph"/>
        <w:spacing w:line="360" w:lineRule="auto"/>
        <w:rPr>
          <w:rFonts w:eastAsia="PMingLiU"/>
        </w:rPr>
      </w:pPr>
    </w:p>
    <w:p w14:paraId="13FD283A" w14:textId="67D062D5" w:rsidR="002D3D7D" w:rsidRPr="000C2CC5" w:rsidRDefault="00FB7C31" w:rsidP="000C2CC5">
      <w:pPr>
        <w:numPr>
          <w:ilvl w:val="0"/>
          <w:numId w:val="20"/>
        </w:numPr>
        <w:tabs>
          <w:tab w:val="clear" w:pos="4320"/>
          <w:tab w:val="clear" w:pos="9072"/>
        </w:tabs>
        <w:snapToGrid/>
        <w:spacing w:line="360" w:lineRule="auto"/>
        <w:ind w:left="0" w:firstLine="0"/>
        <w:jc w:val="both"/>
        <w:rPr>
          <w:rFonts w:eastAsia="PMingLiU"/>
        </w:rPr>
      </w:pPr>
      <w:r>
        <w:rPr>
          <w:rFonts w:eastAsia="PMingLiU"/>
        </w:rPr>
        <w:t>I</w:t>
      </w:r>
      <w:r w:rsidR="002D3D7D" w:rsidRPr="000C2CC5">
        <w:rPr>
          <w:rFonts w:eastAsia="PMingLiU"/>
        </w:rPr>
        <w:t xml:space="preserve"> can understand the</w:t>
      </w:r>
      <w:r>
        <w:rPr>
          <w:rFonts w:eastAsia="PMingLiU"/>
        </w:rPr>
        <w:t xml:space="preserve"> respondents’</w:t>
      </w:r>
      <w:r w:rsidR="002D3D7D" w:rsidRPr="000C2CC5">
        <w:rPr>
          <w:rFonts w:eastAsia="PMingLiU"/>
        </w:rPr>
        <w:t xml:space="preserve"> “as of right” point of view and am prepared to accept it as correct</w:t>
      </w:r>
      <w:r>
        <w:rPr>
          <w:rFonts w:eastAsia="PMingLiU"/>
        </w:rPr>
        <w:t>.  However, it must be recognised</w:t>
      </w:r>
      <w:r w:rsidR="002D3D7D" w:rsidRPr="000C2CC5">
        <w:rPr>
          <w:rFonts w:eastAsia="PMingLiU"/>
        </w:rPr>
        <w:t xml:space="preserve"> at the same time </w:t>
      </w:r>
      <w:r>
        <w:rPr>
          <w:rFonts w:eastAsia="PMingLiU"/>
        </w:rPr>
        <w:t xml:space="preserve">that </w:t>
      </w:r>
      <w:r w:rsidR="002D3D7D" w:rsidRPr="000C2CC5">
        <w:rPr>
          <w:rFonts w:eastAsia="PMingLiU"/>
        </w:rPr>
        <w:t xml:space="preserve">from the claimant’s perspective, she has also brought her EO claim in the District Court as of right.  </w:t>
      </w:r>
      <w:r>
        <w:rPr>
          <w:rFonts w:eastAsia="PMingLiU"/>
        </w:rPr>
        <w:t xml:space="preserve">She is indeed </w:t>
      </w:r>
      <w:r w:rsidR="002D3D7D" w:rsidRPr="000C2CC5">
        <w:rPr>
          <w:rFonts w:eastAsia="PMingLiU"/>
        </w:rPr>
        <w:t xml:space="preserve">required to </w:t>
      </w:r>
      <w:r>
        <w:rPr>
          <w:rFonts w:eastAsia="PMingLiU"/>
        </w:rPr>
        <w:t>do so under a proper interpretation of the SDO and the FSDO.</w:t>
      </w:r>
      <w:r w:rsidR="002D3D7D" w:rsidRPr="000C2CC5">
        <w:rPr>
          <w:rFonts w:eastAsia="PMingLiU"/>
        </w:rPr>
        <w:t xml:space="preserve"> </w:t>
      </w:r>
      <w:r>
        <w:rPr>
          <w:rFonts w:eastAsia="PMingLiU"/>
        </w:rPr>
        <w:t xml:space="preserve"> T</w:t>
      </w:r>
      <w:r w:rsidR="002D3D7D" w:rsidRPr="000C2CC5">
        <w:rPr>
          <w:rFonts w:eastAsia="PMingLiU"/>
        </w:rPr>
        <w:t xml:space="preserve">hat is so regardless of the amount at stake – see para </w:t>
      </w:r>
      <w:r w:rsidR="001753F7">
        <w:rPr>
          <w:rFonts w:eastAsia="PMingLiU"/>
        </w:rPr>
        <w:t>62</w:t>
      </w:r>
      <w:r w:rsidR="002D3D7D" w:rsidRPr="000C2CC5">
        <w:rPr>
          <w:rFonts w:eastAsia="PMingLiU"/>
        </w:rPr>
        <w:t xml:space="preserve"> above.  So here we have </w:t>
      </w:r>
      <w:r>
        <w:rPr>
          <w:rFonts w:eastAsia="PMingLiU"/>
        </w:rPr>
        <w:t>a situation where both</w:t>
      </w:r>
      <w:r w:rsidR="002B2585" w:rsidRPr="000C2CC5">
        <w:rPr>
          <w:rFonts w:eastAsia="PMingLiU"/>
        </w:rPr>
        <w:t xml:space="preserve"> sides </w:t>
      </w:r>
      <w:r>
        <w:rPr>
          <w:rFonts w:eastAsia="PMingLiU"/>
        </w:rPr>
        <w:t>are</w:t>
      </w:r>
      <w:r w:rsidR="002B2585" w:rsidRPr="000C2CC5">
        <w:rPr>
          <w:rFonts w:eastAsia="PMingLiU"/>
        </w:rPr>
        <w:t xml:space="preserve"> making claims in respect of the same subject-matter in two different courts </w:t>
      </w:r>
      <w:r w:rsidR="002B2585" w:rsidRPr="00FB7C31">
        <w:rPr>
          <w:rFonts w:eastAsia="PMingLiU"/>
          <w:i/>
        </w:rPr>
        <w:t>as of right</w:t>
      </w:r>
      <w:r w:rsidR="002B2585" w:rsidRPr="000C2CC5">
        <w:rPr>
          <w:rFonts w:eastAsia="PMingLiU"/>
        </w:rPr>
        <w:t>, how should the two cases be managed?</w:t>
      </w:r>
      <w:r>
        <w:rPr>
          <w:rFonts w:eastAsia="PMingLiU"/>
        </w:rPr>
        <w:t xml:space="preserve">  And how should the conflict be resolved so as to facilitate a fair, efficient and cost-effective disposal of the claims?</w:t>
      </w:r>
    </w:p>
    <w:p w14:paraId="17D6F36D" w14:textId="0B030648" w:rsidR="002B2585" w:rsidRDefault="002B2585" w:rsidP="000C2CC5">
      <w:pPr>
        <w:pStyle w:val="ListParagraph"/>
        <w:spacing w:line="360" w:lineRule="auto"/>
        <w:rPr>
          <w:rFonts w:eastAsia="PMingLiU"/>
        </w:rPr>
      </w:pPr>
    </w:p>
    <w:p w14:paraId="0E149BFA" w14:textId="2FB8A669" w:rsidR="00034D02" w:rsidRPr="00034D02" w:rsidRDefault="00034D02" w:rsidP="00034D02">
      <w:pPr>
        <w:spacing w:line="360" w:lineRule="auto"/>
        <w:rPr>
          <w:rFonts w:eastAsia="PMingLiU"/>
          <w:i/>
        </w:rPr>
      </w:pPr>
      <w:r>
        <w:rPr>
          <w:rFonts w:eastAsia="PMingLiU"/>
          <w:i/>
        </w:rPr>
        <w:t>My decision</w:t>
      </w:r>
    </w:p>
    <w:p w14:paraId="3EDE9497" w14:textId="77777777" w:rsidR="00034D02" w:rsidRPr="000C2CC5" w:rsidRDefault="00034D02" w:rsidP="000C2CC5">
      <w:pPr>
        <w:pStyle w:val="ListParagraph"/>
        <w:spacing w:line="360" w:lineRule="auto"/>
        <w:rPr>
          <w:rFonts w:eastAsia="PMingLiU"/>
        </w:rPr>
      </w:pPr>
    </w:p>
    <w:p w14:paraId="5F1A8514" w14:textId="12D91ADA" w:rsidR="002B2585" w:rsidRPr="000C2CC5" w:rsidRDefault="002B2585"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 have to say that without the consent of the respondents, I find it difficult and undesirable to accede to the claimant’s proposal.  And between the two rival proposals, practically speaking, the respondents’ proposal will have to be adopted</w:t>
      </w:r>
      <w:r w:rsidR="00241C65" w:rsidRPr="000C2CC5">
        <w:rPr>
          <w:rFonts w:eastAsia="PMingLiU"/>
        </w:rPr>
        <w:t xml:space="preserve"> for the following reasons</w:t>
      </w:r>
      <w:r w:rsidR="00F14DBA" w:rsidRPr="000C2CC5">
        <w:rPr>
          <w:rFonts w:eastAsia="PMingLiU"/>
        </w:rPr>
        <w:t>.</w:t>
      </w:r>
    </w:p>
    <w:p w14:paraId="2843624A" w14:textId="77777777" w:rsidR="00F14DBA" w:rsidRPr="000C2CC5" w:rsidRDefault="00F14DBA" w:rsidP="000C2CC5">
      <w:pPr>
        <w:pStyle w:val="ListParagraph"/>
        <w:spacing w:line="360" w:lineRule="auto"/>
        <w:rPr>
          <w:rFonts w:eastAsia="PMingLiU"/>
        </w:rPr>
      </w:pPr>
    </w:p>
    <w:p w14:paraId="200D1138" w14:textId="18AF9F6C" w:rsidR="00F506D6" w:rsidRPr="000C2CC5" w:rsidRDefault="00F14DBA"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 am only seised of the EO claim</w:t>
      </w:r>
      <w:r w:rsidR="00B95E86" w:rsidRPr="000C2CC5">
        <w:rPr>
          <w:rFonts w:eastAsia="PMingLiU"/>
        </w:rPr>
        <w:t xml:space="preserve">.  </w:t>
      </w:r>
      <w:r w:rsidR="00034D02">
        <w:rPr>
          <w:rFonts w:eastAsia="PMingLiU"/>
        </w:rPr>
        <w:t xml:space="preserve">Absent their mutual consent, </w:t>
      </w:r>
      <w:r w:rsidR="00B95E86" w:rsidRPr="000C2CC5">
        <w:rPr>
          <w:rFonts w:eastAsia="PMingLiU"/>
        </w:rPr>
        <w:t xml:space="preserve">I am </w:t>
      </w:r>
      <w:r w:rsidRPr="000C2CC5">
        <w:rPr>
          <w:rFonts w:eastAsia="PMingLiU"/>
        </w:rPr>
        <w:t xml:space="preserve">not in a position to direct the parties what they should do with </w:t>
      </w:r>
      <w:r w:rsidR="00034D02">
        <w:rPr>
          <w:rFonts w:eastAsia="PMingLiU"/>
        </w:rPr>
        <w:t>regard to the High Court action</w:t>
      </w:r>
      <w:r w:rsidRPr="000C2CC5">
        <w:rPr>
          <w:rFonts w:eastAsia="PMingLiU"/>
        </w:rPr>
        <w:t>.  If I refuse the respondents’ transfer application</w:t>
      </w:r>
      <w:r w:rsidR="00B95E86" w:rsidRPr="000C2CC5">
        <w:rPr>
          <w:rFonts w:eastAsia="PMingLiU"/>
        </w:rPr>
        <w:t xml:space="preserve"> now</w:t>
      </w:r>
      <w:r w:rsidRPr="000C2CC5">
        <w:rPr>
          <w:rFonts w:eastAsia="PMingLiU"/>
        </w:rPr>
        <w:t>, that would mean the EO claim will continue to be litigated in the District Court.  Parties will have to deal with the High Court action</w:t>
      </w:r>
      <w:r w:rsidR="00034D02">
        <w:rPr>
          <w:rFonts w:eastAsia="PMingLiU"/>
        </w:rPr>
        <w:t xml:space="preserve"> separately and</w:t>
      </w:r>
      <w:r w:rsidRPr="000C2CC5">
        <w:rPr>
          <w:rFonts w:eastAsia="PMingLiU"/>
        </w:rPr>
        <w:t xml:space="preserve"> on its own.  It may be the case that by order or by consent, it will be stayed pending the EO claim.  Nevertheless, if that happens, </w:t>
      </w:r>
      <w:r w:rsidR="00B95E86" w:rsidRPr="000C2CC5">
        <w:rPr>
          <w:rFonts w:eastAsia="PMingLiU"/>
        </w:rPr>
        <w:t xml:space="preserve">one cannot predict with certainty how the contract claim would be proceeded with in the future. </w:t>
      </w:r>
      <w:r w:rsidR="00EA5304" w:rsidRPr="000C2CC5">
        <w:rPr>
          <w:rFonts w:eastAsia="PMingLiU"/>
        </w:rPr>
        <w:t xml:space="preserve"> </w:t>
      </w:r>
    </w:p>
    <w:p w14:paraId="09BE445B" w14:textId="77777777" w:rsidR="00F506D6" w:rsidRPr="000C2CC5" w:rsidRDefault="00F506D6" w:rsidP="000C2CC5">
      <w:pPr>
        <w:pStyle w:val="ListParagraph"/>
        <w:spacing w:line="360" w:lineRule="auto"/>
        <w:rPr>
          <w:rFonts w:eastAsia="PMingLiU"/>
        </w:rPr>
      </w:pPr>
    </w:p>
    <w:p w14:paraId="1677F2AD" w14:textId="342A58F7" w:rsidR="00F14DBA" w:rsidRPr="000C2CC5" w:rsidRDefault="00EA5304"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It is true that t</w:t>
      </w:r>
      <w:r w:rsidR="00B95E86" w:rsidRPr="000C2CC5">
        <w:rPr>
          <w:rFonts w:eastAsia="PMingLiU"/>
        </w:rPr>
        <w:t xml:space="preserve">he claimant has confirmed, through counsel, that the discrimination point is her only defence to the contract claim.  However, strictly speaking, </w:t>
      </w:r>
      <w:r w:rsidRPr="000C2CC5">
        <w:rPr>
          <w:rFonts w:eastAsia="PMingLiU"/>
        </w:rPr>
        <w:t xml:space="preserve">it does not amount to a commitment on the claimant’s part to </w:t>
      </w:r>
      <w:r w:rsidR="00241C65" w:rsidRPr="000C2CC5">
        <w:rPr>
          <w:rFonts w:eastAsia="PMingLiU"/>
        </w:rPr>
        <w:t xml:space="preserve">be bound to </w:t>
      </w:r>
      <w:r w:rsidRPr="000C2CC5">
        <w:rPr>
          <w:rFonts w:eastAsia="PMingLiU"/>
        </w:rPr>
        <w:t>that position in the future</w:t>
      </w:r>
      <w:r w:rsidR="00B95E86" w:rsidRPr="000C2CC5">
        <w:rPr>
          <w:rFonts w:eastAsia="PMingLiU"/>
        </w:rPr>
        <w:t xml:space="preserve">, particularly given that the undertaking offered by the claimant was rejected </w:t>
      </w:r>
      <w:r w:rsidRPr="000C2CC5">
        <w:rPr>
          <w:rFonts w:eastAsia="PMingLiU"/>
        </w:rPr>
        <w:t>by the respondents.</w:t>
      </w:r>
    </w:p>
    <w:p w14:paraId="354FF3B1" w14:textId="77777777" w:rsidR="00EA5304" w:rsidRPr="000C2CC5" w:rsidRDefault="00EA5304" w:rsidP="000C2CC5">
      <w:pPr>
        <w:pStyle w:val="ListParagraph"/>
        <w:spacing w:line="360" w:lineRule="auto"/>
        <w:rPr>
          <w:rFonts w:eastAsia="PMingLiU"/>
        </w:rPr>
      </w:pPr>
    </w:p>
    <w:p w14:paraId="189B02A4" w14:textId="16D67E5A" w:rsidR="00B76C2D" w:rsidRPr="000C2CC5" w:rsidRDefault="00EA5304"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We are still at an early stage in both actions.  Discovery has not </w:t>
      </w:r>
      <w:r w:rsidR="00034D02">
        <w:rPr>
          <w:rFonts w:eastAsia="PMingLiU"/>
        </w:rPr>
        <w:t>happened yet</w:t>
      </w:r>
      <w:r w:rsidRPr="000C2CC5">
        <w:rPr>
          <w:rFonts w:eastAsia="PMingLiU"/>
        </w:rPr>
        <w:t xml:space="preserve">.  After discovery and </w:t>
      </w:r>
      <w:r w:rsidR="00241C65" w:rsidRPr="000C2CC5">
        <w:rPr>
          <w:rFonts w:eastAsia="PMingLiU"/>
        </w:rPr>
        <w:t xml:space="preserve">exchange of </w:t>
      </w:r>
      <w:r w:rsidRPr="000C2CC5">
        <w:rPr>
          <w:rFonts w:eastAsia="PMingLiU"/>
        </w:rPr>
        <w:t xml:space="preserve">witness statements, it may </w:t>
      </w:r>
      <w:r w:rsidR="00034D02">
        <w:rPr>
          <w:rFonts w:eastAsia="PMingLiU"/>
        </w:rPr>
        <w:t xml:space="preserve">well </w:t>
      </w:r>
      <w:r w:rsidRPr="000C2CC5">
        <w:rPr>
          <w:rFonts w:eastAsia="PMingLiU"/>
        </w:rPr>
        <w:t>be</w:t>
      </w:r>
      <w:r w:rsidR="00034D02">
        <w:rPr>
          <w:rFonts w:eastAsia="PMingLiU"/>
        </w:rPr>
        <w:t xml:space="preserve"> the case</w:t>
      </w:r>
      <w:r w:rsidRPr="000C2CC5">
        <w:rPr>
          <w:rFonts w:eastAsia="PMingLiU"/>
        </w:rPr>
        <w:t xml:space="preserve"> that parties would want to revisit their positions on the contract claim</w:t>
      </w:r>
      <w:r w:rsidR="00B76C2D" w:rsidRPr="000C2CC5">
        <w:rPr>
          <w:rFonts w:eastAsia="PMingLiU"/>
        </w:rPr>
        <w:t xml:space="preserve"> or raise new points or allegations</w:t>
      </w:r>
      <w:r w:rsidRPr="000C2CC5">
        <w:rPr>
          <w:rFonts w:eastAsia="PMingLiU"/>
        </w:rPr>
        <w:t xml:space="preserve">.  </w:t>
      </w:r>
      <w:r w:rsidR="00CE4725" w:rsidRPr="000C2CC5">
        <w:rPr>
          <w:rFonts w:eastAsia="PMingLiU"/>
        </w:rPr>
        <w:t xml:space="preserve">If there is indeed going to be any change to the parties’ positions, </w:t>
      </w:r>
      <w:r w:rsidR="00C06BFD" w:rsidRPr="000C2CC5">
        <w:rPr>
          <w:rFonts w:eastAsia="PMingLiU"/>
        </w:rPr>
        <w:t xml:space="preserve">it is possible that after the determination of the EO claim, the contract claim will have to be litigated </w:t>
      </w:r>
      <w:r w:rsidR="00B76C2D" w:rsidRPr="000C2CC5">
        <w:rPr>
          <w:rFonts w:eastAsia="PMingLiU"/>
        </w:rPr>
        <w:t>nonetheless</w:t>
      </w:r>
      <w:r w:rsidR="00C06BFD" w:rsidRPr="000C2CC5">
        <w:rPr>
          <w:rFonts w:eastAsia="PMingLiU"/>
        </w:rPr>
        <w:t xml:space="preserve">.  It is an outcome which ought to be avoided if possible.  </w:t>
      </w:r>
    </w:p>
    <w:p w14:paraId="422FE3FD" w14:textId="77777777" w:rsidR="00B76C2D" w:rsidRPr="000C2CC5" w:rsidRDefault="00B76C2D" w:rsidP="000C2CC5">
      <w:pPr>
        <w:pStyle w:val="ListParagraph"/>
        <w:spacing w:line="360" w:lineRule="auto"/>
        <w:rPr>
          <w:rFonts w:eastAsia="PMingLiU"/>
        </w:rPr>
      </w:pPr>
    </w:p>
    <w:p w14:paraId="6C2960CD" w14:textId="2AF1C1AC" w:rsidR="007375ED" w:rsidRPr="000C2CC5" w:rsidRDefault="00F506D6"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The difficulty with the claimant’s proposal lies in the timetable in which the two claims are to be dealt with in sequence.  </w:t>
      </w:r>
      <w:r w:rsidR="00500A17" w:rsidRPr="000C2CC5">
        <w:rPr>
          <w:rFonts w:eastAsia="PMingLiU"/>
        </w:rPr>
        <w:t>I</w:t>
      </w:r>
      <w:r w:rsidR="00034D02">
        <w:rPr>
          <w:rFonts w:eastAsia="PMingLiU"/>
        </w:rPr>
        <w:t>n the circumstances, i</w:t>
      </w:r>
      <w:r w:rsidR="00EA5304" w:rsidRPr="000C2CC5">
        <w:rPr>
          <w:rFonts w:eastAsia="PMingLiU"/>
        </w:rPr>
        <w:t>t would</w:t>
      </w:r>
      <w:r w:rsidR="00C06BFD" w:rsidRPr="000C2CC5">
        <w:rPr>
          <w:rFonts w:eastAsia="PMingLiU"/>
        </w:rPr>
        <w:t xml:space="preserve"> </w:t>
      </w:r>
      <w:r w:rsidR="00EA5304" w:rsidRPr="000C2CC5">
        <w:rPr>
          <w:rFonts w:eastAsia="PMingLiU"/>
        </w:rPr>
        <w:t xml:space="preserve">be much more desirable </w:t>
      </w:r>
      <w:r w:rsidR="00500A17" w:rsidRPr="000C2CC5">
        <w:rPr>
          <w:rFonts w:eastAsia="PMingLiU"/>
        </w:rPr>
        <w:t xml:space="preserve">for them to be handled together </w:t>
      </w:r>
      <w:r w:rsidR="00500A17" w:rsidRPr="00034D02">
        <w:rPr>
          <w:rFonts w:eastAsia="PMingLiU"/>
          <w:i/>
        </w:rPr>
        <w:t>by the same court</w:t>
      </w:r>
      <w:r w:rsidR="00500A17" w:rsidRPr="000C2CC5">
        <w:rPr>
          <w:rFonts w:eastAsia="PMingLiU"/>
        </w:rPr>
        <w:t xml:space="preserve"> </w:t>
      </w:r>
      <w:r w:rsidR="009B18EF" w:rsidRPr="000C2CC5">
        <w:rPr>
          <w:rFonts w:eastAsia="PMingLiU"/>
        </w:rPr>
        <w:t xml:space="preserve">and </w:t>
      </w:r>
      <w:r w:rsidR="00C06BFD" w:rsidRPr="000C2CC5">
        <w:rPr>
          <w:rFonts w:eastAsia="PMingLiU"/>
          <w:i/>
        </w:rPr>
        <w:t xml:space="preserve">at the same time </w:t>
      </w:r>
      <w:r w:rsidR="00500A17" w:rsidRPr="000C2CC5">
        <w:rPr>
          <w:rFonts w:eastAsia="PMingLiU"/>
        </w:rPr>
        <w:t>from now onwards.  In t</w:t>
      </w:r>
      <w:r w:rsidR="00EA5304" w:rsidRPr="000C2CC5">
        <w:rPr>
          <w:rFonts w:eastAsia="PMingLiU"/>
        </w:rPr>
        <w:t>he absence of consent, that forum would have to be the CFI.</w:t>
      </w:r>
    </w:p>
    <w:p w14:paraId="104D1126" w14:textId="77777777" w:rsidR="00664772" w:rsidRDefault="00664772" w:rsidP="00664772">
      <w:pPr>
        <w:tabs>
          <w:tab w:val="clear" w:pos="4320"/>
          <w:tab w:val="clear" w:pos="9072"/>
        </w:tabs>
        <w:snapToGrid/>
        <w:spacing w:line="360" w:lineRule="auto"/>
        <w:jc w:val="both"/>
        <w:rPr>
          <w:rFonts w:eastAsia="PMingLiU"/>
        </w:rPr>
      </w:pPr>
    </w:p>
    <w:p w14:paraId="0A7399F4" w14:textId="64F66D80" w:rsidR="007375ED" w:rsidRPr="000C2CC5" w:rsidRDefault="009B18EF"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Furthermore, the CFI would be able to m</w:t>
      </w:r>
      <w:r w:rsidR="00167B61" w:rsidRPr="000C2CC5">
        <w:rPr>
          <w:rFonts w:eastAsia="PMingLiU"/>
        </w:rPr>
        <w:t>ake appropriate costs order</w:t>
      </w:r>
      <w:r w:rsidR="00034D02">
        <w:rPr>
          <w:rFonts w:eastAsia="PMingLiU"/>
        </w:rPr>
        <w:t>s</w:t>
      </w:r>
      <w:r w:rsidR="00167B61" w:rsidRPr="000C2CC5">
        <w:rPr>
          <w:rFonts w:eastAsia="PMingLiU"/>
        </w:rPr>
        <w:t xml:space="preserve"> covering </w:t>
      </w:r>
      <w:r w:rsidR="00167B61" w:rsidRPr="000C2CC5">
        <w:rPr>
          <w:rFonts w:eastAsia="PMingLiU"/>
          <w:i/>
        </w:rPr>
        <w:t>both</w:t>
      </w:r>
      <w:r w:rsidR="00167B61" w:rsidRPr="000C2CC5">
        <w:rPr>
          <w:rFonts w:eastAsia="PMingLiU"/>
        </w:rPr>
        <w:t xml:space="preserve"> claims u</w:t>
      </w:r>
      <w:r w:rsidRPr="000C2CC5">
        <w:rPr>
          <w:rFonts w:eastAsia="PMingLiU"/>
        </w:rPr>
        <w:t>pon the</w:t>
      </w:r>
      <w:r w:rsidR="00167B61" w:rsidRPr="000C2CC5">
        <w:rPr>
          <w:rFonts w:eastAsia="PMingLiU"/>
        </w:rPr>
        <w:t>ir</w:t>
      </w:r>
      <w:r w:rsidRPr="000C2CC5">
        <w:rPr>
          <w:rFonts w:eastAsia="PMingLiU"/>
        </w:rPr>
        <w:t xml:space="preserve"> final adjudication</w:t>
      </w:r>
      <w:r w:rsidR="00167B61" w:rsidRPr="000C2CC5">
        <w:rPr>
          <w:rFonts w:eastAsia="PMingLiU"/>
        </w:rPr>
        <w:t>, having considered all matters arising from both causes of action.  This is to be contrasted with the situation which may arise under the claimant’s proposal where separate costs orders may have to be made in respect of the EO claim</w:t>
      </w:r>
      <w:r w:rsidR="00F506D6" w:rsidRPr="000C2CC5">
        <w:rPr>
          <w:rFonts w:eastAsia="PMingLiU"/>
        </w:rPr>
        <w:t xml:space="preserve"> </w:t>
      </w:r>
      <w:r w:rsidR="00167B61" w:rsidRPr="000C2CC5">
        <w:rPr>
          <w:rFonts w:eastAsia="PMingLiU"/>
        </w:rPr>
        <w:t xml:space="preserve">and the contract claim, </w:t>
      </w:r>
      <w:r w:rsidR="00034D02">
        <w:rPr>
          <w:rFonts w:eastAsia="PMingLiU"/>
        </w:rPr>
        <w:t>when they are</w:t>
      </w:r>
      <w:r w:rsidR="00167B61" w:rsidRPr="000C2CC5">
        <w:rPr>
          <w:rFonts w:eastAsia="PMingLiU"/>
        </w:rPr>
        <w:t xml:space="preserve"> disposed of </w:t>
      </w:r>
      <w:r w:rsidR="00F506D6" w:rsidRPr="000C2CC5">
        <w:rPr>
          <w:rFonts w:eastAsia="PMingLiU"/>
        </w:rPr>
        <w:t>sequentially</w:t>
      </w:r>
      <w:r w:rsidR="00167B61" w:rsidRPr="000C2CC5">
        <w:rPr>
          <w:rFonts w:eastAsia="PMingLiU"/>
        </w:rPr>
        <w:t xml:space="preserve">. </w:t>
      </w:r>
    </w:p>
    <w:p w14:paraId="0FE5D453" w14:textId="77777777" w:rsidR="007375ED" w:rsidRPr="000C2CC5" w:rsidRDefault="007375ED" w:rsidP="000C2CC5">
      <w:pPr>
        <w:pStyle w:val="ListParagraph"/>
        <w:spacing w:line="360" w:lineRule="auto"/>
        <w:ind w:left="0"/>
        <w:jc w:val="both"/>
        <w:rPr>
          <w:rFonts w:eastAsia="PMingLiU"/>
        </w:rPr>
      </w:pPr>
    </w:p>
    <w:p w14:paraId="7F0F2DD8" w14:textId="7E04F31F" w:rsidR="007375ED" w:rsidRPr="000C2CC5" w:rsidRDefault="002B6E70"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For the above reasons, I conclude that the practicable and fair way of </w:t>
      </w:r>
      <w:r w:rsidR="001753F7">
        <w:rPr>
          <w:rFonts w:eastAsia="PMingLiU"/>
        </w:rPr>
        <w:t>taking</w:t>
      </w:r>
      <w:r w:rsidRPr="000C2CC5">
        <w:rPr>
          <w:rFonts w:eastAsia="PMingLiU"/>
        </w:rPr>
        <w:t xml:space="preserve"> the two actions </w:t>
      </w:r>
      <w:r w:rsidR="001753F7">
        <w:rPr>
          <w:rFonts w:eastAsia="PMingLiU"/>
        </w:rPr>
        <w:t>forward</w:t>
      </w:r>
      <w:r w:rsidRPr="000C2CC5">
        <w:rPr>
          <w:rFonts w:eastAsia="PMingLiU"/>
        </w:rPr>
        <w:t xml:space="preserve"> is to have them both heard at the same time in the CFI.</w:t>
      </w:r>
    </w:p>
    <w:p w14:paraId="465392FF" w14:textId="6206AFCE" w:rsidR="002B6E70" w:rsidRDefault="002B6E70" w:rsidP="000C2CC5">
      <w:pPr>
        <w:pStyle w:val="ListParagraph"/>
        <w:spacing w:line="360" w:lineRule="auto"/>
        <w:rPr>
          <w:rFonts w:eastAsia="PMingLiU"/>
        </w:rPr>
      </w:pPr>
    </w:p>
    <w:p w14:paraId="3593660D" w14:textId="1993EE14" w:rsidR="00034D02" w:rsidRPr="00034D02" w:rsidRDefault="00034D02" w:rsidP="00034D02">
      <w:pPr>
        <w:spacing w:line="360" w:lineRule="auto"/>
        <w:rPr>
          <w:rFonts w:eastAsia="PMingLiU"/>
          <w:i/>
        </w:rPr>
      </w:pPr>
      <w:r>
        <w:rPr>
          <w:rFonts w:eastAsia="PMingLiU"/>
          <w:i/>
        </w:rPr>
        <w:t>Postscript</w:t>
      </w:r>
    </w:p>
    <w:p w14:paraId="2FB18A46" w14:textId="77777777" w:rsidR="00034D02" w:rsidRPr="000C2CC5" w:rsidRDefault="00034D02" w:rsidP="000C2CC5">
      <w:pPr>
        <w:pStyle w:val="ListParagraph"/>
        <w:spacing w:line="360" w:lineRule="auto"/>
        <w:rPr>
          <w:rFonts w:eastAsia="PMingLiU"/>
        </w:rPr>
      </w:pPr>
    </w:p>
    <w:p w14:paraId="045EB26E" w14:textId="6FFF8675" w:rsidR="007375ED" w:rsidRPr="000C2CC5" w:rsidRDefault="00E40D28"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In his submissions, Mr Pun</w:t>
      </w:r>
      <w:r w:rsidR="00F506D6" w:rsidRPr="000C2CC5">
        <w:rPr>
          <w:rFonts w:eastAsia="PMingLiU"/>
        </w:rPr>
        <w:t xml:space="preserve"> put forward a number of grounds</w:t>
      </w:r>
      <w:r w:rsidR="008C7B6B" w:rsidRPr="000C2CC5">
        <w:rPr>
          <w:rFonts w:eastAsia="PMingLiU"/>
        </w:rPr>
        <w:t xml:space="preserve"> to oppose the respondents’ transfer proposal.  </w:t>
      </w:r>
      <w:r w:rsidR="00B76C2D" w:rsidRPr="000C2CC5">
        <w:rPr>
          <w:rFonts w:eastAsia="PMingLiU"/>
        </w:rPr>
        <w:t xml:space="preserve">The crux of the submissions is that it would be desirable to have the EO claim heard in the District Court, </w:t>
      </w:r>
      <w:r w:rsidR="00034D02">
        <w:rPr>
          <w:rFonts w:eastAsia="PMingLiU"/>
        </w:rPr>
        <w:t>because (a)</w:t>
      </w:r>
      <w:r w:rsidR="00B76C2D" w:rsidRPr="000C2CC5">
        <w:rPr>
          <w:rFonts w:eastAsia="PMingLiU"/>
        </w:rPr>
        <w:t xml:space="preserve"> the parties can make use of and benefit from the in-built “EO </w:t>
      </w:r>
      <w:r w:rsidR="001753F7">
        <w:rPr>
          <w:rFonts w:eastAsia="PMingLiU"/>
        </w:rPr>
        <w:t>claims</w:t>
      </w:r>
      <w:r w:rsidR="003038BF">
        <w:rPr>
          <w:rFonts w:eastAsia="PMingLiU"/>
        </w:rPr>
        <w:t>-</w:t>
      </w:r>
      <w:r w:rsidR="00B76C2D" w:rsidRPr="000C2CC5">
        <w:rPr>
          <w:rFonts w:eastAsia="PMingLiU"/>
        </w:rPr>
        <w:t xml:space="preserve">friendly” provisions (see, eg, section 73B(3) and (5) </w:t>
      </w:r>
      <w:r w:rsidR="00034D02">
        <w:rPr>
          <w:rFonts w:eastAsia="PMingLiU"/>
        </w:rPr>
        <w:t xml:space="preserve">and section 73D(3) and (5) </w:t>
      </w:r>
      <w:r w:rsidR="00B76C2D" w:rsidRPr="000C2CC5">
        <w:rPr>
          <w:rFonts w:eastAsia="PMingLiU"/>
        </w:rPr>
        <w:t>of the DCO) and</w:t>
      </w:r>
      <w:r w:rsidR="00034D02">
        <w:rPr>
          <w:rFonts w:eastAsia="PMingLiU"/>
        </w:rPr>
        <w:t xml:space="preserve"> (b)</w:t>
      </w:r>
      <w:r w:rsidR="00B76C2D" w:rsidRPr="000C2CC5">
        <w:rPr>
          <w:rFonts w:eastAsia="PMingLiU"/>
        </w:rPr>
        <w:t xml:space="preserve"> the EO procedural regime established at the District Court </w:t>
      </w:r>
      <w:r w:rsidR="00034D02">
        <w:rPr>
          <w:rFonts w:eastAsia="PMingLiU"/>
        </w:rPr>
        <w:t>is</w:t>
      </w:r>
      <w:r w:rsidR="00B76C2D" w:rsidRPr="000C2CC5">
        <w:rPr>
          <w:rFonts w:eastAsia="PMingLiU"/>
        </w:rPr>
        <w:t xml:space="preserve"> a speedy, cost-effective and accessible forum</w:t>
      </w:r>
      <w:r w:rsidR="00034D02">
        <w:rPr>
          <w:rFonts w:eastAsia="PMingLiU"/>
        </w:rPr>
        <w:t xml:space="preserve"> for handling EO claims</w:t>
      </w:r>
      <w:r w:rsidR="00B76C2D" w:rsidRPr="000C2CC5">
        <w:rPr>
          <w:rFonts w:eastAsia="PMingLiU"/>
        </w:rPr>
        <w:t xml:space="preserve">.  </w:t>
      </w:r>
      <w:r w:rsidR="00034D02">
        <w:rPr>
          <w:rFonts w:eastAsia="PMingLiU"/>
        </w:rPr>
        <w:t>These broad observations would generally apply to a</w:t>
      </w:r>
      <w:r w:rsidR="00B76C2D" w:rsidRPr="000C2CC5">
        <w:rPr>
          <w:rFonts w:eastAsia="PMingLiU"/>
        </w:rPr>
        <w:t xml:space="preserve"> “pure” EO claim.  But </w:t>
      </w:r>
      <w:r w:rsidR="00034D02">
        <w:rPr>
          <w:rFonts w:eastAsia="PMingLiU"/>
        </w:rPr>
        <w:t>we do not have a “pure” EO claim</w:t>
      </w:r>
      <w:r w:rsidR="00B76C2D" w:rsidRPr="000C2CC5">
        <w:rPr>
          <w:rFonts w:eastAsia="PMingLiU"/>
        </w:rPr>
        <w:t xml:space="preserve"> here</w:t>
      </w:r>
      <w:r w:rsidR="00034D02">
        <w:rPr>
          <w:rFonts w:eastAsia="PMingLiU"/>
        </w:rPr>
        <w:t xml:space="preserve">. </w:t>
      </w:r>
      <w:r w:rsidR="00B76C2D" w:rsidRPr="000C2CC5">
        <w:rPr>
          <w:rFonts w:eastAsia="PMingLiU"/>
        </w:rPr>
        <w:t xml:space="preserve"> </w:t>
      </w:r>
      <w:r w:rsidR="00034D02">
        <w:rPr>
          <w:rFonts w:eastAsia="PMingLiU"/>
        </w:rPr>
        <w:t>I</w:t>
      </w:r>
      <w:r w:rsidR="008C7B6B" w:rsidRPr="000C2CC5">
        <w:rPr>
          <w:rFonts w:eastAsia="PMingLiU"/>
        </w:rPr>
        <w:t xml:space="preserve">t is </w:t>
      </w:r>
      <w:r w:rsidR="001753F7">
        <w:rPr>
          <w:rFonts w:eastAsia="PMingLiU"/>
        </w:rPr>
        <w:t xml:space="preserve">therefore </w:t>
      </w:r>
      <w:r w:rsidR="008C7B6B" w:rsidRPr="000C2CC5">
        <w:rPr>
          <w:rFonts w:eastAsia="PMingLiU"/>
        </w:rPr>
        <w:t xml:space="preserve">not necessary to </w:t>
      </w:r>
      <w:r w:rsidR="00034D02">
        <w:rPr>
          <w:rFonts w:eastAsia="PMingLiU"/>
        </w:rPr>
        <w:t>examine</w:t>
      </w:r>
      <w:r w:rsidR="00B76C2D" w:rsidRPr="000C2CC5">
        <w:rPr>
          <w:rFonts w:eastAsia="PMingLiU"/>
        </w:rPr>
        <w:t xml:space="preserve"> Mr Pun’s submissions in detail</w:t>
      </w:r>
      <w:r w:rsidR="001753F7">
        <w:rPr>
          <w:rFonts w:eastAsia="PMingLiU"/>
        </w:rPr>
        <w:t xml:space="preserve"> and making a ruling on them</w:t>
      </w:r>
      <w:r w:rsidR="00B76C2D" w:rsidRPr="000C2CC5">
        <w:rPr>
          <w:rFonts w:eastAsia="PMingLiU"/>
        </w:rPr>
        <w:t>.</w:t>
      </w:r>
      <w:r w:rsidR="008C7B6B" w:rsidRPr="000C2CC5">
        <w:rPr>
          <w:rFonts w:eastAsia="PMingLiU"/>
        </w:rPr>
        <w:t xml:space="preserve"> </w:t>
      </w:r>
    </w:p>
    <w:p w14:paraId="57D39258" w14:textId="77777777" w:rsidR="00D31C16" w:rsidRDefault="00D31C16" w:rsidP="00D31C16">
      <w:pPr>
        <w:tabs>
          <w:tab w:val="clear" w:pos="4320"/>
          <w:tab w:val="clear" w:pos="9072"/>
        </w:tabs>
        <w:snapToGrid/>
        <w:spacing w:line="360" w:lineRule="auto"/>
        <w:jc w:val="both"/>
        <w:rPr>
          <w:rFonts w:eastAsia="PMingLiU"/>
        </w:rPr>
      </w:pPr>
    </w:p>
    <w:p w14:paraId="2D65E1EB" w14:textId="6DBDB85F" w:rsidR="00034D02" w:rsidRDefault="00FC0661"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Lastly, Mr Pun referred me to the decision in </w:t>
      </w:r>
      <w:r w:rsidRPr="000C2CC5">
        <w:rPr>
          <w:rFonts w:eastAsia="PMingLiU"/>
          <w:i/>
        </w:rPr>
        <w:t xml:space="preserve">Re </w:t>
      </w:r>
      <w:r w:rsidR="005E7FAF" w:rsidRPr="000C2CC5">
        <w:rPr>
          <w:rFonts w:eastAsia="PMingLiU"/>
          <w:i/>
        </w:rPr>
        <w:t>Estate of</w:t>
      </w:r>
      <w:r w:rsidRPr="000C2CC5">
        <w:rPr>
          <w:rFonts w:eastAsia="PMingLiU"/>
          <w:i/>
        </w:rPr>
        <w:t xml:space="preserve"> Chow Nai Chee</w:t>
      </w:r>
      <w:r w:rsidR="005E7FAF" w:rsidRPr="000C2CC5">
        <w:rPr>
          <w:rFonts w:eastAsia="PMingLiU"/>
        </w:rPr>
        <w:t xml:space="preserve"> [2010] 5 HKLRD 640</w:t>
      </w:r>
      <w:r w:rsidR="00034D02">
        <w:rPr>
          <w:rFonts w:eastAsia="PMingLiU"/>
        </w:rPr>
        <w:t xml:space="preserve"> to make the point that when choosing the forum for resolving their disputes, parties should take a proactive approach in case management and be sensitive to costs implications.</w:t>
      </w:r>
    </w:p>
    <w:p w14:paraId="5C9C96A4" w14:textId="77777777" w:rsidR="00034D02" w:rsidRDefault="00034D02" w:rsidP="00034D02">
      <w:pPr>
        <w:pStyle w:val="ListParagraph"/>
        <w:rPr>
          <w:rFonts w:eastAsia="PMingLiU"/>
        </w:rPr>
      </w:pPr>
    </w:p>
    <w:p w14:paraId="091F159D" w14:textId="5199C55A" w:rsidR="00010442" w:rsidRPr="000C2CC5" w:rsidRDefault="00034D02" w:rsidP="000C2CC5">
      <w:pPr>
        <w:numPr>
          <w:ilvl w:val="0"/>
          <w:numId w:val="20"/>
        </w:numPr>
        <w:tabs>
          <w:tab w:val="clear" w:pos="4320"/>
          <w:tab w:val="clear" w:pos="9072"/>
        </w:tabs>
        <w:snapToGrid/>
        <w:spacing w:line="360" w:lineRule="auto"/>
        <w:ind w:left="0" w:firstLine="0"/>
        <w:jc w:val="both"/>
        <w:rPr>
          <w:rFonts w:eastAsia="PMingLiU"/>
        </w:rPr>
      </w:pPr>
      <w:r>
        <w:rPr>
          <w:rFonts w:eastAsia="PMingLiU"/>
        </w:rPr>
        <w:t xml:space="preserve">That case concerns an </w:t>
      </w:r>
      <w:r w:rsidR="00FC0661" w:rsidRPr="000C2CC5">
        <w:rPr>
          <w:rFonts w:eastAsia="PMingLiU"/>
        </w:rPr>
        <w:t xml:space="preserve">application </w:t>
      </w:r>
      <w:r>
        <w:rPr>
          <w:rFonts w:eastAsia="PMingLiU"/>
        </w:rPr>
        <w:t>to transfer</w:t>
      </w:r>
      <w:r w:rsidR="00FC0661" w:rsidRPr="000C2CC5">
        <w:rPr>
          <w:rFonts w:eastAsia="PMingLiU"/>
        </w:rPr>
        <w:t xml:space="preserve"> a claim made under the </w:t>
      </w:r>
      <w:r w:rsidR="005E7FAF" w:rsidRPr="000C2CC5">
        <w:rPr>
          <w:rFonts w:eastAsia="PMingLiU"/>
        </w:rPr>
        <w:t xml:space="preserve">Inheritance (Provision for Family and Dependents) </w:t>
      </w:r>
      <w:r w:rsidR="00FC0661" w:rsidRPr="000C2CC5">
        <w:rPr>
          <w:rFonts w:eastAsia="PMingLiU"/>
        </w:rPr>
        <w:t>Ordinance</w:t>
      </w:r>
      <w:r w:rsidR="005E7FAF" w:rsidRPr="000C2CC5">
        <w:rPr>
          <w:rFonts w:eastAsia="PMingLiU"/>
        </w:rPr>
        <w:t>, Cap 481</w:t>
      </w:r>
      <w:r>
        <w:rPr>
          <w:rFonts w:eastAsia="PMingLiU"/>
        </w:rPr>
        <w:t xml:space="preserve"> from the CFI to the District Court</w:t>
      </w:r>
      <w:r w:rsidR="00FC0661" w:rsidRPr="000C2CC5">
        <w:rPr>
          <w:rFonts w:eastAsia="PMingLiU"/>
        </w:rPr>
        <w:t xml:space="preserve">. </w:t>
      </w:r>
      <w:r w:rsidR="00010442" w:rsidRPr="000C2CC5">
        <w:rPr>
          <w:rFonts w:eastAsia="PMingLiU"/>
        </w:rPr>
        <w:t xml:space="preserve"> Under the statutory framework, the District Court has jurisdiction</w:t>
      </w:r>
      <w:r w:rsidR="00CC0553" w:rsidRPr="000C2CC5">
        <w:rPr>
          <w:rFonts w:eastAsia="PMingLiU"/>
        </w:rPr>
        <w:t xml:space="preserve"> to hear claims brought pursuant to that Ordinance, without any upper monetary limit on the reliefs </w:t>
      </w:r>
      <w:r w:rsidR="007E4DCB" w:rsidRPr="000C2CC5">
        <w:rPr>
          <w:rFonts w:eastAsia="PMingLiU"/>
        </w:rPr>
        <w:t>that it may grant</w:t>
      </w:r>
      <w:r w:rsidR="00CC0553" w:rsidRPr="000C2CC5">
        <w:rPr>
          <w:rFonts w:eastAsia="PMingLiU"/>
        </w:rPr>
        <w:t xml:space="preserve">: paras 20-22. </w:t>
      </w:r>
      <w:r w:rsidR="007E4DCB" w:rsidRPr="000C2CC5">
        <w:rPr>
          <w:rFonts w:eastAsia="PMingLiU"/>
        </w:rPr>
        <w:t xml:space="preserve"> The question before the court was whether the case should be carried on in the </w:t>
      </w:r>
      <w:r>
        <w:rPr>
          <w:rFonts w:eastAsia="PMingLiU"/>
        </w:rPr>
        <w:t>CFI</w:t>
      </w:r>
      <w:r w:rsidR="007E4DCB" w:rsidRPr="000C2CC5">
        <w:rPr>
          <w:rFonts w:eastAsia="PMingLiU"/>
        </w:rPr>
        <w:t xml:space="preserve"> or the Family Court (which is in effect part of the District Court).</w:t>
      </w:r>
      <w:r w:rsidR="0066704F" w:rsidRPr="000C2CC5">
        <w:rPr>
          <w:rFonts w:eastAsia="PMingLiU"/>
        </w:rPr>
        <w:t xml:space="preserve">  It </w:t>
      </w:r>
      <w:r>
        <w:rPr>
          <w:rFonts w:eastAsia="PMingLiU"/>
        </w:rPr>
        <w:t>appears</w:t>
      </w:r>
      <w:r w:rsidR="0066704F" w:rsidRPr="000C2CC5">
        <w:rPr>
          <w:rFonts w:eastAsia="PMingLiU"/>
        </w:rPr>
        <w:t xml:space="preserve"> from the judgment</w:t>
      </w:r>
      <w:r>
        <w:rPr>
          <w:rFonts w:eastAsia="PMingLiU"/>
        </w:rPr>
        <w:t xml:space="preserve"> that</w:t>
      </w:r>
      <w:r w:rsidR="0066704F" w:rsidRPr="000C2CC5">
        <w:rPr>
          <w:rFonts w:eastAsia="PMingLiU"/>
        </w:rPr>
        <w:t xml:space="preserve"> the amount of the claim </w:t>
      </w:r>
      <w:r>
        <w:rPr>
          <w:rFonts w:eastAsia="PMingLiU"/>
        </w:rPr>
        <w:t>was</w:t>
      </w:r>
      <w:r w:rsidR="0066704F" w:rsidRPr="000C2CC5">
        <w:rPr>
          <w:rFonts w:eastAsia="PMingLiU"/>
        </w:rPr>
        <w:t xml:space="preserve"> in terms of millions of dollars.</w:t>
      </w:r>
    </w:p>
    <w:p w14:paraId="516BDD07" w14:textId="77777777" w:rsidR="00D31C16" w:rsidRDefault="00D31C16" w:rsidP="00D31C16">
      <w:pPr>
        <w:tabs>
          <w:tab w:val="clear" w:pos="4320"/>
          <w:tab w:val="clear" w:pos="9072"/>
        </w:tabs>
        <w:snapToGrid/>
        <w:spacing w:line="360" w:lineRule="auto"/>
        <w:jc w:val="both"/>
        <w:rPr>
          <w:rFonts w:eastAsia="PMingLiU"/>
        </w:rPr>
      </w:pPr>
    </w:p>
    <w:p w14:paraId="58174DB1" w14:textId="323F0813" w:rsidR="0066704F" w:rsidRPr="000C2CC5" w:rsidRDefault="0066704F"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In his oral submissions, Mr Pun highlighted the approach adopted in that case when tackling the issue of </w:t>
      </w:r>
      <w:r w:rsidR="001753F7">
        <w:rPr>
          <w:rFonts w:eastAsia="PMingLiU"/>
        </w:rPr>
        <w:t>forum</w:t>
      </w:r>
      <w:r w:rsidRPr="000C2CC5">
        <w:rPr>
          <w:rFonts w:eastAsia="PMingLiU"/>
        </w:rPr>
        <w:t xml:space="preserve">.  Having analysed the factual issues involved, </w:t>
      </w:r>
      <w:r w:rsidR="00FC0661" w:rsidRPr="000C2CC5">
        <w:rPr>
          <w:rFonts w:eastAsia="PMingLiU"/>
        </w:rPr>
        <w:t>Lam J</w:t>
      </w:r>
      <w:r w:rsidRPr="000C2CC5">
        <w:rPr>
          <w:rFonts w:eastAsia="PMingLiU"/>
        </w:rPr>
        <w:t xml:space="preserve"> said this:</w:t>
      </w:r>
      <w:r w:rsidR="00D31C16">
        <w:rPr>
          <w:rFonts w:eastAsia="PMingLiU"/>
        </w:rPr>
        <w:t>-</w:t>
      </w:r>
    </w:p>
    <w:p w14:paraId="708B23BA" w14:textId="77777777" w:rsidR="00D31C16" w:rsidRDefault="00D31C16" w:rsidP="000C2CC5">
      <w:pPr>
        <w:tabs>
          <w:tab w:val="clear" w:pos="4320"/>
          <w:tab w:val="clear" w:pos="9072"/>
        </w:tabs>
        <w:snapToGrid/>
        <w:spacing w:line="360" w:lineRule="auto"/>
        <w:jc w:val="both"/>
        <w:rPr>
          <w:rFonts w:eastAsia="PMingLiU"/>
        </w:rPr>
      </w:pPr>
    </w:p>
    <w:p w14:paraId="3566B4A0" w14:textId="673346BF" w:rsidR="0066704F" w:rsidRPr="00D31C16" w:rsidRDefault="0066704F" w:rsidP="00D31C16">
      <w:pPr>
        <w:tabs>
          <w:tab w:val="clear" w:pos="4320"/>
          <w:tab w:val="clear" w:pos="9072"/>
          <w:tab w:val="left" w:pos="2160"/>
        </w:tabs>
        <w:snapToGrid/>
        <w:ind w:left="1440" w:right="746"/>
        <w:jc w:val="both"/>
        <w:rPr>
          <w:rFonts w:eastAsia="PMingLiU"/>
          <w:sz w:val="24"/>
          <w:szCs w:val="24"/>
        </w:rPr>
      </w:pPr>
      <w:r w:rsidRPr="00D31C16">
        <w:rPr>
          <w:rFonts w:eastAsia="PMingLiU"/>
          <w:sz w:val="24"/>
          <w:szCs w:val="24"/>
        </w:rPr>
        <w:t>“11.</w:t>
      </w:r>
      <w:r w:rsidR="00D31C16" w:rsidRPr="00D31C16">
        <w:rPr>
          <w:rFonts w:eastAsia="PMingLiU"/>
          <w:sz w:val="24"/>
          <w:szCs w:val="24"/>
        </w:rPr>
        <w:tab/>
      </w:r>
      <w:r w:rsidRPr="00D31C16">
        <w:rPr>
          <w:rFonts w:eastAsia="PMingLiU"/>
          <w:sz w:val="24"/>
          <w:szCs w:val="24"/>
        </w:rPr>
        <w:t xml:space="preserve">These are primarily issues of fact though the determination of the proper relief to be granted if the court were satisfied that an order should be made under ss.4 and 12 of the Ordinance involves an exercise of judicial discretion.  As mentioned, judges in the Family Court are familiar with the performance of such judicial task.  Judges in our Family Court often have to deal with assets of value comparable to those of the shares in dispute in the present case.  </w:t>
      </w:r>
      <w:r w:rsidRPr="001753F7">
        <w:rPr>
          <w:rFonts w:eastAsia="PMingLiU"/>
          <w:i/>
          <w:sz w:val="24"/>
          <w:szCs w:val="24"/>
        </w:rPr>
        <w:t>I see no reason why the case cannot be heard by the Family Court as a matter of just resolution of the dispute between the parties, proper case management and fair deployment of judicial resources. …</w:t>
      </w:r>
    </w:p>
    <w:p w14:paraId="352E0C9E" w14:textId="77777777" w:rsidR="00D31C16" w:rsidRPr="00D31C16" w:rsidRDefault="00D31C16" w:rsidP="00D31C16">
      <w:pPr>
        <w:tabs>
          <w:tab w:val="clear" w:pos="4320"/>
          <w:tab w:val="clear" w:pos="9072"/>
          <w:tab w:val="left" w:pos="2160"/>
        </w:tabs>
        <w:snapToGrid/>
        <w:ind w:left="1440" w:right="746"/>
        <w:jc w:val="both"/>
        <w:rPr>
          <w:rFonts w:eastAsia="PMingLiU"/>
          <w:sz w:val="24"/>
          <w:szCs w:val="24"/>
        </w:rPr>
      </w:pPr>
    </w:p>
    <w:p w14:paraId="6CAC9312" w14:textId="37E9775F" w:rsidR="0066704F" w:rsidRPr="00D31C16" w:rsidRDefault="0066704F" w:rsidP="00D31C16">
      <w:pPr>
        <w:tabs>
          <w:tab w:val="clear" w:pos="4320"/>
          <w:tab w:val="clear" w:pos="9072"/>
          <w:tab w:val="left" w:pos="2160"/>
        </w:tabs>
        <w:snapToGrid/>
        <w:ind w:left="1440" w:right="746"/>
        <w:jc w:val="both"/>
        <w:rPr>
          <w:rFonts w:eastAsia="PMingLiU"/>
          <w:sz w:val="24"/>
          <w:szCs w:val="24"/>
        </w:rPr>
      </w:pPr>
      <w:r w:rsidRPr="00D31C16">
        <w:rPr>
          <w:rFonts w:eastAsia="PMingLiU"/>
          <w:sz w:val="24"/>
          <w:szCs w:val="24"/>
        </w:rPr>
        <w:t xml:space="preserve">12. </w:t>
      </w:r>
      <w:r w:rsidR="00D31C16" w:rsidRPr="00D31C16">
        <w:rPr>
          <w:rFonts w:eastAsia="PMingLiU"/>
          <w:sz w:val="24"/>
          <w:szCs w:val="24"/>
        </w:rPr>
        <w:tab/>
      </w:r>
      <w:r w:rsidRPr="00D31C16">
        <w:rPr>
          <w:rFonts w:eastAsia="PMingLiU"/>
          <w:sz w:val="24"/>
          <w:szCs w:val="24"/>
        </w:rPr>
        <w:t xml:space="preserve">If the matter is litigated in the Family Court, the costs will be lower than having it tried in the High Court.  Having regard to the underlying objectives in O.1A r.1 of the Rules of the High Court (Cap.4A, Sub.Leg.), </w:t>
      </w:r>
      <w:r w:rsidRPr="00D31C16">
        <w:rPr>
          <w:rFonts w:eastAsia="PMingLiU"/>
          <w:i/>
          <w:sz w:val="24"/>
          <w:szCs w:val="24"/>
        </w:rPr>
        <w:t>if a case can properly be litigated in the District Court, it should not be transferred to the High Court</w:t>
      </w:r>
      <w:r w:rsidRPr="00D31C16">
        <w:rPr>
          <w:rFonts w:eastAsia="PMingLiU"/>
          <w:sz w:val="24"/>
          <w:szCs w:val="24"/>
        </w:rPr>
        <w:t xml:space="preserve">, see my observations in </w:t>
      </w:r>
      <w:r w:rsidRPr="00D31C16">
        <w:rPr>
          <w:rFonts w:eastAsia="PMingLiU"/>
          <w:i/>
          <w:sz w:val="24"/>
          <w:szCs w:val="24"/>
        </w:rPr>
        <w:t>May Fung Co Ltd v Wing Lung Industrial Ltd</w:t>
      </w:r>
      <w:r w:rsidRPr="00D31C16">
        <w:rPr>
          <w:rFonts w:eastAsia="PMingLiU"/>
          <w:sz w:val="24"/>
          <w:szCs w:val="24"/>
        </w:rPr>
        <w:t xml:space="preserve"> [2009] 5 HKLRD 590.”</w:t>
      </w:r>
      <w:r w:rsidR="00A738C1" w:rsidRPr="00D31C16">
        <w:rPr>
          <w:rFonts w:eastAsia="PMingLiU"/>
          <w:sz w:val="24"/>
          <w:szCs w:val="24"/>
        </w:rPr>
        <w:t xml:space="preserve"> (emphasis added)</w:t>
      </w:r>
    </w:p>
    <w:p w14:paraId="044B9CB3" w14:textId="77777777" w:rsidR="00B55B2F" w:rsidRPr="000C2CC5" w:rsidRDefault="00B55B2F" w:rsidP="000C2CC5">
      <w:pPr>
        <w:tabs>
          <w:tab w:val="clear" w:pos="4320"/>
          <w:tab w:val="clear" w:pos="9072"/>
        </w:tabs>
        <w:snapToGrid/>
        <w:spacing w:line="360" w:lineRule="auto"/>
        <w:jc w:val="both"/>
        <w:rPr>
          <w:rFonts w:eastAsia="PMingLiU"/>
        </w:rPr>
      </w:pPr>
    </w:p>
    <w:p w14:paraId="2219A32D" w14:textId="77777777" w:rsidR="00034D02" w:rsidRDefault="00034D02" w:rsidP="00034D02">
      <w:pPr>
        <w:keepNext/>
        <w:keepLines/>
        <w:widowControl w:val="0"/>
        <w:tabs>
          <w:tab w:val="clear" w:pos="4320"/>
          <w:tab w:val="clear" w:pos="9072"/>
        </w:tabs>
        <w:snapToGrid/>
        <w:spacing w:line="360" w:lineRule="auto"/>
        <w:jc w:val="both"/>
        <w:rPr>
          <w:rFonts w:eastAsia="PMingLiU"/>
        </w:rPr>
      </w:pPr>
    </w:p>
    <w:p w14:paraId="22EFB422" w14:textId="012892A7" w:rsidR="00034D02" w:rsidRDefault="00034D02" w:rsidP="00D31C16">
      <w:pPr>
        <w:keepNext/>
        <w:keepLines/>
        <w:widowControl w:val="0"/>
        <w:numPr>
          <w:ilvl w:val="0"/>
          <w:numId w:val="20"/>
        </w:numPr>
        <w:tabs>
          <w:tab w:val="clear" w:pos="4320"/>
          <w:tab w:val="clear" w:pos="9072"/>
        </w:tabs>
        <w:snapToGrid/>
        <w:spacing w:line="360" w:lineRule="auto"/>
        <w:ind w:left="0" w:firstLine="0"/>
        <w:jc w:val="both"/>
        <w:rPr>
          <w:rFonts w:eastAsia="PMingLiU"/>
        </w:rPr>
      </w:pPr>
      <w:r>
        <w:rPr>
          <w:rFonts w:eastAsia="PMingLiU"/>
        </w:rPr>
        <w:t>The learned judge also referred to the shorter waiting time at the Family Court: para 13.</w:t>
      </w:r>
    </w:p>
    <w:p w14:paraId="6E5DBB97" w14:textId="77777777" w:rsidR="00034D02" w:rsidRDefault="00034D02" w:rsidP="00034D02">
      <w:pPr>
        <w:keepNext/>
        <w:keepLines/>
        <w:widowControl w:val="0"/>
        <w:tabs>
          <w:tab w:val="clear" w:pos="4320"/>
          <w:tab w:val="clear" w:pos="9072"/>
        </w:tabs>
        <w:snapToGrid/>
        <w:spacing w:line="360" w:lineRule="auto"/>
        <w:jc w:val="both"/>
        <w:rPr>
          <w:rFonts w:eastAsia="PMingLiU"/>
        </w:rPr>
      </w:pPr>
    </w:p>
    <w:p w14:paraId="6AAFD147" w14:textId="7A4A830A" w:rsidR="00B55B2F" w:rsidRDefault="00B55B2F" w:rsidP="00D31C16">
      <w:pPr>
        <w:keepNext/>
        <w:keepLines/>
        <w:widowControl w:val="0"/>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To complete </w:t>
      </w:r>
      <w:r w:rsidR="00034D02">
        <w:rPr>
          <w:rFonts w:eastAsia="PMingLiU"/>
        </w:rPr>
        <w:t>his</w:t>
      </w:r>
      <w:r w:rsidRPr="000C2CC5">
        <w:rPr>
          <w:rFonts w:eastAsia="PMingLiU"/>
        </w:rPr>
        <w:t xml:space="preserve"> point, Mr Pun also </w:t>
      </w:r>
      <w:r w:rsidR="00A738C1" w:rsidRPr="000C2CC5">
        <w:rPr>
          <w:rFonts w:eastAsia="PMingLiU"/>
        </w:rPr>
        <w:t>drew my attention to the following passage</w:t>
      </w:r>
      <w:r w:rsidR="006736BD" w:rsidRPr="000C2CC5">
        <w:rPr>
          <w:rFonts w:eastAsia="PMingLiU"/>
        </w:rPr>
        <w:t>, at para 42</w:t>
      </w:r>
      <w:r w:rsidR="00A738C1" w:rsidRPr="000C2CC5">
        <w:rPr>
          <w:rFonts w:eastAsia="PMingLiU"/>
        </w:rPr>
        <w:t>:</w:t>
      </w:r>
      <w:r w:rsidR="00D31C16">
        <w:rPr>
          <w:rFonts w:eastAsia="PMingLiU"/>
        </w:rPr>
        <w:t>-</w:t>
      </w:r>
    </w:p>
    <w:p w14:paraId="555792F1" w14:textId="77777777" w:rsidR="00D31C16" w:rsidRPr="000C2CC5" w:rsidRDefault="00D31C16" w:rsidP="00D31C16">
      <w:pPr>
        <w:keepNext/>
        <w:keepLines/>
        <w:widowControl w:val="0"/>
        <w:tabs>
          <w:tab w:val="clear" w:pos="4320"/>
          <w:tab w:val="clear" w:pos="9072"/>
        </w:tabs>
        <w:snapToGrid/>
        <w:spacing w:line="360" w:lineRule="auto"/>
        <w:jc w:val="both"/>
        <w:rPr>
          <w:rFonts w:eastAsia="PMingLiU"/>
        </w:rPr>
      </w:pPr>
    </w:p>
    <w:p w14:paraId="2930D31E" w14:textId="56AEE9C1" w:rsidR="00A738C1" w:rsidRPr="00D31C16" w:rsidRDefault="00A738C1" w:rsidP="00D31C16">
      <w:pPr>
        <w:tabs>
          <w:tab w:val="clear" w:pos="4320"/>
          <w:tab w:val="clear" w:pos="9072"/>
        </w:tabs>
        <w:snapToGrid/>
        <w:ind w:left="1440" w:right="746"/>
        <w:jc w:val="both"/>
        <w:rPr>
          <w:rFonts w:eastAsia="PMingLiU"/>
          <w:sz w:val="24"/>
          <w:szCs w:val="24"/>
        </w:rPr>
      </w:pPr>
      <w:r w:rsidRPr="00D31C16">
        <w:rPr>
          <w:rFonts w:eastAsia="PMingLiU"/>
          <w:sz w:val="24"/>
          <w:szCs w:val="24"/>
        </w:rPr>
        <w:t>“</w:t>
      </w:r>
      <w:r w:rsidRPr="001753F7">
        <w:rPr>
          <w:rFonts w:eastAsia="PMingLiU"/>
          <w:i/>
          <w:sz w:val="24"/>
          <w:szCs w:val="24"/>
        </w:rPr>
        <w:t xml:space="preserve">After the implementation of Civil Justice Reform, the court and the parties together with their lawyers should be more proactive in case management and more sensitive to cost effectiveness.  It is necessary to have regard to the underlying objectives under O.1A in choosing the forum.  </w:t>
      </w:r>
      <w:r w:rsidRPr="00D31C16">
        <w:rPr>
          <w:rFonts w:eastAsia="PMingLiU"/>
          <w:sz w:val="24"/>
          <w:szCs w:val="24"/>
        </w:rPr>
        <w:t xml:space="preserve">In my experience, there are civil cases in the High Court that can be justly and efficiently dealt with in the District Court.  </w:t>
      </w:r>
      <w:r w:rsidRPr="001753F7">
        <w:rPr>
          <w:rFonts w:eastAsia="PMingLiU"/>
          <w:i/>
          <w:sz w:val="24"/>
          <w:szCs w:val="24"/>
        </w:rPr>
        <w:t xml:space="preserve">In many cases, a transfer to the District Court would bring about more expeditious and more cost-effective disposal of the case.  </w:t>
      </w:r>
      <w:r w:rsidRPr="00D31C16">
        <w:rPr>
          <w:rFonts w:eastAsia="PMingLiU"/>
          <w:sz w:val="24"/>
          <w:szCs w:val="24"/>
        </w:rPr>
        <w:t>To invoke s.44 [of the DCO], the parties have to consent.  That means a case cannot be transferred to the District Court if one or more parties object.  However, a refusal to consent may be taken into account when the court considers the question of costs, particularly when the court has indicated that the case can properly be tried in the District Court and one party has agreed to such a course.”</w:t>
      </w:r>
      <w:r w:rsidR="001753F7">
        <w:rPr>
          <w:rFonts w:eastAsia="PMingLiU"/>
          <w:sz w:val="24"/>
          <w:szCs w:val="24"/>
        </w:rPr>
        <w:t xml:space="preserve"> (emphasis added)</w:t>
      </w:r>
    </w:p>
    <w:p w14:paraId="79A82FAF" w14:textId="77777777" w:rsidR="00A738C1" w:rsidRPr="000C2CC5" w:rsidRDefault="00A738C1" w:rsidP="000C2CC5">
      <w:pPr>
        <w:tabs>
          <w:tab w:val="clear" w:pos="4320"/>
          <w:tab w:val="clear" w:pos="9072"/>
        </w:tabs>
        <w:snapToGrid/>
        <w:spacing w:line="360" w:lineRule="auto"/>
        <w:jc w:val="both"/>
        <w:rPr>
          <w:rFonts w:eastAsia="PMingLiU"/>
        </w:rPr>
      </w:pPr>
    </w:p>
    <w:p w14:paraId="4AD2B80E" w14:textId="4C75FC6B" w:rsidR="003C284C" w:rsidRPr="000C2CC5" w:rsidRDefault="002D1F46"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What Lam J said about section 44 of the DCO does not strictly speaking apply to our case, as it does not appear to have been suggested by either party that the contract claim should be transferred from the CFI to the District Court by consent, notwithstanding the size of the claim.  However, </w:t>
      </w:r>
      <w:r w:rsidR="003C284C" w:rsidRPr="000C2CC5">
        <w:rPr>
          <w:rFonts w:eastAsia="PMingLiU"/>
        </w:rPr>
        <w:t>the sentiment expressed by the learned judge in the passages quoted above and the judgment as</w:t>
      </w:r>
      <w:r w:rsidR="005D18DB">
        <w:rPr>
          <w:rFonts w:eastAsia="PMingLiU"/>
        </w:rPr>
        <w:t xml:space="preserve"> a</w:t>
      </w:r>
      <w:r w:rsidR="003C284C" w:rsidRPr="000C2CC5">
        <w:rPr>
          <w:rFonts w:eastAsia="PMingLiU"/>
        </w:rPr>
        <w:t xml:space="preserve"> whole is unmistakable.  He felt strongly that </w:t>
      </w:r>
      <w:r w:rsidRPr="000C2CC5">
        <w:rPr>
          <w:rFonts w:eastAsia="PMingLiU"/>
        </w:rPr>
        <w:t xml:space="preserve">parties and their </w:t>
      </w:r>
      <w:r w:rsidR="005D18DB">
        <w:rPr>
          <w:rFonts w:eastAsia="PMingLiU"/>
        </w:rPr>
        <w:t>lawyers</w:t>
      </w:r>
      <w:r w:rsidRPr="000C2CC5">
        <w:rPr>
          <w:rFonts w:eastAsia="PMingLiU"/>
        </w:rPr>
        <w:t xml:space="preserve"> should be </w:t>
      </w:r>
      <w:r w:rsidRPr="000C2CC5">
        <w:rPr>
          <w:rFonts w:eastAsia="PMingLiU"/>
          <w:i/>
        </w:rPr>
        <w:t>proactive</w:t>
      </w:r>
      <w:r w:rsidRPr="000C2CC5">
        <w:rPr>
          <w:rFonts w:eastAsia="PMingLiU"/>
        </w:rPr>
        <w:t xml:space="preserve"> </w:t>
      </w:r>
      <w:r w:rsidR="003C284C" w:rsidRPr="000C2CC5">
        <w:rPr>
          <w:rFonts w:eastAsia="PMingLiU"/>
        </w:rPr>
        <w:t xml:space="preserve">and </w:t>
      </w:r>
      <w:r w:rsidR="003C284C" w:rsidRPr="000C2CC5">
        <w:rPr>
          <w:rFonts w:eastAsia="PMingLiU"/>
          <w:i/>
        </w:rPr>
        <w:t>cost-sensitive</w:t>
      </w:r>
      <w:r w:rsidR="003C284C" w:rsidRPr="000C2CC5">
        <w:rPr>
          <w:rFonts w:eastAsia="PMingLiU"/>
        </w:rPr>
        <w:t xml:space="preserve"> when it comes to choosing the forum to resolve the</w:t>
      </w:r>
      <w:r w:rsidR="001753F7">
        <w:rPr>
          <w:rFonts w:eastAsia="PMingLiU"/>
        </w:rPr>
        <w:t>ir</w:t>
      </w:r>
      <w:r w:rsidR="003C284C" w:rsidRPr="000C2CC5">
        <w:rPr>
          <w:rFonts w:eastAsia="PMingLiU"/>
        </w:rPr>
        <w:t xml:space="preserve"> dispute</w:t>
      </w:r>
      <w:r w:rsidR="001753F7">
        <w:rPr>
          <w:rFonts w:eastAsia="PMingLiU"/>
        </w:rPr>
        <w:t>s</w:t>
      </w:r>
      <w:r w:rsidR="00FC0661" w:rsidRPr="000C2CC5">
        <w:rPr>
          <w:rFonts w:eastAsia="PMingLiU"/>
        </w:rPr>
        <w:t xml:space="preserve">.  </w:t>
      </w:r>
    </w:p>
    <w:p w14:paraId="1C1B338B" w14:textId="77777777" w:rsidR="0021273D" w:rsidRDefault="0021273D" w:rsidP="0021273D">
      <w:pPr>
        <w:tabs>
          <w:tab w:val="clear" w:pos="4320"/>
          <w:tab w:val="clear" w:pos="9072"/>
        </w:tabs>
        <w:snapToGrid/>
        <w:spacing w:line="360" w:lineRule="auto"/>
        <w:jc w:val="both"/>
        <w:rPr>
          <w:rFonts w:eastAsia="PMingLiU"/>
        </w:rPr>
      </w:pPr>
    </w:p>
    <w:p w14:paraId="3FEFDC49" w14:textId="4832E641" w:rsidR="007375ED" w:rsidRPr="000C2CC5" w:rsidRDefault="00FC0661"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I have borne that in mind in arriving at the decision in the present case.  </w:t>
      </w:r>
      <w:r w:rsidR="00DC7D3E" w:rsidRPr="000C2CC5">
        <w:rPr>
          <w:rFonts w:eastAsia="PMingLiU"/>
        </w:rPr>
        <w:t xml:space="preserve">Here, if the EO claim is considered in isolation, </w:t>
      </w:r>
      <w:r w:rsidR="00A21025" w:rsidRPr="000C2CC5">
        <w:rPr>
          <w:rFonts w:eastAsia="PMingLiU"/>
        </w:rPr>
        <w:t xml:space="preserve">it is not a complicated matter.  The factual disputes are not extensive and the legal issues </w:t>
      </w:r>
      <w:r w:rsidR="005D18DB">
        <w:rPr>
          <w:rFonts w:eastAsia="PMingLiU"/>
        </w:rPr>
        <w:t>are</w:t>
      </w:r>
      <w:r w:rsidR="00A21025" w:rsidRPr="000C2CC5">
        <w:rPr>
          <w:rFonts w:eastAsia="PMingLiU"/>
        </w:rPr>
        <w:t xml:space="preserve"> within narrow confines.  On its own, it is a case which can suitably</w:t>
      </w:r>
      <w:r w:rsidR="00034D02">
        <w:rPr>
          <w:rFonts w:eastAsia="PMingLiU"/>
        </w:rPr>
        <w:t xml:space="preserve"> be</w:t>
      </w:r>
      <w:r w:rsidR="00A21025" w:rsidRPr="000C2CC5">
        <w:rPr>
          <w:rFonts w:eastAsia="PMingLiU"/>
        </w:rPr>
        <w:t xml:space="preserve"> dealt with in the District Court.  However, the parties are not able to agree on how to deal with the </w:t>
      </w:r>
      <w:r w:rsidR="00034D02">
        <w:rPr>
          <w:rFonts w:eastAsia="PMingLiU"/>
        </w:rPr>
        <w:t xml:space="preserve">parallel </w:t>
      </w:r>
      <w:r w:rsidR="00A21025" w:rsidRPr="000C2CC5">
        <w:rPr>
          <w:rFonts w:eastAsia="PMingLiU"/>
        </w:rPr>
        <w:t>High Court action, notwithstanding the claimant’s proposed undertaking which effect is to practically confine the dispute to a pure</w:t>
      </w:r>
      <w:r w:rsidR="00034D02">
        <w:rPr>
          <w:rFonts w:eastAsia="PMingLiU"/>
        </w:rPr>
        <w:t>ly</w:t>
      </w:r>
      <w:r w:rsidR="00A21025" w:rsidRPr="000C2CC5">
        <w:rPr>
          <w:rFonts w:eastAsia="PMingLiU"/>
        </w:rPr>
        <w:t xml:space="preserve"> EO </w:t>
      </w:r>
      <w:r w:rsidR="005D18DB">
        <w:rPr>
          <w:rFonts w:eastAsia="PMingLiU"/>
        </w:rPr>
        <w:t>context</w:t>
      </w:r>
      <w:r w:rsidR="00A21025" w:rsidRPr="000C2CC5">
        <w:rPr>
          <w:rFonts w:eastAsia="PMingLiU"/>
        </w:rPr>
        <w:t xml:space="preserve">. </w:t>
      </w:r>
      <w:r w:rsidR="00190A8A" w:rsidRPr="000C2CC5">
        <w:rPr>
          <w:rFonts w:eastAsia="PMingLiU"/>
        </w:rPr>
        <w:t xml:space="preserve"> As such, the </w:t>
      </w:r>
      <w:r w:rsidR="00034D02">
        <w:rPr>
          <w:rFonts w:eastAsia="PMingLiU"/>
        </w:rPr>
        <w:t>case</w:t>
      </w:r>
      <w:r w:rsidR="00190A8A" w:rsidRPr="000C2CC5">
        <w:rPr>
          <w:rFonts w:eastAsia="PMingLiU"/>
        </w:rPr>
        <w:t xml:space="preserve"> remains a “mixed claims” situation.  In the circumstances, the two actions are more suitably heard at the same time </w:t>
      </w:r>
      <w:r w:rsidR="001753F7">
        <w:rPr>
          <w:rFonts w:eastAsia="PMingLiU"/>
        </w:rPr>
        <w:t>in</w:t>
      </w:r>
      <w:r w:rsidR="00190A8A" w:rsidRPr="000C2CC5">
        <w:rPr>
          <w:rFonts w:eastAsia="PMingLiU"/>
        </w:rPr>
        <w:t xml:space="preserve"> the CFI.</w:t>
      </w:r>
    </w:p>
    <w:p w14:paraId="19AADA2E" w14:textId="7E2AC757" w:rsidR="007375ED" w:rsidRPr="000C2CC5" w:rsidRDefault="007375ED" w:rsidP="000C2CC5">
      <w:pPr>
        <w:tabs>
          <w:tab w:val="clear" w:pos="4320"/>
          <w:tab w:val="clear" w:pos="9072"/>
        </w:tabs>
        <w:snapToGrid/>
        <w:spacing w:line="360" w:lineRule="auto"/>
        <w:jc w:val="both"/>
        <w:rPr>
          <w:rFonts w:eastAsia="PMingLiU"/>
        </w:rPr>
      </w:pPr>
    </w:p>
    <w:p w14:paraId="324723A5" w14:textId="651D8E6A" w:rsidR="00D81DCF" w:rsidRPr="000C2CC5" w:rsidRDefault="0090530B" w:rsidP="000C2CC5">
      <w:pPr>
        <w:pStyle w:val="ListParagraph"/>
        <w:spacing w:line="360" w:lineRule="auto"/>
        <w:ind w:left="0"/>
        <w:jc w:val="both"/>
        <w:rPr>
          <w:rFonts w:eastAsia="PMingLiU"/>
          <w:i/>
        </w:rPr>
      </w:pPr>
      <w:r w:rsidRPr="000C2CC5">
        <w:rPr>
          <w:rFonts w:eastAsia="PMingLiU"/>
          <w:i/>
        </w:rPr>
        <w:t>CONCLUSION</w:t>
      </w:r>
    </w:p>
    <w:p w14:paraId="0A2EB416" w14:textId="77777777" w:rsidR="00D81DCF" w:rsidRPr="000C2CC5" w:rsidRDefault="00D81DCF" w:rsidP="000C2CC5">
      <w:pPr>
        <w:pStyle w:val="ListParagraph"/>
        <w:spacing w:line="360" w:lineRule="auto"/>
        <w:ind w:left="0"/>
        <w:jc w:val="both"/>
        <w:rPr>
          <w:rFonts w:eastAsia="PMingLiU"/>
        </w:rPr>
      </w:pPr>
    </w:p>
    <w:p w14:paraId="196432BF" w14:textId="14015506" w:rsidR="007375ED" w:rsidRPr="000C2CC5" w:rsidRDefault="00CD3E12"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I order that the </w:t>
      </w:r>
      <w:r w:rsidR="0090530B" w:rsidRPr="000C2CC5">
        <w:rPr>
          <w:rFonts w:eastAsia="PMingLiU"/>
        </w:rPr>
        <w:t>EO claim</w:t>
      </w:r>
      <w:r w:rsidRPr="000C2CC5">
        <w:rPr>
          <w:rFonts w:eastAsia="PMingLiU"/>
        </w:rPr>
        <w:t xml:space="preserve"> be transferred to the </w:t>
      </w:r>
      <w:r w:rsidR="00D6023B">
        <w:rPr>
          <w:rFonts w:eastAsia="PMingLiU"/>
        </w:rPr>
        <w:t>CFI</w:t>
      </w:r>
      <w:r w:rsidR="00D81DCF" w:rsidRPr="000C2CC5">
        <w:rPr>
          <w:rFonts w:eastAsia="PMingLiU"/>
        </w:rPr>
        <w:t>.</w:t>
      </w:r>
    </w:p>
    <w:p w14:paraId="33FB88B4" w14:textId="2978230B" w:rsidR="007375ED" w:rsidRDefault="007375ED" w:rsidP="000C2CC5">
      <w:pPr>
        <w:spacing w:line="360" w:lineRule="auto"/>
        <w:jc w:val="both"/>
        <w:rPr>
          <w:rFonts w:eastAsia="PMingLiU"/>
        </w:rPr>
      </w:pPr>
    </w:p>
    <w:p w14:paraId="00E52ED2" w14:textId="6151B444" w:rsidR="00D6023B" w:rsidRDefault="00D6023B" w:rsidP="000C2CC5">
      <w:pPr>
        <w:spacing w:line="360" w:lineRule="auto"/>
        <w:jc w:val="both"/>
        <w:rPr>
          <w:rFonts w:eastAsia="PMingLiU"/>
        </w:rPr>
      </w:pPr>
    </w:p>
    <w:p w14:paraId="167D7F07" w14:textId="30DBF5E0" w:rsidR="00D6023B" w:rsidRDefault="00D6023B" w:rsidP="000C2CC5">
      <w:pPr>
        <w:spacing w:line="360" w:lineRule="auto"/>
        <w:jc w:val="both"/>
        <w:rPr>
          <w:rFonts w:eastAsia="PMingLiU"/>
        </w:rPr>
      </w:pPr>
    </w:p>
    <w:p w14:paraId="01745A63" w14:textId="67227B30" w:rsidR="00D6023B" w:rsidRDefault="00D6023B" w:rsidP="000C2CC5">
      <w:pPr>
        <w:spacing w:line="360" w:lineRule="auto"/>
        <w:jc w:val="both"/>
        <w:rPr>
          <w:rFonts w:eastAsia="PMingLiU"/>
        </w:rPr>
      </w:pPr>
    </w:p>
    <w:p w14:paraId="30DCD1CE" w14:textId="1FFEBB5B" w:rsidR="00D6023B" w:rsidRDefault="00D6023B" w:rsidP="000C2CC5">
      <w:pPr>
        <w:spacing w:line="360" w:lineRule="auto"/>
        <w:jc w:val="both"/>
        <w:rPr>
          <w:rFonts w:eastAsia="PMingLiU"/>
        </w:rPr>
      </w:pPr>
    </w:p>
    <w:p w14:paraId="0A664709" w14:textId="56C23BA4" w:rsidR="00D6023B" w:rsidRDefault="00D6023B" w:rsidP="000C2CC5">
      <w:pPr>
        <w:spacing w:line="360" w:lineRule="auto"/>
        <w:jc w:val="both"/>
        <w:rPr>
          <w:rFonts w:eastAsia="PMingLiU"/>
        </w:rPr>
      </w:pPr>
    </w:p>
    <w:p w14:paraId="7476E28F" w14:textId="793AAAE0" w:rsidR="00D6023B" w:rsidRDefault="00D6023B" w:rsidP="000C2CC5">
      <w:pPr>
        <w:spacing w:line="360" w:lineRule="auto"/>
        <w:jc w:val="both"/>
        <w:rPr>
          <w:rFonts w:eastAsia="PMingLiU"/>
        </w:rPr>
      </w:pPr>
    </w:p>
    <w:p w14:paraId="5ABA4723" w14:textId="77777777" w:rsidR="00D6023B" w:rsidRPr="000C2CC5" w:rsidRDefault="00D6023B" w:rsidP="000C2CC5">
      <w:pPr>
        <w:spacing w:line="360" w:lineRule="auto"/>
        <w:jc w:val="both"/>
        <w:rPr>
          <w:rFonts w:eastAsia="PMingLiU"/>
        </w:rPr>
      </w:pPr>
    </w:p>
    <w:p w14:paraId="53B82786" w14:textId="721C4975" w:rsidR="007375ED" w:rsidRPr="000C2CC5" w:rsidRDefault="00CD3E12" w:rsidP="000C2CC5">
      <w:pPr>
        <w:numPr>
          <w:ilvl w:val="0"/>
          <w:numId w:val="20"/>
        </w:numPr>
        <w:tabs>
          <w:tab w:val="clear" w:pos="4320"/>
          <w:tab w:val="clear" w:pos="9072"/>
        </w:tabs>
        <w:snapToGrid/>
        <w:spacing w:line="360" w:lineRule="auto"/>
        <w:ind w:left="0" w:firstLine="0"/>
        <w:jc w:val="both"/>
        <w:rPr>
          <w:rFonts w:eastAsia="PMingLiU"/>
        </w:rPr>
      </w:pPr>
      <w:r w:rsidRPr="000C2CC5">
        <w:rPr>
          <w:rFonts w:eastAsia="PMingLiU"/>
        </w:rPr>
        <w:t xml:space="preserve">I further </w:t>
      </w:r>
      <w:r w:rsidR="006C782D" w:rsidRPr="000C2CC5">
        <w:rPr>
          <w:rFonts w:eastAsia="PMingLiU"/>
        </w:rPr>
        <w:t xml:space="preserve">order </w:t>
      </w:r>
      <w:r w:rsidRPr="000C2CC5">
        <w:rPr>
          <w:rFonts w:eastAsia="PMingLiU"/>
        </w:rPr>
        <w:t xml:space="preserve">on a </w:t>
      </w:r>
      <w:r w:rsidRPr="000C2CC5">
        <w:rPr>
          <w:rFonts w:eastAsia="PMingLiU"/>
          <w:i/>
        </w:rPr>
        <w:t>nisi</w:t>
      </w:r>
      <w:r w:rsidRPr="000C2CC5">
        <w:rPr>
          <w:rFonts w:eastAsia="PMingLiU"/>
        </w:rPr>
        <w:t xml:space="preserve"> basis </w:t>
      </w:r>
      <w:r w:rsidR="006C782D" w:rsidRPr="000C2CC5">
        <w:rPr>
          <w:rFonts w:eastAsia="PMingLiU"/>
        </w:rPr>
        <w:t>that</w:t>
      </w:r>
      <w:r w:rsidR="00034D02">
        <w:rPr>
          <w:rFonts w:eastAsia="PMingLiU"/>
        </w:rPr>
        <w:t xml:space="preserve"> there be no order as to</w:t>
      </w:r>
      <w:r w:rsidRPr="000C2CC5">
        <w:rPr>
          <w:rFonts w:eastAsia="PMingLiU"/>
        </w:rPr>
        <w:t xml:space="preserve"> costs of the application and the costs of the transfer be in the cause</w:t>
      </w:r>
      <w:r w:rsidR="006C782D" w:rsidRPr="000C2CC5">
        <w:rPr>
          <w:rFonts w:eastAsia="PMingLiU"/>
        </w:rPr>
        <w:t>.</w:t>
      </w:r>
      <w:r w:rsidRPr="000C2CC5">
        <w:rPr>
          <w:rFonts w:eastAsia="PMingLiU"/>
        </w:rPr>
        <w:t xml:space="preserve">  </w:t>
      </w:r>
      <w:r w:rsidR="00034D02">
        <w:rPr>
          <w:rFonts w:eastAsia="PMingLiU"/>
        </w:rPr>
        <w:t>The former order follows</w:t>
      </w:r>
      <w:r w:rsidR="006E0BFD" w:rsidRPr="000C2CC5">
        <w:rPr>
          <w:rFonts w:eastAsia="PMingLiU"/>
        </w:rPr>
        <w:t xml:space="preserve"> the special costs </w:t>
      </w:r>
      <w:r w:rsidR="00034D02">
        <w:rPr>
          <w:rFonts w:eastAsia="PMingLiU"/>
        </w:rPr>
        <w:t>position laid down</w:t>
      </w:r>
      <w:r w:rsidR="006E0BFD" w:rsidRPr="000C2CC5">
        <w:rPr>
          <w:rFonts w:eastAsia="PMingLiU"/>
        </w:rPr>
        <w:t xml:space="preserve"> in section</w:t>
      </w:r>
      <w:r w:rsidR="00034D02">
        <w:rPr>
          <w:rFonts w:eastAsia="PMingLiU"/>
        </w:rPr>
        <w:t>s</w:t>
      </w:r>
      <w:r w:rsidR="006E0BFD" w:rsidRPr="000C2CC5">
        <w:rPr>
          <w:rFonts w:eastAsia="PMingLiU"/>
        </w:rPr>
        <w:t xml:space="preserve"> 73B(3) </w:t>
      </w:r>
      <w:r w:rsidR="00034D02">
        <w:rPr>
          <w:rFonts w:eastAsia="PMingLiU"/>
        </w:rPr>
        <w:t xml:space="preserve">and 73D(3) </w:t>
      </w:r>
      <w:r w:rsidR="006E0BFD" w:rsidRPr="000C2CC5">
        <w:rPr>
          <w:rFonts w:eastAsia="PMingLiU"/>
        </w:rPr>
        <w:t xml:space="preserve">of the </w:t>
      </w:r>
      <w:r w:rsidR="00034D02">
        <w:rPr>
          <w:rFonts w:eastAsia="PMingLiU"/>
        </w:rPr>
        <w:t>DCO</w:t>
      </w:r>
      <w:r w:rsidR="006E0BFD" w:rsidRPr="000C2CC5">
        <w:rPr>
          <w:rFonts w:eastAsia="PMingLiU"/>
        </w:rPr>
        <w:t>.</w:t>
      </w:r>
    </w:p>
    <w:p w14:paraId="0343E365" w14:textId="77777777" w:rsidR="00D6023B" w:rsidRDefault="00D6023B" w:rsidP="0021273D">
      <w:pPr>
        <w:tabs>
          <w:tab w:val="clear" w:pos="1440"/>
          <w:tab w:val="clear" w:pos="4320"/>
          <w:tab w:val="left" w:pos="1418"/>
          <w:tab w:val="center" w:pos="6300"/>
        </w:tabs>
        <w:rPr>
          <w:rFonts w:eastAsia="PMingLiU"/>
          <w:bCs/>
          <w:lang w:val="en-GB"/>
        </w:rPr>
      </w:pPr>
    </w:p>
    <w:p w14:paraId="166499A6" w14:textId="042B7A0C" w:rsidR="00D6023B" w:rsidRDefault="00D6023B" w:rsidP="0021273D">
      <w:pPr>
        <w:tabs>
          <w:tab w:val="clear" w:pos="1440"/>
          <w:tab w:val="clear" w:pos="4320"/>
          <w:tab w:val="left" w:pos="1418"/>
          <w:tab w:val="center" w:pos="6300"/>
        </w:tabs>
        <w:rPr>
          <w:rFonts w:eastAsia="PMingLiU"/>
          <w:bCs/>
          <w:lang w:val="en-GB"/>
        </w:rPr>
      </w:pPr>
    </w:p>
    <w:p w14:paraId="12F5D80F" w14:textId="6519C69D" w:rsidR="00D6023B" w:rsidRDefault="00D6023B" w:rsidP="0021273D">
      <w:pPr>
        <w:tabs>
          <w:tab w:val="clear" w:pos="1440"/>
          <w:tab w:val="clear" w:pos="4320"/>
          <w:tab w:val="left" w:pos="1418"/>
          <w:tab w:val="center" w:pos="6300"/>
        </w:tabs>
        <w:rPr>
          <w:rFonts w:eastAsia="PMingLiU"/>
          <w:bCs/>
          <w:lang w:val="en-GB"/>
        </w:rPr>
      </w:pPr>
    </w:p>
    <w:p w14:paraId="28E55266" w14:textId="77777777" w:rsidR="00D6023B" w:rsidRDefault="00D6023B" w:rsidP="0021273D">
      <w:pPr>
        <w:tabs>
          <w:tab w:val="clear" w:pos="1440"/>
          <w:tab w:val="clear" w:pos="4320"/>
          <w:tab w:val="left" w:pos="1418"/>
          <w:tab w:val="center" w:pos="6300"/>
        </w:tabs>
        <w:rPr>
          <w:rFonts w:eastAsia="PMingLiU"/>
          <w:bCs/>
          <w:lang w:val="en-GB"/>
        </w:rPr>
      </w:pPr>
    </w:p>
    <w:p w14:paraId="6721398C" w14:textId="7E80F050" w:rsidR="00D6023B" w:rsidRDefault="00D6023B" w:rsidP="0021273D">
      <w:pPr>
        <w:tabs>
          <w:tab w:val="clear" w:pos="1440"/>
          <w:tab w:val="clear" w:pos="4320"/>
          <w:tab w:val="left" w:pos="1418"/>
          <w:tab w:val="center" w:pos="6300"/>
        </w:tabs>
        <w:rPr>
          <w:rFonts w:eastAsia="PMingLiU"/>
          <w:bCs/>
          <w:lang w:val="en-GB"/>
        </w:rPr>
      </w:pPr>
    </w:p>
    <w:p w14:paraId="33901BCF" w14:textId="08C116A9" w:rsidR="00D6023B" w:rsidRDefault="00D6023B" w:rsidP="0021273D">
      <w:pPr>
        <w:tabs>
          <w:tab w:val="clear" w:pos="1440"/>
          <w:tab w:val="clear" w:pos="4320"/>
          <w:tab w:val="left" w:pos="1418"/>
          <w:tab w:val="center" w:pos="6300"/>
        </w:tabs>
        <w:rPr>
          <w:rFonts w:eastAsia="PMingLiU"/>
          <w:bCs/>
          <w:lang w:val="en-GB"/>
        </w:rPr>
      </w:pPr>
    </w:p>
    <w:p w14:paraId="728F08B0" w14:textId="77777777" w:rsidR="00D6023B" w:rsidRDefault="00D6023B" w:rsidP="0021273D">
      <w:pPr>
        <w:tabs>
          <w:tab w:val="clear" w:pos="1440"/>
          <w:tab w:val="clear" w:pos="4320"/>
          <w:tab w:val="left" w:pos="1418"/>
          <w:tab w:val="center" w:pos="6300"/>
        </w:tabs>
        <w:rPr>
          <w:rFonts w:eastAsia="PMingLiU"/>
          <w:bCs/>
          <w:lang w:val="en-GB"/>
        </w:rPr>
      </w:pPr>
    </w:p>
    <w:p w14:paraId="1CB6BC97" w14:textId="50A99FCF" w:rsidR="00697FF2" w:rsidRPr="000C2CC5" w:rsidRDefault="00697FF2" w:rsidP="0021273D">
      <w:pPr>
        <w:tabs>
          <w:tab w:val="clear" w:pos="1440"/>
          <w:tab w:val="clear" w:pos="4320"/>
          <w:tab w:val="left" w:pos="1418"/>
          <w:tab w:val="center" w:pos="6300"/>
        </w:tabs>
        <w:rPr>
          <w:rFonts w:eastAsia="PMingLiU"/>
          <w:bCs/>
          <w:lang w:val="en-GB"/>
        </w:rPr>
      </w:pPr>
      <w:r w:rsidRPr="000C2CC5">
        <w:rPr>
          <w:rFonts w:eastAsia="PMingLiU"/>
          <w:bCs/>
          <w:lang w:val="en-GB"/>
        </w:rPr>
        <w:tab/>
      </w:r>
      <w:r w:rsidRPr="000C2CC5">
        <w:rPr>
          <w:rFonts w:eastAsia="PMingLiU"/>
          <w:bCs/>
          <w:lang w:val="en-GB"/>
        </w:rPr>
        <w:tab/>
        <w:t xml:space="preserve">( </w:t>
      </w:r>
      <w:r w:rsidR="00702937" w:rsidRPr="000C2CC5">
        <w:rPr>
          <w:rFonts w:eastAsia="PMingLiU"/>
          <w:bCs/>
          <w:lang w:val="en-GB"/>
        </w:rPr>
        <w:t>Winnie Tsui</w:t>
      </w:r>
      <w:r w:rsidRPr="000C2CC5">
        <w:rPr>
          <w:rFonts w:eastAsia="PMingLiU"/>
          <w:bCs/>
          <w:lang w:val="en-GB"/>
        </w:rPr>
        <w:t xml:space="preserve"> )</w:t>
      </w:r>
    </w:p>
    <w:p w14:paraId="296DA6A0" w14:textId="77777777" w:rsidR="00697FF2" w:rsidRPr="000C2CC5" w:rsidRDefault="00697FF2" w:rsidP="0021273D">
      <w:pPr>
        <w:tabs>
          <w:tab w:val="clear" w:pos="1440"/>
          <w:tab w:val="clear" w:pos="4320"/>
          <w:tab w:val="left" w:pos="1418"/>
          <w:tab w:val="center" w:pos="6300"/>
        </w:tabs>
        <w:rPr>
          <w:rFonts w:eastAsia="PMingLiU"/>
          <w:bCs/>
          <w:lang w:val="en-GB"/>
        </w:rPr>
      </w:pPr>
      <w:r w:rsidRPr="000C2CC5">
        <w:rPr>
          <w:rFonts w:eastAsia="PMingLiU"/>
          <w:bCs/>
          <w:lang w:val="en-GB"/>
        </w:rPr>
        <w:tab/>
      </w:r>
      <w:r w:rsidRPr="000C2CC5">
        <w:rPr>
          <w:rFonts w:eastAsia="PMingLiU"/>
          <w:bCs/>
          <w:lang w:val="en-GB"/>
        </w:rPr>
        <w:tab/>
        <w:t>District Judge</w:t>
      </w:r>
    </w:p>
    <w:p w14:paraId="04DF32EA" w14:textId="77777777" w:rsidR="00267E4B" w:rsidRPr="000C2CC5" w:rsidRDefault="00267E4B" w:rsidP="00E7432E">
      <w:pPr>
        <w:tabs>
          <w:tab w:val="center" w:pos="6498"/>
        </w:tabs>
        <w:jc w:val="both"/>
        <w:rPr>
          <w:rFonts w:eastAsia="PMingLiU"/>
          <w:lang w:val="en-GB"/>
        </w:rPr>
      </w:pPr>
    </w:p>
    <w:p w14:paraId="5EF6B502" w14:textId="77777777" w:rsidR="00D6023B" w:rsidRDefault="00D6023B" w:rsidP="00E7432E">
      <w:pPr>
        <w:tabs>
          <w:tab w:val="center" w:pos="6498"/>
        </w:tabs>
        <w:jc w:val="both"/>
        <w:rPr>
          <w:rFonts w:eastAsia="PMingLiU"/>
          <w:lang w:val="en-GB"/>
        </w:rPr>
      </w:pPr>
    </w:p>
    <w:p w14:paraId="01AD165F" w14:textId="4DEB8268" w:rsidR="000B6061" w:rsidRPr="000C2CC5" w:rsidRDefault="000B6061" w:rsidP="00E7432E">
      <w:pPr>
        <w:tabs>
          <w:tab w:val="center" w:pos="6498"/>
        </w:tabs>
        <w:jc w:val="both"/>
        <w:rPr>
          <w:rFonts w:eastAsia="PMingLiU"/>
          <w:lang w:val="en-GB"/>
        </w:rPr>
      </w:pPr>
      <w:r w:rsidRPr="000C2CC5">
        <w:rPr>
          <w:rFonts w:eastAsia="PMingLiU"/>
          <w:lang w:val="en-GB"/>
        </w:rPr>
        <w:t>M</w:t>
      </w:r>
      <w:r w:rsidR="008F7C08" w:rsidRPr="000C2CC5">
        <w:rPr>
          <w:rFonts w:eastAsia="PMingLiU"/>
          <w:lang w:val="en-GB"/>
        </w:rPr>
        <w:t xml:space="preserve">r </w:t>
      </w:r>
      <w:r w:rsidR="00CD3E12" w:rsidRPr="000C2CC5">
        <w:rPr>
          <w:rFonts w:eastAsia="PMingLiU"/>
          <w:lang w:val="en-GB"/>
        </w:rPr>
        <w:t>Hectar Pun, SC and Mr Carter Chim</w:t>
      </w:r>
      <w:r w:rsidR="00702937" w:rsidRPr="000C2CC5">
        <w:rPr>
          <w:rFonts w:eastAsia="PMingLiU"/>
          <w:lang w:val="en-GB"/>
        </w:rPr>
        <w:t>,</w:t>
      </w:r>
      <w:r w:rsidRPr="000C2CC5">
        <w:rPr>
          <w:rFonts w:eastAsia="PMingLiU"/>
          <w:lang w:val="en-GB"/>
        </w:rPr>
        <w:t xml:space="preserve"> instructed by </w:t>
      </w:r>
      <w:r w:rsidR="00702937" w:rsidRPr="000C2CC5">
        <w:rPr>
          <w:rFonts w:eastAsia="PMingLiU"/>
          <w:lang w:val="en-GB"/>
        </w:rPr>
        <w:t>Tung, Ng, Tse &amp; Heung</w:t>
      </w:r>
      <w:r w:rsidR="008F7C08" w:rsidRPr="000C2CC5">
        <w:rPr>
          <w:rFonts w:eastAsia="PMingLiU"/>
          <w:lang w:val="en-GB"/>
        </w:rPr>
        <w:t xml:space="preserve">, </w:t>
      </w:r>
      <w:r w:rsidRPr="000C2CC5">
        <w:rPr>
          <w:rFonts w:eastAsia="PMingLiU"/>
          <w:lang w:val="en-GB"/>
        </w:rPr>
        <w:t xml:space="preserve">for the </w:t>
      </w:r>
      <w:r w:rsidR="00CD3E12" w:rsidRPr="000C2CC5">
        <w:rPr>
          <w:rFonts w:eastAsia="PMingLiU"/>
          <w:lang w:val="en-GB"/>
        </w:rPr>
        <w:t>claimant</w:t>
      </w:r>
      <w:r w:rsidRPr="000C2CC5">
        <w:rPr>
          <w:rFonts w:eastAsia="PMingLiU"/>
          <w:lang w:val="en-GB"/>
        </w:rPr>
        <w:t xml:space="preserve"> </w:t>
      </w:r>
    </w:p>
    <w:p w14:paraId="683FF1F5" w14:textId="77777777" w:rsidR="00697FF2" w:rsidRPr="000C2CC5" w:rsidRDefault="00697FF2" w:rsidP="00E7432E">
      <w:pPr>
        <w:tabs>
          <w:tab w:val="center" w:pos="6498"/>
        </w:tabs>
        <w:jc w:val="both"/>
        <w:rPr>
          <w:rFonts w:eastAsia="PMingLiU"/>
          <w:lang w:val="en-GB"/>
        </w:rPr>
      </w:pPr>
    </w:p>
    <w:p w14:paraId="381134BA" w14:textId="16FE2A10" w:rsidR="005B2D79" w:rsidRPr="000C2CC5" w:rsidRDefault="008F7C08" w:rsidP="00E7432E">
      <w:pPr>
        <w:jc w:val="both"/>
        <w:rPr>
          <w:rFonts w:eastAsia="PMingLiU"/>
          <w:lang w:val="en-GB"/>
        </w:rPr>
      </w:pPr>
      <w:r w:rsidRPr="000C2CC5">
        <w:rPr>
          <w:rFonts w:eastAsia="PMingLiU"/>
          <w:bCs/>
          <w:lang w:val="en-GB"/>
        </w:rPr>
        <w:t xml:space="preserve">Mr </w:t>
      </w:r>
      <w:r w:rsidR="00CD3E12" w:rsidRPr="000C2CC5">
        <w:rPr>
          <w:rFonts w:eastAsia="PMingLiU"/>
          <w:bCs/>
          <w:lang w:val="en-GB"/>
        </w:rPr>
        <w:t>Norman Nip</w:t>
      </w:r>
      <w:r w:rsidR="00BC66F6" w:rsidRPr="000C2CC5">
        <w:rPr>
          <w:rFonts w:eastAsia="PMingLiU"/>
          <w:bCs/>
          <w:lang w:val="en-GB"/>
        </w:rPr>
        <w:t xml:space="preserve">, instructed by </w:t>
      </w:r>
      <w:r w:rsidR="00CD3E12" w:rsidRPr="000C2CC5">
        <w:rPr>
          <w:rFonts w:eastAsia="PMingLiU"/>
          <w:bCs/>
          <w:lang w:val="en-GB"/>
        </w:rPr>
        <w:t>Cheung, Chan &amp; Chung, for the 1</w:t>
      </w:r>
      <w:r w:rsidR="00CD3E12" w:rsidRPr="000C2CC5">
        <w:rPr>
          <w:rFonts w:eastAsia="PMingLiU"/>
          <w:bCs/>
          <w:vertAlign w:val="superscript"/>
          <w:lang w:val="en-GB"/>
        </w:rPr>
        <w:t>st</w:t>
      </w:r>
      <w:r w:rsidR="00CD3E12" w:rsidRPr="000C2CC5">
        <w:rPr>
          <w:rFonts w:eastAsia="PMingLiU"/>
          <w:bCs/>
          <w:lang w:val="en-GB"/>
        </w:rPr>
        <w:t xml:space="preserve"> to 4</w:t>
      </w:r>
      <w:r w:rsidR="00CD3E12" w:rsidRPr="000C2CC5">
        <w:rPr>
          <w:rFonts w:eastAsia="PMingLiU"/>
          <w:bCs/>
          <w:vertAlign w:val="superscript"/>
          <w:lang w:val="en-GB"/>
        </w:rPr>
        <w:t>th</w:t>
      </w:r>
      <w:r w:rsidR="00CD3E12" w:rsidRPr="000C2CC5">
        <w:rPr>
          <w:rFonts w:eastAsia="PMingLiU"/>
          <w:bCs/>
          <w:lang w:val="en-GB"/>
        </w:rPr>
        <w:t xml:space="preserve"> respondents</w:t>
      </w:r>
    </w:p>
    <w:sectPr w:rsidR="005B2D79" w:rsidRPr="000C2CC5" w:rsidSect="00AA7F4D">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2BC13" w14:textId="77777777" w:rsidR="008566FB" w:rsidRDefault="008566FB">
      <w:r>
        <w:separator/>
      </w:r>
    </w:p>
  </w:endnote>
  <w:endnote w:type="continuationSeparator" w:id="0">
    <w:p w14:paraId="2035684B" w14:textId="77777777" w:rsidR="008566FB" w:rsidRDefault="0085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F7B38" w14:textId="77777777" w:rsidR="00F445FF" w:rsidRDefault="00F445FF">
    <w:pPr>
      <w:pStyle w:val="Footer"/>
      <w:framePr w:wrap="auto" w:vAnchor="text" w:hAnchor="margin" w:xAlign="right" w:y="1"/>
      <w:rPr>
        <w:rStyle w:val="PageNumber"/>
      </w:rPr>
    </w:pPr>
  </w:p>
  <w:p w14:paraId="4256DDAC" w14:textId="77777777" w:rsidR="00F445FF" w:rsidRDefault="00F445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90C26" w14:textId="77777777" w:rsidR="008566FB" w:rsidRDefault="008566FB">
      <w:r>
        <w:separator/>
      </w:r>
    </w:p>
  </w:footnote>
  <w:footnote w:type="continuationSeparator" w:id="0">
    <w:p w14:paraId="4552E4B7" w14:textId="77777777" w:rsidR="008566FB" w:rsidRDefault="00856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B0B93" w14:textId="77777777" w:rsidR="00F445FF" w:rsidRDefault="00F445FF">
    <w:pPr>
      <w:pStyle w:val="Header"/>
    </w:pPr>
    <w:r w:rsidRPr="006C6DEC">
      <w:rPr>
        <w:noProof/>
        <w:sz w:val="20"/>
      </w:rPr>
      <mc:AlternateContent>
        <mc:Choice Requires="wps">
          <w:drawing>
            <wp:anchor distT="0" distB="0" distL="114300" distR="114300" simplePos="0" relativeHeight="251656192" behindDoc="0" locked="0" layoutInCell="0" allowOverlap="1" wp14:anchorId="3845F3E2" wp14:editId="3F3DB37C">
              <wp:simplePos x="0" y="0"/>
              <wp:positionH relativeFrom="column">
                <wp:posOffset>5877256</wp:posOffset>
              </wp:positionH>
              <wp:positionV relativeFrom="paragraph">
                <wp:posOffset>153035</wp:posOffset>
              </wp:positionV>
              <wp:extent cx="475615" cy="10176510"/>
              <wp:effectExtent l="0" t="0" r="63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F49EC5" w14:textId="77777777" w:rsidR="00F445FF" w:rsidRDefault="00F445FF" w:rsidP="005B2D79">
                          <w:pPr>
                            <w:ind w:right="-165"/>
                            <w:rPr>
                              <w:b/>
                              <w:bCs/>
                              <w:sz w:val="20"/>
                              <w:szCs w:val="20"/>
                            </w:rPr>
                          </w:pPr>
                          <w:r>
                            <w:rPr>
                              <w:b/>
                              <w:bCs/>
                              <w:sz w:val="20"/>
                              <w:szCs w:val="20"/>
                            </w:rPr>
                            <w:t>A</w:t>
                          </w:r>
                        </w:p>
                        <w:p w14:paraId="707BA123" w14:textId="77777777" w:rsidR="00F445FF" w:rsidRDefault="00F445FF" w:rsidP="005B2D79">
                          <w:pPr>
                            <w:ind w:right="-165"/>
                            <w:rPr>
                              <w:b/>
                              <w:bCs/>
                              <w:sz w:val="10"/>
                              <w:szCs w:val="10"/>
                            </w:rPr>
                          </w:pPr>
                        </w:p>
                        <w:p w14:paraId="51E1B70C" w14:textId="77777777" w:rsidR="00F445FF" w:rsidRDefault="00F445FF" w:rsidP="005B2D79">
                          <w:pPr>
                            <w:ind w:right="-165"/>
                            <w:rPr>
                              <w:b/>
                              <w:bCs/>
                              <w:sz w:val="16"/>
                              <w:szCs w:val="16"/>
                            </w:rPr>
                          </w:pPr>
                        </w:p>
                        <w:p w14:paraId="5B382099" w14:textId="77777777" w:rsidR="00F445FF" w:rsidRDefault="00F445FF" w:rsidP="005B2D79">
                          <w:pPr>
                            <w:ind w:right="-165"/>
                            <w:rPr>
                              <w:b/>
                              <w:bCs/>
                              <w:sz w:val="16"/>
                              <w:szCs w:val="16"/>
                            </w:rPr>
                          </w:pPr>
                        </w:p>
                        <w:p w14:paraId="1347743D" w14:textId="77777777" w:rsidR="00F445FF" w:rsidRDefault="00F445FF" w:rsidP="005B2D79">
                          <w:pPr>
                            <w:ind w:right="-165"/>
                            <w:rPr>
                              <w:b/>
                              <w:bCs/>
                              <w:sz w:val="20"/>
                              <w:szCs w:val="20"/>
                            </w:rPr>
                          </w:pPr>
                          <w:r>
                            <w:rPr>
                              <w:b/>
                              <w:bCs/>
                              <w:sz w:val="20"/>
                              <w:szCs w:val="20"/>
                            </w:rPr>
                            <w:t>B</w:t>
                          </w:r>
                        </w:p>
                        <w:p w14:paraId="3742F5CB" w14:textId="77777777" w:rsidR="00F445FF" w:rsidRDefault="00F445FF" w:rsidP="005B2D79">
                          <w:pPr>
                            <w:ind w:right="-165"/>
                            <w:rPr>
                              <w:b/>
                              <w:bCs/>
                              <w:sz w:val="10"/>
                              <w:szCs w:val="10"/>
                            </w:rPr>
                          </w:pPr>
                        </w:p>
                        <w:p w14:paraId="1EDC37FA" w14:textId="77777777" w:rsidR="00F445FF" w:rsidRDefault="00F445FF" w:rsidP="005B2D79">
                          <w:pPr>
                            <w:ind w:right="-165"/>
                            <w:rPr>
                              <w:b/>
                              <w:bCs/>
                              <w:sz w:val="16"/>
                              <w:szCs w:val="16"/>
                            </w:rPr>
                          </w:pPr>
                        </w:p>
                        <w:p w14:paraId="015C3363" w14:textId="77777777" w:rsidR="00F445FF" w:rsidRDefault="00F445FF" w:rsidP="005B2D79">
                          <w:pPr>
                            <w:ind w:right="-165"/>
                            <w:rPr>
                              <w:b/>
                              <w:bCs/>
                              <w:sz w:val="16"/>
                              <w:szCs w:val="16"/>
                            </w:rPr>
                          </w:pPr>
                        </w:p>
                        <w:p w14:paraId="492C0DF8" w14:textId="77777777" w:rsidR="00F445FF" w:rsidRDefault="00F445FF" w:rsidP="005B2D79">
                          <w:pPr>
                            <w:ind w:right="-165"/>
                            <w:rPr>
                              <w:b/>
                              <w:bCs/>
                              <w:sz w:val="16"/>
                              <w:szCs w:val="16"/>
                            </w:rPr>
                          </w:pPr>
                          <w:r>
                            <w:rPr>
                              <w:b/>
                              <w:bCs/>
                              <w:sz w:val="20"/>
                              <w:szCs w:val="20"/>
                            </w:rPr>
                            <w:t>C</w:t>
                          </w:r>
                        </w:p>
                        <w:p w14:paraId="3A20B4FE" w14:textId="77777777" w:rsidR="00F445FF" w:rsidRDefault="00F445FF" w:rsidP="005B2D79">
                          <w:pPr>
                            <w:ind w:right="-165"/>
                            <w:rPr>
                              <w:b/>
                              <w:bCs/>
                              <w:sz w:val="10"/>
                              <w:szCs w:val="10"/>
                            </w:rPr>
                          </w:pPr>
                        </w:p>
                        <w:p w14:paraId="13CC47AC" w14:textId="77777777" w:rsidR="00F445FF" w:rsidRDefault="00F445FF" w:rsidP="005B2D79">
                          <w:pPr>
                            <w:ind w:right="-165"/>
                            <w:rPr>
                              <w:b/>
                              <w:bCs/>
                              <w:sz w:val="16"/>
                              <w:szCs w:val="16"/>
                            </w:rPr>
                          </w:pPr>
                        </w:p>
                        <w:p w14:paraId="1EE64B55" w14:textId="77777777" w:rsidR="00F445FF" w:rsidRDefault="00F445FF" w:rsidP="005B2D79">
                          <w:pPr>
                            <w:ind w:right="-165"/>
                            <w:rPr>
                              <w:b/>
                              <w:bCs/>
                              <w:sz w:val="16"/>
                              <w:szCs w:val="16"/>
                            </w:rPr>
                          </w:pPr>
                        </w:p>
                        <w:p w14:paraId="03E4B80D" w14:textId="77777777" w:rsidR="00F445FF" w:rsidRDefault="00F445FF" w:rsidP="005B2D79">
                          <w:pPr>
                            <w:pStyle w:val="Heading2"/>
                            <w:ind w:right="-165"/>
                            <w:rPr>
                              <w:sz w:val="16"/>
                              <w:szCs w:val="16"/>
                            </w:rPr>
                          </w:pPr>
                          <w:r>
                            <w:t>D</w:t>
                          </w:r>
                        </w:p>
                        <w:p w14:paraId="787578BA" w14:textId="77777777" w:rsidR="00F445FF" w:rsidRDefault="00F445FF" w:rsidP="005B2D79">
                          <w:pPr>
                            <w:ind w:right="-165"/>
                            <w:rPr>
                              <w:b/>
                              <w:bCs/>
                              <w:sz w:val="10"/>
                              <w:szCs w:val="10"/>
                            </w:rPr>
                          </w:pPr>
                        </w:p>
                        <w:p w14:paraId="4DA565A4" w14:textId="77777777" w:rsidR="00F445FF" w:rsidRDefault="00F445FF" w:rsidP="005B2D79">
                          <w:pPr>
                            <w:ind w:right="-165"/>
                            <w:rPr>
                              <w:b/>
                              <w:bCs/>
                              <w:sz w:val="16"/>
                              <w:szCs w:val="16"/>
                            </w:rPr>
                          </w:pPr>
                        </w:p>
                        <w:p w14:paraId="5D3917F9" w14:textId="77777777" w:rsidR="00F445FF" w:rsidRDefault="00F445FF" w:rsidP="005B2D79">
                          <w:pPr>
                            <w:ind w:right="-165"/>
                            <w:rPr>
                              <w:b/>
                              <w:bCs/>
                              <w:sz w:val="16"/>
                              <w:szCs w:val="16"/>
                            </w:rPr>
                          </w:pPr>
                        </w:p>
                        <w:p w14:paraId="72598BAA" w14:textId="77777777" w:rsidR="00F445FF" w:rsidRDefault="00F445FF" w:rsidP="005B2D79">
                          <w:pPr>
                            <w:ind w:right="-165"/>
                            <w:rPr>
                              <w:b/>
                              <w:bCs/>
                              <w:sz w:val="16"/>
                              <w:szCs w:val="16"/>
                            </w:rPr>
                          </w:pPr>
                          <w:r>
                            <w:rPr>
                              <w:b/>
                              <w:bCs/>
                              <w:sz w:val="20"/>
                              <w:szCs w:val="20"/>
                            </w:rPr>
                            <w:t>E</w:t>
                          </w:r>
                        </w:p>
                        <w:p w14:paraId="704FDB49" w14:textId="77777777" w:rsidR="00F445FF" w:rsidRDefault="00F445FF" w:rsidP="005B2D79">
                          <w:pPr>
                            <w:ind w:right="-165"/>
                            <w:rPr>
                              <w:b/>
                              <w:bCs/>
                              <w:sz w:val="10"/>
                              <w:szCs w:val="10"/>
                            </w:rPr>
                          </w:pPr>
                        </w:p>
                        <w:p w14:paraId="429C7A54" w14:textId="77777777" w:rsidR="00F445FF" w:rsidRDefault="00F445FF" w:rsidP="005B2D79">
                          <w:pPr>
                            <w:ind w:right="-165"/>
                            <w:rPr>
                              <w:b/>
                              <w:bCs/>
                              <w:sz w:val="16"/>
                              <w:szCs w:val="16"/>
                            </w:rPr>
                          </w:pPr>
                        </w:p>
                        <w:p w14:paraId="080DB745" w14:textId="77777777" w:rsidR="00F445FF" w:rsidRDefault="00F445FF" w:rsidP="005B2D79">
                          <w:pPr>
                            <w:ind w:right="-165"/>
                            <w:rPr>
                              <w:b/>
                              <w:bCs/>
                              <w:sz w:val="16"/>
                              <w:szCs w:val="16"/>
                            </w:rPr>
                          </w:pPr>
                        </w:p>
                        <w:p w14:paraId="113C81E0" w14:textId="77777777" w:rsidR="00F445FF" w:rsidRDefault="00F445FF" w:rsidP="005B2D79">
                          <w:pPr>
                            <w:ind w:right="-165"/>
                            <w:rPr>
                              <w:b/>
                              <w:bCs/>
                              <w:sz w:val="20"/>
                              <w:szCs w:val="20"/>
                            </w:rPr>
                          </w:pPr>
                          <w:r>
                            <w:rPr>
                              <w:b/>
                              <w:bCs/>
                              <w:sz w:val="20"/>
                              <w:szCs w:val="20"/>
                            </w:rPr>
                            <w:t>F</w:t>
                          </w:r>
                        </w:p>
                        <w:p w14:paraId="594F1D81" w14:textId="77777777" w:rsidR="00F445FF" w:rsidRDefault="00F445FF" w:rsidP="005B2D79">
                          <w:pPr>
                            <w:ind w:right="-165"/>
                            <w:rPr>
                              <w:b/>
                              <w:bCs/>
                              <w:sz w:val="10"/>
                              <w:szCs w:val="10"/>
                            </w:rPr>
                          </w:pPr>
                        </w:p>
                        <w:p w14:paraId="4B2BC15E" w14:textId="77777777" w:rsidR="00F445FF" w:rsidRDefault="00F445FF" w:rsidP="005B2D79">
                          <w:pPr>
                            <w:ind w:right="-165"/>
                            <w:rPr>
                              <w:b/>
                              <w:bCs/>
                              <w:sz w:val="16"/>
                              <w:szCs w:val="16"/>
                            </w:rPr>
                          </w:pPr>
                        </w:p>
                        <w:p w14:paraId="68A61561" w14:textId="77777777" w:rsidR="00F445FF" w:rsidRDefault="00F445FF" w:rsidP="005B2D79">
                          <w:pPr>
                            <w:ind w:right="-165"/>
                            <w:rPr>
                              <w:b/>
                              <w:bCs/>
                              <w:sz w:val="16"/>
                              <w:szCs w:val="16"/>
                            </w:rPr>
                          </w:pPr>
                        </w:p>
                        <w:p w14:paraId="468F0919" w14:textId="77777777" w:rsidR="00F445FF" w:rsidRDefault="00F445FF" w:rsidP="005B2D79">
                          <w:pPr>
                            <w:ind w:right="-165"/>
                            <w:rPr>
                              <w:b/>
                              <w:bCs/>
                              <w:sz w:val="16"/>
                              <w:szCs w:val="16"/>
                            </w:rPr>
                          </w:pPr>
                          <w:r>
                            <w:rPr>
                              <w:b/>
                              <w:bCs/>
                              <w:sz w:val="20"/>
                              <w:szCs w:val="20"/>
                            </w:rPr>
                            <w:t>G</w:t>
                          </w:r>
                        </w:p>
                        <w:p w14:paraId="785CDC45" w14:textId="77777777" w:rsidR="00F445FF" w:rsidRDefault="00F445FF" w:rsidP="005B2D79">
                          <w:pPr>
                            <w:ind w:right="-165"/>
                            <w:rPr>
                              <w:b/>
                              <w:bCs/>
                              <w:sz w:val="10"/>
                              <w:szCs w:val="10"/>
                            </w:rPr>
                          </w:pPr>
                        </w:p>
                        <w:p w14:paraId="1D7B3B41" w14:textId="77777777" w:rsidR="00F445FF" w:rsidRDefault="00F445FF" w:rsidP="005B2D79">
                          <w:pPr>
                            <w:ind w:right="-165"/>
                            <w:rPr>
                              <w:b/>
                              <w:bCs/>
                              <w:sz w:val="16"/>
                              <w:szCs w:val="16"/>
                            </w:rPr>
                          </w:pPr>
                        </w:p>
                        <w:p w14:paraId="1B9CED94" w14:textId="77777777" w:rsidR="00F445FF" w:rsidRDefault="00F445FF" w:rsidP="005B2D79">
                          <w:pPr>
                            <w:ind w:right="-165"/>
                            <w:rPr>
                              <w:b/>
                              <w:bCs/>
                              <w:sz w:val="16"/>
                              <w:szCs w:val="16"/>
                            </w:rPr>
                          </w:pPr>
                        </w:p>
                        <w:p w14:paraId="6E530CBF" w14:textId="77777777" w:rsidR="00F445FF" w:rsidRDefault="00F445FF" w:rsidP="005B2D79">
                          <w:pPr>
                            <w:ind w:right="-165"/>
                            <w:rPr>
                              <w:b/>
                              <w:bCs/>
                              <w:sz w:val="16"/>
                              <w:szCs w:val="16"/>
                            </w:rPr>
                          </w:pPr>
                          <w:r>
                            <w:rPr>
                              <w:b/>
                              <w:bCs/>
                              <w:sz w:val="20"/>
                              <w:szCs w:val="20"/>
                            </w:rPr>
                            <w:t>H</w:t>
                          </w:r>
                        </w:p>
                        <w:p w14:paraId="031CEE41" w14:textId="77777777" w:rsidR="00F445FF" w:rsidRDefault="00F445FF" w:rsidP="005B2D79">
                          <w:pPr>
                            <w:ind w:right="-165"/>
                            <w:rPr>
                              <w:b/>
                              <w:bCs/>
                              <w:sz w:val="10"/>
                              <w:szCs w:val="10"/>
                            </w:rPr>
                          </w:pPr>
                        </w:p>
                        <w:p w14:paraId="07ECF8A0" w14:textId="77777777" w:rsidR="00F445FF" w:rsidRDefault="00F445FF" w:rsidP="005B2D79">
                          <w:pPr>
                            <w:ind w:right="-165"/>
                            <w:rPr>
                              <w:b/>
                              <w:bCs/>
                              <w:sz w:val="16"/>
                              <w:szCs w:val="16"/>
                            </w:rPr>
                          </w:pPr>
                        </w:p>
                        <w:p w14:paraId="290AD0C5" w14:textId="77777777" w:rsidR="00F445FF" w:rsidRDefault="00F445FF" w:rsidP="005B2D79">
                          <w:pPr>
                            <w:ind w:right="-165"/>
                            <w:rPr>
                              <w:b/>
                              <w:bCs/>
                              <w:sz w:val="16"/>
                              <w:szCs w:val="16"/>
                            </w:rPr>
                          </w:pPr>
                        </w:p>
                        <w:p w14:paraId="1EF7DA58" w14:textId="77777777" w:rsidR="00F445FF" w:rsidRDefault="00F445FF" w:rsidP="005B2D79">
                          <w:pPr>
                            <w:ind w:right="-165"/>
                            <w:rPr>
                              <w:b/>
                              <w:bCs/>
                              <w:sz w:val="16"/>
                              <w:szCs w:val="16"/>
                            </w:rPr>
                          </w:pPr>
                          <w:r>
                            <w:rPr>
                              <w:b/>
                              <w:bCs/>
                              <w:sz w:val="20"/>
                              <w:szCs w:val="20"/>
                            </w:rPr>
                            <w:t>I</w:t>
                          </w:r>
                        </w:p>
                        <w:p w14:paraId="258022D2" w14:textId="77777777" w:rsidR="00F445FF" w:rsidRDefault="00F445FF" w:rsidP="005B2D79">
                          <w:pPr>
                            <w:ind w:right="-165"/>
                            <w:rPr>
                              <w:b/>
                              <w:bCs/>
                              <w:sz w:val="10"/>
                              <w:szCs w:val="10"/>
                            </w:rPr>
                          </w:pPr>
                        </w:p>
                        <w:p w14:paraId="3FC4A100" w14:textId="77777777" w:rsidR="00F445FF" w:rsidRDefault="00F445FF" w:rsidP="005B2D79">
                          <w:pPr>
                            <w:ind w:right="-165"/>
                            <w:rPr>
                              <w:b/>
                              <w:bCs/>
                              <w:sz w:val="16"/>
                              <w:szCs w:val="16"/>
                            </w:rPr>
                          </w:pPr>
                        </w:p>
                        <w:p w14:paraId="756162DD" w14:textId="77777777" w:rsidR="00F445FF" w:rsidRDefault="00F445FF" w:rsidP="005B2D79">
                          <w:pPr>
                            <w:ind w:right="-165"/>
                            <w:rPr>
                              <w:b/>
                              <w:bCs/>
                              <w:sz w:val="16"/>
                              <w:szCs w:val="16"/>
                            </w:rPr>
                          </w:pPr>
                        </w:p>
                        <w:p w14:paraId="341AA2FC" w14:textId="77777777" w:rsidR="00F445FF" w:rsidRDefault="00F445FF" w:rsidP="005B2D79">
                          <w:pPr>
                            <w:ind w:right="-165"/>
                            <w:rPr>
                              <w:b/>
                              <w:bCs/>
                              <w:sz w:val="16"/>
                              <w:szCs w:val="16"/>
                            </w:rPr>
                          </w:pPr>
                          <w:r>
                            <w:rPr>
                              <w:b/>
                              <w:bCs/>
                              <w:sz w:val="20"/>
                              <w:szCs w:val="20"/>
                            </w:rPr>
                            <w:t>J</w:t>
                          </w:r>
                        </w:p>
                        <w:p w14:paraId="7CEB6A32" w14:textId="77777777" w:rsidR="00F445FF" w:rsidRDefault="00F445FF" w:rsidP="005B2D79">
                          <w:pPr>
                            <w:ind w:right="-165"/>
                            <w:rPr>
                              <w:b/>
                              <w:bCs/>
                              <w:sz w:val="10"/>
                              <w:szCs w:val="10"/>
                            </w:rPr>
                          </w:pPr>
                        </w:p>
                        <w:p w14:paraId="6E55F965" w14:textId="77777777" w:rsidR="00F445FF" w:rsidRDefault="00F445FF" w:rsidP="005B2D79">
                          <w:pPr>
                            <w:ind w:right="-165"/>
                            <w:rPr>
                              <w:b/>
                              <w:bCs/>
                              <w:sz w:val="16"/>
                              <w:szCs w:val="16"/>
                            </w:rPr>
                          </w:pPr>
                        </w:p>
                        <w:p w14:paraId="734D93FF" w14:textId="77777777" w:rsidR="00F445FF" w:rsidRDefault="00F445FF" w:rsidP="005B2D79">
                          <w:pPr>
                            <w:ind w:right="-165"/>
                            <w:rPr>
                              <w:b/>
                              <w:bCs/>
                              <w:sz w:val="16"/>
                              <w:szCs w:val="16"/>
                            </w:rPr>
                          </w:pPr>
                        </w:p>
                        <w:p w14:paraId="023384AB" w14:textId="77777777" w:rsidR="00F445FF" w:rsidRDefault="00F445FF" w:rsidP="005B2D79">
                          <w:pPr>
                            <w:ind w:right="-165"/>
                            <w:rPr>
                              <w:b/>
                              <w:bCs/>
                              <w:sz w:val="16"/>
                              <w:szCs w:val="16"/>
                            </w:rPr>
                          </w:pPr>
                          <w:r>
                            <w:rPr>
                              <w:b/>
                              <w:bCs/>
                              <w:sz w:val="20"/>
                              <w:szCs w:val="20"/>
                            </w:rPr>
                            <w:t>K</w:t>
                          </w:r>
                        </w:p>
                        <w:p w14:paraId="0D753E4F" w14:textId="77777777" w:rsidR="00F445FF" w:rsidRDefault="00F445FF" w:rsidP="005B2D79">
                          <w:pPr>
                            <w:ind w:right="-165"/>
                            <w:rPr>
                              <w:b/>
                              <w:bCs/>
                              <w:sz w:val="10"/>
                              <w:szCs w:val="10"/>
                            </w:rPr>
                          </w:pPr>
                        </w:p>
                        <w:p w14:paraId="65E41A4A" w14:textId="77777777" w:rsidR="00F445FF" w:rsidRDefault="00F445FF" w:rsidP="005B2D79">
                          <w:pPr>
                            <w:ind w:right="-165"/>
                            <w:rPr>
                              <w:b/>
                              <w:bCs/>
                              <w:sz w:val="16"/>
                              <w:szCs w:val="16"/>
                            </w:rPr>
                          </w:pPr>
                        </w:p>
                        <w:p w14:paraId="7AD1858F" w14:textId="77777777" w:rsidR="00F445FF" w:rsidRDefault="00F445FF" w:rsidP="005B2D79">
                          <w:pPr>
                            <w:ind w:right="-165"/>
                            <w:rPr>
                              <w:b/>
                              <w:bCs/>
                              <w:sz w:val="16"/>
                              <w:szCs w:val="16"/>
                            </w:rPr>
                          </w:pPr>
                        </w:p>
                        <w:p w14:paraId="52FDC8BE" w14:textId="77777777" w:rsidR="00F445FF" w:rsidRDefault="00F445FF" w:rsidP="005B2D79">
                          <w:pPr>
                            <w:ind w:right="-165"/>
                            <w:rPr>
                              <w:b/>
                              <w:bCs/>
                              <w:sz w:val="16"/>
                              <w:szCs w:val="16"/>
                            </w:rPr>
                          </w:pPr>
                          <w:r>
                            <w:rPr>
                              <w:b/>
                              <w:bCs/>
                              <w:sz w:val="20"/>
                              <w:szCs w:val="20"/>
                            </w:rPr>
                            <w:t>L</w:t>
                          </w:r>
                        </w:p>
                        <w:p w14:paraId="6D0AFC5C" w14:textId="77777777" w:rsidR="00F445FF" w:rsidRDefault="00F445FF" w:rsidP="005B2D79">
                          <w:pPr>
                            <w:ind w:right="-165"/>
                            <w:rPr>
                              <w:b/>
                              <w:bCs/>
                              <w:sz w:val="10"/>
                              <w:szCs w:val="10"/>
                            </w:rPr>
                          </w:pPr>
                        </w:p>
                        <w:p w14:paraId="59803F5F" w14:textId="77777777" w:rsidR="00F445FF" w:rsidRDefault="00F445FF" w:rsidP="005B2D79">
                          <w:pPr>
                            <w:ind w:right="-165"/>
                            <w:rPr>
                              <w:b/>
                              <w:bCs/>
                              <w:sz w:val="16"/>
                              <w:szCs w:val="16"/>
                            </w:rPr>
                          </w:pPr>
                        </w:p>
                        <w:p w14:paraId="280BF35C" w14:textId="77777777" w:rsidR="00F445FF" w:rsidRDefault="00F445FF" w:rsidP="005B2D79">
                          <w:pPr>
                            <w:ind w:right="-165"/>
                            <w:rPr>
                              <w:b/>
                              <w:bCs/>
                              <w:sz w:val="16"/>
                              <w:szCs w:val="16"/>
                            </w:rPr>
                          </w:pPr>
                        </w:p>
                        <w:p w14:paraId="6D83CDB6" w14:textId="77777777" w:rsidR="00F445FF" w:rsidRDefault="00F445FF" w:rsidP="005B2D79">
                          <w:pPr>
                            <w:ind w:right="-165"/>
                            <w:rPr>
                              <w:b/>
                              <w:bCs/>
                              <w:sz w:val="16"/>
                              <w:szCs w:val="16"/>
                            </w:rPr>
                          </w:pPr>
                          <w:r>
                            <w:rPr>
                              <w:b/>
                              <w:bCs/>
                              <w:sz w:val="20"/>
                              <w:szCs w:val="20"/>
                            </w:rPr>
                            <w:t>M</w:t>
                          </w:r>
                        </w:p>
                        <w:p w14:paraId="7477AF48" w14:textId="77777777" w:rsidR="00F445FF" w:rsidRDefault="00F445FF" w:rsidP="005B2D79">
                          <w:pPr>
                            <w:ind w:right="-165"/>
                            <w:rPr>
                              <w:b/>
                              <w:bCs/>
                              <w:sz w:val="10"/>
                              <w:szCs w:val="10"/>
                            </w:rPr>
                          </w:pPr>
                        </w:p>
                        <w:p w14:paraId="2E8C5A37" w14:textId="77777777" w:rsidR="00F445FF" w:rsidRDefault="00F445FF" w:rsidP="005B2D79">
                          <w:pPr>
                            <w:ind w:right="-165"/>
                            <w:rPr>
                              <w:b/>
                              <w:bCs/>
                              <w:sz w:val="16"/>
                              <w:szCs w:val="16"/>
                            </w:rPr>
                          </w:pPr>
                        </w:p>
                        <w:p w14:paraId="596DA999" w14:textId="77777777" w:rsidR="00F445FF" w:rsidRDefault="00F445FF" w:rsidP="005B2D79">
                          <w:pPr>
                            <w:ind w:right="-165"/>
                            <w:rPr>
                              <w:b/>
                              <w:bCs/>
                              <w:sz w:val="16"/>
                              <w:szCs w:val="16"/>
                            </w:rPr>
                          </w:pPr>
                        </w:p>
                        <w:p w14:paraId="5F104692" w14:textId="77777777" w:rsidR="00F445FF" w:rsidRDefault="00F445FF" w:rsidP="005B2D79">
                          <w:pPr>
                            <w:ind w:right="-165"/>
                            <w:rPr>
                              <w:b/>
                              <w:bCs/>
                              <w:sz w:val="16"/>
                              <w:szCs w:val="16"/>
                            </w:rPr>
                          </w:pPr>
                          <w:r>
                            <w:rPr>
                              <w:b/>
                              <w:bCs/>
                              <w:sz w:val="20"/>
                              <w:szCs w:val="20"/>
                            </w:rPr>
                            <w:t>N</w:t>
                          </w:r>
                        </w:p>
                        <w:p w14:paraId="0E702FC6" w14:textId="77777777" w:rsidR="00F445FF" w:rsidRDefault="00F445FF" w:rsidP="005B2D79">
                          <w:pPr>
                            <w:ind w:right="-165"/>
                            <w:rPr>
                              <w:b/>
                              <w:bCs/>
                              <w:sz w:val="10"/>
                              <w:szCs w:val="10"/>
                            </w:rPr>
                          </w:pPr>
                        </w:p>
                        <w:p w14:paraId="00E58584" w14:textId="77777777" w:rsidR="00F445FF" w:rsidRDefault="00F445FF" w:rsidP="005B2D79">
                          <w:pPr>
                            <w:ind w:right="-165"/>
                            <w:rPr>
                              <w:b/>
                              <w:bCs/>
                              <w:sz w:val="16"/>
                              <w:szCs w:val="16"/>
                            </w:rPr>
                          </w:pPr>
                        </w:p>
                        <w:p w14:paraId="003FD07B" w14:textId="77777777" w:rsidR="00F445FF" w:rsidRDefault="00F445FF" w:rsidP="005B2D79">
                          <w:pPr>
                            <w:ind w:right="-165"/>
                            <w:rPr>
                              <w:b/>
                              <w:bCs/>
                              <w:sz w:val="16"/>
                              <w:szCs w:val="16"/>
                            </w:rPr>
                          </w:pPr>
                        </w:p>
                        <w:p w14:paraId="2B2DA2A7" w14:textId="77777777" w:rsidR="00F445FF" w:rsidRDefault="00F445FF" w:rsidP="005B2D79">
                          <w:pPr>
                            <w:ind w:right="-165"/>
                            <w:rPr>
                              <w:b/>
                              <w:bCs/>
                              <w:sz w:val="16"/>
                              <w:szCs w:val="16"/>
                            </w:rPr>
                          </w:pPr>
                          <w:r>
                            <w:rPr>
                              <w:b/>
                              <w:bCs/>
                              <w:sz w:val="20"/>
                              <w:szCs w:val="20"/>
                            </w:rPr>
                            <w:t>O</w:t>
                          </w:r>
                        </w:p>
                        <w:p w14:paraId="10C5A6D7" w14:textId="77777777" w:rsidR="00F445FF" w:rsidRDefault="00F445FF" w:rsidP="005B2D79">
                          <w:pPr>
                            <w:ind w:right="-165"/>
                            <w:rPr>
                              <w:b/>
                              <w:bCs/>
                              <w:sz w:val="10"/>
                              <w:szCs w:val="10"/>
                            </w:rPr>
                          </w:pPr>
                        </w:p>
                        <w:p w14:paraId="099E3CBB" w14:textId="77777777" w:rsidR="00F445FF" w:rsidRDefault="00F445FF" w:rsidP="005B2D79">
                          <w:pPr>
                            <w:ind w:right="-165"/>
                            <w:rPr>
                              <w:b/>
                              <w:bCs/>
                              <w:sz w:val="16"/>
                              <w:szCs w:val="16"/>
                            </w:rPr>
                          </w:pPr>
                        </w:p>
                        <w:p w14:paraId="168C955F" w14:textId="77777777" w:rsidR="00F445FF" w:rsidRDefault="00F445FF" w:rsidP="005B2D79">
                          <w:pPr>
                            <w:ind w:right="-165"/>
                            <w:rPr>
                              <w:b/>
                              <w:bCs/>
                              <w:sz w:val="16"/>
                              <w:szCs w:val="16"/>
                            </w:rPr>
                          </w:pPr>
                        </w:p>
                        <w:p w14:paraId="2A4B2346" w14:textId="77777777" w:rsidR="00F445FF" w:rsidRDefault="00F445FF" w:rsidP="005B2D79">
                          <w:pPr>
                            <w:ind w:right="-165"/>
                            <w:rPr>
                              <w:b/>
                              <w:bCs/>
                              <w:sz w:val="16"/>
                              <w:szCs w:val="16"/>
                            </w:rPr>
                          </w:pPr>
                          <w:r>
                            <w:rPr>
                              <w:b/>
                              <w:bCs/>
                              <w:sz w:val="20"/>
                              <w:szCs w:val="20"/>
                            </w:rPr>
                            <w:t>P</w:t>
                          </w:r>
                        </w:p>
                        <w:p w14:paraId="1F94EC07" w14:textId="77777777" w:rsidR="00F445FF" w:rsidRDefault="00F445FF" w:rsidP="005B2D79">
                          <w:pPr>
                            <w:ind w:right="-165"/>
                            <w:rPr>
                              <w:b/>
                              <w:bCs/>
                              <w:sz w:val="10"/>
                              <w:szCs w:val="10"/>
                            </w:rPr>
                          </w:pPr>
                        </w:p>
                        <w:p w14:paraId="2F2F99D7" w14:textId="77777777" w:rsidR="00F445FF" w:rsidRDefault="00F445FF" w:rsidP="005B2D79">
                          <w:pPr>
                            <w:ind w:right="-165"/>
                            <w:rPr>
                              <w:b/>
                              <w:bCs/>
                              <w:sz w:val="16"/>
                              <w:szCs w:val="16"/>
                            </w:rPr>
                          </w:pPr>
                        </w:p>
                        <w:p w14:paraId="502DAA04" w14:textId="77777777" w:rsidR="00F445FF" w:rsidRDefault="00F445FF" w:rsidP="005B2D79">
                          <w:pPr>
                            <w:ind w:right="-165"/>
                            <w:rPr>
                              <w:b/>
                              <w:bCs/>
                              <w:sz w:val="16"/>
                              <w:szCs w:val="16"/>
                            </w:rPr>
                          </w:pPr>
                        </w:p>
                        <w:p w14:paraId="02E03E4A" w14:textId="77777777" w:rsidR="00F445FF" w:rsidRDefault="00F445FF" w:rsidP="005B2D79">
                          <w:pPr>
                            <w:ind w:right="-165"/>
                            <w:rPr>
                              <w:b/>
                              <w:bCs/>
                              <w:sz w:val="16"/>
                              <w:szCs w:val="16"/>
                            </w:rPr>
                          </w:pPr>
                          <w:r>
                            <w:rPr>
                              <w:b/>
                              <w:bCs/>
                              <w:sz w:val="20"/>
                              <w:szCs w:val="20"/>
                            </w:rPr>
                            <w:t>Q</w:t>
                          </w:r>
                        </w:p>
                        <w:p w14:paraId="6FC24065" w14:textId="77777777" w:rsidR="00F445FF" w:rsidRDefault="00F445FF" w:rsidP="005B2D79">
                          <w:pPr>
                            <w:ind w:right="-165"/>
                            <w:rPr>
                              <w:b/>
                              <w:bCs/>
                              <w:sz w:val="10"/>
                              <w:szCs w:val="10"/>
                            </w:rPr>
                          </w:pPr>
                        </w:p>
                        <w:p w14:paraId="0A2D66A5" w14:textId="77777777" w:rsidR="00F445FF" w:rsidRDefault="00F445FF" w:rsidP="005B2D79">
                          <w:pPr>
                            <w:ind w:right="-165"/>
                            <w:rPr>
                              <w:b/>
                              <w:bCs/>
                              <w:sz w:val="16"/>
                              <w:szCs w:val="16"/>
                            </w:rPr>
                          </w:pPr>
                        </w:p>
                        <w:p w14:paraId="0AC78D67" w14:textId="77777777" w:rsidR="00F445FF" w:rsidRDefault="00F445FF" w:rsidP="005B2D79">
                          <w:pPr>
                            <w:ind w:right="-165"/>
                            <w:rPr>
                              <w:b/>
                              <w:bCs/>
                              <w:sz w:val="16"/>
                              <w:szCs w:val="16"/>
                            </w:rPr>
                          </w:pPr>
                        </w:p>
                        <w:p w14:paraId="24886A82" w14:textId="77777777" w:rsidR="00F445FF" w:rsidRDefault="00F445FF" w:rsidP="005B2D79">
                          <w:pPr>
                            <w:ind w:right="-165"/>
                            <w:rPr>
                              <w:b/>
                              <w:bCs/>
                              <w:sz w:val="16"/>
                              <w:szCs w:val="16"/>
                            </w:rPr>
                          </w:pPr>
                          <w:r>
                            <w:rPr>
                              <w:b/>
                              <w:bCs/>
                              <w:sz w:val="20"/>
                              <w:szCs w:val="20"/>
                            </w:rPr>
                            <w:t>R</w:t>
                          </w:r>
                        </w:p>
                        <w:p w14:paraId="206AB8A6" w14:textId="77777777" w:rsidR="00F445FF" w:rsidRDefault="00F445FF" w:rsidP="005B2D79">
                          <w:pPr>
                            <w:ind w:right="-165"/>
                            <w:rPr>
                              <w:b/>
                              <w:bCs/>
                              <w:sz w:val="10"/>
                              <w:szCs w:val="10"/>
                            </w:rPr>
                          </w:pPr>
                        </w:p>
                        <w:p w14:paraId="393A6D5B" w14:textId="77777777" w:rsidR="00F445FF" w:rsidRDefault="00F445FF" w:rsidP="005B2D79">
                          <w:pPr>
                            <w:ind w:right="-165"/>
                            <w:rPr>
                              <w:b/>
                              <w:bCs/>
                              <w:sz w:val="16"/>
                              <w:szCs w:val="16"/>
                            </w:rPr>
                          </w:pPr>
                        </w:p>
                        <w:p w14:paraId="1182069E" w14:textId="77777777" w:rsidR="00F445FF" w:rsidRDefault="00F445FF" w:rsidP="005B2D79">
                          <w:pPr>
                            <w:ind w:right="-165"/>
                            <w:rPr>
                              <w:b/>
                              <w:bCs/>
                              <w:sz w:val="16"/>
                              <w:szCs w:val="16"/>
                            </w:rPr>
                          </w:pPr>
                        </w:p>
                        <w:p w14:paraId="4444849C" w14:textId="77777777" w:rsidR="00F445FF" w:rsidRDefault="00F445FF" w:rsidP="005B2D79">
                          <w:pPr>
                            <w:ind w:right="-165"/>
                            <w:rPr>
                              <w:b/>
                              <w:bCs/>
                              <w:sz w:val="16"/>
                              <w:szCs w:val="16"/>
                            </w:rPr>
                          </w:pPr>
                          <w:r>
                            <w:rPr>
                              <w:b/>
                              <w:bCs/>
                              <w:sz w:val="20"/>
                              <w:szCs w:val="20"/>
                            </w:rPr>
                            <w:t>S</w:t>
                          </w:r>
                        </w:p>
                        <w:p w14:paraId="13A02AC4" w14:textId="77777777" w:rsidR="00F445FF" w:rsidRDefault="00F445FF" w:rsidP="005B2D79">
                          <w:pPr>
                            <w:ind w:right="-165"/>
                            <w:rPr>
                              <w:b/>
                              <w:bCs/>
                              <w:sz w:val="10"/>
                              <w:szCs w:val="10"/>
                            </w:rPr>
                          </w:pPr>
                        </w:p>
                        <w:p w14:paraId="02956FBB" w14:textId="77777777" w:rsidR="00F445FF" w:rsidRDefault="00F445FF" w:rsidP="005B2D79">
                          <w:pPr>
                            <w:ind w:right="-165"/>
                            <w:rPr>
                              <w:b/>
                              <w:bCs/>
                              <w:sz w:val="16"/>
                              <w:szCs w:val="16"/>
                            </w:rPr>
                          </w:pPr>
                        </w:p>
                        <w:p w14:paraId="39EC1A32" w14:textId="77777777" w:rsidR="00F445FF" w:rsidRDefault="00F445FF" w:rsidP="005B2D79">
                          <w:pPr>
                            <w:ind w:right="-165"/>
                            <w:rPr>
                              <w:b/>
                              <w:bCs/>
                              <w:sz w:val="16"/>
                              <w:szCs w:val="16"/>
                            </w:rPr>
                          </w:pPr>
                        </w:p>
                        <w:p w14:paraId="31B5D206" w14:textId="77777777" w:rsidR="00F445FF" w:rsidRDefault="00F445FF" w:rsidP="005B2D79">
                          <w:pPr>
                            <w:ind w:right="-165"/>
                            <w:rPr>
                              <w:b/>
                              <w:bCs/>
                              <w:sz w:val="16"/>
                              <w:szCs w:val="16"/>
                            </w:rPr>
                          </w:pPr>
                          <w:r>
                            <w:rPr>
                              <w:b/>
                              <w:bCs/>
                              <w:sz w:val="20"/>
                              <w:szCs w:val="20"/>
                            </w:rPr>
                            <w:t>T</w:t>
                          </w:r>
                        </w:p>
                        <w:p w14:paraId="27470334" w14:textId="77777777" w:rsidR="00F445FF" w:rsidRDefault="00F445FF" w:rsidP="005B2D79">
                          <w:pPr>
                            <w:ind w:right="-165"/>
                            <w:rPr>
                              <w:b/>
                              <w:bCs/>
                              <w:sz w:val="10"/>
                              <w:szCs w:val="10"/>
                            </w:rPr>
                          </w:pPr>
                        </w:p>
                        <w:p w14:paraId="6A529F41" w14:textId="77777777" w:rsidR="00F445FF" w:rsidRDefault="00F445FF" w:rsidP="005B2D79">
                          <w:pPr>
                            <w:ind w:right="-165"/>
                            <w:rPr>
                              <w:b/>
                              <w:bCs/>
                              <w:sz w:val="16"/>
                              <w:szCs w:val="16"/>
                            </w:rPr>
                          </w:pPr>
                        </w:p>
                        <w:p w14:paraId="7EB477BF" w14:textId="77777777" w:rsidR="00F445FF" w:rsidRDefault="00F445FF" w:rsidP="005B2D79">
                          <w:pPr>
                            <w:ind w:right="-165"/>
                            <w:rPr>
                              <w:b/>
                              <w:bCs/>
                              <w:sz w:val="16"/>
                              <w:szCs w:val="16"/>
                            </w:rPr>
                          </w:pPr>
                        </w:p>
                        <w:p w14:paraId="6C62D33E" w14:textId="77777777" w:rsidR="00F445FF" w:rsidRDefault="00F445FF" w:rsidP="005B2D79">
                          <w:pPr>
                            <w:ind w:right="-165"/>
                            <w:rPr>
                              <w:b/>
                              <w:bCs/>
                              <w:sz w:val="16"/>
                              <w:szCs w:val="16"/>
                            </w:rPr>
                          </w:pPr>
                          <w:r>
                            <w:rPr>
                              <w:b/>
                              <w:bCs/>
                              <w:sz w:val="20"/>
                              <w:szCs w:val="20"/>
                            </w:rPr>
                            <w:t>U</w:t>
                          </w:r>
                        </w:p>
                        <w:p w14:paraId="264EF147" w14:textId="77777777" w:rsidR="00F445FF" w:rsidRDefault="00F445FF" w:rsidP="005B2D79">
                          <w:pPr>
                            <w:ind w:right="-165"/>
                            <w:rPr>
                              <w:b/>
                              <w:bCs/>
                              <w:sz w:val="10"/>
                              <w:szCs w:val="10"/>
                            </w:rPr>
                          </w:pPr>
                        </w:p>
                        <w:p w14:paraId="3D8AFF18" w14:textId="77777777" w:rsidR="00F445FF" w:rsidRDefault="00F445FF" w:rsidP="005B2D79">
                          <w:pPr>
                            <w:ind w:right="-165"/>
                            <w:rPr>
                              <w:b/>
                              <w:bCs/>
                              <w:sz w:val="16"/>
                              <w:szCs w:val="16"/>
                            </w:rPr>
                          </w:pPr>
                        </w:p>
                        <w:p w14:paraId="18690E71" w14:textId="77777777" w:rsidR="00F445FF" w:rsidRDefault="00F445FF" w:rsidP="005B2D79">
                          <w:pPr>
                            <w:ind w:right="-165"/>
                            <w:rPr>
                              <w:b/>
                              <w:bCs/>
                              <w:sz w:val="16"/>
                              <w:szCs w:val="16"/>
                            </w:rPr>
                          </w:pPr>
                        </w:p>
                        <w:p w14:paraId="115BCCE9" w14:textId="77777777" w:rsidR="00F445FF" w:rsidRPr="005B2D79" w:rsidRDefault="00F445FF"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5F3E2" id="_x0000_t202" coordsize="21600,21600" o:spt="202" path="m,l,21600r21600,l21600,xe">
              <v:stroke joinstyle="miter"/>
              <v:path gradientshapeok="t" o:connecttype="rect"/>
            </v:shapetype>
            <v:shape id="Text Box 3" o:spid="_x0000_s1026" type="#_x0000_t202" style="position:absolute;left:0;text-align:left;margin-left:462.8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" o:allowincell="f" stroked="f">
              <v:textbox>
                <w:txbxContent>
                  <w:p w14:paraId="11F49EC5" w14:textId="77777777" w:rsidR="00F445FF" w:rsidRDefault="00F445FF" w:rsidP="005B2D79">
                    <w:pPr>
                      <w:ind w:right="-165"/>
                      <w:rPr>
                        <w:b/>
                        <w:bCs/>
                        <w:sz w:val="20"/>
                        <w:szCs w:val="20"/>
                      </w:rPr>
                    </w:pPr>
                    <w:r>
                      <w:rPr>
                        <w:b/>
                        <w:bCs/>
                        <w:sz w:val="20"/>
                        <w:szCs w:val="20"/>
                      </w:rPr>
                      <w:t>A</w:t>
                    </w:r>
                  </w:p>
                  <w:p w14:paraId="707BA123" w14:textId="77777777" w:rsidR="00F445FF" w:rsidRDefault="00F445FF" w:rsidP="005B2D79">
                    <w:pPr>
                      <w:ind w:right="-165"/>
                      <w:rPr>
                        <w:b/>
                        <w:bCs/>
                        <w:sz w:val="10"/>
                        <w:szCs w:val="10"/>
                      </w:rPr>
                    </w:pPr>
                  </w:p>
                  <w:p w14:paraId="51E1B70C" w14:textId="77777777" w:rsidR="00F445FF" w:rsidRDefault="00F445FF" w:rsidP="005B2D79">
                    <w:pPr>
                      <w:ind w:right="-165"/>
                      <w:rPr>
                        <w:b/>
                        <w:bCs/>
                        <w:sz w:val="16"/>
                        <w:szCs w:val="16"/>
                      </w:rPr>
                    </w:pPr>
                  </w:p>
                  <w:p w14:paraId="5B382099" w14:textId="77777777" w:rsidR="00F445FF" w:rsidRDefault="00F445FF" w:rsidP="005B2D79">
                    <w:pPr>
                      <w:ind w:right="-165"/>
                      <w:rPr>
                        <w:b/>
                        <w:bCs/>
                        <w:sz w:val="16"/>
                        <w:szCs w:val="16"/>
                      </w:rPr>
                    </w:pPr>
                  </w:p>
                  <w:p w14:paraId="1347743D" w14:textId="77777777" w:rsidR="00F445FF" w:rsidRDefault="00F445FF" w:rsidP="005B2D79">
                    <w:pPr>
                      <w:ind w:right="-165"/>
                      <w:rPr>
                        <w:b/>
                        <w:bCs/>
                        <w:sz w:val="20"/>
                        <w:szCs w:val="20"/>
                      </w:rPr>
                    </w:pPr>
                    <w:r>
                      <w:rPr>
                        <w:b/>
                        <w:bCs/>
                        <w:sz w:val="20"/>
                        <w:szCs w:val="20"/>
                      </w:rPr>
                      <w:t>B</w:t>
                    </w:r>
                  </w:p>
                  <w:p w14:paraId="3742F5CB" w14:textId="77777777" w:rsidR="00F445FF" w:rsidRDefault="00F445FF" w:rsidP="005B2D79">
                    <w:pPr>
                      <w:ind w:right="-165"/>
                      <w:rPr>
                        <w:b/>
                        <w:bCs/>
                        <w:sz w:val="10"/>
                        <w:szCs w:val="10"/>
                      </w:rPr>
                    </w:pPr>
                  </w:p>
                  <w:p w14:paraId="1EDC37FA" w14:textId="77777777" w:rsidR="00F445FF" w:rsidRDefault="00F445FF" w:rsidP="005B2D79">
                    <w:pPr>
                      <w:ind w:right="-165"/>
                      <w:rPr>
                        <w:b/>
                        <w:bCs/>
                        <w:sz w:val="16"/>
                        <w:szCs w:val="16"/>
                      </w:rPr>
                    </w:pPr>
                  </w:p>
                  <w:p w14:paraId="015C3363" w14:textId="77777777" w:rsidR="00F445FF" w:rsidRDefault="00F445FF" w:rsidP="005B2D79">
                    <w:pPr>
                      <w:ind w:right="-165"/>
                      <w:rPr>
                        <w:b/>
                        <w:bCs/>
                        <w:sz w:val="16"/>
                        <w:szCs w:val="16"/>
                      </w:rPr>
                    </w:pPr>
                  </w:p>
                  <w:p w14:paraId="492C0DF8" w14:textId="77777777" w:rsidR="00F445FF" w:rsidRDefault="00F445FF" w:rsidP="005B2D79">
                    <w:pPr>
                      <w:ind w:right="-165"/>
                      <w:rPr>
                        <w:b/>
                        <w:bCs/>
                        <w:sz w:val="16"/>
                        <w:szCs w:val="16"/>
                      </w:rPr>
                    </w:pPr>
                    <w:r>
                      <w:rPr>
                        <w:b/>
                        <w:bCs/>
                        <w:sz w:val="20"/>
                        <w:szCs w:val="20"/>
                      </w:rPr>
                      <w:t>C</w:t>
                    </w:r>
                  </w:p>
                  <w:p w14:paraId="3A20B4FE" w14:textId="77777777" w:rsidR="00F445FF" w:rsidRDefault="00F445FF" w:rsidP="005B2D79">
                    <w:pPr>
                      <w:ind w:right="-165"/>
                      <w:rPr>
                        <w:b/>
                        <w:bCs/>
                        <w:sz w:val="10"/>
                        <w:szCs w:val="10"/>
                      </w:rPr>
                    </w:pPr>
                  </w:p>
                  <w:p w14:paraId="13CC47AC" w14:textId="77777777" w:rsidR="00F445FF" w:rsidRDefault="00F445FF" w:rsidP="005B2D79">
                    <w:pPr>
                      <w:ind w:right="-165"/>
                      <w:rPr>
                        <w:b/>
                        <w:bCs/>
                        <w:sz w:val="16"/>
                        <w:szCs w:val="16"/>
                      </w:rPr>
                    </w:pPr>
                  </w:p>
                  <w:p w14:paraId="1EE64B55" w14:textId="77777777" w:rsidR="00F445FF" w:rsidRDefault="00F445FF" w:rsidP="005B2D79">
                    <w:pPr>
                      <w:ind w:right="-165"/>
                      <w:rPr>
                        <w:b/>
                        <w:bCs/>
                        <w:sz w:val="16"/>
                        <w:szCs w:val="16"/>
                      </w:rPr>
                    </w:pPr>
                  </w:p>
                  <w:p w14:paraId="03E4B80D" w14:textId="77777777" w:rsidR="00F445FF" w:rsidRDefault="00F445FF" w:rsidP="005B2D79">
                    <w:pPr>
                      <w:pStyle w:val="Heading2"/>
                      <w:ind w:right="-165"/>
                      <w:rPr>
                        <w:sz w:val="16"/>
                        <w:szCs w:val="16"/>
                      </w:rPr>
                    </w:pPr>
                    <w:r>
                      <w:t>D</w:t>
                    </w:r>
                  </w:p>
                  <w:p w14:paraId="787578BA" w14:textId="77777777" w:rsidR="00F445FF" w:rsidRDefault="00F445FF" w:rsidP="005B2D79">
                    <w:pPr>
                      <w:ind w:right="-165"/>
                      <w:rPr>
                        <w:b/>
                        <w:bCs/>
                        <w:sz w:val="10"/>
                        <w:szCs w:val="10"/>
                      </w:rPr>
                    </w:pPr>
                  </w:p>
                  <w:p w14:paraId="4DA565A4" w14:textId="77777777" w:rsidR="00F445FF" w:rsidRDefault="00F445FF" w:rsidP="005B2D79">
                    <w:pPr>
                      <w:ind w:right="-165"/>
                      <w:rPr>
                        <w:b/>
                        <w:bCs/>
                        <w:sz w:val="16"/>
                        <w:szCs w:val="16"/>
                      </w:rPr>
                    </w:pPr>
                  </w:p>
                  <w:p w14:paraId="5D3917F9" w14:textId="77777777" w:rsidR="00F445FF" w:rsidRDefault="00F445FF" w:rsidP="005B2D79">
                    <w:pPr>
                      <w:ind w:right="-165"/>
                      <w:rPr>
                        <w:b/>
                        <w:bCs/>
                        <w:sz w:val="16"/>
                        <w:szCs w:val="16"/>
                      </w:rPr>
                    </w:pPr>
                  </w:p>
                  <w:p w14:paraId="72598BAA" w14:textId="77777777" w:rsidR="00F445FF" w:rsidRDefault="00F445FF" w:rsidP="005B2D79">
                    <w:pPr>
                      <w:ind w:right="-165"/>
                      <w:rPr>
                        <w:b/>
                        <w:bCs/>
                        <w:sz w:val="16"/>
                        <w:szCs w:val="16"/>
                      </w:rPr>
                    </w:pPr>
                    <w:r>
                      <w:rPr>
                        <w:b/>
                        <w:bCs/>
                        <w:sz w:val="20"/>
                        <w:szCs w:val="20"/>
                      </w:rPr>
                      <w:t>E</w:t>
                    </w:r>
                  </w:p>
                  <w:p w14:paraId="704FDB49" w14:textId="77777777" w:rsidR="00F445FF" w:rsidRDefault="00F445FF" w:rsidP="005B2D79">
                    <w:pPr>
                      <w:ind w:right="-165"/>
                      <w:rPr>
                        <w:b/>
                        <w:bCs/>
                        <w:sz w:val="10"/>
                        <w:szCs w:val="10"/>
                      </w:rPr>
                    </w:pPr>
                  </w:p>
                  <w:p w14:paraId="429C7A54" w14:textId="77777777" w:rsidR="00F445FF" w:rsidRDefault="00F445FF" w:rsidP="005B2D79">
                    <w:pPr>
                      <w:ind w:right="-165"/>
                      <w:rPr>
                        <w:b/>
                        <w:bCs/>
                        <w:sz w:val="16"/>
                        <w:szCs w:val="16"/>
                      </w:rPr>
                    </w:pPr>
                  </w:p>
                  <w:p w14:paraId="080DB745" w14:textId="77777777" w:rsidR="00F445FF" w:rsidRDefault="00F445FF" w:rsidP="005B2D79">
                    <w:pPr>
                      <w:ind w:right="-165"/>
                      <w:rPr>
                        <w:b/>
                        <w:bCs/>
                        <w:sz w:val="16"/>
                        <w:szCs w:val="16"/>
                      </w:rPr>
                    </w:pPr>
                  </w:p>
                  <w:p w14:paraId="113C81E0" w14:textId="77777777" w:rsidR="00F445FF" w:rsidRDefault="00F445FF" w:rsidP="005B2D79">
                    <w:pPr>
                      <w:ind w:right="-165"/>
                      <w:rPr>
                        <w:b/>
                        <w:bCs/>
                        <w:sz w:val="20"/>
                        <w:szCs w:val="20"/>
                      </w:rPr>
                    </w:pPr>
                    <w:r>
                      <w:rPr>
                        <w:b/>
                        <w:bCs/>
                        <w:sz w:val="20"/>
                        <w:szCs w:val="20"/>
                      </w:rPr>
                      <w:t>F</w:t>
                    </w:r>
                  </w:p>
                  <w:p w14:paraId="594F1D81" w14:textId="77777777" w:rsidR="00F445FF" w:rsidRDefault="00F445FF" w:rsidP="005B2D79">
                    <w:pPr>
                      <w:ind w:right="-165"/>
                      <w:rPr>
                        <w:b/>
                        <w:bCs/>
                        <w:sz w:val="10"/>
                        <w:szCs w:val="10"/>
                      </w:rPr>
                    </w:pPr>
                  </w:p>
                  <w:p w14:paraId="4B2BC15E" w14:textId="77777777" w:rsidR="00F445FF" w:rsidRDefault="00F445FF" w:rsidP="005B2D79">
                    <w:pPr>
                      <w:ind w:right="-165"/>
                      <w:rPr>
                        <w:b/>
                        <w:bCs/>
                        <w:sz w:val="16"/>
                        <w:szCs w:val="16"/>
                      </w:rPr>
                    </w:pPr>
                  </w:p>
                  <w:p w14:paraId="68A61561" w14:textId="77777777" w:rsidR="00F445FF" w:rsidRDefault="00F445FF" w:rsidP="005B2D79">
                    <w:pPr>
                      <w:ind w:right="-165"/>
                      <w:rPr>
                        <w:b/>
                        <w:bCs/>
                        <w:sz w:val="16"/>
                        <w:szCs w:val="16"/>
                      </w:rPr>
                    </w:pPr>
                  </w:p>
                  <w:p w14:paraId="468F0919" w14:textId="77777777" w:rsidR="00F445FF" w:rsidRDefault="00F445FF" w:rsidP="005B2D79">
                    <w:pPr>
                      <w:ind w:right="-165"/>
                      <w:rPr>
                        <w:b/>
                        <w:bCs/>
                        <w:sz w:val="16"/>
                        <w:szCs w:val="16"/>
                      </w:rPr>
                    </w:pPr>
                    <w:r>
                      <w:rPr>
                        <w:b/>
                        <w:bCs/>
                        <w:sz w:val="20"/>
                        <w:szCs w:val="20"/>
                      </w:rPr>
                      <w:t>G</w:t>
                    </w:r>
                  </w:p>
                  <w:p w14:paraId="785CDC45" w14:textId="77777777" w:rsidR="00F445FF" w:rsidRDefault="00F445FF" w:rsidP="005B2D79">
                    <w:pPr>
                      <w:ind w:right="-165"/>
                      <w:rPr>
                        <w:b/>
                        <w:bCs/>
                        <w:sz w:val="10"/>
                        <w:szCs w:val="10"/>
                      </w:rPr>
                    </w:pPr>
                  </w:p>
                  <w:p w14:paraId="1D7B3B41" w14:textId="77777777" w:rsidR="00F445FF" w:rsidRDefault="00F445FF" w:rsidP="005B2D79">
                    <w:pPr>
                      <w:ind w:right="-165"/>
                      <w:rPr>
                        <w:b/>
                        <w:bCs/>
                        <w:sz w:val="16"/>
                        <w:szCs w:val="16"/>
                      </w:rPr>
                    </w:pPr>
                  </w:p>
                  <w:p w14:paraId="1B9CED94" w14:textId="77777777" w:rsidR="00F445FF" w:rsidRDefault="00F445FF" w:rsidP="005B2D79">
                    <w:pPr>
                      <w:ind w:right="-165"/>
                      <w:rPr>
                        <w:b/>
                        <w:bCs/>
                        <w:sz w:val="16"/>
                        <w:szCs w:val="16"/>
                      </w:rPr>
                    </w:pPr>
                  </w:p>
                  <w:p w14:paraId="6E530CBF" w14:textId="77777777" w:rsidR="00F445FF" w:rsidRDefault="00F445FF" w:rsidP="005B2D79">
                    <w:pPr>
                      <w:ind w:right="-165"/>
                      <w:rPr>
                        <w:b/>
                        <w:bCs/>
                        <w:sz w:val="16"/>
                        <w:szCs w:val="16"/>
                      </w:rPr>
                    </w:pPr>
                    <w:r>
                      <w:rPr>
                        <w:b/>
                        <w:bCs/>
                        <w:sz w:val="20"/>
                        <w:szCs w:val="20"/>
                      </w:rPr>
                      <w:t>H</w:t>
                    </w:r>
                  </w:p>
                  <w:p w14:paraId="031CEE41" w14:textId="77777777" w:rsidR="00F445FF" w:rsidRDefault="00F445FF" w:rsidP="005B2D79">
                    <w:pPr>
                      <w:ind w:right="-165"/>
                      <w:rPr>
                        <w:b/>
                        <w:bCs/>
                        <w:sz w:val="10"/>
                        <w:szCs w:val="10"/>
                      </w:rPr>
                    </w:pPr>
                  </w:p>
                  <w:p w14:paraId="07ECF8A0" w14:textId="77777777" w:rsidR="00F445FF" w:rsidRDefault="00F445FF" w:rsidP="005B2D79">
                    <w:pPr>
                      <w:ind w:right="-165"/>
                      <w:rPr>
                        <w:b/>
                        <w:bCs/>
                        <w:sz w:val="16"/>
                        <w:szCs w:val="16"/>
                      </w:rPr>
                    </w:pPr>
                  </w:p>
                  <w:p w14:paraId="290AD0C5" w14:textId="77777777" w:rsidR="00F445FF" w:rsidRDefault="00F445FF" w:rsidP="005B2D79">
                    <w:pPr>
                      <w:ind w:right="-165"/>
                      <w:rPr>
                        <w:b/>
                        <w:bCs/>
                        <w:sz w:val="16"/>
                        <w:szCs w:val="16"/>
                      </w:rPr>
                    </w:pPr>
                  </w:p>
                  <w:p w14:paraId="1EF7DA58" w14:textId="77777777" w:rsidR="00F445FF" w:rsidRDefault="00F445FF" w:rsidP="005B2D79">
                    <w:pPr>
                      <w:ind w:right="-165"/>
                      <w:rPr>
                        <w:b/>
                        <w:bCs/>
                        <w:sz w:val="16"/>
                        <w:szCs w:val="16"/>
                      </w:rPr>
                    </w:pPr>
                    <w:r>
                      <w:rPr>
                        <w:b/>
                        <w:bCs/>
                        <w:sz w:val="20"/>
                        <w:szCs w:val="20"/>
                      </w:rPr>
                      <w:t>I</w:t>
                    </w:r>
                  </w:p>
                  <w:p w14:paraId="258022D2" w14:textId="77777777" w:rsidR="00F445FF" w:rsidRDefault="00F445FF" w:rsidP="005B2D79">
                    <w:pPr>
                      <w:ind w:right="-165"/>
                      <w:rPr>
                        <w:b/>
                        <w:bCs/>
                        <w:sz w:val="10"/>
                        <w:szCs w:val="10"/>
                      </w:rPr>
                    </w:pPr>
                  </w:p>
                  <w:p w14:paraId="3FC4A100" w14:textId="77777777" w:rsidR="00F445FF" w:rsidRDefault="00F445FF" w:rsidP="005B2D79">
                    <w:pPr>
                      <w:ind w:right="-165"/>
                      <w:rPr>
                        <w:b/>
                        <w:bCs/>
                        <w:sz w:val="16"/>
                        <w:szCs w:val="16"/>
                      </w:rPr>
                    </w:pPr>
                  </w:p>
                  <w:p w14:paraId="756162DD" w14:textId="77777777" w:rsidR="00F445FF" w:rsidRDefault="00F445FF" w:rsidP="005B2D79">
                    <w:pPr>
                      <w:ind w:right="-165"/>
                      <w:rPr>
                        <w:b/>
                        <w:bCs/>
                        <w:sz w:val="16"/>
                        <w:szCs w:val="16"/>
                      </w:rPr>
                    </w:pPr>
                  </w:p>
                  <w:p w14:paraId="341AA2FC" w14:textId="77777777" w:rsidR="00F445FF" w:rsidRDefault="00F445FF" w:rsidP="005B2D79">
                    <w:pPr>
                      <w:ind w:right="-165"/>
                      <w:rPr>
                        <w:b/>
                        <w:bCs/>
                        <w:sz w:val="16"/>
                        <w:szCs w:val="16"/>
                      </w:rPr>
                    </w:pPr>
                    <w:r>
                      <w:rPr>
                        <w:b/>
                        <w:bCs/>
                        <w:sz w:val="20"/>
                        <w:szCs w:val="20"/>
                      </w:rPr>
                      <w:t>J</w:t>
                    </w:r>
                  </w:p>
                  <w:p w14:paraId="7CEB6A32" w14:textId="77777777" w:rsidR="00F445FF" w:rsidRDefault="00F445FF" w:rsidP="005B2D79">
                    <w:pPr>
                      <w:ind w:right="-165"/>
                      <w:rPr>
                        <w:b/>
                        <w:bCs/>
                        <w:sz w:val="10"/>
                        <w:szCs w:val="10"/>
                      </w:rPr>
                    </w:pPr>
                  </w:p>
                  <w:p w14:paraId="6E55F965" w14:textId="77777777" w:rsidR="00F445FF" w:rsidRDefault="00F445FF" w:rsidP="005B2D79">
                    <w:pPr>
                      <w:ind w:right="-165"/>
                      <w:rPr>
                        <w:b/>
                        <w:bCs/>
                        <w:sz w:val="16"/>
                        <w:szCs w:val="16"/>
                      </w:rPr>
                    </w:pPr>
                  </w:p>
                  <w:p w14:paraId="734D93FF" w14:textId="77777777" w:rsidR="00F445FF" w:rsidRDefault="00F445FF" w:rsidP="005B2D79">
                    <w:pPr>
                      <w:ind w:right="-165"/>
                      <w:rPr>
                        <w:b/>
                        <w:bCs/>
                        <w:sz w:val="16"/>
                        <w:szCs w:val="16"/>
                      </w:rPr>
                    </w:pPr>
                  </w:p>
                  <w:p w14:paraId="023384AB" w14:textId="77777777" w:rsidR="00F445FF" w:rsidRDefault="00F445FF" w:rsidP="005B2D79">
                    <w:pPr>
                      <w:ind w:right="-165"/>
                      <w:rPr>
                        <w:b/>
                        <w:bCs/>
                        <w:sz w:val="16"/>
                        <w:szCs w:val="16"/>
                      </w:rPr>
                    </w:pPr>
                    <w:r>
                      <w:rPr>
                        <w:b/>
                        <w:bCs/>
                        <w:sz w:val="20"/>
                        <w:szCs w:val="20"/>
                      </w:rPr>
                      <w:t>K</w:t>
                    </w:r>
                  </w:p>
                  <w:p w14:paraId="0D753E4F" w14:textId="77777777" w:rsidR="00F445FF" w:rsidRDefault="00F445FF" w:rsidP="005B2D79">
                    <w:pPr>
                      <w:ind w:right="-165"/>
                      <w:rPr>
                        <w:b/>
                        <w:bCs/>
                        <w:sz w:val="10"/>
                        <w:szCs w:val="10"/>
                      </w:rPr>
                    </w:pPr>
                  </w:p>
                  <w:p w14:paraId="65E41A4A" w14:textId="77777777" w:rsidR="00F445FF" w:rsidRDefault="00F445FF" w:rsidP="005B2D79">
                    <w:pPr>
                      <w:ind w:right="-165"/>
                      <w:rPr>
                        <w:b/>
                        <w:bCs/>
                        <w:sz w:val="16"/>
                        <w:szCs w:val="16"/>
                      </w:rPr>
                    </w:pPr>
                  </w:p>
                  <w:p w14:paraId="7AD1858F" w14:textId="77777777" w:rsidR="00F445FF" w:rsidRDefault="00F445FF" w:rsidP="005B2D79">
                    <w:pPr>
                      <w:ind w:right="-165"/>
                      <w:rPr>
                        <w:b/>
                        <w:bCs/>
                        <w:sz w:val="16"/>
                        <w:szCs w:val="16"/>
                      </w:rPr>
                    </w:pPr>
                  </w:p>
                  <w:p w14:paraId="52FDC8BE" w14:textId="77777777" w:rsidR="00F445FF" w:rsidRDefault="00F445FF" w:rsidP="005B2D79">
                    <w:pPr>
                      <w:ind w:right="-165"/>
                      <w:rPr>
                        <w:b/>
                        <w:bCs/>
                        <w:sz w:val="16"/>
                        <w:szCs w:val="16"/>
                      </w:rPr>
                    </w:pPr>
                    <w:r>
                      <w:rPr>
                        <w:b/>
                        <w:bCs/>
                        <w:sz w:val="20"/>
                        <w:szCs w:val="20"/>
                      </w:rPr>
                      <w:t>L</w:t>
                    </w:r>
                  </w:p>
                  <w:p w14:paraId="6D0AFC5C" w14:textId="77777777" w:rsidR="00F445FF" w:rsidRDefault="00F445FF" w:rsidP="005B2D79">
                    <w:pPr>
                      <w:ind w:right="-165"/>
                      <w:rPr>
                        <w:b/>
                        <w:bCs/>
                        <w:sz w:val="10"/>
                        <w:szCs w:val="10"/>
                      </w:rPr>
                    </w:pPr>
                  </w:p>
                  <w:p w14:paraId="59803F5F" w14:textId="77777777" w:rsidR="00F445FF" w:rsidRDefault="00F445FF" w:rsidP="005B2D79">
                    <w:pPr>
                      <w:ind w:right="-165"/>
                      <w:rPr>
                        <w:b/>
                        <w:bCs/>
                        <w:sz w:val="16"/>
                        <w:szCs w:val="16"/>
                      </w:rPr>
                    </w:pPr>
                  </w:p>
                  <w:p w14:paraId="280BF35C" w14:textId="77777777" w:rsidR="00F445FF" w:rsidRDefault="00F445FF" w:rsidP="005B2D79">
                    <w:pPr>
                      <w:ind w:right="-165"/>
                      <w:rPr>
                        <w:b/>
                        <w:bCs/>
                        <w:sz w:val="16"/>
                        <w:szCs w:val="16"/>
                      </w:rPr>
                    </w:pPr>
                  </w:p>
                  <w:p w14:paraId="6D83CDB6" w14:textId="77777777" w:rsidR="00F445FF" w:rsidRDefault="00F445FF" w:rsidP="005B2D79">
                    <w:pPr>
                      <w:ind w:right="-165"/>
                      <w:rPr>
                        <w:b/>
                        <w:bCs/>
                        <w:sz w:val="16"/>
                        <w:szCs w:val="16"/>
                      </w:rPr>
                    </w:pPr>
                    <w:r>
                      <w:rPr>
                        <w:b/>
                        <w:bCs/>
                        <w:sz w:val="20"/>
                        <w:szCs w:val="20"/>
                      </w:rPr>
                      <w:t>M</w:t>
                    </w:r>
                  </w:p>
                  <w:p w14:paraId="7477AF48" w14:textId="77777777" w:rsidR="00F445FF" w:rsidRDefault="00F445FF" w:rsidP="005B2D79">
                    <w:pPr>
                      <w:ind w:right="-165"/>
                      <w:rPr>
                        <w:b/>
                        <w:bCs/>
                        <w:sz w:val="10"/>
                        <w:szCs w:val="10"/>
                      </w:rPr>
                    </w:pPr>
                  </w:p>
                  <w:p w14:paraId="2E8C5A37" w14:textId="77777777" w:rsidR="00F445FF" w:rsidRDefault="00F445FF" w:rsidP="005B2D79">
                    <w:pPr>
                      <w:ind w:right="-165"/>
                      <w:rPr>
                        <w:b/>
                        <w:bCs/>
                        <w:sz w:val="16"/>
                        <w:szCs w:val="16"/>
                      </w:rPr>
                    </w:pPr>
                  </w:p>
                  <w:p w14:paraId="596DA999" w14:textId="77777777" w:rsidR="00F445FF" w:rsidRDefault="00F445FF" w:rsidP="005B2D79">
                    <w:pPr>
                      <w:ind w:right="-165"/>
                      <w:rPr>
                        <w:b/>
                        <w:bCs/>
                        <w:sz w:val="16"/>
                        <w:szCs w:val="16"/>
                      </w:rPr>
                    </w:pPr>
                  </w:p>
                  <w:p w14:paraId="5F104692" w14:textId="77777777" w:rsidR="00F445FF" w:rsidRDefault="00F445FF" w:rsidP="005B2D79">
                    <w:pPr>
                      <w:ind w:right="-165"/>
                      <w:rPr>
                        <w:b/>
                        <w:bCs/>
                        <w:sz w:val="16"/>
                        <w:szCs w:val="16"/>
                      </w:rPr>
                    </w:pPr>
                    <w:r>
                      <w:rPr>
                        <w:b/>
                        <w:bCs/>
                        <w:sz w:val="20"/>
                        <w:szCs w:val="20"/>
                      </w:rPr>
                      <w:t>N</w:t>
                    </w:r>
                  </w:p>
                  <w:p w14:paraId="0E702FC6" w14:textId="77777777" w:rsidR="00F445FF" w:rsidRDefault="00F445FF" w:rsidP="005B2D79">
                    <w:pPr>
                      <w:ind w:right="-165"/>
                      <w:rPr>
                        <w:b/>
                        <w:bCs/>
                        <w:sz w:val="10"/>
                        <w:szCs w:val="10"/>
                      </w:rPr>
                    </w:pPr>
                  </w:p>
                  <w:p w14:paraId="00E58584" w14:textId="77777777" w:rsidR="00F445FF" w:rsidRDefault="00F445FF" w:rsidP="005B2D79">
                    <w:pPr>
                      <w:ind w:right="-165"/>
                      <w:rPr>
                        <w:b/>
                        <w:bCs/>
                        <w:sz w:val="16"/>
                        <w:szCs w:val="16"/>
                      </w:rPr>
                    </w:pPr>
                  </w:p>
                  <w:p w14:paraId="003FD07B" w14:textId="77777777" w:rsidR="00F445FF" w:rsidRDefault="00F445FF" w:rsidP="005B2D79">
                    <w:pPr>
                      <w:ind w:right="-165"/>
                      <w:rPr>
                        <w:b/>
                        <w:bCs/>
                        <w:sz w:val="16"/>
                        <w:szCs w:val="16"/>
                      </w:rPr>
                    </w:pPr>
                  </w:p>
                  <w:p w14:paraId="2B2DA2A7" w14:textId="77777777" w:rsidR="00F445FF" w:rsidRDefault="00F445FF" w:rsidP="005B2D79">
                    <w:pPr>
                      <w:ind w:right="-165"/>
                      <w:rPr>
                        <w:b/>
                        <w:bCs/>
                        <w:sz w:val="16"/>
                        <w:szCs w:val="16"/>
                      </w:rPr>
                    </w:pPr>
                    <w:r>
                      <w:rPr>
                        <w:b/>
                        <w:bCs/>
                        <w:sz w:val="20"/>
                        <w:szCs w:val="20"/>
                      </w:rPr>
                      <w:t>O</w:t>
                    </w:r>
                  </w:p>
                  <w:p w14:paraId="10C5A6D7" w14:textId="77777777" w:rsidR="00F445FF" w:rsidRDefault="00F445FF" w:rsidP="005B2D79">
                    <w:pPr>
                      <w:ind w:right="-165"/>
                      <w:rPr>
                        <w:b/>
                        <w:bCs/>
                        <w:sz w:val="10"/>
                        <w:szCs w:val="10"/>
                      </w:rPr>
                    </w:pPr>
                  </w:p>
                  <w:p w14:paraId="099E3CBB" w14:textId="77777777" w:rsidR="00F445FF" w:rsidRDefault="00F445FF" w:rsidP="005B2D79">
                    <w:pPr>
                      <w:ind w:right="-165"/>
                      <w:rPr>
                        <w:b/>
                        <w:bCs/>
                        <w:sz w:val="16"/>
                        <w:szCs w:val="16"/>
                      </w:rPr>
                    </w:pPr>
                  </w:p>
                  <w:p w14:paraId="168C955F" w14:textId="77777777" w:rsidR="00F445FF" w:rsidRDefault="00F445FF" w:rsidP="005B2D79">
                    <w:pPr>
                      <w:ind w:right="-165"/>
                      <w:rPr>
                        <w:b/>
                        <w:bCs/>
                        <w:sz w:val="16"/>
                        <w:szCs w:val="16"/>
                      </w:rPr>
                    </w:pPr>
                  </w:p>
                  <w:p w14:paraId="2A4B2346" w14:textId="77777777" w:rsidR="00F445FF" w:rsidRDefault="00F445FF" w:rsidP="005B2D79">
                    <w:pPr>
                      <w:ind w:right="-165"/>
                      <w:rPr>
                        <w:b/>
                        <w:bCs/>
                        <w:sz w:val="16"/>
                        <w:szCs w:val="16"/>
                      </w:rPr>
                    </w:pPr>
                    <w:r>
                      <w:rPr>
                        <w:b/>
                        <w:bCs/>
                        <w:sz w:val="20"/>
                        <w:szCs w:val="20"/>
                      </w:rPr>
                      <w:t>P</w:t>
                    </w:r>
                  </w:p>
                  <w:p w14:paraId="1F94EC07" w14:textId="77777777" w:rsidR="00F445FF" w:rsidRDefault="00F445FF" w:rsidP="005B2D79">
                    <w:pPr>
                      <w:ind w:right="-165"/>
                      <w:rPr>
                        <w:b/>
                        <w:bCs/>
                        <w:sz w:val="10"/>
                        <w:szCs w:val="10"/>
                      </w:rPr>
                    </w:pPr>
                  </w:p>
                  <w:p w14:paraId="2F2F99D7" w14:textId="77777777" w:rsidR="00F445FF" w:rsidRDefault="00F445FF" w:rsidP="005B2D79">
                    <w:pPr>
                      <w:ind w:right="-165"/>
                      <w:rPr>
                        <w:b/>
                        <w:bCs/>
                        <w:sz w:val="16"/>
                        <w:szCs w:val="16"/>
                      </w:rPr>
                    </w:pPr>
                  </w:p>
                  <w:p w14:paraId="502DAA04" w14:textId="77777777" w:rsidR="00F445FF" w:rsidRDefault="00F445FF" w:rsidP="005B2D79">
                    <w:pPr>
                      <w:ind w:right="-165"/>
                      <w:rPr>
                        <w:b/>
                        <w:bCs/>
                        <w:sz w:val="16"/>
                        <w:szCs w:val="16"/>
                      </w:rPr>
                    </w:pPr>
                  </w:p>
                  <w:p w14:paraId="02E03E4A" w14:textId="77777777" w:rsidR="00F445FF" w:rsidRDefault="00F445FF" w:rsidP="005B2D79">
                    <w:pPr>
                      <w:ind w:right="-165"/>
                      <w:rPr>
                        <w:b/>
                        <w:bCs/>
                        <w:sz w:val="16"/>
                        <w:szCs w:val="16"/>
                      </w:rPr>
                    </w:pPr>
                    <w:r>
                      <w:rPr>
                        <w:b/>
                        <w:bCs/>
                        <w:sz w:val="20"/>
                        <w:szCs w:val="20"/>
                      </w:rPr>
                      <w:t>Q</w:t>
                    </w:r>
                  </w:p>
                  <w:p w14:paraId="6FC24065" w14:textId="77777777" w:rsidR="00F445FF" w:rsidRDefault="00F445FF" w:rsidP="005B2D79">
                    <w:pPr>
                      <w:ind w:right="-165"/>
                      <w:rPr>
                        <w:b/>
                        <w:bCs/>
                        <w:sz w:val="10"/>
                        <w:szCs w:val="10"/>
                      </w:rPr>
                    </w:pPr>
                  </w:p>
                  <w:p w14:paraId="0A2D66A5" w14:textId="77777777" w:rsidR="00F445FF" w:rsidRDefault="00F445FF" w:rsidP="005B2D79">
                    <w:pPr>
                      <w:ind w:right="-165"/>
                      <w:rPr>
                        <w:b/>
                        <w:bCs/>
                        <w:sz w:val="16"/>
                        <w:szCs w:val="16"/>
                      </w:rPr>
                    </w:pPr>
                  </w:p>
                  <w:p w14:paraId="0AC78D67" w14:textId="77777777" w:rsidR="00F445FF" w:rsidRDefault="00F445FF" w:rsidP="005B2D79">
                    <w:pPr>
                      <w:ind w:right="-165"/>
                      <w:rPr>
                        <w:b/>
                        <w:bCs/>
                        <w:sz w:val="16"/>
                        <w:szCs w:val="16"/>
                      </w:rPr>
                    </w:pPr>
                  </w:p>
                  <w:p w14:paraId="24886A82" w14:textId="77777777" w:rsidR="00F445FF" w:rsidRDefault="00F445FF" w:rsidP="005B2D79">
                    <w:pPr>
                      <w:ind w:right="-165"/>
                      <w:rPr>
                        <w:b/>
                        <w:bCs/>
                        <w:sz w:val="16"/>
                        <w:szCs w:val="16"/>
                      </w:rPr>
                    </w:pPr>
                    <w:r>
                      <w:rPr>
                        <w:b/>
                        <w:bCs/>
                        <w:sz w:val="20"/>
                        <w:szCs w:val="20"/>
                      </w:rPr>
                      <w:t>R</w:t>
                    </w:r>
                  </w:p>
                  <w:p w14:paraId="206AB8A6" w14:textId="77777777" w:rsidR="00F445FF" w:rsidRDefault="00F445FF" w:rsidP="005B2D79">
                    <w:pPr>
                      <w:ind w:right="-165"/>
                      <w:rPr>
                        <w:b/>
                        <w:bCs/>
                        <w:sz w:val="10"/>
                        <w:szCs w:val="10"/>
                      </w:rPr>
                    </w:pPr>
                  </w:p>
                  <w:p w14:paraId="393A6D5B" w14:textId="77777777" w:rsidR="00F445FF" w:rsidRDefault="00F445FF" w:rsidP="005B2D79">
                    <w:pPr>
                      <w:ind w:right="-165"/>
                      <w:rPr>
                        <w:b/>
                        <w:bCs/>
                        <w:sz w:val="16"/>
                        <w:szCs w:val="16"/>
                      </w:rPr>
                    </w:pPr>
                  </w:p>
                  <w:p w14:paraId="1182069E" w14:textId="77777777" w:rsidR="00F445FF" w:rsidRDefault="00F445FF" w:rsidP="005B2D79">
                    <w:pPr>
                      <w:ind w:right="-165"/>
                      <w:rPr>
                        <w:b/>
                        <w:bCs/>
                        <w:sz w:val="16"/>
                        <w:szCs w:val="16"/>
                      </w:rPr>
                    </w:pPr>
                  </w:p>
                  <w:p w14:paraId="4444849C" w14:textId="77777777" w:rsidR="00F445FF" w:rsidRDefault="00F445FF" w:rsidP="005B2D79">
                    <w:pPr>
                      <w:ind w:right="-165"/>
                      <w:rPr>
                        <w:b/>
                        <w:bCs/>
                        <w:sz w:val="16"/>
                        <w:szCs w:val="16"/>
                      </w:rPr>
                    </w:pPr>
                    <w:r>
                      <w:rPr>
                        <w:b/>
                        <w:bCs/>
                        <w:sz w:val="20"/>
                        <w:szCs w:val="20"/>
                      </w:rPr>
                      <w:t>S</w:t>
                    </w:r>
                  </w:p>
                  <w:p w14:paraId="13A02AC4" w14:textId="77777777" w:rsidR="00F445FF" w:rsidRDefault="00F445FF" w:rsidP="005B2D79">
                    <w:pPr>
                      <w:ind w:right="-165"/>
                      <w:rPr>
                        <w:b/>
                        <w:bCs/>
                        <w:sz w:val="10"/>
                        <w:szCs w:val="10"/>
                      </w:rPr>
                    </w:pPr>
                  </w:p>
                  <w:p w14:paraId="02956FBB" w14:textId="77777777" w:rsidR="00F445FF" w:rsidRDefault="00F445FF" w:rsidP="005B2D79">
                    <w:pPr>
                      <w:ind w:right="-165"/>
                      <w:rPr>
                        <w:b/>
                        <w:bCs/>
                        <w:sz w:val="16"/>
                        <w:szCs w:val="16"/>
                      </w:rPr>
                    </w:pPr>
                  </w:p>
                  <w:p w14:paraId="39EC1A32" w14:textId="77777777" w:rsidR="00F445FF" w:rsidRDefault="00F445FF" w:rsidP="005B2D79">
                    <w:pPr>
                      <w:ind w:right="-165"/>
                      <w:rPr>
                        <w:b/>
                        <w:bCs/>
                        <w:sz w:val="16"/>
                        <w:szCs w:val="16"/>
                      </w:rPr>
                    </w:pPr>
                  </w:p>
                  <w:p w14:paraId="31B5D206" w14:textId="77777777" w:rsidR="00F445FF" w:rsidRDefault="00F445FF" w:rsidP="005B2D79">
                    <w:pPr>
                      <w:ind w:right="-165"/>
                      <w:rPr>
                        <w:b/>
                        <w:bCs/>
                        <w:sz w:val="16"/>
                        <w:szCs w:val="16"/>
                      </w:rPr>
                    </w:pPr>
                    <w:r>
                      <w:rPr>
                        <w:b/>
                        <w:bCs/>
                        <w:sz w:val="20"/>
                        <w:szCs w:val="20"/>
                      </w:rPr>
                      <w:t>T</w:t>
                    </w:r>
                  </w:p>
                  <w:p w14:paraId="27470334" w14:textId="77777777" w:rsidR="00F445FF" w:rsidRDefault="00F445FF" w:rsidP="005B2D79">
                    <w:pPr>
                      <w:ind w:right="-165"/>
                      <w:rPr>
                        <w:b/>
                        <w:bCs/>
                        <w:sz w:val="10"/>
                        <w:szCs w:val="10"/>
                      </w:rPr>
                    </w:pPr>
                  </w:p>
                  <w:p w14:paraId="6A529F41" w14:textId="77777777" w:rsidR="00F445FF" w:rsidRDefault="00F445FF" w:rsidP="005B2D79">
                    <w:pPr>
                      <w:ind w:right="-165"/>
                      <w:rPr>
                        <w:b/>
                        <w:bCs/>
                        <w:sz w:val="16"/>
                        <w:szCs w:val="16"/>
                      </w:rPr>
                    </w:pPr>
                  </w:p>
                  <w:p w14:paraId="7EB477BF" w14:textId="77777777" w:rsidR="00F445FF" w:rsidRDefault="00F445FF" w:rsidP="005B2D79">
                    <w:pPr>
                      <w:ind w:right="-165"/>
                      <w:rPr>
                        <w:b/>
                        <w:bCs/>
                        <w:sz w:val="16"/>
                        <w:szCs w:val="16"/>
                      </w:rPr>
                    </w:pPr>
                  </w:p>
                  <w:p w14:paraId="6C62D33E" w14:textId="77777777" w:rsidR="00F445FF" w:rsidRDefault="00F445FF" w:rsidP="005B2D79">
                    <w:pPr>
                      <w:ind w:right="-165"/>
                      <w:rPr>
                        <w:b/>
                        <w:bCs/>
                        <w:sz w:val="16"/>
                        <w:szCs w:val="16"/>
                      </w:rPr>
                    </w:pPr>
                    <w:r>
                      <w:rPr>
                        <w:b/>
                        <w:bCs/>
                        <w:sz w:val="20"/>
                        <w:szCs w:val="20"/>
                      </w:rPr>
                      <w:t>U</w:t>
                    </w:r>
                  </w:p>
                  <w:p w14:paraId="264EF147" w14:textId="77777777" w:rsidR="00F445FF" w:rsidRDefault="00F445FF" w:rsidP="005B2D79">
                    <w:pPr>
                      <w:ind w:right="-165"/>
                      <w:rPr>
                        <w:b/>
                        <w:bCs/>
                        <w:sz w:val="10"/>
                        <w:szCs w:val="10"/>
                      </w:rPr>
                    </w:pPr>
                  </w:p>
                  <w:p w14:paraId="3D8AFF18" w14:textId="77777777" w:rsidR="00F445FF" w:rsidRDefault="00F445FF" w:rsidP="005B2D79">
                    <w:pPr>
                      <w:ind w:right="-165"/>
                      <w:rPr>
                        <w:b/>
                        <w:bCs/>
                        <w:sz w:val="16"/>
                        <w:szCs w:val="16"/>
                      </w:rPr>
                    </w:pPr>
                  </w:p>
                  <w:p w14:paraId="18690E71" w14:textId="77777777" w:rsidR="00F445FF" w:rsidRDefault="00F445FF" w:rsidP="005B2D79">
                    <w:pPr>
                      <w:ind w:right="-165"/>
                      <w:rPr>
                        <w:b/>
                        <w:bCs/>
                        <w:sz w:val="16"/>
                        <w:szCs w:val="16"/>
                      </w:rPr>
                    </w:pPr>
                  </w:p>
                  <w:p w14:paraId="115BCCE9" w14:textId="77777777" w:rsidR="00F445FF" w:rsidRPr="005B2D79" w:rsidRDefault="00F445FF"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0B16502F" wp14:editId="720EC6E8">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D9C22" w14:textId="77777777" w:rsidR="00F445FF" w:rsidRDefault="00F445FF">
                          <w:pPr>
                            <w:rPr>
                              <w:b/>
                              <w:bCs/>
                              <w:sz w:val="20"/>
                              <w:szCs w:val="20"/>
                            </w:rPr>
                          </w:pPr>
                          <w:r>
                            <w:rPr>
                              <w:b/>
                              <w:bCs/>
                              <w:sz w:val="20"/>
                              <w:szCs w:val="20"/>
                            </w:rPr>
                            <w:t>A</w:t>
                          </w:r>
                        </w:p>
                        <w:p w14:paraId="417B8564" w14:textId="77777777" w:rsidR="00F445FF" w:rsidRDefault="00F445FF">
                          <w:pPr>
                            <w:rPr>
                              <w:b/>
                              <w:bCs/>
                              <w:sz w:val="10"/>
                              <w:szCs w:val="10"/>
                            </w:rPr>
                          </w:pPr>
                        </w:p>
                        <w:p w14:paraId="3AB91A48" w14:textId="77777777" w:rsidR="00F445FF" w:rsidRDefault="00F445FF">
                          <w:pPr>
                            <w:rPr>
                              <w:b/>
                              <w:bCs/>
                              <w:sz w:val="16"/>
                              <w:szCs w:val="16"/>
                            </w:rPr>
                          </w:pPr>
                        </w:p>
                        <w:p w14:paraId="6A320489" w14:textId="77777777" w:rsidR="00F445FF" w:rsidRDefault="00F445FF">
                          <w:pPr>
                            <w:rPr>
                              <w:b/>
                              <w:bCs/>
                              <w:sz w:val="16"/>
                              <w:szCs w:val="16"/>
                            </w:rPr>
                          </w:pPr>
                        </w:p>
                        <w:p w14:paraId="1BE4E772" w14:textId="77777777" w:rsidR="00F445FF" w:rsidRDefault="00F445FF">
                          <w:pPr>
                            <w:rPr>
                              <w:b/>
                              <w:bCs/>
                              <w:sz w:val="20"/>
                              <w:szCs w:val="20"/>
                            </w:rPr>
                          </w:pPr>
                          <w:r>
                            <w:rPr>
                              <w:b/>
                              <w:bCs/>
                              <w:sz w:val="20"/>
                              <w:szCs w:val="20"/>
                            </w:rPr>
                            <w:t>B</w:t>
                          </w:r>
                        </w:p>
                        <w:p w14:paraId="378FB491" w14:textId="77777777" w:rsidR="00F445FF" w:rsidRDefault="00F445FF">
                          <w:pPr>
                            <w:rPr>
                              <w:b/>
                              <w:bCs/>
                              <w:sz w:val="10"/>
                              <w:szCs w:val="10"/>
                            </w:rPr>
                          </w:pPr>
                        </w:p>
                        <w:p w14:paraId="1F0EE257" w14:textId="77777777" w:rsidR="00F445FF" w:rsidRDefault="00F445FF">
                          <w:pPr>
                            <w:rPr>
                              <w:b/>
                              <w:bCs/>
                              <w:sz w:val="16"/>
                              <w:szCs w:val="16"/>
                            </w:rPr>
                          </w:pPr>
                        </w:p>
                        <w:p w14:paraId="190DD7E8" w14:textId="77777777" w:rsidR="00F445FF" w:rsidRDefault="00F445FF">
                          <w:pPr>
                            <w:rPr>
                              <w:b/>
                              <w:bCs/>
                              <w:sz w:val="16"/>
                              <w:szCs w:val="16"/>
                            </w:rPr>
                          </w:pPr>
                        </w:p>
                        <w:p w14:paraId="4320B0E1" w14:textId="77777777" w:rsidR="00F445FF" w:rsidRDefault="00F445FF">
                          <w:pPr>
                            <w:rPr>
                              <w:b/>
                              <w:bCs/>
                              <w:sz w:val="16"/>
                              <w:szCs w:val="16"/>
                            </w:rPr>
                          </w:pPr>
                          <w:r>
                            <w:rPr>
                              <w:b/>
                              <w:bCs/>
                              <w:sz w:val="20"/>
                              <w:szCs w:val="20"/>
                            </w:rPr>
                            <w:t>C</w:t>
                          </w:r>
                        </w:p>
                        <w:p w14:paraId="582E7A29" w14:textId="77777777" w:rsidR="00F445FF" w:rsidRDefault="00F445FF">
                          <w:pPr>
                            <w:rPr>
                              <w:b/>
                              <w:bCs/>
                              <w:sz w:val="10"/>
                              <w:szCs w:val="10"/>
                            </w:rPr>
                          </w:pPr>
                        </w:p>
                        <w:p w14:paraId="0A11493F" w14:textId="77777777" w:rsidR="00F445FF" w:rsidRDefault="00F445FF">
                          <w:pPr>
                            <w:rPr>
                              <w:b/>
                              <w:bCs/>
                              <w:sz w:val="16"/>
                              <w:szCs w:val="16"/>
                            </w:rPr>
                          </w:pPr>
                        </w:p>
                        <w:p w14:paraId="54339AE7" w14:textId="77777777" w:rsidR="00F445FF" w:rsidRDefault="00F445FF">
                          <w:pPr>
                            <w:rPr>
                              <w:b/>
                              <w:bCs/>
                              <w:sz w:val="16"/>
                              <w:szCs w:val="16"/>
                            </w:rPr>
                          </w:pPr>
                        </w:p>
                        <w:p w14:paraId="5ACA5F6A" w14:textId="77777777" w:rsidR="00F445FF" w:rsidRDefault="00F445FF">
                          <w:pPr>
                            <w:pStyle w:val="Heading2"/>
                            <w:rPr>
                              <w:sz w:val="16"/>
                              <w:szCs w:val="16"/>
                            </w:rPr>
                          </w:pPr>
                          <w:r>
                            <w:t>D</w:t>
                          </w:r>
                        </w:p>
                        <w:p w14:paraId="20BB5AFF" w14:textId="77777777" w:rsidR="00F445FF" w:rsidRDefault="00F445FF">
                          <w:pPr>
                            <w:rPr>
                              <w:b/>
                              <w:bCs/>
                              <w:sz w:val="10"/>
                              <w:szCs w:val="10"/>
                            </w:rPr>
                          </w:pPr>
                        </w:p>
                        <w:p w14:paraId="4E9EBB48" w14:textId="77777777" w:rsidR="00F445FF" w:rsidRDefault="00F445FF">
                          <w:pPr>
                            <w:rPr>
                              <w:b/>
                              <w:bCs/>
                              <w:sz w:val="16"/>
                              <w:szCs w:val="16"/>
                            </w:rPr>
                          </w:pPr>
                        </w:p>
                        <w:p w14:paraId="3A83A068" w14:textId="77777777" w:rsidR="00F445FF" w:rsidRDefault="00F445FF">
                          <w:pPr>
                            <w:rPr>
                              <w:b/>
                              <w:bCs/>
                              <w:sz w:val="16"/>
                              <w:szCs w:val="16"/>
                            </w:rPr>
                          </w:pPr>
                        </w:p>
                        <w:p w14:paraId="66AD9B28" w14:textId="77777777" w:rsidR="00F445FF" w:rsidRDefault="00F445FF">
                          <w:pPr>
                            <w:rPr>
                              <w:b/>
                              <w:bCs/>
                              <w:sz w:val="16"/>
                              <w:szCs w:val="16"/>
                            </w:rPr>
                          </w:pPr>
                          <w:r>
                            <w:rPr>
                              <w:b/>
                              <w:bCs/>
                              <w:sz w:val="20"/>
                              <w:szCs w:val="20"/>
                            </w:rPr>
                            <w:t>E</w:t>
                          </w:r>
                        </w:p>
                        <w:p w14:paraId="2D264485" w14:textId="77777777" w:rsidR="00F445FF" w:rsidRDefault="00F445FF">
                          <w:pPr>
                            <w:rPr>
                              <w:b/>
                              <w:bCs/>
                              <w:sz w:val="10"/>
                              <w:szCs w:val="10"/>
                            </w:rPr>
                          </w:pPr>
                        </w:p>
                        <w:p w14:paraId="301F66E1" w14:textId="77777777" w:rsidR="00F445FF" w:rsidRDefault="00F445FF">
                          <w:pPr>
                            <w:rPr>
                              <w:b/>
                              <w:bCs/>
                              <w:sz w:val="16"/>
                              <w:szCs w:val="16"/>
                            </w:rPr>
                          </w:pPr>
                        </w:p>
                        <w:p w14:paraId="3FBA80EF" w14:textId="77777777" w:rsidR="00F445FF" w:rsidRDefault="00F445FF">
                          <w:pPr>
                            <w:rPr>
                              <w:b/>
                              <w:bCs/>
                              <w:sz w:val="16"/>
                              <w:szCs w:val="16"/>
                            </w:rPr>
                          </w:pPr>
                        </w:p>
                        <w:p w14:paraId="70F11754" w14:textId="77777777" w:rsidR="00F445FF" w:rsidRDefault="00F445FF">
                          <w:pPr>
                            <w:rPr>
                              <w:b/>
                              <w:bCs/>
                              <w:sz w:val="20"/>
                              <w:szCs w:val="20"/>
                            </w:rPr>
                          </w:pPr>
                          <w:r>
                            <w:rPr>
                              <w:b/>
                              <w:bCs/>
                              <w:sz w:val="20"/>
                              <w:szCs w:val="20"/>
                            </w:rPr>
                            <w:t>F</w:t>
                          </w:r>
                        </w:p>
                        <w:p w14:paraId="6C18EECB" w14:textId="77777777" w:rsidR="00F445FF" w:rsidRDefault="00F445FF">
                          <w:pPr>
                            <w:rPr>
                              <w:b/>
                              <w:bCs/>
                              <w:sz w:val="10"/>
                              <w:szCs w:val="10"/>
                            </w:rPr>
                          </w:pPr>
                        </w:p>
                        <w:p w14:paraId="138DD690" w14:textId="77777777" w:rsidR="00F445FF" w:rsidRDefault="00F445FF">
                          <w:pPr>
                            <w:rPr>
                              <w:b/>
                              <w:bCs/>
                              <w:sz w:val="16"/>
                              <w:szCs w:val="16"/>
                            </w:rPr>
                          </w:pPr>
                        </w:p>
                        <w:p w14:paraId="436D0CAF" w14:textId="77777777" w:rsidR="00F445FF" w:rsidRDefault="00F445FF">
                          <w:pPr>
                            <w:rPr>
                              <w:b/>
                              <w:bCs/>
                              <w:sz w:val="16"/>
                              <w:szCs w:val="16"/>
                            </w:rPr>
                          </w:pPr>
                        </w:p>
                        <w:p w14:paraId="498C5C28" w14:textId="77777777" w:rsidR="00F445FF" w:rsidRDefault="00F445FF">
                          <w:pPr>
                            <w:rPr>
                              <w:b/>
                              <w:bCs/>
                              <w:sz w:val="16"/>
                              <w:szCs w:val="16"/>
                            </w:rPr>
                          </w:pPr>
                          <w:r>
                            <w:rPr>
                              <w:b/>
                              <w:bCs/>
                              <w:sz w:val="20"/>
                              <w:szCs w:val="20"/>
                            </w:rPr>
                            <w:t>G</w:t>
                          </w:r>
                        </w:p>
                        <w:p w14:paraId="28B8486B" w14:textId="77777777" w:rsidR="00F445FF" w:rsidRDefault="00F445FF">
                          <w:pPr>
                            <w:rPr>
                              <w:b/>
                              <w:bCs/>
                              <w:sz w:val="10"/>
                              <w:szCs w:val="10"/>
                            </w:rPr>
                          </w:pPr>
                        </w:p>
                        <w:p w14:paraId="40BEFB33" w14:textId="77777777" w:rsidR="00F445FF" w:rsidRDefault="00F445FF">
                          <w:pPr>
                            <w:rPr>
                              <w:b/>
                              <w:bCs/>
                              <w:sz w:val="16"/>
                              <w:szCs w:val="16"/>
                            </w:rPr>
                          </w:pPr>
                        </w:p>
                        <w:p w14:paraId="79B7B48E" w14:textId="77777777" w:rsidR="00F445FF" w:rsidRDefault="00F445FF">
                          <w:pPr>
                            <w:rPr>
                              <w:b/>
                              <w:bCs/>
                              <w:sz w:val="16"/>
                              <w:szCs w:val="16"/>
                            </w:rPr>
                          </w:pPr>
                        </w:p>
                        <w:p w14:paraId="1796B468" w14:textId="77777777" w:rsidR="00F445FF" w:rsidRDefault="00F445FF">
                          <w:pPr>
                            <w:rPr>
                              <w:b/>
                              <w:bCs/>
                              <w:sz w:val="16"/>
                              <w:szCs w:val="16"/>
                            </w:rPr>
                          </w:pPr>
                          <w:r>
                            <w:rPr>
                              <w:b/>
                              <w:bCs/>
                              <w:sz w:val="20"/>
                              <w:szCs w:val="20"/>
                            </w:rPr>
                            <w:t>H</w:t>
                          </w:r>
                        </w:p>
                        <w:p w14:paraId="0B93C756" w14:textId="77777777" w:rsidR="00F445FF" w:rsidRDefault="00F445FF">
                          <w:pPr>
                            <w:rPr>
                              <w:b/>
                              <w:bCs/>
                              <w:sz w:val="10"/>
                              <w:szCs w:val="10"/>
                            </w:rPr>
                          </w:pPr>
                        </w:p>
                        <w:p w14:paraId="3F52E1A5" w14:textId="77777777" w:rsidR="00F445FF" w:rsidRDefault="00F445FF">
                          <w:pPr>
                            <w:rPr>
                              <w:b/>
                              <w:bCs/>
                              <w:sz w:val="16"/>
                              <w:szCs w:val="16"/>
                            </w:rPr>
                          </w:pPr>
                        </w:p>
                        <w:p w14:paraId="69A741A5" w14:textId="77777777" w:rsidR="00F445FF" w:rsidRDefault="00F445FF">
                          <w:pPr>
                            <w:rPr>
                              <w:b/>
                              <w:bCs/>
                              <w:sz w:val="16"/>
                              <w:szCs w:val="16"/>
                            </w:rPr>
                          </w:pPr>
                        </w:p>
                        <w:p w14:paraId="508E3474" w14:textId="77777777" w:rsidR="00F445FF" w:rsidRDefault="00F445FF">
                          <w:pPr>
                            <w:rPr>
                              <w:b/>
                              <w:bCs/>
                              <w:sz w:val="16"/>
                              <w:szCs w:val="16"/>
                            </w:rPr>
                          </w:pPr>
                          <w:r>
                            <w:rPr>
                              <w:b/>
                              <w:bCs/>
                              <w:sz w:val="20"/>
                              <w:szCs w:val="20"/>
                            </w:rPr>
                            <w:t>I</w:t>
                          </w:r>
                        </w:p>
                        <w:p w14:paraId="7A7F13FD" w14:textId="77777777" w:rsidR="00F445FF" w:rsidRDefault="00F445FF">
                          <w:pPr>
                            <w:rPr>
                              <w:b/>
                              <w:bCs/>
                              <w:sz w:val="10"/>
                              <w:szCs w:val="10"/>
                            </w:rPr>
                          </w:pPr>
                        </w:p>
                        <w:p w14:paraId="782EC68B" w14:textId="77777777" w:rsidR="00F445FF" w:rsidRDefault="00F445FF">
                          <w:pPr>
                            <w:rPr>
                              <w:b/>
                              <w:bCs/>
                              <w:sz w:val="16"/>
                              <w:szCs w:val="16"/>
                            </w:rPr>
                          </w:pPr>
                        </w:p>
                        <w:p w14:paraId="3583C998" w14:textId="77777777" w:rsidR="00F445FF" w:rsidRDefault="00F445FF">
                          <w:pPr>
                            <w:rPr>
                              <w:b/>
                              <w:bCs/>
                              <w:sz w:val="16"/>
                              <w:szCs w:val="16"/>
                            </w:rPr>
                          </w:pPr>
                        </w:p>
                        <w:p w14:paraId="1BD992E1" w14:textId="77777777" w:rsidR="00F445FF" w:rsidRDefault="00F445FF">
                          <w:pPr>
                            <w:rPr>
                              <w:b/>
                              <w:bCs/>
                              <w:sz w:val="16"/>
                              <w:szCs w:val="16"/>
                            </w:rPr>
                          </w:pPr>
                          <w:r>
                            <w:rPr>
                              <w:b/>
                              <w:bCs/>
                              <w:sz w:val="20"/>
                              <w:szCs w:val="20"/>
                            </w:rPr>
                            <w:t>J</w:t>
                          </w:r>
                        </w:p>
                        <w:p w14:paraId="04E4803B" w14:textId="77777777" w:rsidR="00F445FF" w:rsidRDefault="00F445FF">
                          <w:pPr>
                            <w:rPr>
                              <w:b/>
                              <w:bCs/>
                              <w:sz w:val="10"/>
                              <w:szCs w:val="10"/>
                            </w:rPr>
                          </w:pPr>
                        </w:p>
                        <w:p w14:paraId="4D181DA4" w14:textId="77777777" w:rsidR="00F445FF" w:rsidRDefault="00F445FF">
                          <w:pPr>
                            <w:rPr>
                              <w:b/>
                              <w:bCs/>
                              <w:sz w:val="16"/>
                              <w:szCs w:val="16"/>
                            </w:rPr>
                          </w:pPr>
                        </w:p>
                        <w:p w14:paraId="3135FDFC" w14:textId="77777777" w:rsidR="00F445FF" w:rsidRDefault="00F445FF">
                          <w:pPr>
                            <w:rPr>
                              <w:b/>
                              <w:bCs/>
                              <w:sz w:val="16"/>
                              <w:szCs w:val="16"/>
                            </w:rPr>
                          </w:pPr>
                        </w:p>
                        <w:p w14:paraId="7F5D8B7A" w14:textId="77777777" w:rsidR="00F445FF" w:rsidRDefault="00F445FF">
                          <w:pPr>
                            <w:rPr>
                              <w:b/>
                              <w:bCs/>
                              <w:sz w:val="16"/>
                              <w:szCs w:val="16"/>
                            </w:rPr>
                          </w:pPr>
                          <w:r>
                            <w:rPr>
                              <w:b/>
                              <w:bCs/>
                              <w:sz w:val="20"/>
                              <w:szCs w:val="20"/>
                            </w:rPr>
                            <w:t>K</w:t>
                          </w:r>
                        </w:p>
                        <w:p w14:paraId="42BCCCD8" w14:textId="77777777" w:rsidR="00F445FF" w:rsidRDefault="00F445FF">
                          <w:pPr>
                            <w:rPr>
                              <w:b/>
                              <w:bCs/>
                              <w:sz w:val="10"/>
                              <w:szCs w:val="10"/>
                            </w:rPr>
                          </w:pPr>
                        </w:p>
                        <w:p w14:paraId="600B4851" w14:textId="77777777" w:rsidR="00F445FF" w:rsidRDefault="00F445FF">
                          <w:pPr>
                            <w:rPr>
                              <w:b/>
                              <w:bCs/>
                              <w:sz w:val="16"/>
                              <w:szCs w:val="16"/>
                            </w:rPr>
                          </w:pPr>
                        </w:p>
                        <w:p w14:paraId="2BE24111" w14:textId="77777777" w:rsidR="00F445FF" w:rsidRDefault="00F445FF">
                          <w:pPr>
                            <w:rPr>
                              <w:b/>
                              <w:bCs/>
                              <w:sz w:val="16"/>
                              <w:szCs w:val="16"/>
                            </w:rPr>
                          </w:pPr>
                        </w:p>
                        <w:p w14:paraId="21E6E366" w14:textId="77777777" w:rsidR="00F445FF" w:rsidRDefault="00F445FF">
                          <w:pPr>
                            <w:rPr>
                              <w:b/>
                              <w:bCs/>
                              <w:sz w:val="16"/>
                              <w:szCs w:val="16"/>
                            </w:rPr>
                          </w:pPr>
                          <w:r>
                            <w:rPr>
                              <w:b/>
                              <w:bCs/>
                              <w:sz w:val="20"/>
                              <w:szCs w:val="20"/>
                            </w:rPr>
                            <w:t>L</w:t>
                          </w:r>
                        </w:p>
                        <w:p w14:paraId="31AE78B4" w14:textId="77777777" w:rsidR="00F445FF" w:rsidRDefault="00F445FF">
                          <w:pPr>
                            <w:rPr>
                              <w:b/>
                              <w:bCs/>
                              <w:sz w:val="10"/>
                              <w:szCs w:val="10"/>
                            </w:rPr>
                          </w:pPr>
                        </w:p>
                        <w:p w14:paraId="0D595128" w14:textId="77777777" w:rsidR="00F445FF" w:rsidRDefault="00F445FF">
                          <w:pPr>
                            <w:rPr>
                              <w:b/>
                              <w:bCs/>
                              <w:sz w:val="16"/>
                              <w:szCs w:val="16"/>
                            </w:rPr>
                          </w:pPr>
                        </w:p>
                        <w:p w14:paraId="368B351D" w14:textId="77777777" w:rsidR="00F445FF" w:rsidRDefault="00F445FF">
                          <w:pPr>
                            <w:rPr>
                              <w:b/>
                              <w:bCs/>
                              <w:sz w:val="16"/>
                              <w:szCs w:val="16"/>
                            </w:rPr>
                          </w:pPr>
                        </w:p>
                        <w:p w14:paraId="15815B40" w14:textId="77777777" w:rsidR="00F445FF" w:rsidRDefault="00F445FF">
                          <w:pPr>
                            <w:rPr>
                              <w:b/>
                              <w:bCs/>
                              <w:sz w:val="16"/>
                              <w:szCs w:val="16"/>
                            </w:rPr>
                          </w:pPr>
                          <w:r>
                            <w:rPr>
                              <w:b/>
                              <w:bCs/>
                              <w:sz w:val="20"/>
                              <w:szCs w:val="20"/>
                            </w:rPr>
                            <w:t>M</w:t>
                          </w:r>
                        </w:p>
                        <w:p w14:paraId="1E966531" w14:textId="77777777" w:rsidR="00F445FF" w:rsidRDefault="00F445FF">
                          <w:pPr>
                            <w:rPr>
                              <w:b/>
                              <w:bCs/>
                              <w:sz w:val="10"/>
                              <w:szCs w:val="10"/>
                            </w:rPr>
                          </w:pPr>
                        </w:p>
                        <w:p w14:paraId="0AB4D275" w14:textId="77777777" w:rsidR="00F445FF" w:rsidRDefault="00F445FF">
                          <w:pPr>
                            <w:rPr>
                              <w:b/>
                              <w:bCs/>
                              <w:sz w:val="16"/>
                              <w:szCs w:val="16"/>
                            </w:rPr>
                          </w:pPr>
                        </w:p>
                        <w:p w14:paraId="55FA9B2F" w14:textId="77777777" w:rsidR="00F445FF" w:rsidRDefault="00F445FF">
                          <w:pPr>
                            <w:rPr>
                              <w:b/>
                              <w:bCs/>
                              <w:sz w:val="16"/>
                              <w:szCs w:val="16"/>
                            </w:rPr>
                          </w:pPr>
                        </w:p>
                        <w:p w14:paraId="0A203B43" w14:textId="77777777" w:rsidR="00F445FF" w:rsidRDefault="00F445FF">
                          <w:pPr>
                            <w:rPr>
                              <w:b/>
                              <w:bCs/>
                              <w:sz w:val="16"/>
                              <w:szCs w:val="16"/>
                            </w:rPr>
                          </w:pPr>
                          <w:r>
                            <w:rPr>
                              <w:b/>
                              <w:bCs/>
                              <w:sz w:val="20"/>
                              <w:szCs w:val="20"/>
                            </w:rPr>
                            <w:t>N</w:t>
                          </w:r>
                        </w:p>
                        <w:p w14:paraId="118E1D02" w14:textId="77777777" w:rsidR="00F445FF" w:rsidRDefault="00F445FF">
                          <w:pPr>
                            <w:rPr>
                              <w:b/>
                              <w:bCs/>
                              <w:sz w:val="10"/>
                              <w:szCs w:val="10"/>
                            </w:rPr>
                          </w:pPr>
                        </w:p>
                        <w:p w14:paraId="13FB9AE3" w14:textId="77777777" w:rsidR="00F445FF" w:rsidRDefault="00F445FF">
                          <w:pPr>
                            <w:rPr>
                              <w:b/>
                              <w:bCs/>
                              <w:sz w:val="16"/>
                              <w:szCs w:val="16"/>
                            </w:rPr>
                          </w:pPr>
                        </w:p>
                        <w:p w14:paraId="3671C30B" w14:textId="77777777" w:rsidR="00F445FF" w:rsidRDefault="00F445FF">
                          <w:pPr>
                            <w:rPr>
                              <w:b/>
                              <w:bCs/>
                              <w:sz w:val="16"/>
                              <w:szCs w:val="16"/>
                            </w:rPr>
                          </w:pPr>
                        </w:p>
                        <w:p w14:paraId="455448E6" w14:textId="77777777" w:rsidR="00F445FF" w:rsidRDefault="00F445FF">
                          <w:pPr>
                            <w:rPr>
                              <w:b/>
                              <w:bCs/>
                              <w:sz w:val="16"/>
                              <w:szCs w:val="16"/>
                            </w:rPr>
                          </w:pPr>
                          <w:r>
                            <w:rPr>
                              <w:b/>
                              <w:bCs/>
                              <w:sz w:val="20"/>
                              <w:szCs w:val="20"/>
                            </w:rPr>
                            <w:t>O</w:t>
                          </w:r>
                        </w:p>
                        <w:p w14:paraId="4D7D7978" w14:textId="77777777" w:rsidR="00F445FF" w:rsidRDefault="00F445FF">
                          <w:pPr>
                            <w:rPr>
                              <w:b/>
                              <w:bCs/>
                              <w:sz w:val="10"/>
                              <w:szCs w:val="10"/>
                            </w:rPr>
                          </w:pPr>
                        </w:p>
                        <w:p w14:paraId="61A9C93B" w14:textId="77777777" w:rsidR="00F445FF" w:rsidRDefault="00F445FF">
                          <w:pPr>
                            <w:rPr>
                              <w:b/>
                              <w:bCs/>
                              <w:sz w:val="16"/>
                              <w:szCs w:val="16"/>
                            </w:rPr>
                          </w:pPr>
                        </w:p>
                        <w:p w14:paraId="4999D811" w14:textId="77777777" w:rsidR="00F445FF" w:rsidRDefault="00F445FF">
                          <w:pPr>
                            <w:rPr>
                              <w:b/>
                              <w:bCs/>
                              <w:sz w:val="16"/>
                              <w:szCs w:val="16"/>
                            </w:rPr>
                          </w:pPr>
                        </w:p>
                        <w:p w14:paraId="2E02D2C7" w14:textId="77777777" w:rsidR="00F445FF" w:rsidRDefault="00F445FF">
                          <w:pPr>
                            <w:rPr>
                              <w:b/>
                              <w:bCs/>
                              <w:sz w:val="16"/>
                              <w:szCs w:val="16"/>
                            </w:rPr>
                          </w:pPr>
                          <w:r>
                            <w:rPr>
                              <w:b/>
                              <w:bCs/>
                              <w:sz w:val="20"/>
                              <w:szCs w:val="20"/>
                            </w:rPr>
                            <w:t>P</w:t>
                          </w:r>
                        </w:p>
                        <w:p w14:paraId="3D5CE486" w14:textId="77777777" w:rsidR="00F445FF" w:rsidRDefault="00F445FF">
                          <w:pPr>
                            <w:rPr>
                              <w:b/>
                              <w:bCs/>
                              <w:sz w:val="10"/>
                              <w:szCs w:val="10"/>
                            </w:rPr>
                          </w:pPr>
                        </w:p>
                        <w:p w14:paraId="2FB7C66B" w14:textId="77777777" w:rsidR="00F445FF" w:rsidRDefault="00F445FF">
                          <w:pPr>
                            <w:rPr>
                              <w:b/>
                              <w:bCs/>
                              <w:sz w:val="16"/>
                              <w:szCs w:val="16"/>
                            </w:rPr>
                          </w:pPr>
                        </w:p>
                        <w:p w14:paraId="3843B344" w14:textId="77777777" w:rsidR="00F445FF" w:rsidRDefault="00F445FF">
                          <w:pPr>
                            <w:rPr>
                              <w:b/>
                              <w:bCs/>
                              <w:sz w:val="16"/>
                              <w:szCs w:val="16"/>
                            </w:rPr>
                          </w:pPr>
                        </w:p>
                        <w:p w14:paraId="1840FA9E" w14:textId="77777777" w:rsidR="00F445FF" w:rsidRDefault="00F445FF">
                          <w:pPr>
                            <w:rPr>
                              <w:b/>
                              <w:bCs/>
                              <w:sz w:val="16"/>
                              <w:szCs w:val="16"/>
                            </w:rPr>
                          </w:pPr>
                          <w:r>
                            <w:rPr>
                              <w:b/>
                              <w:bCs/>
                              <w:sz w:val="20"/>
                              <w:szCs w:val="20"/>
                            </w:rPr>
                            <w:t>Q</w:t>
                          </w:r>
                        </w:p>
                        <w:p w14:paraId="0FDB3ABF" w14:textId="77777777" w:rsidR="00F445FF" w:rsidRDefault="00F445FF">
                          <w:pPr>
                            <w:rPr>
                              <w:b/>
                              <w:bCs/>
                              <w:sz w:val="10"/>
                              <w:szCs w:val="10"/>
                            </w:rPr>
                          </w:pPr>
                        </w:p>
                        <w:p w14:paraId="68695F77" w14:textId="77777777" w:rsidR="00F445FF" w:rsidRDefault="00F445FF">
                          <w:pPr>
                            <w:rPr>
                              <w:b/>
                              <w:bCs/>
                              <w:sz w:val="16"/>
                              <w:szCs w:val="16"/>
                            </w:rPr>
                          </w:pPr>
                        </w:p>
                        <w:p w14:paraId="2D804D45" w14:textId="77777777" w:rsidR="00F445FF" w:rsidRDefault="00F445FF">
                          <w:pPr>
                            <w:rPr>
                              <w:b/>
                              <w:bCs/>
                              <w:sz w:val="16"/>
                              <w:szCs w:val="16"/>
                            </w:rPr>
                          </w:pPr>
                        </w:p>
                        <w:p w14:paraId="2E211F44" w14:textId="77777777" w:rsidR="00F445FF" w:rsidRDefault="00F445FF">
                          <w:pPr>
                            <w:rPr>
                              <w:b/>
                              <w:bCs/>
                              <w:sz w:val="16"/>
                              <w:szCs w:val="16"/>
                            </w:rPr>
                          </w:pPr>
                          <w:r>
                            <w:rPr>
                              <w:b/>
                              <w:bCs/>
                              <w:sz w:val="20"/>
                              <w:szCs w:val="20"/>
                            </w:rPr>
                            <w:t>R</w:t>
                          </w:r>
                        </w:p>
                        <w:p w14:paraId="47B94D51" w14:textId="77777777" w:rsidR="00F445FF" w:rsidRDefault="00F445FF">
                          <w:pPr>
                            <w:rPr>
                              <w:b/>
                              <w:bCs/>
                              <w:sz w:val="10"/>
                              <w:szCs w:val="10"/>
                            </w:rPr>
                          </w:pPr>
                        </w:p>
                        <w:p w14:paraId="2AD7FF8F" w14:textId="77777777" w:rsidR="00F445FF" w:rsidRDefault="00F445FF">
                          <w:pPr>
                            <w:rPr>
                              <w:b/>
                              <w:bCs/>
                              <w:sz w:val="16"/>
                              <w:szCs w:val="16"/>
                            </w:rPr>
                          </w:pPr>
                        </w:p>
                        <w:p w14:paraId="3B73D057" w14:textId="77777777" w:rsidR="00F445FF" w:rsidRDefault="00F445FF">
                          <w:pPr>
                            <w:rPr>
                              <w:b/>
                              <w:bCs/>
                              <w:sz w:val="16"/>
                              <w:szCs w:val="16"/>
                            </w:rPr>
                          </w:pPr>
                        </w:p>
                        <w:p w14:paraId="650C66B4" w14:textId="77777777" w:rsidR="00F445FF" w:rsidRDefault="00F445FF">
                          <w:pPr>
                            <w:rPr>
                              <w:b/>
                              <w:bCs/>
                              <w:sz w:val="16"/>
                              <w:szCs w:val="16"/>
                            </w:rPr>
                          </w:pPr>
                          <w:r>
                            <w:rPr>
                              <w:b/>
                              <w:bCs/>
                              <w:sz w:val="20"/>
                              <w:szCs w:val="20"/>
                            </w:rPr>
                            <w:t>S</w:t>
                          </w:r>
                        </w:p>
                        <w:p w14:paraId="27CD0413" w14:textId="77777777" w:rsidR="00F445FF" w:rsidRDefault="00F445FF">
                          <w:pPr>
                            <w:rPr>
                              <w:b/>
                              <w:bCs/>
                              <w:sz w:val="10"/>
                              <w:szCs w:val="10"/>
                            </w:rPr>
                          </w:pPr>
                        </w:p>
                        <w:p w14:paraId="7F2209F7" w14:textId="77777777" w:rsidR="00F445FF" w:rsidRDefault="00F445FF">
                          <w:pPr>
                            <w:rPr>
                              <w:b/>
                              <w:bCs/>
                              <w:sz w:val="16"/>
                              <w:szCs w:val="16"/>
                            </w:rPr>
                          </w:pPr>
                        </w:p>
                        <w:p w14:paraId="57E54A5B" w14:textId="77777777" w:rsidR="00F445FF" w:rsidRDefault="00F445FF">
                          <w:pPr>
                            <w:rPr>
                              <w:b/>
                              <w:bCs/>
                              <w:sz w:val="16"/>
                              <w:szCs w:val="16"/>
                            </w:rPr>
                          </w:pPr>
                        </w:p>
                        <w:p w14:paraId="12626831" w14:textId="77777777" w:rsidR="00F445FF" w:rsidRDefault="00F445FF">
                          <w:pPr>
                            <w:rPr>
                              <w:b/>
                              <w:bCs/>
                              <w:sz w:val="16"/>
                              <w:szCs w:val="16"/>
                            </w:rPr>
                          </w:pPr>
                          <w:r>
                            <w:rPr>
                              <w:b/>
                              <w:bCs/>
                              <w:sz w:val="20"/>
                              <w:szCs w:val="20"/>
                            </w:rPr>
                            <w:t>T</w:t>
                          </w:r>
                        </w:p>
                        <w:p w14:paraId="6443DF30" w14:textId="77777777" w:rsidR="00F445FF" w:rsidRDefault="00F445FF">
                          <w:pPr>
                            <w:rPr>
                              <w:b/>
                              <w:bCs/>
                              <w:sz w:val="10"/>
                              <w:szCs w:val="10"/>
                            </w:rPr>
                          </w:pPr>
                        </w:p>
                        <w:p w14:paraId="1AD627E8" w14:textId="77777777" w:rsidR="00F445FF" w:rsidRDefault="00F445FF">
                          <w:pPr>
                            <w:rPr>
                              <w:b/>
                              <w:bCs/>
                              <w:sz w:val="16"/>
                              <w:szCs w:val="16"/>
                            </w:rPr>
                          </w:pPr>
                        </w:p>
                        <w:p w14:paraId="24C59F3D" w14:textId="77777777" w:rsidR="00F445FF" w:rsidRDefault="00F445FF">
                          <w:pPr>
                            <w:rPr>
                              <w:b/>
                              <w:bCs/>
                              <w:sz w:val="16"/>
                              <w:szCs w:val="16"/>
                            </w:rPr>
                          </w:pPr>
                        </w:p>
                        <w:p w14:paraId="4C7AA43A" w14:textId="77777777" w:rsidR="00F445FF" w:rsidRDefault="00F445FF">
                          <w:pPr>
                            <w:rPr>
                              <w:b/>
                              <w:bCs/>
                              <w:sz w:val="16"/>
                              <w:szCs w:val="16"/>
                            </w:rPr>
                          </w:pPr>
                          <w:r>
                            <w:rPr>
                              <w:b/>
                              <w:bCs/>
                              <w:sz w:val="20"/>
                              <w:szCs w:val="20"/>
                            </w:rPr>
                            <w:t>U</w:t>
                          </w:r>
                        </w:p>
                        <w:p w14:paraId="17FB2056" w14:textId="77777777" w:rsidR="00F445FF" w:rsidRDefault="00F445FF">
                          <w:pPr>
                            <w:rPr>
                              <w:b/>
                              <w:bCs/>
                              <w:sz w:val="10"/>
                              <w:szCs w:val="10"/>
                            </w:rPr>
                          </w:pPr>
                        </w:p>
                        <w:p w14:paraId="18143FDD" w14:textId="77777777" w:rsidR="00F445FF" w:rsidRDefault="00F445FF">
                          <w:pPr>
                            <w:rPr>
                              <w:b/>
                              <w:bCs/>
                              <w:sz w:val="16"/>
                              <w:szCs w:val="16"/>
                            </w:rPr>
                          </w:pPr>
                        </w:p>
                        <w:p w14:paraId="5BE2B2BD" w14:textId="77777777" w:rsidR="00F445FF" w:rsidRDefault="00F445FF">
                          <w:pPr>
                            <w:rPr>
                              <w:b/>
                              <w:bCs/>
                              <w:sz w:val="16"/>
                              <w:szCs w:val="16"/>
                            </w:rPr>
                          </w:pPr>
                        </w:p>
                        <w:p w14:paraId="22EFD201" w14:textId="77777777" w:rsidR="00F445FF" w:rsidRDefault="00F445F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6502F"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289D9C22" w14:textId="77777777" w:rsidR="00F445FF" w:rsidRDefault="00F445FF">
                    <w:pPr>
                      <w:rPr>
                        <w:b/>
                        <w:bCs/>
                        <w:sz w:val="20"/>
                        <w:szCs w:val="20"/>
                      </w:rPr>
                    </w:pPr>
                    <w:r>
                      <w:rPr>
                        <w:b/>
                        <w:bCs/>
                        <w:sz w:val="20"/>
                        <w:szCs w:val="20"/>
                      </w:rPr>
                      <w:t>A</w:t>
                    </w:r>
                  </w:p>
                  <w:p w14:paraId="417B8564" w14:textId="77777777" w:rsidR="00F445FF" w:rsidRDefault="00F445FF">
                    <w:pPr>
                      <w:rPr>
                        <w:b/>
                        <w:bCs/>
                        <w:sz w:val="10"/>
                        <w:szCs w:val="10"/>
                      </w:rPr>
                    </w:pPr>
                  </w:p>
                  <w:p w14:paraId="3AB91A48" w14:textId="77777777" w:rsidR="00F445FF" w:rsidRDefault="00F445FF">
                    <w:pPr>
                      <w:rPr>
                        <w:b/>
                        <w:bCs/>
                        <w:sz w:val="16"/>
                        <w:szCs w:val="16"/>
                      </w:rPr>
                    </w:pPr>
                  </w:p>
                  <w:p w14:paraId="6A320489" w14:textId="77777777" w:rsidR="00F445FF" w:rsidRDefault="00F445FF">
                    <w:pPr>
                      <w:rPr>
                        <w:b/>
                        <w:bCs/>
                        <w:sz w:val="16"/>
                        <w:szCs w:val="16"/>
                      </w:rPr>
                    </w:pPr>
                  </w:p>
                  <w:p w14:paraId="1BE4E772" w14:textId="77777777" w:rsidR="00F445FF" w:rsidRDefault="00F445FF">
                    <w:pPr>
                      <w:rPr>
                        <w:b/>
                        <w:bCs/>
                        <w:sz w:val="20"/>
                        <w:szCs w:val="20"/>
                      </w:rPr>
                    </w:pPr>
                    <w:r>
                      <w:rPr>
                        <w:b/>
                        <w:bCs/>
                        <w:sz w:val="20"/>
                        <w:szCs w:val="20"/>
                      </w:rPr>
                      <w:t>B</w:t>
                    </w:r>
                  </w:p>
                  <w:p w14:paraId="378FB491" w14:textId="77777777" w:rsidR="00F445FF" w:rsidRDefault="00F445FF">
                    <w:pPr>
                      <w:rPr>
                        <w:b/>
                        <w:bCs/>
                        <w:sz w:val="10"/>
                        <w:szCs w:val="10"/>
                      </w:rPr>
                    </w:pPr>
                  </w:p>
                  <w:p w14:paraId="1F0EE257" w14:textId="77777777" w:rsidR="00F445FF" w:rsidRDefault="00F445FF">
                    <w:pPr>
                      <w:rPr>
                        <w:b/>
                        <w:bCs/>
                        <w:sz w:val="16"/>
                        <w:szCs w:val="16"/>
                      </w:rPr>
                    </w:pPr>
                  </w:p>
                  <w:p w14:paraId="190DD7E8" w14:textId="77777777" w:rsidR="00F445FF" w:rsidRDefault="00F445FF">
                    <w:pPr>
                      <w:rPr>
                        <w:b/>
                        <w:bCs/>
                        <w:sz w:val="16"/>
                        <w:szCs w:val="16"/>
                      </w:rPr>
                    </w:pPr>
                  </w:p>
                  <w:p w14:paraId="4320B0E1" w14:textId="77777777" w:rsidR="00F445FF" w:rsidRDefault="00F445FF">
                    <w:pPr>
                      <w:rPr>
                        <w:b/>
                        <w:bCs/>
                        <w:sz w:val="16"/>
                        <w:szCs w:val="16"/>
                      </w:rPr>
                    </w:pPr>
                    <w:r>
                      <w:rPr>
                        <w:b/>
                        <w:bCs/>
                        <w:sz w:val="20"/>
                        <w:szCs w:val="20"/>
                      </w:rPr>
                      <w:t>C</w:t>
                    </w:r>
                  </w:p>
                  <w:p w14:paraId="582E7A29" w14:textId="77777777" w:rsidR="00F445FF" w:rsidRDefault="00F445FF">
                    <w:pPr>
                      <w:rPr>
                        <w:b/>
                        <w:bCs/>
                        <w:sz w:val="10"/>
                        <w:szCs w:val="10"/>
                      </w:rPr>
                    </w:pPr>
                  </w:p>
                  <w:p w14:paraId="0A11493F" w14:textId="77777777" w:rsidR="00F445FF" w:rsidRDefault="00F445FF">
                    <w:pPr>
                      <w:rPr>
                        <w:b/>
                        <w:bCs/>
                        <w:sz w:val="16"/>
                        <w:szCs w:val="16"/>
                      </w:rPr>
                    </w:pPr>
                  </w:p>
                  <w:p w14:paraId="54339AE7" w14:textId="77777777" w:rsidR="00F445FF" w:rsidRDefault="00F445FF">
                    <w:pPr>
                      <w:rPr>
                        <w:b/>
                        <w:bCs/>
                        <w:sz w:val="16"/>
                        <w:szCs w:val="16"/>
                      </w:rPr>
                    </w:pPr>
                  </w:p>
                  <w:p w14:paraId="5ACA5F6A" w14:textId="77777777" w:rsidR="00F445FF" w:rsidRDefault="00F445FF">
                    <w:pPr>
                      <w:pStyle w:val="Heading2"/>
                      <w:rPr>
                        <w:sz w:val="16"/>
                        <w:szCs w:val="16"/>
                      </w:rPr>
                    </w:pPr>
                    <w:r>
                      <w:t>D</w:t>
                    </w:r>
                  </w:p>
                  <w:p w14:paraId="20BB5AFF" w14:textId="77777777" w:rsidR="00F445FF" w:rsidRDefault="00F445FF">
                    <w:pPr>
                      <w:rPr>
                        <w:b/>
                        <w:bCs/>
                        <w:sz w:val="10"/>
                        <w:szCs w:val="10"/>
                      </w:rPr>
                    </w:pPr>
                  </w:p>
                  <w:p w14:paraId="4E9EBB48" w14:textId="77777777" w:rsidR="00F445FF" w:rsidRDefault="00F445FF">
                    <w:pPr>
                      <w:rPr>
                        <w:b/>
                        <w:bCs/>
                        <w:sz w:val="16"/>
                        <w:szCs w:val="16"/>
                      </w:rPr>
                    </w:pPr>
                  </w:p>
                  <w:p w14:paraId="3A83A068" w14:textId="77777777" w:rsidR="00F445FF" w:rsidRDefault="00F445FF">
                    <w:pPr>
                      <w:rPr>
                        <w:b/>
                        <w:bCs/>
                        <w:sz w:val="16"/>
                        <w:szCs w:val="16"/>
                      </w:rPr>
                    </w:pPr>
                  </w:p>
                  <w:p w14:paraId="66AD9B28" w14:textId="77777777" w:rsidR="00F445FF" w:rsidRDefault="00F445FF">
                    <w:pPr>
                      <w:rPr>
                        <w:b/>
                        <w:bCs/>
                        <w:sz w:val="16"/>
                        <w:szCs w:val="16"/>
                      </w:rPr>
                    </w:pPr>
                    <w:r>
                      <w:rPr>
                        <w:b/>
                        <w:bCs/>
                        <w:sz w:val="20"/>
                        <w:szCs w:val="20"/>
                      </w:rPr>
                      <w:t>E</w:t>
                    </w:r>
                  </w:p>
                  <w:p w14:paraId="2D264485" w14:textId="77777777" w:rsidR="00F445FF" w:rsidRDefault="00F445FF">
                    <w:pPr>
                      <w:rPr>
                        <w:b/>
                        <w:bCs/>
                        <w:sz w:val="10"/>
                        <w:szCs w:val="10"/>
                      </w:rPr>
                    </w:pPr>
                  </w:p>
                  <w:p w14:paraId="301F66E1" w14:textId="77777777" w:rsidR="00F445FF" w:rsidRDefault="00F445FF">
                    <w:pPr>
                      <w:rPr>
                        <w:b/>
                        <w:bCs/>
                        <w:sz w:val="16"/>
                        <w:szCs w:val="16"/>
                      </w:rPr>
                    </w:pPr>
                  </w:p>
                  <w:p w14:paraId="3FBA80EF" w14:textId="77777777" w:rsidR="00F445FF" w:rsidRDefault="00F445FF">
                    <w:pPr>
                      <w:rPr>
                        <w:b/>
                        <w:bCs/>
                        <w:sz w:val="16"/>
                        <w:szCs w:val="16"/>
                      </w:rPr>
                    </w:pPr>
                  </w:p>
                  <w:p w14:paraId="70F11754" w14:textId="77777777" w:rsidR="00F445FF" w:rsidRDefault="00F445FF">
                    <w:pPr>
                      <w:rPr>
                        <w:b/>
                        <w:bCs/>
                        <w:sz w:val="20"/>
                        <w:szCs w:val="20"/>
                      </w:rPr>
                    </w:pPr>
                    <w:r>
                      <w:rPr>
                        <w:b/>
                        <w:bCs/>
                        <w:sz w:val="20"/>
                        <w:szCs w:val="20"/>
                      </w:rPr>
                      <w:t>F</w:t>
                    </w:r>
                  </w:p>
                  <w:p w14:paraId="6C18EECB" w14:textId="77777777" w:rsidR="00F445FF" w:rsidRDefault="00F445FF">
                    <w:pPr>
                      <w:rPr>
                        <w:b/>
                        <w:bCs/>
                        <w:sz w:val="10"/>
                        <w:szCs w:val="10"/>
                      </w:rPr>
                    </w:pPr>
                  </w:p>
                  <w:p w14:paraId="138DD690" w14:textId="77777777" w:rsidR="00F445FF" w:rsidRDefault="00F445FF">
                    <w:pPr>
                      <w:rPr>
                        <w:b/>
                        <w:bCs/>
                        <w:sz w:val="16"/>
                        <w:szCs w:val="16"/>
                      </w:rPr>
                    </w:pPr>
                  </w:p>
                  <w:p w14:paraId="436D0CAF" w14:textId="77777777" w:rsidR="00F445FF" w:rsidRDefault="00F445FF">
                    <w:pPr>
                      <w:rPr>
                        <w:b/>
                        <w:bCs/>
                        <w:sz w:val="16"/>
                        <w:szCs w:val="16"/>
                      </w:rPr>
                    </w:pPr>
                  </w:p>
                  <w:p w14:paraId="498C5C28" w14:textId="77777777" w:rsidR="00F445FF" w:rsidRDefault="00F445FF">
                    <w:pPr>
                      <w:rPr>
                        <w:b/>
                        <w:bCs/>
                        <w:sz w:val="16"/>
                        <w:szCs w:val="16"/>
                      </w:rPr>
                    </w:pPr>
                    <w:r>
                      <w:rPr>
                        <w:b/>
                        <w:bCs/>
                        <w:sz w:val="20"/>
                        <w:szCs w:val="20"/>
                      </w:rPr>
                      <w:t>G</w:t>
                    </w:r>
                  </w:p>
                  <w:p w14:paraId="28B8486B" w14:textId="77777777" w:rsidR="00F445FF" w:rsidRDefault="00F445FF">
                    <w:pPr>
                      <w:rPr>
                        <w:b/>
                        <w:bCs/>
                        <w:sz w:val="10"/>
                        <w:szCs w:val="10"/>
                      </w:rPr>
                    </w:pPr>
                  </w:p>
                  <w:p w14:paraId="40BEFB33" w14:textId="77777777" w:rsidR="00F445FF" w:rsidRDefault="00F445FF">
                    <w:pPr>
                      <w:rPr>
                        <w:b/>
                        <w:bCs/>
                        <w:sz w:val="16"/>
                        <w:szCs w:val="16"/>
                      </w:rPr>
                    </w:pPr>
                  </w:p>
                  <w:p w14:paraId="79B7B48E" w14:textId="77777777" w:rsidR="00F445FF" w:rsidRDefault="00F445FF">
                    <w:pPr>
                      <w:rPr>
                        <w:b/>
                        <w:bCs/>
                        <w:sz w:val="16"/>
                        <w:szCs w:val="16"/>
                      </w:rPr>
                    </w:pPr>
                  </w:p>
                  <w:p w14:paraId="1796B468" w14:textId="77777777" w:rsidR="00F445FF" w:rsidRDefault="00F445FF">
                    <w:pPr>
                      <w:rPr>
                        <w:b/>
                        <w:bCs/>
                        <w:sz w:val="16"/>
                        <w:szCs w:val="16"/>
                      </w:rPr>
                    </w:pPr>
                    <w:r>
                      <w:rPr>
                        <w:b/>
                        <w:bCs/>
                        <w:sz w:val="20"/>
                        <w:szCs w:val="20"/>
                      </w:rPr>
                      <w:t>H</w:t>
                    </w:r>
                  </w:p>
                  <w:p w14:paraId="0B93C756" w14:textId="77777777" w:rsidR="00F445FF" w:rsidRDefault="00F445FF">
                    <w:pPr>
                      <w:rPr>
                        <w:b/>
                        <w:bCs/>
                        <w:sz w:val="10"/>
                        <w:szCs w:val="10"/>
                      </w:rPr>
                    </w:pPr>
                  </w:p>
                  <w:p w14:paraId="3F52E1A5" w14:textId="77777777" w:rsidR="00F445FF" w:rsidRDefault="00F445FF">
                    <w:pPr>
                      <w:rPr>
                        <w:b/>
                        <w:bCs/>
                        <w:sz w:val="16"/>
                        <w:szCs w:val="16"/>
                      </w:rPr>
                    </w:pPr>
                  </w:p>
                  <w:p w14:paraId="69A741A5" w14:textId="77777777" w:rsidR="00F445FF" w:rsidRDefault="00F445FF">
                    <w:pPr>
                      <w:rPr>
                        <w:b/>
                        <w:bCs/>
                        <w:sz w:val="16"/>
                        <w:szCs w:val="16"/>
                      </w:rPr>
                    </w:pPr>
                  </w:p>
                  <w:p w14:paraId="508E3474" w14:textId="77777777" w:rsidR="00F445FF" w:rsidRDefault="00F445FF">
                    <w:pPr>
                      <w:rPr>
                        <w:b/>
                        <w:bCs/>
                        <w:sz w:val="16"/>
                        <w:szCs w:val="16"/>
                      </w:rPr>
                    </w:pPr>
                    <w:r>
                      <w:rPr>
                        <w:b/>
                        <w:bCs/>
                        <w:sz w:val="20"/>
                        <w:szCs w:val="20"/>
                      </w:rPr>
                      <w:t>I</w:t>
                    </w:r>
                  </w:p>
                  <w:p w14:paraId="7A7F13FD" w14:textId="77777777" w:rsidR="00F445FF" w:rsidRDefault="00F445FF">
                    <w:pPr>
                      <w:rPr>
                        <w:b/>
                        <w:bCs/>
                        <w:sz w:val="10"/>
                        <w:szCs w:val="10"/>
                      </w:rPr>
                    </w:pPr>
                  </w:p>
                  <w:p w14:paraId="782EC68B" w14:textId="77777777" w:rsidR="00F445FF" w:rsidRDefault="00F445FF">
                    <w:pPr>
                      <w:rPr>
                        <w:b/>
                        <w:bCs/>
                        <w:sz w:val="16"/>
                        <w:szCs w:val="16"/>
                      </w:rPr>
                    </w:pPr>
                  </w:p>
                  <w:p w14:paraId="3583C998" w14:textId="77777777" w:rsidR="00F445FF" w:rsidRDefault="00F445FF">
                    <w:pPr>
                      <w:rPr>
                        <w:b/>
                        <w:bCs/>
                        <w:sz w:val="16"/>
                        <w:szCs w:val="16"/>
                      </w:rPr>
                    </w:pPr>
                  </w:p>
                  <w:p w14:paraId="1BD992E1" w14:textId="77777777" w:rsidR="00F445FF" w:rsidRDefault="00F445FF">
                    <w:pPr>
                      <w:rPr>
                        <w:b/>
                        <w:bCs/>
                        <w:sz w:val="16"/>
                        <w:szCs w:val="16"/>
                      </w:rPr>
                    </w:pPr>
                    <w:r>
                      <w:rPr>
                        <w:b/>
                        <w:bCs/>
                        <w:sz w:val="20"/>
                        <w:szCs w:val="20"/>
                      </w:rPr>
                      <w:t>J</w:t>
                    </w:r>
                  </w:p>
                  <w:p w14:paraId="04E4803B" w14:textId="77777777" w:rsidR="00F445FF" w:rsidRDefault="00F445FF">
                    <w:pPr>
                      <w:rPr>
                        <w:b/>
                        <w:bCs/>
                        <w:sz w:val="10"/>
                        <w:szCs w:val="10"/>
                      </w:rPr>
                    </w:pPr>
                  </w:p>
                  <w:p w14:paraId="4D181DA4" w14:textId="77777777" w:rsidR="00F445FF" w:rsidRDefault="00F445FF">
                    <w:pPr>
                      <w:rPr>
                        <w:b/>
                        <w:bCs/>
                        <w:sz w:val="16"/>
                        <w:szCs w:val="16"/>
                      </w:rPr>
                    </w:pPr>
                  </w:p>
                  <w:p w14:paraId="3135FDFC" w14:textId="77777777" w:rsidR="00F445FF" w:rsidRDefault="00F445FF">
                    <w:pPr>
                      <w:rPr>
                        <w:b/>
                        <w:bCs/>
                        <w:sz w:val="16"/>
                        <w:szCs w:val="16"/>
                      </w:rPr>
                    </w:pPr>
                  </w:p>
                  <w:p w14:paraId="7F5D8B7A" w14:textId="77777777" w:rsidR="00F445FF" w:rsidRDefault="00F445FF">
                    <w:pPr>
                      <w:rPr>
                        <w:b/>
                        <w:bCs/>
                        <w:sz w:val="16"/>
                        <w:szCs w:val="16"/>
                      </w:rPr>
                    </w:pPr>
                    <w:r>
                      <w:rPr>
                        <w:b/>
                        <w:bCs/>
                        <w:sz w:val="20"/>
                        <w:szCs w:val="20"/>
                      </w:rPr>
                      <w:t>K</w:t>
                    </w:r>
                  </w:p>
                  <w:p w14:paraId="42BCCCD8" w14:textId="77777777" w:rsidR="00F445FF" w:rsidRDefault="00F445FF">
                    <w:pPr>
                      <w:rPr>
                        <w:b/>
                        <w:bCs/>
                        <w:sz w:val="10"/>
                        <w:szCs w:val="10"/>
                      </w:rPr>
                    </w:pPr>
                  </w:p>
                  <w:p w14:paraId="600B4851" w14:textId="77777777" w:rsidR="00F445FF" w:rsidRDefault="00F445FF">
                    <w:pPr>
                      <w:rPr>
                        <w:b/>
                        <w:bCs/>
                        <w:sz w:val="16"/>
                        <w:szCs w:val="16"/>
                      </w:rPr>
                    </w:pPr>
                  </w:p>
                  <w:p w14:paraId="2BE24111" w14:textId="77777777" w:rsidR="00F445FF" w:rsidRDefault="00F445FF">
                    <w:pPr>
                      <w:rPr>
                        <w:b/>
                        <w:bCs/>
                        <w:sz w:val="16"/>
                        <w:szCs w:val="16"/>
                      </w:rPr>
                    </w:pPr>
                  </w:p>
                  <w:p w14:paraId="21E6E366" w14:textId="77777777" w:rsidR="00F445FF" w:rsidRDefault="00F445FF">
                    <w:pPr>
                      <w:rPr>
                        <w:b/>
                        <w:bCs/>
                        <w:sz w:val="16"/>
                        <w:szCs w:val="16"/>
                      </w:rPr>
                    </w:pPr>
                    <w:r>
                      <w:rPr>
                        <w:b/>
                        <w:bCs/>
                        <w:sz w:val="20"/>
                        <w:szCs w:val="20"/>
                      </w:rPr>
                      <w:t>L</w:t>
                    </w:r>
                  </w:p>
                  <w:p w14:paraId="31AE78B4" w14:textId="77777777" w:rsidR="00F445FF" w:rsidRDefault="00F445FF">
                    <w:pPr>
                      <w:rPr>
                        <w:b/>
                        <w:bCs/>
                        <w:sz w:val="10"/>
                        <w:szCs w:val="10"/>
                      </w:rPr>
                    </w:pPr>
                  </w:p>
                  <w:p w14:paraId="0D595128" w14:textId="77777777" w:rsidR="00F445FF" w:rsidRDefault="00F445FF">
                    <w:pPr>
                      <w:rPr>
                        <w:b/>
                        <w:bCs/>
                        <w:sz w:val="16"/>
                        <w:szCs w:val="16"/>
                      </w:rPr>
                    </w:pPr>
                  </w:p>
                  <w:p w14:paraId="368B351D" w14:textId="77777777" w:rsidR="00F445FF" w:rsidRDefault="00F445FF">
                    <w:pPr>
                      <w:rPr>
                        <w:b/>
                        <w:bCs/>
                        <w:sz w:val="16"/>
                        <w:szCs w:val="16"/>
                      </w:rPr>
                    </w:pPr>
                  </w:p>
                  <w:p w14:paraId="15815B40" w14:textId="77777777" w:rsidR="00F445FF" w:rsidRDefault="00F445FF">
                    <w:pPr>
                      <w:rPr>
                        <w:b/>
                        <w:bCs/>
                        <w:sz w:val="16"/>
                        <w:szCs w:val="16"/>
                      </w:rPr>
                    </w:pPr>
                    <w:r>
                      <w:rPr>
                        <w:b/>
                        <w:bCs/>
                        <w:sz w:val="20"/>
                        <w:szCs w:val="20"/>
                      </w:rPr>
                      <w:t>M</w:t>
                    </w:r>
                  </w:p>
                  <w:p w14:paraId="1E966531" w14:textId="77777777" w:rsidR="00F445FF" w:rsidRDefault="00F445FF">
                    <w:pPr>
                      <w:rPr>
                        <w:b/>
                        <w:bCs/>
                        <w:sz w:val="10"/>
                        <w:szCs w:val="10"/>
                      </w:rPr>
                    </w:pPr>
                  </w:p>
                  <w:p w14:paraId="0AB4D275" w14:textId="77777777" w:rsidR="00F445FF" w:rsidRDefault="00F445FF">
                    <w:pPr>
                      <w:rPr>
                        <w:b/>
                        <w:bCs/>
                        <w:sz w:val="16"/>
                        <w:szCs w:val="16"/>
                      </w:rPr>
                    </w:pPr>
                  </w:p>
                  <w:p w14:paraId="55FA9B2F" w14:textId="77777777" w:rsidR="00F445FF" w:rsidRDefault="00F445FF">
                    <w:pPr>
                      <w:rPr>
                        <w:b/>
                        <w:bCs/>
                        <w:sz w:val="16"/>
                        <w:szCs w:val="16"/>
                      </w:rPr>
                    </w:pPr>
                  </w:p>
                  <w:p w14:paraId="0A203B43" w14:textId="77777777" w:rsidR="00F445FF" w:rsidRDefault="00F445FF">
                    <w:pPr>
                      <w:rPr>
                        <w:b/>
                        <w:bCs/>
                        <w:sz w:val="16"/>
                        <w:szCs w:val="16"/>
                      </w:rPr>
                    </w:pPr>
                    <w:r>
                      <w:rPr>
                        <w:b/>
                        <w:bCs/>
                        <w:sz w:val="20"/>
                        <w:szCs w:val="20"/>
                      </w:rPr>
                      <w:t>N</w:t>
                    </w:r>
                  </w:p>
                  <w:p w14:paraId="118E1D02" w14:textId="77777777" w:rsidR="00F445FF" w:rsidRDefault="00F445FF">
                    <w:pPr>
                      <w:rPr>
                        <w:b/>
                        <w:bCs/>
                        <w:sz w:val="10"/>
                        <w:szCs w:val="10"/>
                      </w:rPr>
                    </w:pPr>
                  </w:p>
                  <w:p w14:paraId="13FB9AE3" w14:textId="77777777" w:rsidR="00F445FF" w:rsidRDefault="00F445FF">
                    <w:pPr>
                      <w:rPr>
                        <w:b/>
                        <w:bCs/>
                        <w:sz w:val="16"/>
                        <w:szCs w:val="16"/>
                      </w:rPr>
                    </w:pPr>
                  </w:p>
                  <w:p w14:paraId="3671C30B" w14:textId="77777777" w:rsidR="00F445FF" w:rsidRDefault="00F445FF">
                    <w:pPr>
                      <w:rPr>
                        <w:b/>
                        <w:bCs/>
                        <w:sz w:val="16"/>
                        <w:szCs w:val="16"/>
                      </w:rPr>
                    </w:pPr>
                  </w:p>
                  <w:p w14:paraId="455448E6" w14:textId="77777777" w:rsidR="00F445FF" w:rsidRDefault="00F445FF">
                    <w:pPr>
                      <w:rPr>
                        <w:b/>
                        <w:bCs/>
                        <w:sz w:val="16"/>
                        <w:szCs w:val="16"/>
                      </w:rPr>
                    </w:pPr>
                    <w:r>
                      <w:rPr>
                        <w:b/>
                        <w:bCs/>
                        <w:sz w:val="20"/>
                        <w:szCs w:val="20"/>
                      </w:rPr>
                      <w:t>O</w:t>
                    </w:r>
                  </w:p>
                  <w:p w14:paraId="4D7D7978" w14:textId="77777777" w:rsidR="00F445FF" w:rsidRDefault="00F445FF">
                    <w:pPr>
                      <w:rPr>
                        <w:b/>
                        <w:bCs/>
                        <w:sz w:val="10"/>
                        <w:szCs w:val="10"/>
                      </w:rPr>
                    </w:pPr>
                  </w:p>
                  <w:p w14:paraId="61A9C93B" w14:textId="77777777" w:rsidR="00F445FF" w:rsidRDefault="00F445FF">
                    <w:pPr>
                      <w:rPr>
                        <w:b/>
                        <w:bCs/>
                        <w:sz w:val="16"/>
                        <w:szCs w:val="16"/>
                      </w:rPr>
                    </w:pPr>
                  </w:p>
                  <w:p w14:paraId="4999D811" w14:textId="77777777" w:rsidR="00F445FF" w:rsidRDefault="00F445FF">
                    <w:pPr>
                      <w:rPr>
                        <w:b/>
                        <w:bCs/>
                        <w:sz w:val="16"/>
                        <w:szCs w:val="16"/>
                      </w:rPr>
                    </w:pPr>
                  </w:p>
                  <w:p w14:paraId="2E02D2C7" w14:textId="77777777" w:rsidR="00F445FF" w:rsidRDefault="00F445FF">
                    <w:pPr>
                      <w:rPr>
                        <w:b/>
                        <w:bCs/>
                        <w:sz w:val="16"/>
                        <w:szCs w:val="16"/>
                      </w:rPr>
                    </w:pPr>
                    <w:r>
                      <w:rPr>
                        <w:b/>
                        <w:bCs/>
                        <w:sz w:val="20"/>
                        <w:szCs w:val="20"/>
                      </w:rPr>
                      <w:t>P</w:t>
                    </w:r>
                  </w:p>
                  <w:p w14:paraId="3D5CE486" w14:textId="77777777" w:rsidR="00F445FF" w:rsidRDefault="00F445FF">
                    <w:pPr>
                      <w:rPr>
                        <w:b/>
                        <w:bCs/>
                        <w:sz w:val="10"/>
                        <w:szCs w:val="10"/>
                      </w:rPr>
                    </w:pPr>
                  </w:p>
                  <w:p w14:paraId="2FB7C66B" w14:textId="77777777" w:rsidR="00F445FF" w:rsidRDefault="00F445FF">
                    <w:pPr>
                      <w:rPr>
                        <w:b/>
                        <w:bCs/>
                        <w:sz w:val="16"/>
                        <w:szCs w:val="16"/>
                      </w:rPr>
                    </w:pPr>
                  </w:p>
                  <w:p w14:paraId="3843B344" w14:textId="77777777" w:rsidR="00F445FF" w:rsidRDefault="00F445FF">
                    <w:pPr>
                      <w:rPr>
                        <w:b/>
                        <w:bCs/>
                        <w:sz w:val="16"/>
                        <w:szCs w:val="16"/>
                      </w:rPr>
                    </w:pPr>
                  </w:p>
                  <w:p w14:paraId="1840FA9E" w14:textId="77777777" w:rsidR="00F445FF" w:rsidRDefault="00F445FF">
                    <w:pPr>
                      <w:rPr>
                        <w:b/>
                        <w:bCs/>
                        <w:sz w:val="16"/>
                        <w:szCs w:val="16"/>
                      </w:rPr>
                    </w:pPr>
                    <w:r>
                      <w:rPr>
                        <w:b/>
                        <w:bCs/>
                        <w:sz w:val="20"/>
                        <w:szCs w:val="20"/>
                      </w:rPr>
                      <w:t>Q</w:t>
                    </w:r>
                  </w:p>
                  <w:p w14:paraId="0FDB3ABF" w14:textId="77777777" w:rsidR="00F445FF" w:rsidRDefault="00F445FF">
                    <w:pPr>
                      <w:rPr>
                        <w:b/>
                        <w:bCs/>
                        <w:sz w:val="10"/>
                        <w:szCs w:val="10"/>
                      </w:rPr>
                    </w:pPr>
                  </w:p>
                  <w:p w14:paraId="68695F77" w14:textId="77777777" w:rsidR="00F445FF" w:rsidRDefault="00F445FF">
                    <w:pPr>
                      <w:rPr>
                        <w:b/>
                        <w:bCs/>
                        <w:sz w:val="16"/>
                        <w:szCs w:val="16"/>
                      </w:rPr>
                    </w:pPr>
                  </w:p>
                  <w:p w14:paraId="2D804D45" w14:textId="77777777" w:rsidR="00F445FF" w:rsidRDefault="00F445FF">
                    <w:pPr>
                      <w:rPr>
                        <w:b/>
                        <w:bCs/>
                        <w:sz w:val="16"/>
                        <w:szCs w:val="16"/>
                      </w:rPr>
                    </w:pPr>
                  </w:p>
                  <w:p w14:paraId="2E211F44" w14:textId="77777777" w:rsidR="00F445FF" w:rsidRDefault="00F445FF">
                    <w:pPr>
                      <w:rPr>
                        <w:b/>
                        <w:bCs/>
                        <w:sz w:val="16"/>
                        <w:szCs w:val="16"/>
                      </w:rPr>
                    </w:pPr>
                    <w:r>
                      <w:rPr>
                        <w:b/>
                        <w:bCs/>
                        <w:sz w:val="20"/>
                        <w:szCs w:val="20"/>
                      </w:rPr>
                      <w:t>R</w:t>
                    </w:r>
                  </w:p>
                  <w:p w14:paraId="47B94D51" w14:textId="77777777" w:rsidR="00F445FF" w:rsidRDefault="00F445FF">
                    <w:pPr>
                      <w:rPr>
                        <w:b/>
                        <w:bCs/>
                        <w:sz w:val="10"/>
                        <w:szCs w:val="10"/>
                      </w:rPr>
                    </w:pPr>
                  </w:p>
                  <w:p w14:paraId="2AD7FF8F" w14:textId="77777777" w:rsidR="00F445FF" w:rsidRDefault="00F445FF">
                    <w:pPr>
                      <w:rPr>
                        <w:b/>
                        <w:bCs/>
                        <w:sz w:val="16"/>
                        <w:szCs w:val="16"/>
                      </w:rPr>
                    </w:pPr>
                  </w:p>
                  <w:p w14:paraId="3B73D057" w14:textId="77777777" w:rsidR="00F445FF" w:rsidRDefault="00F445FF">
                    <w:pPr>
                      <w:rPr>
                        <w:b/>
                        <w:bCs/>
                        <w:sz w:val="16"/>
                        <w:szCs w:val="16"/>
                      </w:rPr>
                    </w:pPr>
                  </w:p>
                  <w:p w14:paraId="650C66B4" w14:textId="77777777" w:rsidR="00F445FF" w:rsidRDefault="00F445FF">
                    <w:pPr>
                      <w:rPr>
                        <w:b/>
                        <w:bCs/>
                        <w:sz w:val="16"/>
                        <w:szCs w:val="16"/>
                      </w:rPr>
                    </w:pPr>
                    <w:r>
                      <w:rPr>
                        <w:b/>
                        <w:bCs/>
                        <w:sz w:val="20"/>
                        <w:szCs w:val="20"/>
                      </w:rPr>
                      <w:t>S</w:t>
                    </w:r>
                  </w:p>
                  <w:p w14:paraId="27CD0413" w14:textId="77777777" w:rsidR="00F445FF" w:rsidRDefault="00F445FF">
                    <w:pPr>
                      <w:rPr>
                        <w:b/>
                        <w:bCs/>
                        <w:sz w:val="10"/>
                        <w:szCs w:val="10"/>
                      </w:rPr>
                    </w:pPr>
                  </w:p>
                  <w:p w14:paraId="7F2209F7" w14:textId="77777777" w:rsidR="00F445FF" w:rsidRDefault="00F445FF">
                    <w:pPr>
                      <w:rPr>
                        <w:b/>
                        <w:bCs/>
                        <w:sz w:val="16"/>
                        <w:szCs w:val="16"/>
                      </w:rPr>
                    </w:pPr>
                  </w:p>
                  <w:p w14:paraId="57E54A5B" w14:textId="77777777" w:rsidR="00F445FF" w:rsidRDefault="00F445FF">
                    <w:pPr>
                      <w:rPr>
                        <w:b/>
                        <w:bCs/>
                        <w:sz w:val="16"/>
                        <w:szCs w:val="16"/>
                      </w:rPr>
                    </w:pPr>
                  </w:p>
                  <w:p w14:paraId="12626831" w14:textId="77777777" w:rsidR="00F445FF" w:rsidRDefault="00F445FF">
                    <w:pPr>
                      <w:rPr>
                        <w:b/>
                        <w:bCs/>
                        <w:sz w:val="16"/>
                        <w:szCs w:val="16"/>
                      </w:rPr>
                    </w:pPr>
                    <w:r>
                      <w:rPr>
                        <w:b/>
                        <w:bCs/>
                        <w:sz w:val="20"/>
                        <w:szCs w:val="20"/>
                      </w:rPr>
                      <w:t>T</w:t>
                    </w:r>
                  </w:p>
                  <w:p w14:paraId="6443DF30" w14:textId="77777777" w:rsidR="00F445FF" w:rsidRDefault="00F445FF">
                    <w:pPr>
                      <w:rPr>
                        <w:b/>
                        <w:bCs/>
                        <w:sz w:val="10"/>
                        <w:szCs w:val="10"/>
                      </w:rPr>
                    </w:pPr>
                  </w:p>
                  <w:p w14:paraId="1AD627E8" w14:textId="77777777" w:rsidR="00F445FF" w:rsidRDefault="00F445FF">
                    <w:pPr>
                      <w:rPr>
                        <w:b/>
                        <w:bCs/>
                        <w:sz w:val="16"/>
                        <w:szCs w:val="16"/>
                      </w:rPr>
                    </w:pPr>
                  </w:p>
                  <w:p w14:paraId="24C59F3D" w14:textId="77777777" w:rsidR="00F445FF" w:rsidRDefault="00F445FF">
                    <w:pPr>
                      <w:rPr>
                        <w:b/>
                        <w:bCs/>
                        <w:sz w:val="16"/>
                        <w:szCs w:val="16"/>
                      </w:rPr>
                    </w:pPr>
                  </w:p>
                  <w:p w14:paraId="4C7AA43A" w14:textId="77777777" w:rsidR="00F445FF" w:rsidRDefault="00F445FF">
                    <w:pPr>
                      <w:rPr>
                        <w:b/>
                        <w:bCs/>
                        <w:sz w:val="16"/>
                        <w:szCs w:val="16"/>
                      </w:rPr>
                    </w:pPr>
                    <w:r>
                      <w:rPr>
                        <w:b/>
                        <w:bCs/>
                        <w:sz w:val="20"/>
                        <w:szCs w:val="20"/>
                      </w:rPr>
                      <w:t>U</w:t>
                    </w:r>
                  </w:p>
                  <w:p w14:paraId="17FB2056" w14:textId="77777777" w:rsidR="00F445FF" w:rsidRDefault="00F445FF">
                    <w:pPr>
                      <w:rPr>
                        <w:b/>
                        <w:bCs/>
                        <w:sz w:val="10"/>
                        <w:szCs w:val="10"/>
                      </w:rPr>
                    </w:pPr>
                  </w:p>
                  <w:p w14:paraId="18143FDD" w14:textId="77777777" w:rsidR="00F445FF" w:rsidRDefault="00F445FF">
                    <w:pPr>
                      <w:rPr>
                        <w:b/>
                        <w:bCs/>
                        <w:sz w:val="16"/>
                        <w:szCs w:val="16"/>
                      </w:rPr>
                    </w:pPr>
                  </w:p>
                  <w:p w14:paraId="5BE2B2BD" w14:textId="77777777" w:rsidR="00F445FF" w:rsidRDefault="00F445FF">
                    <w:pPr>
                      <w:rPr>
                        <w:b/>
                        <w:bCs/>
                        <w:sz w:val="16"/>
                        <w:szCs w:val="16"/>
                      </w:rPr>
                    </w:pPr>
                  </w:p>
                  <w:p w14:paraId="22EFD201" w14:textId="77777777" w:rsidR="00F445FF" w:rsidRDefault="00F445F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3BF19616" wp14:editId="3E17A1BC">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FA5F0" w14:textId="77777777" w:rsidR="00F445FF" w:rsidRDefault="00F445F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19616"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14:paraId="067FA5F0" w14:textId="77777777" w:rsidR="00F445FF" w:rsidRDefault="00F445FF">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1DA69" w14:textId="05E81428" w:rsidR="00F445FF" w:rsidRDefault="00F445FF">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14:anchorId="2BA477AC" wp14:editId="4DAC3B6E">
              <wp:simplePos x="0" y="0"/>
              <wp:positionH relativeFrom="column">
                <wp:posOffset>5850586</wp:posOffset>
              </wp:positionH>
              <wp:positionV relativeFrom="paragraph">
                <wp:posOffset>153035</wp:posOffset>
              </wp:positionV>
              <wp:extent cx="474345" cy="10143490"/>
              <wp:effectExtent l="0" t="0" r="190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D730F" w14:textId="77777777" w:rsidR="00F445FF" w:rsidRDefault="00F445FF" w:rsidP="00A8299F">
                          <w:pPr>
                            <w:ind w:right="-165"/>
                            <w:rPr>
                              <w:b/>
                              <w:bCs/>
                              <w:sz w:val="20"/>
                              <w:szCs w:val="20"/>
                            </w:rPr>
                          </w:pPr>
                          <w:r>
                            <w:rPr>
                              <w:b/>
                              <w:bCs/>
                              <w:sz w:val="20"/>
                              <w:szCs w:val="20"/>
                            </w:rPr>
                            <w:t>A</w:t>
                          </w:r>
                        </w:p>
                        <w:p w14:paraId="29F3DB1F" w14:textId="77777777" w:rsidR="00F445FF" w:rsidRDefault="00F445FF" w:rsidP="00A8299F">
                          <w:pPr>
                            <w:ind w:right="-165"/>
                            <w:rPr>
                              <w:b/>
                              <w:bCs/>
                              <w:sz w:val="10"/>
                              <w:szCs w:val="10"/>
                            </w:rPr>
                          </w:pPr>
                        </w:p>
                        <w:p w14:paraId="0B29F17B" w14:textId="77777777" w:rsidR="00F445FF" w:rsidRDefault="00F445FF" w:rsidP="00A8299F">
                          <w:pPr>
                            <w:ind w:right="-165"/>
                            <w:rPr>
                              <w:b/>
                              <w:bCs/>
                              <w:sz w:val="16"/>
                              <w:szCs w:val="16"/>
                            </w:rPr>
                          </w:pPr>
                        </w:p>
                        <w:p w14:paraId="6321BE85" w14:textId="77777777" w:rsidR="00F445FF" w:rsidRDefault="00F445FF" w:rsidP="00A8299F">
                          <w:pPr>
                            <w:ind w:right="-165"/>
                            <w:rPr>
                              <w:b/>
                              <w:bCs/>
                              <w:sz w:val="16"/>
                              <w:szCs w:val="16"/>
                            </w:rPr>
                          </w:pPr>
                        </w:p>
                        <w:p w14:paraId="2096CF0F" w14:textId="77777777" w:rsidR="00F445FF" w:rsidRDefault="00F445FF" w:rsidP="00A8299F">
                          <w:pPr>
                            <w:ind w:right="-165"/>
                            <w:rPr>
                              <w:b/>
                              <w:bCs/>
                              <w:sz w:val="20"/>
                              <w:szCs w:val="20"/>
                            </w:rPr>
                          </w:pPr>
                          <w:r>
                            <w:rPr>
                              <w:b/>
                              <w:bCs/>
                              <w:sz w:val="20"/>
                              <w:szCs w:val="20"/>
                            </w:rPr>
                            <w:t>B</w:t>
                          </w:r>
                        </w:p>
                        <w:p w14:paraId="549224A6" w14:textId="77777777" w:rsidR="00F445FF" w:rsidRDefault="00F445FF" w:rsidP="00A8299F">
                          <w:pPr>
                            <w:ind w:right="-165"/>
                            <w:rPr>
                              <w:b/>
                              <w:bCs/>
                              <w:sz w:val="10"/>
                              <w:szCs w:val="10"/>
                            </w:rPr>
                          </w:pPr>
                        </w:p>
                        <w:p w14:paraId="0594E8F9" w14:textId="77777777" w:rsidR="00F445FF" w:rsidRDefault="00F445FF" w:rsidP="00A8299F">
                          <w:pPr>
                            <w:ind w:right="-165"/>
                            <w:rPr>
                              <w:b/>
                              <w:bCs/>
                              <w:sz w:val="16"/>
                              <w:szCs w:val="16"/>
                            </w:rPr>
                          </w:pPr>
                        </w:p>
                        <w:p w14:paraId="3CBA44D1" w14:textId="77777777" w:rsidR="00F445FF" w:rsidRDefault="00F445FF" w:rsidP="00A8299F">
                          <w:pPr>
                            <w:ind w:right="-165"/>
                            <w:rPr>
                              <w:b/>
                              <w:bCs/>
                              <w:sz w:val="16"/>
                              <w:szCs w:val="16"/>
                            </w:rPr>
                          </w:pPr>
                        </w:p>
                        <w:p w14:paraId="50EECDC8" w14:textId="77777777" w:rsidR="00F445FF" w:rsidRDefault="00F445FF" w:rsidP="00A8299F">
                          <w:pPr>
                            <w:ind w:right="-165"/>
                            <w:rPr>
                              <w:b/>
                              <w:bCs/>
                              <w:sz w:val="16"/>
                              <w:szCs w:val="16"/>
                            </w:rPr>
                          </w:pPr>
                          <w:r>
                            <w:rPr>
                              <w:b/>
                              <w:bCs/>
                              <w:sz w:val="20"/>
                              <w:szCs w:val="20"/>
                            </w:rPr>
                            <w:t>C</w:t>
                          </w:r>
                        </w:p>
                        <w:p w14:paraId="745952E9" w14:textId="77777777" w:rsidR="00F445FF" w:rsidRDefault="00F445FF" w:rsidP="00A8299F">
                          <w:pPr>
                            <w:ind w:right="-165"/>
                            <w:rPr>
                              <w:b/>
                              <w:bCs/>
                              <w:sz w:val="10"/>
                              <w:szCs w:val="10"/>
                            </w:rPr>
                          </w:pPr>
                        </w:p>
                        <w:p w14:paraId="21CEAC02" w14:textId="77777777" w:rsidR="00F445FF" w:rsidRDefault="00F445FF" w:rsidP="00A8299F">
                          <w:pPr>
                            <w:ind w:right="-165"/>
                            <w:rPr>
                              <w:b/>
                              <w:bCs/>
                              <w:sz w:val="16"/>
                              <w:szCs w:val="16"/>
                            </w:rPr>
                          </w:pPr>
                        </w:p>
                        <w:p w14:paraId="10A989D8" w14:textId="77777777" w:rsidR="00F445FF" w:rsidRDefault="00F445FF" w:rsidP="00A8299F">
                          <w:pPr>
                            <w:ind w:right="-165"/>
                            <w:rPr>
                              <w:b/>
                              <w:bCs/>
                              <w:sz w:val="16"/>
                              <w:szCs w:val="16"/>
                            </w:rPr>
                          </w:pPr>
                        </w:p>
                        <w:p w14:paraId="5319D106" w14:textId="77777777" w:rsidR="00F445FF" w:rsidRDefault="00F445FF" w:rsidP="00A8299F">
                          <w:pPr>
                            <w:pStyle w:val="Heading2"/>
                            <w:ind w:right="-165"/>
                            <w:rPr>
                              <w:sz w:val="16"/>
                              <w:szCs w:val="16"/>
                            </w:rPr>
                          </w:pPr>
                          <w:r>
                            <w:t>D</w:t>
                          </w:r>
                        </w:p>
                        <w:p w14:paraId="2074BDCE" w14:textId="77777777" w:rsidR="00F445FF" w:rsidRDefault="00F445FF" w:rsidP="00A8299F">
                          <w:pPr>
                            <w:ind w:right="-165"/>
                            <w:rPr>
                              <w:b/>
                              <w:bCs/>
                              <w:sz w:val="10"/>
                              <w:szCs w:val="10"/>
                            </w:rPr>
                          </w:pPr>
                        </w:p>
                        <w:p w14:paraId="39A24D85" w14:textId="77777777" w:rsidR="00F445FF" w:rsidRDefault="00F445FF" w:rsidP="00A8299F">
                          <w:pPr>
                            <w:ind w:right="-165"/>
                            <w:rPr>
                              <w:b/>
                              <w:bCs/>
                              <w:sz w:val="16"/>
                              <w:szCs w:val="16"/>
                            </w:rPr>
                          </w:pPr>
                        </w:p>
                        <w:p w14:paraId="2284BE4F" w14:textId="77777777" w:rsidR="00F445FF" w:rsidRDefault="00F445FF" w:rsidP="00A8299F">
                          <w:pPr>
                            <w:ind w:right="-165"/>
                            <w:rPr>
                              <w:b/>
                              <w:bCs/>
                              <w:sz w:val="16"/>
                              <w:szCs w:val="16"/>
                            </w:rPr>
                          </w:pPr>
                        </w:p>
                        <w:p w14:paraId="5985B21E" w14:textId="77777777" w:rsidR="00F445FF" w:rsidRDefault="00F445FF" w:rsidP="00A8299F">
                          <w:pPr>
                            <w:ind w:right="-165"/>
                            <w:rPr>
                              <w:b/>
                              <w:bCs/>
                              <w:sz w:val="16"/>
                              <w:szCs w:val="16"/>
                            </w:rPr>
                          </w:pPr>
                          <w:r>
                            <w:rPr>
                              <w:b/>
                              <w:bCs/>
                              <w:sz w:val="20"/>
                              <w:szCs w:val="20"/>
                            </w:rPr>
                            <w:t>E</w:t>
                          </w:r>
                        </w:p>
                        <w:p w14:paraId="790F056F" w14:textId="77777777" w:rsidR="00F445FF" w:rsidRDefault="00F445FF" w:rsidP="00A8299F">
                          <w:pPr>
                            <w:ind w:right="-165"/>
                            <w:rPr>
                              <w:b/>
                              <w:bCs/>
                              <w:sz w:val="10"/>
                              <w:szCs w:val="10"/>
                            </w:rPr>
                          </w:pPr>
                        </w:p>
                        <w:p w14:paraId="505059AD" w14:textId="77777777" w:rsidR="00F445FF" w:rsidRDefault="00F445FF" w:rsidP="00A8299F">
                          <w:pPr>
                            <w:ind w:right="-165"/>
                            <w:rPr>
                              <w:b/>
                              <w:bCs/>
                              <w:sz w:val="16"/>
                              <w:szCs w:val="16"/>
                            </w:rPr>
                          </w:pPr>
                        </w:p>
                        <w:p w14:paraId="358D207C" w14:textId="77777777" w:rsidR="00F445FF" w:rsidRDefault="00F445FF" w:rsidP="00A8299F">
                          <w:pPr>
                            <w:ind w:right="-165"/>
                            <w:rPr>
                              <w:b/>
                              <w:bCs/>
                              <w:sz w:val="16"/>
                              <w:szCs w:val="16"/>
                            </w:rPr>
                          </w:pPr>
                        </w:p>
                        <w:p w14:paraId="0223F856" w14:textId="77777777" w:rsidR="00F445FF" w:rsidRDefault="00F445FF" w:rsidP="00A8299F">
                          <w:pPr>
                            <w:ind w:right="-165"/>
                            <w:rPr>
                              <w:b/>
                              <w:bCs/>
                              <w:sz w:val="20"/>
                              <w:szCs w:val="20"/>
                            </w:rPr>
                          </w:pPr>
                          <w:r>
                            <w:rPr>
                              <w:b/>
                              <w:bCs/>
                              <w:sz w:val="20"/>
                              <w:szCs w:val="20"/>
                            </w:rPr>
                            <w:t>F</w:t>
                          </w:r>
                        </w:p>
                        <w:p w14:paraId="38FAB311" w14:textId="77777777" w:rsidR="00F445FF" w:rsidRDefault="00F445FF" w:rsidP="00A8299F">
                          <w:pPr>
                            <w:ind w:right="-165"/>
                            <w:rPr>
                              <w:b/>
                              <w:bCs/>
                              <w:sz w:val="10"/>
                              <w:szCs w:val="10"/>
                            </w:rPr>
                          </w:pPr>
                        </w:p>
                        <w:p w14:paraId="04B45305" w14:textId="77777777" w:rsidR="00F445FF" w:rsidRDefault="00F445FF" w:rsidP="00A8299F">
                          <w:pPr>
                            <w:ind w:right="-165"/>
                            <w:rPr>
                              <w:b/>
                              <w:bCs/>
                              <w:sz w:val="16"/>
                              <w:szCs w:val="16"/>
                            </w:rPr>
                          </w:pPr>
                        </w:p>
                        <w:p w14:paraId="14E1A802" w14:textId="77777777" w:rsidR="00F445FF" w:rsidRDefault="00F445FF" w:rsidP="00A8299F">
                          <w:pPr>
                            <w:ind w:right="-165"/>
                            <w:rPr>
                              <w:b/>
                              <w:bCs/>
                              <w:sz w:val="16"/>
                              <w:szCs w:val="16"/>
                            </w:rPr>
                          </w:pPr>
                        </w:p>
                        <w:p w14:paraId="2FF70941" w14:textId="77777777" w:rsidR="00F445FF" w:rsidRDefault="00F445FF" w:rsidP="00A8299F">
                          <w:pPr>
                            <w:ind w:right="-165"/>
                            <w:rPr>
                              <w:b/>
                              <w:bCs/>
                              <w:sz w:val="16"/>
                              <w:szCs w:val="16"/>
                            </w:rPr>
                          </w:pPr>
                          <w:r>
                            <w:rPr>
                              <w:b/>
                              <w:bCs/>
                              <w:sz w:val="20"/>
                              <w:szCs w:val="20"/>
                            </w:rPr>
                            <w:t>G</w:t>
                          </w:r>
                        </w:p>
                        <w:p w14:paraId="332AC2C1" w14:textId="77777777" w:rsidR="00F445FF" w:rsidRDefault="00F445FF" w:rsidP="00A8299F">
                          <w:pPr>
                            <w:ind w:right="-165"/>
                            <w:rPr>
                              <w:b/>
                              <w:bCs/>
                              <w:sz w:val="10"/>
                              <w:szCs w:val="10"/>
                            </w:rPr>
                          </w:pPr>
                        </w:p>
                        <w:p w14:paraId="0A7E2C2D" w14:textId="77777777" w:rsidR="00F445FF" w:rsidRDefault="00F445FF" w:rsidP="00A8299F">
                          <w:pPr>
                            <w:ind w:right="-165"/>
                            <w:rPr>
                              <w:b/>
                              <w:bCs/>
                              <w:sz w:val="16"/>
                              <w:szCs w:val="16"/>
                            </w:rPr>
                          </w:pPr>
                        </w:p>
                        <w:p w14:paraId="25716775" w14:textId="77777777" w:rsidR="00F445FF" w:rsidRDefault="00F445FF" w:rsidP="00A8299F">
                          <w:pPr>
                            <w:ind w:right="-165"/>
                            <w:rPr>
                              <w:b/>
                              <w:bCs/>
                              <w:sz w:val="16"/>
                              <w:szCs w:val="16"/>
                            </w:rPr>
                          </w:pPr>
                        </w:p>
                        <w:p w14:paraId="0A9AB452" w14:textId="77777777" w:rsidR="00F445FF" w:rsidRDefault="00F445FF" w:rsidP="00A8299F">
                          <w:pPr>
                            <w:ind w:right="-165"/>
                            <w:rPr>
                              <w:b/>
                              <w:bCs/>
                              <w:sz w:val="16"/>
                              <w:szCs w:val="16"/>
                            </w:rPr>
                          </w:pPr>
                          <w:r>
                            <w:rPr>
                              <w:b/>
                              <w:bCs/>
                              <w:sz w:val="20"/>
                              <w:szCs w:val="20"/>
                            </w:rPr>
                            <w:t>H</w:t>
                          </w:r>
                        </w:p>
                        <w:p w14:paraId="6C0465D5" w14:textId="77777777" w:rsidR="00F445FF" w:rsidRDefault="00F445FF" w:rsidP="00A8299F">
                          <w:pPr>
                            <w:ind w:right="-165"/>
                            <w:rPr>
                              <w:b/>
                              <w:bCs/>
                              <w:sz w:val="10"/>
                              <w:szCs w:val="10"/>
                            </w:rPr>
                          </w:pPr>
                        </w:p>
                        <w:p w14:paraId="7FC3977C" w14:textId="77777777" w:rsidR="00F445FF" w:rsidRDefault="00F445FF" w:rsidP="00A8299F">
                          <w:pPr>
                            <w:ind w:right="-165"/>
                            <w:rPr>
                              <w:b/>
                              <w:bCs/>
                              <w:sz w:val="16"/>
                              <w:szCs w:val="16"/>
                            </w:rPr>
                          </w:pPr>
                        </w:p>
                        <w:p w14:paraId="0D975AAC" w14:textId="77777777" w:rsidR="00F445FF" w:rsidRDefault="00F445FF" w:rsidP="00A8299F">
                          <w:pPr>
                            <w:ind w:right="-165"/>
                            <w:rPr>
                              <w:b/>
                              <w:bCs/>
                              <w:sz w:val="16"/>
                              <w:szCs w:val="16"/>
                            </w:rPr>
                          </w:pPr>
                        </w:p>
                        <w:p w14:paraId="027E3E3F" w14:textId="77777777" w:rsidR="00F445FF" w:rsidRDefault="00F445FF" w:rsidP="00A8299F">
                          <w:pPr>
                            <w:ind w:right="-165"/>
                            <w:rPr>
                              <w:b/>
                              <w:bCs/>
                              <w:sz w:val="16"/>
                              <w:szCs w:val="16"/>
                            </w:rPr>
                          </w:pPr>
                          <w:r>
                            <w:rPr>
                              <w:b/>
                              <w:bCs/>
                              <w:sz w:val="20"/>
                              <w:szCs w:val="20"/>
                            </w:rPr>
                            <w:t>I</w:t>
                          </w:r>
                        </w:p>
                        <w:p w14:paraId="4026AE7C" w14:textId="77777777" w:rsidR="00F445FF" w:rsidRDefault="00F445FF" w:rsidP="00A8299F">
                          <w:pPr>
                            <w:ind w:right="-165"/>
                            <w:rPr>
                              <w:b/>
                              <w:bCs/>
                              <w:sz w:val="10"/>
                              <w:szCs w:val="10"/>
                            </w:rPr>
                          </w:pPr>
                        </w:p>
                        <w:p w14:paraId="27009C59" w14:textId="77777777" w:rsidR="00F445FF" w:rsidRDefault="00F445FF" w:rsidP="00A8299F">
                          <w:pPr>
                            <w:ind w:right="-165"/>
                            <w:rPr>
                              <w:b/>
                              <w:bCs/>
                              <w:sz w:val="16"/>
                              <w:szCs w:val="16"/>
                            </w:rPr>
                          </w:pPr>
                        </w:p>
                        <w:p w14:paraId="5D7ACFE2" w14:textId="77777777" w:rsidR="00F445FF" w:rsidRDefault="00F445FF" w:rsidP="00A8299F">
                          <w:pPr>
                            <w:ind w:right="-165"/>
                            <w:rPr>
                              <w:b/>
                              <w:bCs/>
                              <w:sz w:val="16"/>
                              <w:szCs w:val="16"/>
                            </w:rPr>
                          </w:pPr>
                        </w:p>
                        <w:p w14:paraId="4B85EADE" w14:textId="77777777" w:rsidR="00F445FF" w:rsidRDefault="00F445FF" w:rsidP="00A8299F">
                          <w:pPr>
                            <w:ind w:right="-165"/>
                            <w:rPr>
                              <w:b/>
                              <w:bCs/>
                              <w:sz w:val="16"/>
                              <w:szCs w:val="16"/>
                            </w:rPr>
                          </w:pPr>
                          <w:r>
                            <w:rPr>
                              <w:b/>
                              <w:bCs/>
                              <w:sz w:val="20"/>
                              <w:szCs w:val="20"/>
                            </w:rPr>
                            <w:t>J</w:t>
                          </w:r>
                        </w:p>
                        <w:p w14:paraId="6B90115A" w14:textId="77777777" w:rsidR="00F445FF" w:rsidRDefault="00F445FF" w:rsidP="00A8299F">
                          <w:pPr>
                            <w:ind w:right="-165"/>
                            <w:rPr>
                              <w:b/>
                              <w:bCs/>
                              <w:sz w:val="10"/>
                              <w:szCs w:val="10"/>
                            </w:rPr>
                          </w:pPr>
                        </w:p>
                        <w:p w14:paraId="10F68736" w14:textId="77777777" w:rsidR="00F445FF" w:rsidRDefault="00F445FF" w:rsidP="00A8299F">
                          <w:pPr>
                            <w:ind w:right="-165"/>
                            <w:rPr>
                              <w:b/>
                              <w:bCs/>
                              <w:sz w:val="16"/>
                              <w:szCs w:val="16"/>
                            </w:rPr>
                          </w:pPr>
                        </w:p>
                        <w:p w14:paraId="5CADCA1A" w14:textId="77777777" w:rsidR="00F445FF" w:rsidRDefault="00F445FF" w:rsidP="00A8299F">
                          <w:pPr>
                            <w:ind w:right="-165"/>
                            <w:rPr>
                              <w:b/>
                              <w:bCs/>
                              <w:sz w:val="16"/>
                              <w:szCs w:val="16"/>
                            </w:rPr>
                          </w:pPr>
                        </w:p>
                        <w:p w14:paraId="122F3D16" w14:textId="77777777" w:rsidR="00F445FF" w:rsidRDefault="00F445FF" w:rsidP="00A8299F">
                          <w:pPr>
                            <w:ind w:right="-165"/>
                            <w:rPr>
                              <w:b/>
                              <w:bCs/>
                              <w:sz w:val="16"/>
                              <w:szCs w:val="16"/>
                            </w:rPr>
                          </w:pPr>
                          <w:r>
                            <w:rPr>
                              <w:b/>
                              <w:bCs/>
                              <w:sz w:val="20"/>
                              <w:szCs w:val="20"/>
                            </w:rPr>
                            <w:t>K</w:t>
                          </w:r>
                        </w:p>
                        <w:p w14:paraId="39472F36" w14:textId="77777777" w:rsidR="00F445FF" w:rsidRDefault="00F445FF" w:rsidP="00A8299F">
                          <w:pPr>
                            <w:ind w:right="-165"/>
                            <w:rPr>
                              <w:b/>
                              <w:bCs/>
                              <w:sz w:val="10"/>
                              <w:szCs w:val="10"/>
                            </w:rPr>
                          </w:pPr>
                        </w:p>
                        <w:p w14:paraId="7AEB099F" w14:textId="77777777" w:rsidR="00F445FF" w:rsidRDefault="00F445FF" w:rsidP="00A8299F">
                          <w:pPr>
                            <w:ind w:right="-165"/>
                            <w:rPr>
                              <w:b/>
                              <w:bCs/>
                              <w:sz w:val="16"/>
                              <w:szCs w:val="16"/>
                            </w:rPr>
                          </w:pPr>
                        </w:p>
                        <w:p w14:paraId="25DD2541" w14:textId="77777777" w:rsidR="00F445FF" w:rsidRDefault="00F445FF" w:rsidP="00A8299F">
                          <w:pPr>
                            <w:ind w:right="-165"/>
                            <w:rPr>
                              <w:b/>
                              <w:bCs/>
                              <w:sz w:val="16"/>
                              <w:szCs w:val="16"/>
                            </w:rPr>
                          </w:pPr>
                        </w:p>
                        <w:p w14:paraId="2FEAF845" w14:textId="77777777" w:rsidR="00F445FF" w:rsidRDefault="00F445FF" w:rsidP="00A8299F">
                          <w:pPr>
                            <w:ind w:right="-165"/>
                            <w:rPr>
                              <w:b/>
                              <w:bCs/>
                              <w:sz w:val="16"/>
                              <w:szCs w:val="16"/>
                            </w:rPr>
                          </w:pPr>
                          <w:r>
                            <w:rPr>
                              <w:b/>
                              <w:bCs/>
                              <w:sz w:val="20"/>
                              <w:szCs w:val="20"/>
                            </w:rPr>
                            <w:t>L</w:t>
                          </w:r>
                        </w:p>
                        <w:p w14:paraId="644337BF" w14:textId="77777777" w:rsidR="00F445FF" w:rsidRDefault="00F445FF" w:rsidP="00A8299F">
                          <w:pPr>
                            <w:ind w:right="-165"/>
                            <w:rPr>
                              <w:b/>
                              <w:bCs/>
                              <w:sz w:val="10"/>
                              <w:szCs w:val="10"/>
                            </w:rPr>
                          </w:pPr>
                        </w:p>
                        <w:p w14:paraId="01BE7B93" w14:textId="77777777" w:rsidR="00F445FF" w:rsidRDefault="00F445FF" w:rsidP="00A8299F">
                          <w:pPr>
                            <w:ind w:right="-165"/>
                            <w:rPr>
                              <w:b/>
                              <w:bCs/>
                              <w:sz w:val="16"/>
                              <w:szCs w:val="16"/>
                            </w:rPr>
                          </w:pPr>
                        </w:p>
                        <w:p w14:paraId="03975A12" w14:textId="77777777" w:rsidR="00F445FF" w:rsidRDefault="00F445FF" w:rsidP="00A8299F">
                          <w:pPr>
                            <w:ind w:right="-165"/>
                            <w:rPr>
                              <w:b/>
                              <w:bCs/>
                              <w:sz w:val="16"/>
                              <w:szCs w:val="16"/>
                            </w:rPr>
                          </w:pPr>
                        </w:p>
                        <w:p w14:paraId="606729B3" w14:textId="77777777" w:rsidR="00F445FF" w:rsidRDefault="00F445FF" w:rsidP="00A8299F">
                          <w:pPr>
                            <w:ind w:right="-165"/>
                            <w:rPr>
                              <w:b/>
                              <w:bCs/>
                              <w:sz w:val="16"/>
                              <w:szCs w:val="16"/>
                            </w:rPr>
                          </w:pPr>
                          <w:r>
                            <w:rPr>
                              <w:b/>
                              <w:bCs/>
                              <w:sz w:val="20"/>
                              <w:szCs w:val="20"/>
                            </w:rPr>
                            <w:t>M</w:t>
                          </w:r>
                        </w:p>
                        <w:p w14:paraId="70B79B98" w14:textId="77777777" w:rsidR="00F445FF" w:rsidRDefault="00F445FF" w:rsidP="00A8299F">
                          <w:pPr>
                            <w:ind w:right="-165"/>
                            <w:rPr>
                              <w:b/>
                              <w:bCs/>
                              <w:sz w:val="10"/>
                              <w:szCs w:val="10"/>
                            </w:rPr>
                          </w:pPr>
                        </w:p>
                        <w:p w14:paraId="4ED9167F" w14:textId="77777777" w:rsidR="00F445FF" w:rsidRDefault="00F445FF" w:rsidP="00A8299F">
                          <w:pPr>
                            <w:ind w:right="-165"/>
                            <w:rPr>
                              <w:b/>
                              <w:bCs/>
                              <w:sz w:val="16"/>
                              <w:szCs w:val="16"/>
                            </w:rPr>
                          </w:pPr>
                        </w:p>
                        <w:p w14:paraId="7940DEC6" w14:textId="77777777" w:rsidR="00F445FF" w:rsidRDefault="00F445FF" w:rsidP="00A8299F">
                          <w:pPr>
                            <w:ind w:right="-165"/>
                            <w:rPr>
                              <w:b/>
                              <w:bCs/>
                              <w:sz w:val="16"/>
                              <w:szCs w:val="16"/>
                            </w:rPr>
                          </w:pPr>
                        </w:p>
                        <w:p w14:paraId="48AF4D90" w14:textId="77777777" w:rsidR="00F445FF" w:rsidRDefault="00F445FF" w:rsidP="00A8299F">
                          <w:pPr>
                            <w:ind w:right="-165"/>
                            <w:rPr>
                              <w:b/>
                              <w:bCs/>
                              <w:sz w:val="16"/>
                              <w:szCs w:val="16"/>
                            </w:rPr>
                          </w:pPr>
                          <w:r>
                            <w:rPr>
                              <w:b/>
                              <w:bCs/>
                              <w:sz w:val="20"/>
                              <w:szCs w:val="20"/>
                            </w:rPr>
                            <w:t>N</w:t>
                          </w:r>
                        </w:p>
                        <w:p w14:paraId="083F5C11" w14:textId="77777777" w:rsidR="00F445FF" w:rsidRDefault="00F445FF" w:rsidP="00A8299F">
                          <w:pPr>
                            <w:ind w:right="-165"/>
                            <w:rPr>
                              <w:b/>
                              <w:bCs/>
                              <w:sz w:val="10"/>
                              <w:szCs w:val="10"/>
                            </w:rPr>
                          </w:pPr>
                        </w:p>
                        <w:p w14:paraId="01BBA7FC" w14:textId="77777777" w:rsidR="00F445FF" w:rsidRDefault="00F445FF" w:rsidP="00A8299F">
                          <w:pPr>
                            <w:ind w:right="-165"/>
                            <w:rPr>
                              <w:b/>
                              <w:bCs/>
                              <w:sz w:val="16"/>
                              <w:szCs w:val="16"/>
                            </w:rPr>
                          </w:pPr>
                        </w:p>
                        <w:p w14:paraId="17281DAE" w14:textId="77777777" w:rsidR="00F445FF" w:rsidRDefault="00F445FF" w:rsidP="00A8299F">
                          <w:pPr>
                            <w:ind w:right="-165"/>
                            <w:rPr>
                              <w:b/>
                              <w:bCs/>
                              <w:sz w:val="16"/>
                              <w:szCs w:val="16"/>
                            </w:rPr>
                          </w:pPr>
                        </w:p>
                        <w:p w14:paraId="7907595A" w14:textId="77777777" w:rsidR="00F445FF" w:rsidRDefault="00F445FF" w:rsidP="00A8299F">
                          <w:pPr>
                            <w:ind w:right="-165"/>
                            <w:rPr>
                              <w:b/>
                              <w:bCs/>
                              <w:sz w:val="16"/>
                              <w:szCs w:val="16"/>
                            </w:rPr>
                          </w:pPr>
                          <w:r>
                            <w:rPr>
                              <w:b/>
                              <w:bCs/>
                              <w:sz w:val="20"/>
                              <w:szCs w:val="20"/>
                            </w:rPr>
                            <w:t>O</w:t>
                          </w:r>
                        </w:p>
                        <w:p w14:paraId="29FBCAEE" w14:textId="77777777" w:rsidR="00F445FF" w:rsidRDefault="00F445FF" w:rsidP="00A8299F">
                          <w:pPr>
                            <w:ind w:right="-165"/>
                            <w:rPr>
                              <w:b/>
                              <w:bCs/>
                              <w:sz w:val="10"/>
                              <w:szCs w:val="10"/>
                            </w:rPr>
                          </w:pPr>
                        </w:p>
                        <w:p w14:paraId="3BA4E267" w14:textId="77777777" w:rsidR="00F445FF" w:rsidRDefault="00F445FF" w:rsidP="00A8299F">
                          <w:pPr>
                            <w:ind w:right="-165"/>
                            <w:rPr>
                              <w:b/>
                              <w:bCs/>
                              <w:sz w:val="16"/>
                              <w:szCs w:val="16"/>
                            </w:rPr>
                          </w:pPr>
                        </w:p>
                        <w:p w14:paraId="3F8E705F" w14:textId="77777777" w:rsidR="00F445FF" w:rsidRDefault="00F445FF" w:rsidP="00A8299F">
                          <w:pPr>
                            <w:ind w:right="-165"/>
                            <w:rPr>
                              <w:b/>
                              <w:bCs/>
                              <w:sz w:val="16"/>
                              <w:szCs w:val="16"/>
                            </w:rPr>
                          </w:pPr>
                        </w:p>
                        <w:p w14:paraId="5679B604" w14:textId="77777777" w:rsidR="00F445FF" w:rsidRDefault="00F445FF" w:rsidP="00A8299F">
                          <w:pPr>
                            <w:ind w:right="-165"/>
                            <w:rPr>
                              <w:b/>
                              <w:bCs/>
                              <w:sz w:val="16"/>
                              <w:szCs w:val="16"/>
                            </w:rPr>
                          </w:pPr>
                          <w:r>
                            <w:rPr>
                              <w:b/>
                              <w:bCs/>
                              <w:sz w:val="20"/>
                              <w:szCs w:val="20"/>
                            </w:rPr>
                            <w:t>P</w:t>
                          </w:r>
                        </w:p>
                        <w:p w14:paraId="16489890" w14:textId="77777777" w:rsidR="00F445FF" w:rsidRDefault="00F445FF" w:rsidP="00A8299F">
                          <w:pPr>
                            <w:ind w:right="-165"/>
                            <w:rPr>
                              <w:b/>
                              <w:bCs/>
                              <w:sz w:val="10"/>
                              <w:szCs w:val="10"/>
                            </w:rPr>
                          </w:pPr>
                        </w:p>
                        <w:p w14:paraId="7A118F5F" w14:textId="77777777" w:rsidR="00F445FF" w:rsidRDefault="00F445FF" w:rsidP="00A8299F">
                          <w:pPr>
                            <w:ind w:right="-165"/>
                            <w:rPr>
                              <w:b/>
                              <w:bCs/>
                              <w:sz w:val="16"/>
                              <w:szCs w:val="16"/>
                            </w:rPr>
                          </w:pPr>
                        </w:p>
                        <w:p w14:paraId="0EB61F29" w14:textId="77777777" w:rsidR="00F445FF" w:rsidRDefault="00F445FF" w:rsidP="00A8299F">
                          <w:pPr>
                            <w:ind w:right="-165"/>
                            <w:rPr>
                              <w:b/>
                              <w:bCs/>
                              <w:sz w:val="16"/>
                              <w:szCs w:val="16"/>
                            </w:rPr>
                          </w:pPr>
                        </w:p>
                        <w:p w14:paraId="7BD60DE1" w14:textId="77777777" w:rsidR="00F445FF" w:rsidRDefault="00F445FF" w:rsidP="00A8299F">
                          <w:pPr>
                            <w:ind w:right="-165"/>
                            <w:rPr>
                              <w:b/>
                              <w:bCs/>
                              <w:sz w:val="16"/>
                              <w:szCs w:val="16"/>
                            </w:rPr>
                          </w:pPr>
                          <w:r>
                            <w:rPr>
                              <w:b/>
                              <w:bCs/>
                              <w:sz w:val="20"/>
                              <w:szCs w:val="20"/>
                            </w:rPr>
                            <w:t>Q</w:t>
                          </w:r>
                        </w:p>
                        <w:p w14:paraId="5DDF7476" w14:textId="77777777" w:rsidR="00F445FF" w:rsidRDefault="00F445FF" w:rsidP="00A8299F">
                          <w:pPr>
                            <w:ind w:right="-165"/>
                            <w:rPr>
                              <w:b/>
                              <w:bCs/>
                              <w:sz w:val="10"/>
                              <w:szCs w:val="10"/>
                            </w:rPr>
                          </w:pPr>
                        </w:p>
                        <w:p w14:paraId="6083B94B" w14:textId="77777777" w:rsidR="00F445FF" w:rsidRDefault="00F445FF" w:rsidP="00A8299F">
                          <w:pPr>
                            <w:ind w:right="-165"/>
                            <w:rPr>
                              <w:b/>
                              <w:bCs/>
                              <w:sz w:val="16"/>
                              <w:szCs w:val="16"/>
                            </w:rPr>
                          </w:pPr>
                        </w:p>
                        <w:p w14:paraId="386857B3" w14:textId="77777777" w:rsidR="00F445FF" w:rsidRDefault="00F445FF" w:rsidP="00A8299F">
                          <w:pPr>
                            <w:ind w:right="-165"/>
                            <w:rPr>
                              <w:b/>
                              <w:bCs/>
                              <w:sz w:val="16"/>
                              <w:szCs w:val="16"/>
                            </w:rPr>
                          </w:pPr>
                        </w:p>
                        <w:p w14:paraId="15F9459F" w14:textId="77777777" w:rsidR="00F445FF" w:rsidRDefault="00F445FF" w:rsidP="00A8299F">
                          <w:pPr>
                            <w:ind w:right="-165"/>
                            <w:rPr>
                              <w:b/>
                              <w:bCs/>
                              <w:sz w:val="16"/>
                              <w:szCs w:val="16"/>
                            </w:rPr>
                          </w:pPr>
                          <w:r>
                            <w:rPr>
                              <w:b/>
                              <w:bCs/>
                              <w:sz w:val="20"/>
                              <w:szCs w:val="20"/>
                            </w:rPr>
                            <w:t>R</w:t>
                          </w:r>
                        </w:p>
                        <w:p w14:paraId="16F0A534" w14:textId="77777777" w:rsidR="00F445FF" w:rsidRDefault="00F445FF" w:rsidP="00A8299F">
                          <w:pPr>
                            <w:ind w:right="-165"/>
                            <w:rPr>
                              <w:b/>
                              <w:bCs/>
                              <w:sz w:val="10"/>
                              <w:szCs w:val="10"/>
                            </w:rPr>
                          </w:pPr>
                        </w:p>
                        <w:p w14:paraId="28FE7776" w14:textId="77777777" w:rsidR="00F445FF" w:rsidRDefault="00F445FF" w:rsidP="00A8299F">
                          <w:pPr>
                            <w:ind w:right="-165"/>
                            <w:rPr>
                              <w:b/>
                              <w:bCs/>
                              <w:sz w:val="16"/>
                              <w:szCs w:val="16"/>
                            </w:rPr>
                          </w:pPr>
                        </w:p>
                        <w:p w14:paraId="4539ACDA" w14:textId="77777777" w:rsidR="00F445FF" w:rsidRDefault="00F445FF" w:rsidP="00A8299F">
                          <w:pPr>
                            <w:ind w:right="-165"/>
                            <w:rPr>
                              <w:b/>
                              <w:bCs/>
                              <w:sz w:val="16"/>
                              <w:szCs w:val="16"/>
                            </w:rPr>
                          </w:pPr>
                        </w:p>
                        <w:p w14:paraId="50A90FDF" w14:textId="77777777" w:rsidR="00F445FF" w:rsidRDefault="00F445FF" w:rsidP="00A8299F">
                          <w:pPr>
                            <w:ind w:right="-165"/>
                            <w:rPr>
                              <w:b/>
                              <w:bCs/>
                              <w:sz w:val="16"/>
                              <w:szCs w:val="16"/>
                            </w:rPr>
                          </w:pPr>
                          <w:r>
                            <w:rPr>
                              <w:b/>
                              <w:bCs/>
                              <w:sz w:val="20"/>
                              <w:szCs w:val="20"/>
                            </w:rPr>
                            <w:t>S</w:t>
                          </w:r>
                        </w:p>
                        <w:p w14:paraId="00D2AE57" w14:textId="77777777" w:rsidR="00F445FF" w:rsidRDefault="00F445FF" w:rsidP="00A8299F">
                          <w:pPr>
                            <w:ind w:right="-165"/>
                            <w:rPr>
                              <w:b/>
                              <w:bCs/>
                              <w:sz w:val="10"/>
                              <w:szCs w:val="10"/>
                            </w:rPr>
                          </w:pPr>
                        </w:p>
                        <w:p w14:paraId="2D76E84B" w14:textId="77777777" w:rsidR="00F445FF" w:rsidRDefault="00F445FF" w:rsidP="00A8299F">
                          <w:pPr>
                            <w:ind w:right="-165"/>
                            <w:rPr>
                              <w:b/>
                              <w:bCs/>
                              <w:sz w:val="16"/>
                              <w:szCs w:val="16"/>
                            </w:rPr>
                          </w:pPr>
                        </w:p>
                        <w:p w14:paraId="45BA50ED" w14:textId="77777777" w:rsidR="00F445FF" w:rsidRDefault="00F445FF" w:rsidP="00A8299F">
                          <w:pPr>
                            <w:ind w:right="-165"/>
                            <w:rPr>
                              <w:b/>
                              <w:bCs/>
                              <w:sz w:val="16"/>
                              <w:szCs w:val="16"/>
                            </w:rPr>
                          </w:pPr>
                        </w:p>
                        <w:p w14:paraId="17BF649C" w14:textId="77777777" w:rsidR="00F445FF" w:rsidRDefault="00F445FF" w:rsidP="00A8299F">
                          <w:pPr>
                            <w:ind w:right="-165"/>
                            <w:rPr>
                              <w:b/>
                              <w:bCs/>
                              <w:sz w:val="16"/>
                              <w:szCs w:val="16"/>
                            </w:rPr>
                          </w:pPr>
                          <w:r>
                            <w:rPr>
                              <w:b/>
                              <w:bCs/>
                              <w:sz w:val="20"/>
                              <w:szCs w:val="20"/>
                            </w:rPr>
                            <w:t>T</w:t>
                          </w:r>
                        </w:p>
                        <w:p w14:paraId="24838200" w14:textId="77777777" w:rsidR="00F445FF" w:rsidRDefault="00F445FF" w:rsidP="00A8299F">
                          <w:pPr>
                            <w:ind w:right="-165"/>
                            <w:rPr>
                              <w:b/>
                              <w:bCs/>
                              <w:sz w:val="10"/>
                              <w:szCs w:val="10"/>
                            </w:rPr>
                          </w:pPr>
                        </w:p>
                        <w:p w14:paraId="641EFEDB" w14:textId="77777777" w:rsidR="00F445FF" w:rsidRDefault="00F445FF" w:rsidP="00A8299F">
                          <w:pPr>
                            <w:ind w:right="-165"/>
                            <w:rPr>
                              <w:b/>
                              <w:bCs/>
                              <w:sz w:val="16"/>
                              <w:szCs w:val="16"/>
                            </w:rPr>
                          </w:pPr>
                        </w:p>
                        <w:p w14:paraId="142414FE" w14:textId="77777777" w:rsidR="00F445FF" w:rsidRDefault="00F445FF" w:rsidP="00A8299F">
                          <w:pPr>
                            <w:ind w:right="-165"/>
                            <w:rPr>
                              <w:b/>
                              <w:bCs/>
                              <w:sz w:val="16"/>
                              <w:szCs w:val="16"/>
                            </w:rPr>
                          </w:pPr>
                        </w:p>
                        <w:p w14:paraId="47460A4C" w14:textId="77777777" w:rsidR="00F445FF" w:rsidRDefault="00F445FF" w:rsidP="00A8299F">
                          <w:pPr>
                            <w:ind w:right="-165"/>
                            <w:rPr>
                              <w:b/>
                              <w:bCs/>
                              <w:sz w:val="16"/>
                              <w:szCs w:val="16"/>
                            </w:rPr>
                          </w:pPr>
                          <w:r>
                            <w:rPr>
                              <w:b/>
                              <w:bCs/>
                              <w:sz w:val="20"/>
                              <w:szCs w:val="20"/>
                            </w:rPr>
                            <w:t>U</w:t>
                          </w:r>
                        </w:p>
                        <w:p w14:paraId="6505DE06" w14:textId="77777777" w:rsidR="00F445FF" w:rsidRDefault="00F445FF" w:rsidP="00A8299F">
                          <w:pPr>
                            <w:ind w:right="-165"/>
                            <w:rPr>
                              <w:b/>
                              <w:bCs/>
                              <w:sz w:val="10"/>
                              <w:szCs w:val="10"/>
                            </w:rPr>
                          </w:pPr>
                        </w:p>
                        <w:p w14:paraId="2D2372E8" w14:textId="77777777" w:rsidR="00F445FF" w:rsidRDefault="00F445FF" w:rsidP="00A8299F">
                          <w:pPr>
                            <w:ind w:right="-165"/>
                            <w:rPr>
                              <w:b/>
                              <w:bCs/>
                              <w:sz w:val="16"/>
                              <w:szCs w:val="16"/>
                            </w:rPr>
                          </w:pPr>
                        </w:p>
                        <w:p w14:paraId="43FC093F" w14:textId="77777777" w:rsidR="00F445FF" w:rsidRDefault="00F445FF" w:rsidP="00A8299F">
                          <w:pPr>
                            <w:ind w:right="-165"/>
                            <w:rPr>
                              <w:b/>
                              <w:bCs/>
                              <w:sz w:val="16"/>
                              <w:szCs w:val="16"/>
                            </w:rPr>
                          </w:pPr>
                        </w:p>
                        <w:p w14:paraId="36FB7CFF" w14:textId="77777777" w:rsidR="00F445FF" w:rsidRDefault="00F445FF"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477AC" id="_x0000_t202" coordsize="21600,21600" o:spt="202" path="m,l,21600r21600,l21600,xe">
              <v:stroke joinstyle="miter"/>
              <v:path gradientshapeok="t" o:connecttype="rect"/>
            </v:shapetype>
            <v:shape id="Text Box 6" o:spid="_x0000_s1029" type="#_x0000_t202" style="position:absolute;left:0;text-align:left;margin-left:460.7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" o:allowincell="f" stroked="f">
              <v:textbox>
                <w:txbxContent>
                  <w:p w14:paraId="27BD730F" w14:textId="77777777" w:rsidR="00665162" w:rsidRDefault="00665162" w:rsidP="00A8299F">
                    <w:pPr>
                      <w:ind w:right="-165"/>
                      <w:rPr>
                        <w:b/>
                        <w:bCs/>
                        <w:sz w:val="20"/>
                        <w:szCs w:val="20"/>
                      </w:rPr>
                    </w:pPr>
                    <w:r>
                      <w:rPr>
                        <w:b/>
                        <w:bCs/>
                        <w:sz w:val="20"/>
                        <w:szCs w:val="20"/>
                      </w:rPr>
                      <w:t>A</w:t>
                    </w:r>
                  </w:p>
                  <w:p w14:paraId="29F3DB1F" w14:textId="77777777" w:rsidR="00665162" w:rsidRDefault="00665162" w:rsidP="00A8299F">
                    <w:pPr>
                      <w:ind w:right="-165"/>
                      <w:rPr>
                        <w:b/>
                        <w:bCs/>
                        <w:sz w:val="10"/>
                        <w:szCs w:val="10"/>
                      </w:rPr>
                    </w:pPr>
                  </w:p>
                  <w:p w14:paraId="0B29F17B" w14:textId="77777777" w:rsidR="00665162" w:rsidRDefault="00665162" w:rsidP="00A8299F">
                    <w:pPr>
                      <w:ind w:right="-165"/>
                      <w:rPr>
                        <w:b/>
                        <w:bCs/>
                        <w:sz w:val="16"/>
                        <w:szCs w:val="16"/>
                      </w:rPr>
                    </w:pPr>
                  </w:p>
                  <w:p w14:paraId="6321BE85" w14:textId="77777777" w:rsidR="00665162" w:rsidRDefault="00665162" w:rsidP="00A8299F">
                    <w:pPr>
                      <w:ind w:right="-165"/>
                      <w:rPr>
                        <w:b/>
                        <w:bCs/>
                        <w:sz w:val="16"/>
                        <w:szCs w:val="16"/>
                      </w:rPr>
                    </w:pPr>
                  </w:p>
                  <w:p w14:paraId="2096CF0F" w14:textId="77777777" w:rsidR="00665162" w:rsidRDefault="00665162" w:rsidP="00A8299F">
                    <w:pPr>
                      <w:ind w:right="-165"/>
                      <w:rPr>
                        <w:b/>
                        <w:bCs/>
                        <w:sz w:val="20"/>
                        <w:szCs w:val="20"/>
                      </w:rPr>
                    </w:pPr>
                    <w:r>
                      <w:rPr>
                        <w:b/>
                        <w:bCs/>
                        <w:sz w:val="20"/>
                        <w:szCs w:val="20"/>
                      </w:rPr>
                      <w:t>B</w:t>
                    </w:r>
                  </w:p>
                  <w:p w14:paraId="549224A6" w14:textId="77777777" w:rsidR="00665162" w:rsidRDefault="00665162" w:rsidP="00A8299F">
                    <w:pPr>
                      <w:ind w:right="-165"/>
                      <w:rPr>
                        <w:b/>
                        <w:bCs/>
                        <w:sz w:val="10"/>
                        <w:szCs w:val="10"/>
                      </w:rPr>
                    </w:pPr>
                  </w:p>
                  <w:p w14:paraId="0594E8F9" w14:textId="77777777" w:rsidR="00665162" w:rsidRDefault="00665162" w:rsidP="00A8299F">
                    <w:pPr>
                      <w:ind w:right="-165"/>
                      <w:rPr>
                        <w:b/>
                        <w:bCs/>
                        <w:sz w:val="16"/>
                        <w:szCs w:val="16"/>
                      </w:rPr>
                    </w:pPr>
                  </w:p>
                  <w:p w14:paraId="3CBA44D1" w14:textId="77777777" w:rsidR="00665162" w:rsidRDefault="00665162" w:rsidP="00A8299F">
                    <w:pPr>
                      <w:ind w:right="-165"/>
                      <w:rPr>
                        <w:b/>
                        <w:bCs/>
                        <w:sz w:val="16"/>
                        <w:szCs w:val="16"/>
                      </w:rPr>
                    </w:pPr>
                  </w:p>
                  <w:p w14:paraId="50EECDC8" w14:textId="77777777" w:rsidR="00665162" w:rsidRDefault="00665162" w:rsidP="00A8299F">
                    <w:pPr>
                      <w:ind w:right="-165"/>
                      <w:rPr>
                        <w:b/>
                        <w:bCs/>
                        <w:sz w:val="16"/>
                        <w:szCs w:val="16"/>
                      </w:rPr>
                    </w:pPr>
                    <w:r>
                      <w:rPr>
                        <w:b/>
                        <w:bCs/>
                        <w:sz w:val="20"/>
                        <w:szCs w:val="20"/>
                      </w:rPr>
                      <w:t>C</w:t>
                    </w:r>
                  </w:p>
                  <w:p w14:paraId="745952E9" w14:textId="77777777" w:rsidR="00665162" w:rsidRDefault="00665162" w:rsidP="00A8299F">
                    <w:pPr>
                      <w:ind w:right="-165"/>
                      <w:rPr>
                        <w:b/>
                        <w:bCs/>
                        <w:sz w:val="10"/>
                        <w:szCs w:val="10"/>
                      </w:rPr>
                    </w:pPr>
                  </w:p>
                  <w:p w14:paraId="21CEAC02" w14:textId="77777777" w:rsidR="00665162" w:rsidRDefault="00665162" w:rsidP="00A8299F">
                    <w:pPr>
                      <w:ind w:right="-165"/>
                      <w:rPr>
                        <w:b/>
                        <w:bCs/>
                        <w:sz w:val="16"/>
                        <w:szCs w:val="16"/>
                      </w:rPr>
                    </w:pPr>
                  </w:p>
                  <w:p w14:paraId="10A989D8" w14:textId="77777777" w:rsidR="00665162" w:rsidRDefault="00665162" w:rsidP="00A8299F">
                    <w:pPr>
                      <w:ind w:right="-165"/>
                      <w:rPr>
                        <w:b/>
                        <w:bCs/>
                        <w:sz w:val="16"/>
                        <w:szCs w:val="16"/>
                      </w:rPr>
                    </w:pPr>
                  </w:p>
                  <w:p w14:paraId="5319D106" w14:textId="77777777" w:rsidR="00665162" w:rsidRDefault="00665162" w:rsidP="00A8299F">
                    <w:pPr>
                      <w:pStyle w:val="Heading2"/>
                      <w:ind w:right="-165"/>
                      <w:rPr>
                        <w:sz w:val="16"/>
                        <w:szCs w:val="16"/>
                      </w:rPr>
                    </w:pPr>
                    <w:r>
                      <w:t>D</w:t>
                    </w:r>
                  </w:p>
                  <w:p w14:paraId="2074BDCE" w14:textId="77777777" w:rsidR="00665162" w:rsidRDefault="00665162" w:rsidP="00A8299F">
                    <w:pPr>
                      <w:ind w:right="-165"/>
                      <w:rPr>
                        <w:b/>
                        <w:bCs/>
                        <w:sz w:val="10"/>
                        <w:szCs w:val="10"/>
                      </w:rPr>
                    </w:pPr>
                  </w:p>
                  <w:p w14:paraId="39A24D85" w14:textId="77777777" w:rsidR="00665162" w:rsidRDefault="00665162" w:rsidP="00A8299F">
                    <w:pPr>
                      <w:ind w:right="-165"/>
                      <w:rPr>
                        <w:b/>
                        <w:bCs/>
                        <w:sz w:val="16"/>
                        <w:szCs w:val="16"/>
                      </w:rPr>
                    </w:pPr>
                  </w:p>
                  <w:p w14:paraId="2284BE4F" w14:textId="77777777" w:rsidR="00665162" w:rsidRDefault="00665162" w:rsidP="00A8299F">
                    <w:pPr>
                      <w:ind w:right="-165"/>
                      <w:rPr>
                        <w:b/>
                        <w:bCs/>
                        <w:sz w:val="16"/>
                        <w:szCs w:val="16"/>
                      </w:rPr>
                    </w:pPr>
                  </w:p>
                  <w:p w14:paraId="5985B21E" w14:textId="77777777" w:rsidR="00665162" w:rsidRDefault="00665162" w:rsidP="00A8299F">
                    <w:pPr>
                      <w:ind w:right="-165"/>
                      <w:rPr>
                        <w:b/>
                        <w:bCs/>
                        <w:sz w:val="16"/>
                        <w:szCs w:val="16"/>
                      </w:rPr>
                    </w:pPr>
                    <w:r>
                      <w:rPr>
                        <w:b/>
                        <w:bCs/>
                        <w:sz w:val="20"/>
                        <w:szCs w:val="20"/>
                      </w:rPr>
                      <w:t>E</w:t>
                    </w:r>
                  </w:p>
                  <w:p w14:paraId="790F056F" w14:textId="77777777" w:rsidR="00665162" w:rsidRDefault="00665162" w:rsidP="00A8299F">
                    <w:pPr>
                      <w:ind w:right="-165"/>
                      <w:rPr>
                        <w:b/>
                        <w:bCs/>
                        <w:sz w:val="10"/>
                        <w:szCs w:val="10"/>
                      </w:rPr>
                    </w:pPr>
                  </w:p>
                  <w:p w14:paraId="505059AD" w14:textId="77777777" w:rsidR="00665162" w:rsidRDefault="00665162" w:rsidP="00A8299F">
                    <w:pPr>
                      <w:ind w:right="-165"/>
                      <w:rPr>
                        <w:b/>
                        <w:bCs/>
                        <w:sz w:val="16"/>
                        <w:szCs w:val="16"/>
                      </w:rPr>
                    </w:pPr>
                  </w:p>
                  <w:p w14:paraId="358D207C" w14:textId="77777777" w:rsidR="00665162" w:rsidRDefault="00665162" w:rsidP="00A8299F">
                    <w:pPr>
                      <w:ind w:right="-165"/>
                      <w:rPr>
                        <w:b/>
                        <w:bCs/>
                        <w:sz w:val="16"/>
                        <w:szCs w:val="16"/>
                      </w:rPr>
                    </w:pPr>
                  </w:p>
                  <w:p w14:paraId="0223F856" w14:textId="77777777" w:rsidR="00665162" w:rsidRDefault="00665162" w:rsidP="00A8299F">
                    <w:pPr>
                      <w:ind w:right="-165"/>
                      <w:rPr>
                        <w:b/>
                        <w:bCs/>
                        <w:sz w:val="20"/>
                        <w:szCs w:val="20"/>
                      </w:rPr>
                    </w:pPr>
                    <w:r>
                      <w:rPr>
                        <w:b/>
                        <w:bCs/>
                        <w:sz w:val="20"/>
                        <w:szCs w:val="20"/>
                      </w:rPr>
                      <w:t>F</w:t>
                    </w:r>
                  </w:p>
                  <w:p w14:paraId="38FAB311" w14:textId="77777777" w:rsidR="00665162" w:rsidRDefault="00665162" w:rsidP="00A8299F">
                    <w:pPr>
                      <w:ind w:right="-165"/>
                      <w:rPr>
                        <w:b/>
                        <w:bCs/>
                        <w:sz w:val="10"/>
                        <w:szCs w:val="10"/>
                      </w:rPr>
                    </w:pPr>
                  </w:p>
                  <w:p w14:paraId="04B45305" w14:textId="77777777" w:rsidR="00665162" w:rsidRDefault="00665162" w:rsidP="00A8299F">
                    <w:pPr>
                      <w:ind w:right="-165"/>
                      <w:rPr>
                        <w:b/>
                        <w:bCs/>
                        <w:sz w:val="16"/>
                        <w:szCs w:val="16"/>
                      </w:rPr>
                    </w:pPr>
                  </w:p>
                  <w:p w14:paraId="14E1A802" w14:textId="77777777" w:rsidR="00665162" w:rsidRDefault="00665162" w:rsidP="00A8299F">
                    <w:pPr>
                      <w:ind w:right="-165"/>
                      <w:rPr>
                        <w:b/>
                        <w:bCs/>
                        <w:sz w:val="16"/>
                        <w:szCs w:val="16"/>
                      </w:rPr>
                    </w:pPr>
                  </w:p>
                  <w:p w14:paraId="2FF70941" w14:textId="77777777" w:rsidR="00665162" w:rsidRDefault="00665162" w:rsidP="00A8299F">
                    <w:pPr>
                      <w:ind w:right="-165"/>
                      <w:rPr>
                        <w:b/>
                        <w:bCs/>
                        <w:sz w:val="16"/>
                        <w:szCs w:val="16"/>
                      </w:rPr>
                    </w:pPr>
                    <w:r>
                      <w:rPr>
                        <w:b/>
                        <w:bCs/>
                        <w:sz w:val="20"/>
                        <w:szCs w:val="20"/>
                      </w:rPr>
                      <w:t>G</w:t>
                    </w:r>
                  </w:p>
                  <w:p w14:paraId="332AC2C1" w14:textId="77777777" w:rsidR="00665162" w:rsidRDefault="00665162" w:rsidP="00A8299F">
                    <w:pPr>
                      <w:ind w:right="-165"/>
                      <w:rPr>
                        <w:b/>
                        <w:bCs/>
                        <w:sz w:val="10"/>
                        <w:szCs w:val="10"/>
                      </w:rPr>
                    </w:pPr>
                  </w:p>
                  <w:p w14:paraId="0A7E2C2D" w14:textId="77777777" w:rsidR="00665162" w:rsidRDefault="00665162" w:rsidP="00A8299F">
                    <w:pPr>
                      <w:ind w:right="-165"/>
                      <w:rPr>
                        <w:b/>
                        <w:bCs/>
                        <w:sz w:val="16"/>
                        <w:szCs w:val="16"/>
                      </w:rPr>
                    </w:pPr>
                  </w:p>
                  <w:p w14:paraId="25716775" w14:textId="77777777" w:rsidR="00665162" w:rsidRDefault="00665162" w:rsidP="00A8299F">
                    <w:pPr>
                      <w:ind w:right="-165"/>
                      <w:rPr>
                        <w:b/>
                        <w:bCs/>
                        <w:sz w:val="16"/>
                        <w:szCs w:val="16"/>
                      </w:rPr>
                    </w:pPr>
                  </w:p>
                  <w:p w14:paraId="0A9AB452" w14:textId="77777777" w:rsidR="00665162" w:rsidRDefault="00665162" w:rsidP="00A8299F">
                    <w:pPr>
                      <w:ind w:right="-165"/>
                      <w:rPr>
                        <w:b/>
                        <w:bCs/>
                        <w:sz w:val="16"/>
                        <w:szCs w:val="16"/>
                      </w:rPr>
                    </w:pPr>
                    <w:r>
                      <w:rPr>
                        <w:b/>
                        <w:bCs/>
                        <w:sz w:val="20"/>
                        <w:szCs w:val="20"/>
                      </w:rPr>
                      <w:t>H</w:t>
                    </w:r>
                  </w:p>
                  <w:p w14:paraId="6C0465D5" w14:textId="77777777" w:rsidR="00665162" w:rsidRDefault="00665162" w:rsidP="00A8299F">
                    <w:pPr>
                      <w:ind w:right="-165"/>
                      <w:rPr>
                        <w:b/>
                        <w:bCs/>
                        <w:sz w:val="10"/>
                        <w:szCs w:val="10"/>
                      </w:rPr>
                    </w:pPr>
                  </w:p>
                  <w:p w14:paraId="7FC3977C" w14:textId="77777777" w:rsidR="00665162" w:rsidRDefault="00665162" w:rsidP="00A8299F">
                    <w:pPr>
                      <w:ind w:right="-165"/>
                      <w:rPr>
                        <w:b/>
                        <w:bCs/>
                        <w:sz w:val="16"/>
                        <w:szCs w:val="16"/>
                      </w:rPr>
                    </w:pPr>
                  </w:p>
                  <w:p w14:paraId="0D975AAC" w14:textId="77777777" w:rsidR="00665162" w:rsidRDefault="00665162" w:rsidP="00A8299F">
                    <w:pPr>
                      <w:ind w:right="-165"/>
                      <w:rPr>
                        <w:b/>
                        <w:bCs/>
                        <w:sz w:val="16"/>
                        <w:szCs w:val="16"/>
                      </w:rPr>
                    </w:pPr>
                  </w:p>
                  <w:p w14:paraId="027E3E3F" w14:textId="77777777" w:rsidR="00665162" w:rsidRDefault="00665162" w:rsidP="00A8299F">
                    <w:pPr>
                      <w:ind w:right="-165"/>
                      <w:rPr>
                        <w:b/>
                        <w:bCs/>
                        <w:sz w:val="16"/>
                        <w:szCs w:val="16"/>
                      </w:rPr>
                    </w:pPr>
                    <w:r>
                      <w:rPr>
                        <w:b/>
                        <w:bCs/>
                        <w:sz w:val="20"/>
                        <w:szCs w:val="20"/>
                      </w:rPr>
                      <w:t>I</w:t>
                    </w:r>
                  </w:p>
                  <w:p w14:paraId="4026AE7C" w14:textId="77777777" w:rsidR="00665162" w:rsidRDefault="00665162" w:rsidP="00A8299F">
                    <w:pPr>
                      <w:ind w:right="-165"/>
                      <w:rPr>
                        <w:b/>
                        <w:bCs/>
                        <w:sz w:val="10"/>
                        <w:szCs w:val="10"/>
                      </w:rPr>
                    </w:pPr>
                  </w:p>
                  <w:p w14:paraId="27009C59" w14:textId="77777777" w:rsidR="00665162" w:rsidRDefault="00665162" w:rsidP="00A8299F">
                    <w:pPr>
                      <w:ind w:right="-165"/>
                      <w:rPr>
                        <w:b/>
                        <w:bCs/>
                        <w:sz w:val="16"/>
                        <w:szCs w:val="16"/>
                      </w:rPr>
                    </w:pPr>
                  </w:p>
                  <w:p w14:paraId="5D7ACFE2" w14:textId="77777777" w:rsidR="00665162" w:rsidRDefault="00665162" w:rsidP="00A8299F">
                    <w:pPr>
                      <w:ind w:right="-165"/>
                      <w:rPr>
                        <w:b/>
                        <w:bCs/>
                        <w:sz w:val="16"/>
                        <w:szCs w:val="16"/>
                      </w:rPr>
                    </w:pPr>
                  </w:p>
                  <w:p w14:paraId="4B85EADE" w14:textId="77777777" w:rsidR="00665162" w:rsidRDefault="00665162" w:rsidP="00A8299F">
                    <w:pPr>
                      <w:ind w:right="-165"/>
                      <w:rPr>
                        <w:b/>
                        <w:bCs/>
                        <w:sz w:val="16"/>
                        <w:szCs w:val="16"/>
                      </w:rPr>
                    </w:pPr>
                    <w:r>
                      <w:rPr>
                        <w:b/>
                        <w:bCs/>
                        <w:sz w:val="20"/>
                        <w:szCs w:val="20"/>
                      </w:rPr>
                      <w:t>J</w:t>
                    </w:r>
                  </w:p>
                  <w:p w14:paraId="6B90115A" w14:textId="77777777" w:rsidR="00665162" w:rsidRDefault="00665162" w:rsidP="00A8299F">
                    <w:pPr>
                      <w:ind w:right="-165"/>
                      <w:rPr>
                        <w:b/>
                        <w:bCs/>
                        <w:sz w:val="10"/>
                        <w:szCs w:val="10"/>
                      </w:rPr>
                    </w:pPr>
                  </w:p>
                  <w:p w14:paraId="10F68736" w14:textId="77777777" w:rsidR="00665162" w:rsidRDefault="00665162" w:rsidP="00A8299F">
                    <w:pPr>
                      <w:ind w:right="-165"/>
                      <w:rPr>
                        <w:b/>
                        <w:bCs/>
                        <w:sz w:val="16"/>
                        <w:szCs w:val="16"/>
                      </w:rPr>
                    </w:pPr>
                  </w:p>
                  <w:p w14:paraId="5CADCA1A" w14:textId="77777777" w:rsidR="00665162" w:rsidRDefault="00665162" w:rsidP="00A8299F">
                    <w:pPr>
                      <w:ind w:right="-165"/>
                      <w:rPr>
                        <w:b/>
                        <w:bCs/>
                        <w:sz w:val="16"/>
                        <w:szCs w:val="16"/>
                      </w:rPr>
                    </w:pPr>
                  </w:p>
                  <w:p w14:paraId="122F3D16" w14:textId="77777777" w:rsidR="00665162" w:rsidRDefault="00665162" w:rsidP="00A8299F">
                    <w:pPr>
                      <w:ind w:right="-165"/>
                      <w:rPr>
                        <w:b/>
                        <w:bCs/>
                        <w:sz w:val="16"/>
                        <w:szCs w:val="16"/>
                      </w:rPr>
                    </w:pPr>
                    <w:r>
                      <w:rPr>
                        <w:b/>
                        <w:bCs/>
                        <w:sz w:val="20"/>
                        <w:szCs w:val="20"/>
                      </w:rPr>
                      <w:t>K</w:t>
                    </w:r>
                  </w:p>
                  <w:p w14:paraId="39472F36" w14:textId="77777777" w:rsidR="00665162" w:rsidRDefault="00665162" w:rsidP="00A8299F">
                    <w:pPr>
                      <w:ind w:right="-165"/>
                      <w:rPr>
                        <w:b/>
                        <w:bCs/>
                        <w:sz w:val="10"/>
                        <w:szCs w:val="10"/>
                      </w:rPr>
                    </w:pPr>
                  </w:p>
                  <w:p w14:paraId="7AEB099F" w14:textId="77777777" w:rsidR="00665162" w:rsidRDefault="00665162" w:rsidP="00A8299F">
                    <w:pPr>
                      <w:ind w:right="-165"/>
                      <w:rPr>
                        <w:b/>
                        <w:bCs/>
                        <w:sz w:val="16"/>
                        <w:szCs w:val="16"/>
                      </w:rPr>
                    </w:pPr>
                  </w:p>
                  <w:p w14:paraId="25DD2541" w14:textId="77777777" w:rsidR="00665162" w:rsidRDefault="00665162" w:rsidP="00A8299F">
                    <w:pPr>
                      <w:ind w:right="-165"/>
                      <w:rPr>
                        <w:b/>
                        <w:bCs/>
                        <w:sz w:val="16"/>
                        <w:szCs w:val="16"/>
                      </w:rPr>
                    </w:pPr>
                  </w:p>
                  <w:p w14:paraId="2FEAF845" w14:textId="77777777" w:rsidR="00665162" w:rsidRDefault="00665162" w:rsidP="00A8299F">
                    <w:pPr>
                      <w:ind w:right="-165"/>
                      <w:rPr>
                        <w:b/>
                        <w:bCs/>
                        <w:sz w:val="16"/>
                        <w:szCs w:val="16"/>
                      </w:rPr>
                    </w:pPr>
                    <w:r>
                      <w:rPr>
                        <w:b/>
                        <w:bCs/>
                        <w:sz w:val="20"/>
                        <w:szCs w:val="20"/>
                      </w:rPr>
                      <w:t>L</w:t>
                    </w:r>
                  </w:p>
                  <w:p w14:paraId="644337BF" w14:textId="77777777" w:rsidR="00665162" w:rsidRDefault="00665162" w:rsidP="00A8299F">
                    <w:pPr>
                      <w:ind w:right="-165"/>
                      <w:rPr>
                        <w:b/>
                        <w:bCs/>
                        <w:sz w:val="10"/>
                        <w:szCs w:val="10"/>
                      </w:rPr>
                    </w:pPr>
                  </w:p>
                  <w:p w14:paraId="01BE7B93" w14:textId="77777777" w:rsidR="00665162" w:rsidRDefault="00665162" w:rsidP="00A8299F">
                    <w:pPr>
                      <w:ind w:right="-165"/>
                      <w:rPr>
                        <w:b/>
                        <w:bCs/>
                        <w:sz w:val="16"/>
                        <w:szCs w:val="16"/>
                      </w:rPr>
                    </w:pPr>
                  </w:p>
                  <w:p w14:paraId="03975A12" w14:textId="77777777" w:rsidR="00665162" w:rsidRDefault="00665162" w:rsidP="00A8299F">
                    <w:pPr>
                      <w:ind w:right="-165"/>
                      <w:rPr>
                        <w:b/>
                        <w:bCs/>
                        <w:sz w:val="16"/>
                        <w:szCs w:val="16"/>
                      </w:rPr>
                    </w:pPr>
                  </w:p>
                  <w:p w14:paraId="606729B3" w14:textId="77777777" w:rsidR="00665162" w:rsidRDefault="00665162" w:rsidP="00A8299F">
                    <w:pPr>
                      <w:ind w:right="-165"/>
                      <w:rPr>
                        <w:b/>
                        <w:bCs/>
                        <w:sz w:val="16"/>
                        <w:szCs w:val="16"/>
                      </w:rPr>
                    </w:pPr>
                    <w:r>
                      <w:rPr>
                        <w:b/>
                        <w:bCs/>
                        <w:sz w:val="20"/>
                        <w:szCs w:val="20"/>
                      </w:rPr>
                      <w:t>M</w:t>
                    </w:r>
                  </w:p>
                  <w:p w14:paraId="70B79B98" w14:textId="77777777" w:rsidR="00665162" w:rsidRDefault="00665162" w:rsidP="00A8299F">
                    <w:pPr>
                      <w:ind w:right="-165"/>
                      <w:rPr>
                        <w:b/>
                        <w:bCs/>
                        <w:sz w:val="10"/>
                        <w:szCs w:val="10"/>
                      </w:rPr>
                    </w:pPr>
                  </w:p>
                  <w:p w14:paraId="4ED9167F" w14:textId="77777777" w:rsidR="00665162" w:rsidRDefault="00665162" w:rsidP="00A8299F">
                    <w:pPr>
                      <w:ind w:right="-165"/>
                      <w:rPr>
                        <w:b/>
                        <w:bCs/>
                        <w:sz w:val="16"/>
                        <w:szCs w:val="16"/>
                      </w:rPr>
                    </w:pPr>
                  </w:p>
                  <w:p w14:paraId="7940DEC6" w14:textId="77777777" w:rsidR="00665162" w:rsidRDefault="00665162" w:rsidP="00A8299F">
                    <w:pPr>
                      <w:ind w:right="-165"/>
                      <w:rPr>
                        <w:b/>
                        <w:bCs/>
                        <w:sz w:val="16"/>
                        <w:szCs w:val="16"/>
                      </w:rPr>
                    </w:pPr>
                  </w:p>
                  <w:p w14:paraId="48AF4D90" w14:textId="77777777" w:rsidR="00665162" w:rsidRDefault="00665162" w:rsidP="00A8299F">
                    <w:pPr>
                      <w:ind w:right="-165"/>
                      <w:rPr>
                        <w:b/>
                        <w:bCs/>
                        <w:sz w:val="16"/>
                        <w:szCs w:val="16"/>
                      </w:rPr>
                    </w:pPr>
                    <w:r>
                      <w:rPr>
                        <w:b/>
                        <w:bCs/>
                        <w:sz w:val="20"/>
                        <w:szCs w:val="20"/>
                      </w:rPr>
                      <w:t>N</w:t>
                    </w:r>
                  </w:p>
                  <w:p w14:paraId="083F5C11" w14:textId="77777777" w:rsidR="00665162" w:rsidRDefault="00665162" w:rsidP="00A8299F">
                    <w:pPr>
                      <w:ind w:right="-165"/>
                      <w:rPr>
                        <w:b/>
                        <w:bCs/>
                        <w:sz w:val="10"/>
                        <w:szCs w:val="10"/>
                      </w:rPr>
                    </w:pPr>
                  </w:p>
                  <w:p w14:paraId="01BBA7FC" w14:textId="77777777" w:rsidR="00665162" w:rsidRDefault="00665162" w:rsidP="00A8299F">
                    <w:pPr>
                      <w:ind w:right="-165"/>
                      <w:rPr>
                        <w:b/>
                        <w:bCs/>
                        <w:sz w:val="16"/>
                        <w:szCs w:val="16"/>
                      </w:rPr>
                    </w:pPr>
                  </w:p>
                  <w:p w14:paraId="17281DAE" w14:textId="77777777" w:rsidR="00665162" w:rsidRDefault="00665162" w:rsidP="00A8299F">
                    <w:pPr>
                      <w:ind w:right="-165"/>
                      <w:rPr>
                        <w:b/>
                        <w:bCs/>
                        <w:sz w:val="16"/>
                        <w:szCs w:val="16"/>
                      </w:rPr>
                    </w:pPr>
                  </w:p>
                  <w:p w14:paraId="7907595A" w14:textId="77777777" w:rsidR="00665162" w:rsidRDefault="00665162" w:rsidP="00A8299F">
                    <w:pPr>
                      <w:ind w:right="-165"/>
                      <w:rPr>
                        <w:b/>
                        <w:bCs/>
                        <w:sz w:val="16"/>
                        <w:szCs w:val="16"/>
                      </w:rPr>
                    </w:pPr>
                    <w:r>
                      <w:rPr>
                        <w:b/>
                        <w:bCs/>
                        <w:sz w:val="20"/>
                        <w:szCs w:val="20"/>
                      </w:rPr>
                      <w:t>O</w:t>
                    </w:r>
                  </w:p>
                  <w:p w14:paraId="29FBCAEE" w14:textId="77777777" w:rsidR="00665162" w:rsidRDefault="00665162" w:rsidP="00A8299F">
                    <w:pPr>
                      <w:ind w:right="-165"/>
                      <w:rPr>
                        <w:b/>
                        <w:bCs/>
                        <w:sz w:val="10"/>
                        <w:szCs w:val="10"/>
                      </w:rPr>
                    </w:pPr>
                  </w:p>
                  <w:p w14:paraId="3BA4E267" w14:textId="77777777" w:rsidR="00665162" w:rsidRDefault="00665162" w:rsidP="00A8299F">
                    <w:pPr>
                      <w:ind w:right="-165"/>
                      <w:rPr>
                        <w:b/>
                        <w:bCs/>
                        <w:sz w:val="16"/>
                        <w:szCs w:val="16"/>
                      </w:rPr>
                    </w:pPr>
                  </w:p>
                  <w:p w14:paraId="3F8E705F" w14:textId="77777777" w:rsidR="00665162" w:rsidRDefault="00665162" w:rsidP="00A8299F">
                    <w:pPr>
                      <w:ind w:right="-165"/>
                      <w:rPr>
                        <w:b/>
                        <w:bCs/>
                        <w:sz w:val="16"/>
                        <w:szCs w:val="16"/>
                      </w:rPr>
                    </w:pPr>
                  </w:p>
                  <w:p w14:paraId="5679B604" w14:textId="77777777" w:rsidR="00665162" w:rsidRDefault="00665162" w:rsidP="00A8299F">
                    <w:pPr>
                      <w:ind w:right="-165"/>
                      <w:rPr>
                        <w:b/>
                        <w:bCs/>
                        <w:sz w:val="16"/>
                        <w:szCs w:val="16"/>
                      </w:rPr>
                    </w:pPr>
                    <w:r>
                      <w:rPr>
                        <w:b/>
                        <w:bCs/>
                        <w:sz w:val="20"/>
                        <w:szCs w:val="20"/>
                      </w:rPr>
                      <w:t>P</w:t>
                    </w:r>
                  </w:p>
                  <w:p w14:paraId="16489890" w14:textId="77777777" w:rsidR="00665162" w:rsidRDefault="00665162" w:rsidP="00A8299F">
                    <w:pPr>
                      <w:ind w:right="-165"/>
                      <w:rPr>
                        <w:b/>
                        <w:bCs/>
                        <w:sz w:val="10"/>
                        <w:szCs w:val="10"/>
                      </w:rPr>
                    </w:pPr>
                  </w:p>
                  <w:p w14:paraId="7A118F5F" w14:textId="77777777" w:rsidR="00665162" w:rsidRDefault="00665162" w:rsidP="00A8299F">
                    <w:pPr>
                      <w:ind w:right="-165"/>
                      <w:rPr>
                        <w:b/>
                        <w:bCs/>
                        <w:sz w:val="16"/>
                        <w:szCs w:val="16"/>
                      </w:rPr>
                    </w:pPr>
                  </w:p>
                  <w:p w14:paraId="0EB61F29" w14:textId="77777777" w:rsidR="00665162" w:rsidRDefault="00665162" w:rsidP="00A8299F">
                    <w:pPr>
                      <w:ind w:right="-165"/>
                      <w:rPr>
                        <w:b/>
                        <w:bCs/>
                        <w:sz w:val="16"/>
                        <w:szCs w:val="16"/>
                      </w:rPr>
                    </w:pPr>
                  </w:p>
                  <w:p w14:paraId="7BD60DE1" w14:textId="77777777" w:rsidR="00665162" w:rsidRDefault="00665162" w:rsidP="00A8299F">
                    <w:pPr>
                      <w:ind w:right="-165"/>
                      <w:rPr>
                        <w:b/>
                        <w:bCs/>
                        <w:sz w:val="16"/>
                        <w:szCs w:val="16"/>
                      </w:rPr>
                    </w:pPr>
                    <w:r>
                      <w:rPr>
                        <w:b/>
                        <w:bCs/>
                        <w:sz w:val="20"/>
                        <w:szCs w:val="20"/>
                      </w:rPr>
                      <w:t>Q</w:t>
                    </w:r>
                  </w:p>
                  <w:p w14:paraId="5DDF7476" w14:textId="77777777" w:rsidR="00665162" w:rsidRDefault="00665162" w:rsidP="00A8299F">
                    <w:pPr>
                      <w:ind w:right="-165"/>
                      <w:rPr>
                        <w:b/>
                        <w:bCs/>
                        <w:sz w:val="10"/>
                        <w:szCs w:val="10"/>
                      </w:rPr>
                    </w:pPr>
                  </w:p>
                  <w:p w14:paraId="6083B94B" w14:textId="77777777" w:rsidR="00665162" w:rsidRDefault="00665162" w:rsidP="00A8299F">
                    <w:pPr>
                      <w:ind w:right="-165"/>
                      <w:rPr>
                        <w:b/>
                        <w:bCs/>
                        <w:sz w:val="16"/>
                        <w:szCs w:val="16"/>
                      </w:rPr>
                    </w:pPr>
                  </w:p>
                  <w:p w14:paraId="386857B3" w14:textId="77777777" w:rsidR="00665162" w:rsidRDefault="00665162" w:rsidP="00A8299F">
                    <w:pPr>
                      <w:ind w:right="-165"/>
                      <w:rPr>
                        <w:b/>
                        <w:bCs/>
                        <w:sz w:val="16"/>
                        <w:szCs w:val="16"/>
                      </w:rPr>
                    </w:pPr>
                  </w:p>
                  <w:p w14:paraId="15F9459F" w14:textId="77777777" w:rsidR="00665162" w:rsidRDefault="00665162" w:rsidP="00A8299F">
                    <w:pPr>
                      <w:ind w:right="-165"/>
                      <w:rPr>
                        <w:b/>
                        <w:bCs/>
                        <w:sz w:val="16"/>
                        <w:szCs w:val="16"/>
                      </w:rPr>
                    </w:pPr>
                    <w:r>
                      <w:rPr>
                        <w:b/>
                        <w:bCs/>
                        <w:sz w:val="20"/>
                        <w:szCs w:val="20"/>
                      </w:rPr>
                      <w:t>R</w:t>
                    </w:r>
                  </w:p>
                  <w:p w14:paraId="16F0A534" w14:textId="77777777" w:rsidR="00665162" w:rsidRDefault="00665162" w:rsidP="00A8299F">
                    <w:pPr>
                      <w:ind w:right="-165"/>
                      <w:rPr>
                        <w:b/>
                        <w:bCs/>
                        <w:sz w:val="10"/>
                        <w:szCs w:val="10"/>
                      </w:rPr>
                    </w:pPr>
                  </w:p>
                  <w:p w14:paraId="28FE7776" w14:textId="77777777" w:rsidR="00665162" w:rsidRDefault="00665162" w:rsidP="00A8299F">
                    <w:pPr>
                      <w:ind w:right="-165"/>
                      <w:rPr>
                        <w:b/>
                        <w:bCs/>
                        <w:sz w:val="16"/>
                        <w:szCs w:val="16"/>
                      </w:rPr>
                    </w:pPr>
                  </w:p>
                  <w:p w14:paraId="4539ACDA" w14:textId="77777777" w:rsidR="00665162" w:rsidRDefault="00665162" w:rsidP="00A8299F">
                    <w:pPr>
                      <w:ind w:right="-165"/>
                      <w:rPr>
                        <w:b/>
                        <w:bCs/>
                        <w:sz w:val="16"/>
                        <w:szCs w:val="16"/>
                      </w:rPr>
                    </w:pPr>
                  </w:p>
                  <w:p w14:paraId="50A90FDF" w14:textId="77777777" w:rsidR="00665162" w:rsidRDefault="00665162" w:rsidP="00A8299F">
                    <w:pPr>
                      <w:ind w:right="-165"/>
                      <w:rPr>
                        <w:b/>
                        <w:bCs/>
                        <w:sz w:val="16"/>
                        <w:szCs w:val="16"/>
                      </w:rPr>
                    </w:pPr>
                    <w:r>
                      <w:rPr>
                        <w:b/>
                        <w:bCs/>
                        <w:sz w:val="20"/>
                        <w:szCs w:val="20"/>
                      </w:rPr>
                      <w:t>S</w:t>
                    </w:r>
                  </w:p>
                  <w:p w14:paraId="00D2AE57" w14:textId="77777777" w:rsidR="00665162" w:rsidRDefault="00665162" w:rsidP="00A8299F">
                    <w:pPr>
                      <w:ind w:right="-165"/>
                      <w:rPr>
                        <w:b/>
                        <w:bCs/>
                        <w:sz w:val="10"/>
                        <w:szCs w:val="10"/>
                      </w:rPr>
                    </w:pPr>
                  </w:p>
                  <w:p w14:paraId="2D76E84B" w14:textId="77777777" w:rsidR="00665162" w:rsidRDefault="00665162" w:rsidP="00A8299F">
                    <w:pPr>
                      <w:ind w:right="-165"/>
                      <w:rPr>
                        <w:b/>
                        <w:bCs/>
                        <w:sz w:val="16"/>
                        <w:szCs w:val="16"/>
                      </w:rPr>
                    </w:pPr>
                  </w:p>
                  <w:p w14:paraId="45BA50ED" w14:textId="77777777" w:rsidR="00665162" w:rsidRDefault="00665162" w:rsidP="00A8299F">
                    <w:pPr>
                      <w:ind w:right="-165"/>
                      <w:rPr>
                        <w:b/>
                        <w:bCs/>
                        <w:sz w:val="16"/>
                        <w:szCs w:val="16"/>
                      </w:rPr>
                    </w:pPr>
                  </w:p>
                  <w:p w14:paraId="17BF649C" w14:textId="77777777" w:rsidR="00665162" w:rsidRDefault="00665162" w:rsidP="00A8299F">
                    <w:pPr>
                      <w:ind w:right="-165"/>
                      <w:rPr>
                        <w:b/>
                        <w:bCs/>
                        <w:sz w:val="16"/>
                        <w:szCs w:val="16"/>
                      </w:rPr>
                    </w:pPr>
                    <w:r>
                      <w:rPr>
                        <w:b/>
                        <w:bCs/>
                        <w:sz w:val="20"/>
                        <w:szCs w:val="20"/>
                      </w:rPr>
                      <w:t>T</w:t>
                    </w:r>
                  </w:p>
                  <w:p w14:paraId="24838200" w14:textId="77777777" w:rsidR="00665162" w:rsidRDefault="00665162" w:rsidP="00A8299F">
                    <w:pPr>
                      <w:ind w:right="-165"/>
                      <w:rPr>
                        <w:b/>
                        <w:bCs/>
                        <w:sz w:val="10"/>
                        <w:szCs w:val="10"/>
                      </w:rPr>
                    </w:pPr>
                  </w:p>
                  <w:p w14:paraId="641EFEDB" w14:textId="77777777" w:rsidR="00665162" w:rsidRDefault="00665162" w:rsidP="00A8299F">
                    <w:pPr>
                      <w:ind w:right="-165"/>
                      <w:rPr>
                        <w:b/>
                        <w:bCs/>
                        <w:sz w:val="16"/>
                        <w:szCs w:val="16"/>
                      </w:rPr>
                    </w:pPr>
                  </w:p>
                  <w:p w14:paraId="142414FE" w14:textId="77777777" w:rsidR="00665162" w:rsidRDefault="00665162" w:rsidP="00A8299F">
                    <w:pPr>
                      <w:ind w:right="-165"/>
                      <w:rPr>
                        <w:b/>
                        <w:bCs/>
                        <w:sz w:val="16"/>
                        <w:szCs w:val="16"/>
                      </w:rPr>
                    </w:pPr>
                  </w:p>
                  <w:p w14:paraId="47460A4C" w14:textId="77777777" w:rsidR="00665162" w:rsidRDefault="00665162" w:rsidP="00A8299F">
                    <w:pPr>
                      <w:ind w:right="-165"/>
                      <w:rPr>
                        <w:b/>
                        <w:bCs/>
                        <w:sz w:val="16"/>
                        <w:szCs w:val="16"/>
                      </w:rPr>
                    </w:pPr>
                    <w:r>
                      <w:rPr>
                        <w:b/>
                        <w:bCs/>
                        <w:sz w:val="20"/>
                        <w:szCs w:val="20"/>
                      </w:rPr>
                      <w:t>U</w:t>
                    </w:r>
                  </w:p>
                  <w:p w14:paraId="6505DE06" w14:textId="77777777" w:rsidR="00665162" w:rsidRDefault="00665162" w:rsidP="00A8299F">
                    <w:pPr>
                      <w:ind w:right="-165"/>
                      <w:rPr>
                        <w:b/>
                        <w:bCs/>
                        <w:sz w:val="10"/>
                        <w:szCs w:val="10"/>
                      </w:rPr>
                    </w:pPr>
                  </w:p>
                  <w:p w14:paraId="2D2372E8" w14:textId="77777777" w:rsidR="00665162" w:rsidRDefault="00665162" w:rsidP="00A8299F">
                    <w:pPr>
                      <w:ind w:right="-165"/>
                      <w:rPr>
                        <w:b/>
                        <w:bCs/>
                        <w:sz w:val="16"/>
                        <w:szCs w:val="16"/>
                      </w:rPr>
                    </w:pPr>
                  </w:p>
                  <w:p w14:paraId="43FC093F" w14:textId="77777777" w:rsidR="00665162" w:rsidRDefault="00665162" w:rsidP="00A8299F">
                    <w:pPr>
                      <w:ind w:right="-165"/>
                      <w:rPr>
                        <w:b/>
                        <w:bCs/>
                        <w:sz w:val="16"/>
                        <w:szCs w:val="16"/>
                      </w:rPr>
                    </w:pPr>
                  </w:p>
                  <w:p w14:paraId="36FB7CFF" w14:textId="77777777" w:rsidR="00665162" w:rsidRDefault="00665162"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306E68">
      <w:rPr>
        <w:rStyle w:val="PageNumber"/>
        <w:noProof/>
        <w:sz w:val="28"/>
        <w:szCs w:val="28"/>
      </w:rPr>
      <w:t>20</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14:anchorId="2CD81116" wp14:editId="78143442">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774F3F" w14:textId="77777777" w:rsidR="00F445FF" w:rsidRDefault="00F445FF">
                          <w:pPr>
                            <w:rPr>
                              <w:b/>
                              <w:bCs/>
                              <w:sz w:val="20"/>
                              <w:szCs w:val="20"/>
                            </w:rPr>
                          </w:pPr>
                          <w:r>
                            <w:rPr>
                              <w:b/>
                              <w:bCs/>
                              <w:sz w:val="20"/>
                              <w:szCs w:val="20"/>
                            </w:rPr>
                            <w:t>A</w:t>
                          </w:r>
                        </w:p>
                        <w:p w14:paraId="6728078A" w14:textId="77777777" w:rsidR="00F445FF" w:rsidRDefault="00F445FF">
                          <w:pPr>
                            <w:rPr>
                              <w:b/>
                              <w:bCs/>
                              <w:sz w:val="10"/>
                              <w:szCs w:val="10"/>
                            </w:rPr>
                          </w:pPr>
                        </w:p>
                        <w:p w14:paraId="05B6294E" w14:textId="77777777" w:rsidR="00F445FF" w:rsidRDefault="00F445FF">
                          <w:pPr>
                            <w:rPr>
                              <w:b/>
                              <w:bCs/>
                              <w:sz w:val="16"/>
                              <w:szCs w:val="16"/>
                            </w:rPr>
                          </w:pPr>
                        </w:p>
                        <w:p w14:paraId="385B4597" w14:textId="77777777" w:rsidR="00F445FF" w:rsidRDefault="00F445FF">
                          <w:pPr>
                            <w:rPr>
                              <w:b/>
                              <w:bCs/>
                              <w:sz w:val="16"/>
                              <w:szCs w:val="16"/>
                            </w:rPr>
                          </w:pPr>
                        </w:p>
                        <w:p w14:paraId="20898ACC" w14:textId="77777777" w:rsidR="00F445FF" w:rsidRDefault="00F445FF">
                          <w:pPr>
                            <w:rPr>
                              <w:b/>
                              <w:bCs/>
                              <w:sz w:val="20"/>
                              <w:szCs w:val="20"/>
                            </w:rPr>
                          </w:pPr>
                          <w:r>
                            <w:rPr>
                              <w:b/>
                              <w:bCs/>
                              <w:sz w:val="20"/>
                              <w:szCs w:val="20"/>
                            </w:rPr>
                            <w:t>B</w:t>
                          </w:r>
                        </w:p>
                        <w:p w14:paraId="579E7EE3" w14:textId="77777777" w:rsidR="00F445FF" w:rsidRDefault="00F445FF">
                          <w:pPr>
                            <w:rPr>
                              <w:b/>
                              <w:bCs/>
                              <w:sz w:val="10"/>
                              <w:szCs w:val="10"/>
                            </w:rPr>
                          </w:pPr>
                        </w:p>
                        <w:p w14:paraId="7676AEF1" w14:textId="77777777" w:rsidR="00F445FF" w:rsidRDefault="00F445FF">
                          <w:pPr>
                            <w:rPr>
                              <w:b/>
                              <w:bCs/>
                              <w:sz w:val="16"/>
                              <w:szCs w:val="16"/>
                            </w:rPr>
                          </w:pPr>
                        </w:p>
                        <w:p w14:paraId="422243A5" w14:textId="77777777" w:rsidR="00F445FF" w:rsidRDefault="00F445FF">
                          <w:pPr>
                            <w:rPr>
                              <w:b/>
                              <w:bCs/>
                              <w:sz w:val="16"/>
                              <w:szCs w:val="16"/>
                            </w:rPr>
                          </w:pPr>
                        </w:p>
                        <w:p w14:paraId="3789E097" w14:textId="77777777" w:rsidR="00F445FF" w:rsidRDefault="00F445FF">
                          <w:pPr>
                            <w:rPr>
                              <w:b/>
                              <w:bCs/>
                              <w:sz w:val="16"/>
                              <w:szCs w:val="16"/>
                            </w:rPr>
                          </w:pPr>
                          <w:r>
                            <w:rPr>
                              <w:b/>
                              <w:bCs/>
                              <w:sz w:val="20"/>
                              <w:szCs w:val="20"/>
                            </w:rPr>
                            <w:t>C</w:t>
                          </w:r>
                        </w:p>
                        <w:p w14:paraId="3F79DDEB" w14:textId="77777777" w:rsidR="00F445FF" w:rsidRDefault="00F445FF">
                          <w:pPr>
                            <w:rPr>
                              <w:b/>
                              <w:bCs/>
                              <w:sz w:val="10"/>
                              <w:szCs w:val="10"/>
                            </w:rPr>
                          </w:pPr>
                        </w:p>
                        <w:p w14:paraId="41434AC6" w14:textId="77777777" w:rsidR="00F445FF" w:rsidRDefault="00F445FF">
                          <w:pPr>
                            <w:rPr>
                              <w:b/>
                              <w:bCs/>
                              <w:sz w:val="16"/>
                              <w:szCs w:val="16"/>
                            </w:rPr>
                          </w:pPr>
                        </w:p>
                        <w:p w14:paraId="4D9875EE" w14:textId="77777777" w:rsidR="00F445FF" w:rsidRDefault="00F445FF">
                          <w:pPr>
                            <w:rPr>
                              <w:b/>
                              <w:bCs/>
                              <w:sz w:val="16"/>
                              <w:szCs w:val="16"/>
                            </w:rPr>
                          </w:pPr>
                        </w:p>
                        <w:p w14:paraId="6CF109CB" w14:textId="77777777" w:rsidR="00F445FF" w:rsidRDefault="00F445FF">
                          <w:pPr>
                            <w:pStyle w:val="Heading2"/>
                            <w:rPr>
                              <w:sz w:val="16"/>
                              <w:szCs w:val="16"/>
                            </w:rPr>
                          </w:pPr>
                          <w:r>
                            <w:t>D</w:t>
                          </w:r>
                        </w:p>
                        <w:p w14:paraId="7611A4E2" w14:textId="77777777" w:rsidR="00F445FF" w:rsidRDefault="00F445FF">
                          <w:pPr>
                            <w:rPr>
                              <w:b/>
                              <w:bCs/>
                              <w:sz w:val="10"/>
                              <w:szCs w:val="10"/>
                            </w:rPr>
                          </w:pPr>
                        </w:p>
                        <w:p w14:paraId="1DEF60EC" w14:textId="77777777" w:rsidR="00F445FF" w:rsidRDefault="00F445FF">
                          <w:pPr>
                            <w:rPr>
                              <w:b/>
                              <w:bCs/>
                              <w:sz w:val="16"/>
                              <w:szCs w:val="16"/>
                            </w:rPr>
                          </w:pPr>
                        </w:p>
                        <w:p w14:paraId="03660A17" w14:textId="77777777" w:rsidR="00F445FF" w:rsidRDefault="00F445FF">
                          <w:pPr>
                            <w:rPr>
                              <w:b/>
                              <w:bCs/>
                              <w:sz w:val="16"/>
                              <w:szCs w:val="16"/>
                            </w:rPr>
                          </w:pPr>
                        </w:p>
                        <w:p w14:paraId="7C9DCB59" w14:textId="77777777" w:rsidR="00F445FF" w:rsidRDefault="00F445FF">
                          <w:pPr>
                            <w:rPr>
                              <w:b/>
                              <w:bCs/>
                              <w:sz w:val="16"/>
                              <w:szCs w:val="16"/>
                            </w:rPr>
                          </w:pPr>
                          <w:r>
                            <w:rPr>
                              <w:b/>
                              <w:bCs/>
                              <w:sz w:val="20"/>
                              <w:szCs w:val="20"/>
                            </w:rPr>
                            <w:t>E</w:t>
                          </w:r>
                        </w:p>
                        <w:p w14:paraId="4C8F21F9" w14:textId="77777777" w:rsidR="00F445FF" w:rsidRDefault="00F445FF">
                          <w:pPr>
                            <w:rPr>
                              <w:b/>
                              <w:bCs/>
                              <w:sz w:val="10"/>
                              <w:szCs w:val="10"/>
                            </w:rPr>
                          </w:pPr>
                        </w:p>
                        <w:p w14:paraId="2A17250D" w14:textId="77777777" w:rsidR="00F445FF" w:rsidRDefault="00F445FF">
                          <w:pPr>
                            <w:rPr>
                              <w:b/>
                              <w:bCs/>
                              <w:sz w:val="16"/>
                              <w:szCs w:val="16"/>
                            </w:rPr>
                          </w:pPr>
                        </w:p>
                        <w:p w14:paraId="54F52429" w14:textId="77777777" w:rsidR="00F445FF" w:rsidRDefault="00F445FF">
                          <w:pPr>
                            <w:rPr>
                              <w:b/>
                              <w:bCs/>
                              <w:sz w:val="16"/>
                              <w:szCs w:val="16"/>
                            </w:rPr>
                          </w:pPr>
                        </w:p>
                        <w:p w14:paraId="5B791AD3" w14:textId="77777777" w:rsidR="00F445FF" w:rsidRDefault="00F445FF">
                          <w:pPr>
                            <w:rPr>
                              <w:b/>
                              <w:bCs/>
                              <w:sz w:val="20"/>
                              <w:szCs w:val="20"/>
                            </w:rPr>
                          </w:pPr>
                          <w:r>
                            <w:rPr>
                              <w:b/>
                              <w:bCs/>
                              <w:sz w:val="20"/>
                              <w:szCs w:val="20"/>
                            </w:rPr>
                            <w:t>F</w:t>
                          </w:r>
                        </w:p>
                        <w:p w14:paraId="5006FA00" w14:textId="77777777" w:rsidR="00F445FF" w:rsidRDefault="00F445FF">
                          <w:pPr>
                            <w:rPr>
                              <w:b/>
                              <w:bCs/>
                              <w:sz w:val="10"/>
                              <w:szCs w:val="10"/>
                            </w:rPr>
                          </w:pPr>
                        </w:p>
                        <w:p w14:paraId="36B1BAAD" w14:textId="77777777" w:rsidR="00F445FF" w:rsidRDefault="00F445FF">
                          <w:pPr>
                            <w:rPr>
                              <w:b/>
                              <w:bCs/>
                              <w:sz w:val="16"/>
                              <w:szCs w:val="16"/>
                            </w:rPr>
                          </w:pPr>
                        </w:p>
                        <w:p w14:paraId="5B534F2B" w14:textId="77777777" w:rsidR="00F445FF" w:rsidRDefault="00F445FF">
                          <w:pPr>
                            <w:rPr>
                              <w:b/>
                              <w:bCs/>
                              <w:sz w:val="16"/>
                              <w:szCs w:val="16"/>
                            </w:rPr>
                          </w:pPr>
                        </w:p>
                        <w:p w14:paraId="26111A09" w14:textId="77777777" w:rsidR="00F445FF" w:rsidRDefault="00F445FF">
                          <w:pPr>
                            <w:rPr>
                              <w:b/>
                              <w:bCs/>
                              <w:sz w:val="16"/>
                              <w:szCs w:val="16"/>
                            </w:rPr>
                          </w:pPr>
                          <w:r>
                            <w:rPr>
                              <w:b/>
                              <w:bCs/>
                              <w:sz w:val="20"/>
                              <w:szCs w:val="20"/>
                            </w:rPr>
                            <w:t>G</w:t>
                          </w:r>
                        </w:p>
                        <w:p w14:paraId="792096F2" w14:textId="77777777" w:rsidR="00F445FF" w:rsidRDefault="00F445FF">
                          <w:pPr>
                            <w:rPr>
                              <w:b/>
                              <w:bCs/>
                              <w:sz w:val="10"/>
                              <w:szCs w:val="10"/>
                            </w:rPr>
                          </w:pPr>
                        </w:p>
                        <w:p w14:paraId="724BAD49" w14:textId="77777777" w:rsidR="00F445FF" w:rsidRDefault="00F445FF">
                          <w:pPr>
                            <w:rPr>
                              <w:b/>
                              <w:bCs/>
                              <w:sz w:val="16"/>
                              <w:szCs w:val="16"/>
                            </w:rPr>
                          </w:pPr>
                        </w:p>
                        <w:p w14:paraId="5C43AE99" w14:textId="77777777" w:rsidR="00F445FF" w:rsidRDefault="00F445FF">
                          <w:pPr>
                            <w:rPr>
                              <w:b/>
                              <w:bCs/>
                              <w:sz w:val="16"/>
                              <w:szCs w:val="16"/>
                            </w:rPr>
                          </w:pPr>
                        </w:p>
                        <w:p w14:paraId="2B8DFEC5" w14:textId="77777777" w:rsidR="00F445FF" w:rsidRDefault="00F445FF">
                          <w:pPr>
                            <w:rPr>
                              <w:b/>
                              <w:bCs/>
                              <w:sz w:val="16"/>
                              <w:szCs w:val="16"/>
                            </w:rPr>
                          </w:pPr>
                          <w:r>
                            <w:rPr>
                              <w:b/>
                              <w:bCs/>
                              <w:sz w:val="20"/>
                              <w:szCs w:val="20"/>
                            </w:rPr>
                            <w:t>H</w:t>
                          </w:r>
                        </w:p>
                        <w:p w14:paraId="0173A795" w14:textId="77777777" w:rsidR="00F445FF" w:rsidRDefault="00F445FF">
                          <w:pPr>
                            <w:rPr>
                              <w:b/>
                              <w:bCs/>
                              <w:sz w:val="10"/>
                              <w:szCs w:val="10"/>
                            </w:rPr>
                          </w:pPr>
                        </w:p>
                        <w:p w14:paraId="4CF0B4B4" w14:textId="77777777" w:rsidR="00F445FF" w:rsidRDefault="00F445FF">
                          <w:pPr>
                            <w:rPr>
                              <w:b/>
                              <w:bCs/>
                              <w:sz w:val="16"/>
                              <w:szCs w:val="16"/>
                            </w:rPr>
                          </w:pPr>
                        </w:p>
                        <w:p w14:paraId="4951325C" w14:textId="77777777" w:rsidR="00F445FF" w:rsidRDefault="00F445FF">
                          <w:pPr>
                            <w:rPr>
                              <w:b/>
                              <w:bCs/>
                              <w:sz w:val="16"/>
                              <w:szCs w:val="16"/>
                            </w:rPr>
                          </w:pPr>
                        </w:p>
                        <w:p w14:paraId="4B05D7FA" w14:textId="77777777" w:rsidR="00F445FF" w:rsidRDefault="00F445FF">
                          <w:pPr>
                            <w:rPr>
                              <w:b/>
                              <w:bCs/>
                              <w:sz w:val="16"/>
                              <w:szCs w:val="16"/>
                            </w:rPr>
                          </w:pPr>
                          <w:r>
                            <w:rPr>
                              <w:b/>
                              <w:bCs/>
                              <w:sz w:val="20"/>
                              <w:szCs w:val="20"/>
                            </w:rPr>
                            <w:t>I</w:t>
                          </w:r>
                        </w:p>
                        <w:p w14:paraId="3A3B6285" w14:textId="77777777" w:rsidR="00F445FF" w:rsidRDefault="00F445FF">
                          <w:pPr>
                            <w:rPr>
                              <w:b/>
                              <w:bCs/>
                              <w:sz w:val="10"/>
                              <w:szCs w:val="10"/>
                            </w:rPr>
                          </w:pPr>
                        </w:p>
                        <w:p w14:paraId="133F53D9" w14:textId="77777777" w:rsidR="00F445FF" w:rsidRDefault="00F445FF">
                          <w:pPr>
                            <w:rPr>
                              <w:b/>
                              <w:bCs/>
                              <w:sz w:val="16"/>
                              <w:szCs w:val="16"/>
                            </w:rPr>
                          </w:pPr>
                        </w:p>
                        <w:p w14:paraId="7F8062E7" w14:textId="77777777" w:rsidR="00F445FF" w:rsidRDefault="00F445FF">
                          <w:pPr>
                            <w:rPr>
                              <w:b/>
                              <w:bCs/>
                              <w:sz w:val="16"/>
                              <w:szCs w:val="16"/>
                            </w:rPr>
                          </w:pPr>
                        </w:p>
                        <w:p w14:paraId="7B5F2529" w14:textId="77777777" w:rsidR="00F445FF" w:rsidRDefault="00F445FF">
                          <w:pPr>
                            <w:rPr>
                              <w:b/>
                              <w:bCs/>
                              <w:sz w:val="16"/>
                              <w:szCs w:val="16"/>
                            </w:rPr>
                          </w:pPr>
                          <w:r>
                            <w:rPr>
                              <w:b/>
                              <w:bCs/>
                              <w:sz w:val="20"/>
                              <w:szCs w:val="20"/>
                            </w:rPr>
                            <w:t>J</w:t>
                          </w:r>
                        </w:p>
                        <w:p w14:paraId="0C218FCE" w14:textId="77777777" w:rsidR="00F445FF" w:rsidRDefault="00F445FF">
                          <w:pPr>
                            <w:rPr>
                              <w:b/>
                              <w:bCs/>
                              <w:sz w:val="10"/>
                              <w:szCs w:val="10"/>
                            </w:rPr>
                          </w:pPr>
                        </w:p>
                        <w:p w14:paraId="7E9699B0" w14:textId="77777777" w:rsidR="00F445FF" w:rsidRDefault="00F445FF">
                          <w:pPr>
                            <w:rPr>
                              <w:b/>
                              <w:bCs/>
                              <w:sz w:val="16"/>
                              <w:szCs w:val="16"/>
                            </w:rPr>
                          </w:pPr>
                        </w:p>
                        <w:p w14:paraId="7292FC8E" w14:textId="77777777" w:rsidR="00F445FF" w:rsidRDefault="00F445FF">
                          <w:pPr>
                            <w:rPr>
                              <w:b/>
                              <w:bCs/>
                              <w:sz w:val="16"/>
                              <w:szCs w:val="16"/>
                            </w:rPr>
                          </w:pPr>
                        </w:p>
                        <w:p w14:paraId="0BEFCB1A" w14:textId="77777777" w:rsidR="00F445FF" w:rsidRDefault="00F445FF">
                          <w:pPr>
                            <w:rPr>
                              <w:b/>
                              <w:bCs/>
                              <w:sz w:val="16"/>
                              <w:szCs w:val="16"/>
                            </w:rPr>
                          </w:pPr>
                          <w:r>
                            <w:rPr>
                              <w:b/>
                              <w:bCs/>
                              <w:sz w:val="20"/>
                              <w:szCs w:val="20"/>
                            </w:rPr>
                            <w:t>K</w:t>
                          </w:r>
                        </w:p>
                        <w:p w14:paraId="094F4D23" w14:textId="77777777" w:rsidR="00F445FF" w:rsidRDefault="00F445FF">
                          <w:pPr>
                            <w:rPr>
                              <w:b/>
                              <w:bCs/>
                              <w:sz w:val="10"/>
                              <w:szCs w:val="10"/>
                            </w:rPr>
                          </w:pPr>
                        </w:p>
                        <w:p w14:paraId="424EDD08" w14:textId="77777777" w:rsidR="00F445FF" w:rsidRDefault="00F445FF">
                          <w:pPr>
                            <w:rPr>
                              <w:b/>
                              <w:bCs/>
                              <w:sz w:val="16"/>
                              <w:szCs w:val="16"/>
                            </w:rPr>
                          </w:pPr>
                        </w:p>
                        <w:p w14:paraId="668240EA" w14:textId="77777777" w:rsidR="00F445FF" w:rsidRDefault="00F445FF">
                          <w:pPr>
                            <w:rPr>
                              <w:b/>
                              <w:bCs/>
                              <w:sz w:val="16"/>
                              <w:szCs w:val="16"/>
                            </w:rPr>
                          </w:pPr>
                        </w:p>
                        <w:p w14:paraId="2E013603" w14:textId="77777777" w:rsidR="00F445FF" w:rsidRDefault="00F445FF">
                          <w:pPr>
                            <w:rPr>
                              <w:b/>
                              <w:bCs/>
                              <w:sz w:val="16"/>
                              <w:szCs w:val="16"/>
                            </w:rPr>
                          </w:pPr>
                          <w:r>
                            <w:rPr>
                              <w:b/>
                              <w:bCs/>
                              <w:sz w:val="20"/>
                              <w:szCs w:val="20"/>
                            </w:rPr>
                            <w:t>L</w:t>
                          </w:r>
                        </w:p>
                        <w:p w14:paraId="7F81E53B" w14:textId="77777777" w:rsidR="00F445FF" w:rsidRDefault="00F445FF">
                          <w:pPr>
                            <w:rPr>
                              <w:b/>
                              <w:bCs/>
                              <w:sz w:val="10"/>
                              <w:szCs w:val="10"/>
                            </w:rPr>
                          </w:pPr>
                        </w:p>
                        <w:p w14:paraId="354407F6" w14:textId="77777777" w:rsidR="00F445FF" w:rsidRDefault="00F445FF">
                          <w:pPr>
                            <w:rPr>
                              <w:b/>
                              <w:bCs/>
                              <w:sz w:val="16"/>
                              <w:szCs w:val="16"/>
                            </w:rPr>
                          </w:pPr>
                        </w:p>
                        <w:p w14:paraId="0DF24834" w14:textId="77777777" w:rsidR="00F445FF" w:rsidRDefault="00F445FF">
                          <w:pPr>
                            <w:rPr>
                              <w:b/>
                              <w:bCs/>
                              <w:sz w:val="16"/>
                              <w:szCs w:val="16"/>
                            </w:rPr>
                          </w:pPr>
                        </w:p>
                        <w:p w14:paraId="22C8B295" w14:textId="77777777" w:rsidR="00F445FF" w:rsidRDefault="00F445FF">
                          <w:pPr>
                            <w:rPr>
                              <w:b/>
                              <w:bCs/>
                              <w:sz w:val="16"/>
                              <w:szCs w:val="16"/>
                            </w:rPr>
                          </w:pPr>
                          <w:r>
                            <w:rPr>
                              <w:b/>
                              <w:bCs/>
                              <w:sz w:val="20"/>
                              <w:szCs w:val="20"/>
                            </w:rPr>
                            <w:t>M</w:t>
                          </w:r>
                        </w:p>
                        <w:p w14:paraId="0877C0BE" w14:textId="77777777" w:rsidR="00F445FF" w:rsidRDefault="00F445FF">
                          <w:pPr>
                            <w:rPr>
                              <w:b/>
                              <w:bCs/>
                              <w:sz w:val="10"/>
                              <w:szCs w:val="10"/>
                            </w:rPr>
                          </w:pPr>
                        </w:p>
                        <w:p w14:paraId="7529FEDB" w14:textId="77777777" w:rsidR="00F445FF" w:rsidRDefault="00F445FF">
                          <w:pPr>
                            <w:rPr>
                              <w:b/>
                              <w:bCs/>
                              <w:sz w:val="16"/>
                              <w:szCs w:val="16"/>
                            </w:rPr>
                          </w:pPr>
                        </w:p>
                        <w:p w14:paraId="6722FC7C" w14:textId="77777777" w:rsidR="00F445FF" w:rsidRDefault="00F445FF">
                          <w:pPr>
                            <w:rPr>
                              <w:b/>
                              <w:bCs/>
                              <w:sz w:val="16"/>
                              <w:szCs w:val="16"/>
                            </w:rPr>
                          </w:pPr>
                        </w:p>
                        <w:p w14:paraId="443D14A9" w14:textId="77777777" w:rsidR="00F445FF" w:rsidRDefault="00F445FF">
                          <w:pPr>
                            <w:rPr>
                              <w:b/>
                              <w:bCs/>
                              <w:sz w:val="16"/>
                              <w:szCs w:val="16"/>
                            </w:rPr>
                          </w:pPr>
                          <w:r>
                            <w:rPr>
                              <w:b/>
                              <w:bCs/>
                              <w:sz w:val="20"/>
                              <w:szCs w:val="20"/>
                            </w:rPr>
                            <w:t>N</w:t>
                          </w:r>
                        </w:p>
                        <w:p w14:paraId="764E7BA5" w14:textId="77777777" w:rsidR="00F445FF" w:rsidRDefault="00F445FF">
                          <w:pPr>
                            <w:rPr>
                              <w:b/>
                              <w:bCs/>
                              <w:sz w:val="10"/>
                              <w:szCs w:val="10"/>
                            </w:rPr>
                          </w:pPr>
                        </w:p>
                        <w:p w14:paraId="3BEA6A7E" w14:textId="77777777" w:rsidR="00F445FF" w:rsidRDefault="00F445FF">
                          <w:pPr>
                            <w:rPr>
                              <w:b/>
                              <w:bCs/>
                              <w:sz w:val="16"/>
                              <w:szCs w:val="16"/>
                            </w:rPr>
                          </w:pPr>
                        </w:p>
                        <w:p w14:paraId="2B043FDD" w14:textId="77777777" w:rsidR="00F445FF" w:rsidRDefault="00F445FF">
                          <w:pPr>
                            <w:rPr>
                              <w:b/>
                              <w:bCs/>
                              <w:sz w:val="16"/>
                              <w:szCs w:val="16"/>
                            </w:rPr>
                          </w:pPr>
                        </w:p>
                        <w:p w14:paraId="5D12BDD3" w14:textId="77777777" w:rsidR="00F445FF" w:rsidRDefault="00F445FF">
                          <w:pPr>
                            <w:rPr>
                              <w:b/>
                              <w:bCs/>
                              <w:sz w:val="16"/>
                              <w:szCs w:val="16"/>
                            </w:rPr>
                          </w:pPr>
                          <w:r>
                            <w:rPr>
                              <w:b/>
                              <w:bCs/>
                              <w:sz w:val="20"/>
                              <w:szCs w:val="20"/>
                            </w:rPr>
                            <w:t>O</w:t>
                          </w:r>
                        </w:p>
                        <w:p w14:paraId="33093EDD" w14:textId="77777777" w:rsidR="00F445FF" w:rsidRDefault="00F445FF">
                          <w:pPr>
                            <w:rPr>
                              <w:b/>
                              <w:bCs/>
                              <w:sz w:val="10"/>
                              <w:szCs w:val="10"/>
                            </w:rPr>
                          </w:pPr>
                        </w:p>
                        <w:p w14:paraId="04BD7DC1" w14:textId="77777777" w:rsidR="00F445FF" w:rsidRDefault="00F445FF">
                          <w:pPr>
                            <w:rPr>
                              <w:b/>
                              <w:bCs/>
                              <w:sz w:val="16"/>
                              <w:szCs w:val="16"/>
                            </w:rPr>
                          </w:pPr>
                        </w:p>
                        <w:p w14:paraId="748E03F1" w14:textId="77777777" w:rsidR="00F445FF" w:rsidRDefault="00F445FF">
                          <w:pPr>
                            <w:rPr>
                              <w:b/>
                              <w:bCs/>
                              <w:sz w:val="16"/>
                              <w:szCs w:val="16"/>
                            </w:rPr>
                          </w:pPr>
                        </w:p>
                        <w:p w14:paraId="073A228D" w14:textId="77777777" w:rsidR="00F445FF" w:rsidRDefault="00F445FF">
                          <w:pPr>
                            <w:rPr>
                              <w:b/>
                              <w:bCs/>
                              <w:sz w:val="16"/>
                              <w:szCs w:val="16"/>
                            </w:rPr>
                          </w:pPr>
                          <w:r>
                            <w:rPr>
                              <w:b/>
                              <w:bCs/>
                              <w:sz w:val="20"/>
                              <w:szCs w:val="20"/>
                            </w:rPr>
                            <w:t>P</w:t>
                          </w:r>
                        </w:p>
                        <w:p w14:paraId="5C4C2136" w14:textId="77777777" w:rsidR="00F445FF" w:rsidRDefault="00F445FF">
                          <w:pPr>
                            <w:rPr>
                              <w:b/>
                              <w:bCs/>
                              <w:sz w:val="10"/>
                              <w:szCs w:val="10"/>
                            </w:rPr>
                          </w:pPr>
                        </w:p>
                        <w:p w14:paraId="6FA2F1FA" w14:textId="77777777" w:rsidR="00F445FF" w:rsidRDefault="00F445FF">
                          <w:pPr>
                            <w:rPr>
                              <w:b/>
                              <w:bCs/>
                              <w:sz w:val="16"/>
                              <w:szCs w:val="16"/>
                            </w:rPr>
                          </w:pPr>
                        </w:p>
                        <w:p w14:paraId="5929EA19" w14:textId="77777777" w:rsidR="00F445FF" w:rsidRDefault="00F445FF">
                          <w:pPr>
                            <w:rPr>
                              <w:b/>
                              <w:bCs/>
                              <w:sz w:val="16"/>
                              <w:szCs w:val="16"/>
                            </w:rPr>
                          </w:pPr>
                        </w:p>
                        <w:p w14:paraId="380698AD" w14:textId="77777777" w:rsidR="00F445FF" w:rsidRDefault="00F445FF">
                          <w:pPr>
                            <w:rPr>
                              <w:b/>
                              <w:bCs/>
                              <w:sz w:val="16"/>
                              <w:szCs w:val="16"/>
                            </w:rPr>
                          </w:pPr>
                          <w:r>
                            <w:rPr>
                              <w:b/>
                              <w:bCs/>
                              <w:sz w:val="20"/>
                              <w:szCs w:val="20"/>
                            </w:rPr>
                            <w:t>Q</w:t>
                          </w:r>
                        </w:p>
                        <w:p w14:paraId="701BE549" w14:textId="77777777" w:rsidR="00F445FF" w:rsidRDefault="00F445FF">
                          <w:pPr>
                            <w:rPr>
                              <w:b/>
                              <w:bCs/>
                              <w:sz w:val="10"/>
                              <w:szCs w:val="10"/>
                            </w:rPr>
                          </w:pPr>
                        </w:p>
                        <w:p w14:paraId="79380373" w14:textId="77777777" w:rsidR="00F445FF" w:rsidRDefault="00F445FF">
                          <w:pPr>
                            <w:rPr>
                              <w:b/>
                              <w:bCs/>
                              <w:sz w:val="16"/>
                              <w:szCs w:val="16"/>
                            </w:rPr>
                          </w:pPr>
                        </w:p>
                        <w:p w14:paraId="74E93C33" w14:textId="77777777" w:rsidR="00F445FF" w:rsidRDefault="00F445FF">
                          <w:pPr>
                            <w:rPr>
                              <w:b/>
                              <w:bCs/>
                              <w:sz w:val="16"/>
                              <w:szCs w:val="16"/>
                            </w:rPr>
                          </w:pPr>
                        </w:p>
                        <w:p w14:paraId="32B7603F" w14:textId="77777777" w:rsidR="00F445FF" w:rsidRDefault="00F445FF">
                          <w:pPr>
                            <w:rPr>
                              <w:b/>
                              <w:bCs/>
                              <w:sz w:val="16"/>
                              <w:szCs w:val="16"/>
                            </w:rPr>
                          </w:pPr>
                          <w:r>
                            <w:rPr>
                              <w:b/>
                              <w:bCs/>
                              <w:sz w:val="20"/>
                              <w:szCs w:val="20"/>
                            </w:rPr>
                            <w:t>R</w:t>
                          </w:r>
                        </w:p>
                        <w:p w14:paraId="3FF42422" w14:textId="77777777" w:rsidR="00F445FF" w:rsidRDefault="00F445FF">
                          <w:pPr>
                            <w:rPr>
                              <w:b/>
                              <w:bCs/>
                              <w:sz w:val="10"/>
                              <w:szCs w:val="10"/>
                            </w:rPr>
                          </w:pPr>
                        </w:p>
                        <w:p w14:paraId="141AFEA0" w14:textId="77777777" w:rsidR="00F445FF" w:rsidRDefault="00F445FF">
                          <w:pPr>
                            <w:rPr>
                              <w:b/>
                              <w:bCs/>
                              <w:sz w:val="16"/>
                              <w:szCs w:val="16"/>
                            </w:rPr>
                          </w:pPr>
                        </w:p>
                        <w:p w14:paraId="6AA70488" w14:textId="77777777" w:rsidR="00F445FF" w:rsidRDefault="00F445FF">
                          <w:pPr>
                            <w:rPr>
                              <w:b/>
                              <w:bCs/>
                              <w:sz w:val="16"/>
                              <w:szCs w:val="16"/>
                            </w:rPr>
                          </w:pPr>
                        </w:p>
                        <w:p w14:paraId="2465CF64" w14:textId="77777777" w:rsidR="00F445FF" w:rsidRDefault="00F445FF">
                          <w:pPr>
                            <w:rPr>
                              <w:b/>
                              <w:bCs/>
                              <w:sz w:val="16"/>
                              <w:szCs w:val="16"/>
                            </w:rPr>
                          </w:pPr>
                          <w:r>
                            <w:rPr>
                              <w:b/>
                              <w:bCs/>
                              <w:sz w:val="20"/>
                              <w:szCs w:val="20"/>
                            </w:rPr>
                            <w:t>S</w:t>
                          </w:r>
                        </w:p>
                        <w:p w14:paraId="70D1FE13" w14:textId="77777777" w:rsidR="00F445FF" w:rsidRDefault="00F445FF">
                          <w:pPr>
                            <w:rPr>
                              <w:b/>
                              <w:bCs/>
                              <w:sz w:val="10"/>
                              <w:szCs w:val="10"/>
                            </w:rPr>
                          </w:pPr>
                        </w:p>
                        <w:p w14:paraId="430D1B6F" w14:textId="77777777" w:rsidR="00F445FF" w:rsidRDefault="00F445FF">
                          <w:pPr>
                            <w:rPr>
                              <w:b/>
                              <w:bCs/>
                              <w:sz w:val="16"/>
                              <w:szCs w:val="16"/>
                            </w:rPr>
                          </w:pPr>
                        </w:p>
                        <w:p w14:paraId="68E246F7" w14:textId="77777777" w:rsidR="00F445FF" w:rsidRDefault="00F445FF">
                          <w:pPr>
                            <w:rPr>
                              <w:b/>
                              <w:bCs/>
                              <w:sz w:val="16"/>
                              <w:szCs w:val="16"/>
                            </w:rPr>
                          </w:pPr>
                        </w:p>
                        <w:p w14:paraId="4BC9632C" w14:textId="77777777" w:rsidR="00F445FF" w:rsidRDefault="00F445FF">
                          <w:pPr>
                            <w:rPr>
                              <w:b/>
                              <w:bCs/>
                              <w:sz w:val="16"/>
                              <w:szCs w:val="16"/>
                            </w:rPr>
                          </w:pPr>
                          <w:r>
                            <w:rPr>
                              <w:b/>
                              <w:bCs/>
                              <w:sz w:val="20"/>
                              <w:szCs w:val="20"/>
                            </w:rPr>
                            <w:t>T</w:t>
                          </w:r>
                        </w:p>
                        <w:p w14:paraId="07EE68FA" w14:textId="77777777" w:rsidR="00F445FF" w:rsidRDefault="00F445FF">
                          <w:pPr>
                            <w:rPr>
                              <w:b/>
                              <w:bCs/>
                              <w:sz w:val="10"/>
                              <w:szCs w:val="10"/>
                            </w:rPr>
                          </w:pPr>
                        </w:p>
                        <w:p w14:paraId="603DF810" w14:textId="77777777" w:rsidR="00F445FF" w:rsidRDefault="00F445FF">
                          <w:pPr>
                            <w:rPr>
                              <w:b/>
                              <w:bCs/>
                              <w:sz w:val="16"/>
                              <w:szCs w:val="16"/>
                            </w:rPr>
                          </w:pPr>
                        </w:p>
                        <w:p w14:paraId="44627553" w14:textId="77777777" w:rsidR="00F445FF" w:rsidRDefault="00F445FF">
                          <w:pPr>
                            <w:rPr>
                              <w:b/>
                              <w:bCs/>
                              <w:sz w:val="16"/>
                              <w:szCs w:val="16"/>
                            </w:rPr>
                          </w:pPr>
                        </w:p>
                        <w:p w14:paraId="103BC021" w14:textId="77777777" w:rsidR="00F445FF" w:rsidRDefault="00F445FF">
                          <w:pPr>
                            <w:rPr>
                              <w:b/>
                              <w:bCs/>
                              <w:sz w:val="16"/>
                              <w:szCs w:val="16"/>
                            </w:rPr>
                          </w:pPr>
                          <w:r>
                            <w:rPr>
                              <w:b/>
                              <w:bCs/>
                              <w:sz w:val="20"/>
                              <w:szCs w:val="20"/>
                            </w:rPr>
                            <w:t>U</w:t>
                          </w:r>
                        </w:p>
                        <w:p w14:paraId="5F4676B2" w14:textId="77777777" w:rsidR="00F445FF" w:rsidRDefault="00F445FF">
                          <w:pPr>
                            <w:rPr>
                              <w:b/>
                              <w:bCs/>
                              <w:sz w:val="10"/>
                              <w:szCs w:val="10"/>
                            </w:rPr>
                          </w:pPr>
                        </w:p>
                        <w:p w14:paraId="2D447A29" w14:textId="77777777" w:rsidR="00F445FF" w:rsidRDefault="00F445FF">
                          <w:pPr>
                            <w:rPr>
                              <w:b/>
                              <w:bCs/>
                              <w:sz w:val="16"/>
                              <w:szCs w:val="16"/>
                            </w:rPr>
                          </w:pPr>
                        </w:p>
                        <w:p w14:paraId="370F3529" w14:textId="77777777" w:rsidR="00F445FF" w:rsidRDefault="00F445FF">
                          <w:pPr>
                            <w:rPr>
                              <w:b/>
                              <w:bCs/>
                              <w:sz w:val="16"/>
                              <w:szCs w:val="16"/>
                            </w:rPr>
                          </w:pPr>
                        </w:p>
                        <w:p w14:paraId="5D773D8F" w14:textId="77777777" w:rsidR="00F445FF" w:rsidRDefault="00F445F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8111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14:paraId="67774F3F" w14:textId="77777777" w:rsidR="00665162" w:rsidRDefault="00665162">
                    <w:pPr>
                      <w:rPr>
                        <w:b/>
                        <w:bCs/>
                        <w:sz w:val="20"/>
                        <w:szCs w:val="20"/>
                      </w:rPr>
                    </w:pPr>
                    <w:r>
                      <w:rPr>
                        <w:b/>
                        <w:bCs/>
                        <w:sz w:val="20"/>
                        <w:szCs w:val="20"/>
                      </w:rPr>
                      <w:t>A</w:t>
                    </w:r>
                  </w:p>
                  <w:p w14:paraId="6728078A" w14:textId="77777777" w:rsidR="00665162" w:rsidRDefault="00665162">
                    <w:pPr>
                      <w:rPr>
                        <w:b/>
                        <w:bCs/>
                        <w:sz w:val="10"/>
                        <w:szCs w:val="10"/>
                      </w:rPr>
                    </w:pPr>
                  </w:p>
                  <w:p w14:paraId="05B6294E" w14:textId="77777777" w:rsidR="00665162" w:rsidRDefault="00665162">
                    <w:pPr>
                      <w:rPr>
                        <w:b/>
                        <w:bCs/>
                        <w:sz w:val="16"/>
                        <w:szCs w:val="16"/>
                      </w:rPr>
                    </w:pPr>
                  </w:p>
                  <w:p w14:paraId="385B4597" w14:textId="77777777" w:rsidR="00665162" w:rsidRDefault="00665162">
                    <w:pPr>
                      <w:rPr>
                        <w:b/>
                        <w:bCs/>
                        <w:sz w:val="16"/>
                        <w:szCs w:val="16"/>
                      </w:rPr>
                    </w:pPr>
                  </w:p>
                  <w:p w14:paraId="20898ACC" w14:textId="77777777" w:rsidR="00665162" w:rsidRDefault="00665162">
                    <w:pPr>
                      <w:rPr>
                        <w:b/>
                        <w:bCs/>
                        <w:sz w:val="20"/>
                        <w:szCs w:val="20"/>
                      </w:rPr>
                    </w:pPr>
                    <w:r>
                      <w:rPr>
                        <w:b/>
                        <w:bCs/>
                        <w:sz w:val="20"/>
                        <w:szCs w:val="20"/>
                      </w:rPr>
                      <w:t>B</w:t>
                    </w:r>
                  </w:p>
                  <w:p w14:paraId="579E7EE3" w14:textId="77777777" w:rsidR="00665162" w:rsidRDefault="00665162">
                    <w:pPr>
                      <w:rPr>
                        <w:b/>
                        <w:bCs/>
                        <w:sz w:val="10"/>
                        <w:szCs w:val="10"/>
                      </w:rPr>
                    </w:pPr>
                  </w:p>
                  <w:p w14:paraId="7676AEF1" w14:textId="77777777" w:rsidR="00665162" w:rsidRDefault="00665162">
                    <w:pPr>
                      <w:rPr>
                        <w:b/>
                        <w:bCs/>
                        <w:sz w:val="16"/>
                        <w:szCs w:val="16"/>
                      </w:rPr>
                    </w:pPr>
                  </w:p>
                  <w:p w14:paraId="422243A5" w14:textId="77777777" w:rsidR="00665162" w:rsidRDefault="00665162">
                    <w:pPr>
                      <w:rPr>
                        <w:b/>
                        <w:bCs/>
                        <w:sz w:val="16"/>
                        <w:szCs w:val="16"/>
                      </w:rPr>
                    </w:pPr>
                  </w:p>
                  <w:p w14:paraId="3789E097" w14:textId="77777777" w:rsidR="00665162" w:rsidRDefault="00665162">
                    <w:pPr>
                      <w:rPr>
                        <w:b/>
                        <w:bCs/>
                        <w:sz w:val="16"/>
                        <w:szCs w:val="16"/>
                      </w:rPr>
                    </w:pPr>
                    <w:r>
                      <w:rPr>
                        <w:b/>
                        <w:bCs/>
                        <w:sz w:val="20"/>
                        <w:szCs w:val="20"/>
                      </w:rPr>
                      <w:t>C</w:t>
                    </w:r>
                  </w:p>
                  <w:p w14:paraId="3F79DDEB" w14:textId="77777777" w:rsidR="00665162" w:rsidRDefault="00665162">
                    <w:pPr>
                      <w:rPr>
                        <w:b/>
                        <w:bCs/>
                        <w:sz w:val="10"/>
                        <w:szCs w:val="10"/>
                      </w:rPr>
                    </w:pPr>
                  </w:p>
                  <w:p w14:paraId="41434AC6" w14:textId="77777777" w:rsidR="00665162" w:rsidRDefault="00665162">
                    <w:pPr>
                      <w:rPr>
                        <w:b/>
                        <w:bCs/>
                        <w:sz w:val="16"/>
                        <w:szCs w:val="16"/>
                      </w:rPr>
                    </w:pPr>
                  </w:p>
                  <w:p w14:paraId="4D9875EE" w14:textId="77777777" w:rsidR="00665162" w:rsidRDefault="00665162">
                    <w:pPr>
                      <w:rPr>
                        <w:b/>
                        <w:bCs/>
                        <w:sz w:val="16"/>
                        <w:szCs w:val="16"/>
                      </w:rPr>
                    </w:pPr>
                  </w:p>
                  <w:p w14:paraId="6CF109CB" w14:textId="77777777" w:rsidR="00665162" w:rsidRDefault="00665162">
                    <w:pPr>
                      <w:pStyle w:val="Heading2"/>
                      <w:rPr>
                        <w:sz w:val="16"/>
                        <w:szCs w:val="16"/>
                      </w:rPr>
                    </w:pPr>
                    <w:r>
                      <w:t>D</w:t>
                    </w:r>
                  </w:p>
                  <w:p w14:paraId="7611A4E2" w14:textId="77777777" w:rsidR="00665162" w:rsidRDefault="00665162">
                    <w:pPr>
                      <w:rPr>
                        <w:b/>
                        <w:bCs/>
                        <w:sz w:val="10"/>
                        <w:szCs w:val="10"/>
                      </w:rPr>
                    </w:pPr>
                  </w:p>
                  <w:p w14:paraId="1DEF60EC" w14:textId="77777777" w:rsidR="00665162" w:rsidRDefault="00665162">
                    <w:pPr>
                      <w:rPr>
                        <w:b/>
                        <w:bCs/>
                        <w:sz w:val="16"/>
                        <w:szCs w:val="16"/>
                      </w:rPr>
                    </w:pPr>
                  </w:p>
                  <w:p w14:paraId="03660A17" w14:textId="77777777" w:rsidR="00665162" w:rsidRDefault="00665162">
                    <w:pPr>
                      <w:rPr>
                        <w:b/>
                        <w:bCs/>
                        <w:sz w:val="16"/>
                        <w:szCs w:val="16"/>
                      </w:rPr>
                    </w:pPr>
                  </w:p>
                  <w:p w14:paraId="7C9DCB59" w14:textId="77777777" w:rsidR="00665162" w:rsidRDefault="00665162">
                    <w:pPr>
                      <w:rPr>
                        <w:b/>
                        <w:bCs/>
                        <w:sz w:val="16"/>
                        <w:szCs w:val="16"/>
                      </w:rPr>
                    </w:pPr>
                    <w:r>
                      <w:rPr>
                        <w:b/>
                        <w:bCs/>
                        <w:sz w:val="20"/>
                        <w:szCs w:val="20"/>
                      </w:rPr>
                      <w:t>E</w:t>
                    </w:r>
                  </w:p>
                  <w:p w14:paraId="4C8F21F9" w14:textId="77777777" w:rsidR="00665162" w:rsidRDefault="00665162">
                    <w:pPr>
                      <w:rPr>
                        <w:b/>
                        <w:bCs/>
                        <w:sz w:val="10"/>
                        <w:szCs w:val="10"/>
                      </w:rPr>
                    </w:pPr>
                  </w:p>
                  <w:p w14:paraId="2A17250D" w14:textId="77777777" w:rsidR="00665162" w:rsidRDefault="00665162">
                    <w:pPr>
                      <w:rPr>
                        <w:b/>
                        <w:bCs/>
                        <w:sz w:val="16"/>
                        <w:szCs w:val="16"/>
                      </w:rPr>
                    </w:pPr>
                  </w:p>
                  <w:p w14:paraId="54F52429" w14:textId="77777777" w:rsidR="00665162" w:rsidRDefault="00665162">
                    <w:pPr>
                      <w:rPr>
                        <w:b/>
                        <w:bCs/>
                        <w:sz w:val="16"/>
                        <w:szCs w:val="16"/>
                      </w:rPr>
                    </w:pPr>
                  </w:p>
                  <w:p w14:paraId="5B791AD3" w14:textId="77777777" w:rsidR="00665162" w:rsidRDefault="00665162">
                    <w:pPr>
                      <w:rPr>
                        <w:b/>
                        <w:bCs/>
                        <w:sz w:val="20"/>
                        <w:szCs w:val="20"/>
                      </w:rPr>
                    </w:pPr>
                    <w:r>
                      <w:rPr>
                        <w:b/>
                        <w:bCs/>
                        <w:sz w:val="20"/>
                        <w:szCs w:val="20"/>
                      </w:rPr>
                      <w:t>F</w:t>
                    </w:r>
                  </w:p>
                  <w:p w14:paraId="5006FA00" w14:textId="77777777" w:rsidR="00665162" w:rsidRDefault="00665162">
                    <w:pPr>
                      <w:rPr>
                        <w:b/>
                        <w:bCs/>
                        <w:sz w:val="10"/>
                        <w:szCs w:val="10"/>
                      </w:rPr>
                    </w:pPr>
                  </w:p>
                  <w:p w14:paraId="36B1BAAD" w14:textId="77777777" w:rsidR="00665162" w:rsidRDefault="00665162">
                    <w:pPr>
                      <w:rPr>
                        <w:b/>
                        <w:bCs/>
                        <w:sz w:val="16"/>
                        <w:szCs w:val="16"/>
                      </w:rPr>
                    </w:pPr>
                  </w:p>
                  <w:p w14:paraId="5B534F2B" w14:textId="77777777" w:rsidR="00665162" w:rsidRDefault="00665162">
                    <w:pPr>
                      <w:rPr>
                        <w:b/>
                        <w:bCs/>
                        <w:sz w:val="16"/>
                        <w:szCs w:val="16"/>
                      </w:rPr>
                    </w:pPr>
                  </w:p>
                  <w:p w14:paraId="26111A09" w14:textId="77777777" w:rsidR="00665162" w:rsidRDefault="00665162">
                    <w:pPr>
                      <w:rPr>
                        <w:b/>
                        <w:bCs/>
                        <w:sz w:val="16"/>
                        <w:szCs w:val="16"/>
                      </w:rPr>
                    </w:pPr>
                    <w:r>
                      <w:rPr>
                        <w:b/>
                        <w:bCs/>
                        <w:sz w:val="20"/>
                        <w:szCs w:val="20"/>
                      </w:rPr>
                      <w:t>G</w:t>
                    </w:r>
                  </w:p>
                  <w:p w14:paraId="792096F2" w14:textId="77777777" w:rsidR="00665162" w:rsidRDefault="00665162">
                    <w:pPr>
                      <w:rPr>
                        <w:b/>
                        <w:bCs/>
                        <w:sz w:val="10"/>
                        <w:szCs w:val="10"/>
                      </w:rPr>
                    </w:pPr>
                  </w:p>
                  <w:p w14:paraId="724BAD49" w14:textId="77777777" w:rsidR="00665162" w:rsidRDefault="00665162">
                    <w:pPr>
                      <w:rPr>
                        <w:b/>
                        <w:bCs/>
                        <w:sz w:val="16"/>
                        <w:szCs w:val="16"/>
                      </w:rPr>
                    </w:pPr>
                  </w:p>
                  <w:p w14:paraId="5C43AE99" w14:textId="77777777" w:rsidR="00665162" w:rsidRDefault="00665162">
                    <w:pPr>
                      <w:rPr>
                        <w:b/>
                        <w:bCs/>
                        <w:sz w:val="16"/>
                        <w:szCs w:val="16"/>
                      </w:rPr>
                    </w:pPr>
                  </w:p>
                  <w:p w14:paraId="2B8DFEC5" w14:textId="77777777" w:rsidR="00665162" w:rsidRDefault="00665162">
                    <w:pPr>
                      <w:rPr>
                        <w:b/>
                        <w:bCs/>
                        <w:sz w:val="16"/>
                        <w:szCs w:val="16"/>
                      </w:rPr>
                    </w:pPr>
                    <w:r>
                      <w:rPr>
                        <w:b/>
                        <w:bCs/>
                        <w:sz w:val="20"/>
                        <w:szCs w:val="20"/>
                      </w:rPr>
                      <w:t>H</w:t>
                    </w:r>
                  </w:p>
                  <w:p w14:paraId="0173A795" w14:textId="77777777" w:rsidR="00665162" w:rsidRDefault="00665162">
                    <w:pPr>
                      <w:rPr>
                        <w:b/>
                        <w:bCs/>
                        <w:sz w:val="10"/>
                        <w:szCs w:val="10"/>
                      </w:rPr>
                    </w:pPr>
                  </w:p>
                  <w:p w14:paraId="4CF0B4B4" w14:textId="77777777" w:rsidR="00665162" w:rsidRDefault="00665162">
                    <w:pPr>
                      <w:rPr>
                        <w:b/>
                        <w:bCs/>
                        <w:sz w:val="16"/>
                        <w:szCs w:val="16"/>
                      </w:rPr>
                    </w:pPr>
                  </w:p>
                  <w:p w14:paraId="4951325C" w14:textId="77777777" w:rsidR="00665162" w:rsidRDefault="00665162">
                    <w:pPr>
                      <w:rPr>
                        <w:b/>
                        <w:bCs/>
                        <w:sz w:val="16"/>
                        <w:szCs w:val="16"/>
                      </w:rPr>
                    </w:pPr>
                  </w:p>
                  <w:p w14:paraId="4B05D7FA" w14:textId="77777777" w:rsidR="00665162" w:rsidRDefault="00665162">
                    <w:pPr>
                      <w:rPr>
                        <w:b/>
                        <w:bCs/>
                        <w:sz w:val="16"/>
                        <w:szCs w:val="16"/>
                      </w:rPr>
                    </w:pPr>
                    <w:r>
                      <w:rPr>
                        <w:b/>
                        <w:bCs/>
                        <w:sz w:val="20"/>
                        <w:szCs w:val="20"/>
                      </w:rPr>
                      <w:t>I</w:t>
                    </w:r>
                  </w:p>
                  <w:p w14:paraId="3A3B6285" w14:textId="77777777" w:rsidR="00665162" w:rsidRDefault="00665162">
                    <w:pPr>
                      <w:rPr>
                        <w:b/>
                        <w:bCs/>
                        <w:sz w:val="10"/>
                        <w:szCs w:val="10"/>
                      </w:rPr>
                    </w:pPr>
                  </w:p>
                  <w:p w14:paraId="133F53D9" w14:textId="77777777" w:rsidR="00665162" w:rsidRDefault="00665162">
                    <w:pPr>
                      <w:rPr>
                        <w:b/>
                        <w:bCs/>
                        <w:sz w:val="16"/>
                        <w:szCs w:val="16"/>
                      </w:rPr>
                    </w:pPr>
                  </w:p>
                  <w:p w14:paraId="7F8062E7" w14:textId="77777777" w:rsidR="00665162" w:rsidRDefault="00665162">
                    <w:pPr>
                      <w:rPr>
                        <w:b/>
                        <w:bCs/>
                        <w:sz w:val="16"/>
                        <w:szCs w:val="16"/>
                      </w:rPr>
                    </w:pPr>
                  </w:p>
                  <w:p w14:paraId="7B5F2529" w14:textId="77777777" w:rsidR="00665162" w:rsidRDefault="00665162">
                    <w:pPr>
                      <w:rPr>
                        <w:b/>
                        <w:bCs/>
                        <w:sz w:val="16"/>
                        <w:szCs w:val="16"/>
                      </w:rPr>
                    </w:pPr>
                    <w:r>
                      <w:rPr>
                        <w:b/>
                        <w:bCs/>
                        <w:sz w:val="20"/>
                        <w:szCs w:val="20"/>
                      </w:rPr>
                      <w:t>J</w:t>
                    </w:r>
                  </w:p>
                  <w:p w14:paraId="0C218FCE" w14:textId="77777777" w:rsidR="00665162" w:rsidRDefault="00665162">
                    <w:pPr>
                      <w:rPr>
                        <w:b/>
                        <w:bCs/>
                        <w:sz w:val="10"/>
                        <w:szCs w:val="10"/>
                      </w:rPr>
                    </w:pPr>
                  </w:p>
                  <w:p w14:paraId="7E9699B0" w14:textId="77777777" w:rsidR="00665162" w:rsidRDefault="00665162">
                    <w:pPr>
                      <w:rPr>
                        <w:b/>
                        <w:bCs/>
                        <w:sz w:val="16"/>
                        <w:szCs w:val="16"/>
                      </w:rPr>
                    </w:pPr>
                  </w:p>
                  <w:p w14:paraId="7292FC8E" w14:textId="77777777" w:rsidR="00665162" w:rsidRDefault="00665162">
                    <w:pPr>
                      <w:rPr>
                        <w:b/>
                        <w:bCs/>
                        <w:sz w:val="16"/>
                        <w:szCs w:val="16"/>
                      </w:rPr>
                    </w:pPr>
                  </w:p>
                  <w:p w14:paraId="0BEFCB1A" w14:textId="77777777" w:rsidR="00665162" w:rsidRDefault="00665162">
                    <w:pPr>
                      <w:rPr>
                        <w:b/>
                        <w:bCs/>
                        <w:sz w:val="16"/>
                        <w:szCs w:val="16"/>
                      </w:rPr>
                    </w:pPr>
                    <w:r>
                      <w:rPr>
                        <w:b/>
                        <w:bCs/>
                        <w:sz w:val="20"/>
                        <w:szCs w:val="20"/>
                      </w:rPr>
                      <w:t>K</w:t>
                    </w:r>
                  </w:p>
                  <w:p w14:paraId="094F4D23" w14:textId="77777777" w:rsidR="00665162" w:rsidRDefault="00665162">
                    <w:pPr>
                      <w:rPr>
                        <w:b/>
                        <w:bCs/>
                        <w:sz w:val="10"/>
                        <w:szCs w:val="10"/>
                      </w:rPr>
                    </w:pPr>
                  </w:p>
                  <w:p w14:paraId="424EDD08" w14:textId="77777777" w:rsidR="00665162" w:rsidRDefault="00665162">
                    <w:pPr>
                      <w:rPr>
                        <w:b/>
                        <w:bCs/>
                        <w:sz w:val="16"/>
                        <w:szCs w:val="16"/>
                      </w:rPr>
                    </w:pPr>
                  </w:p>
                  <w:p w14:paraId="668240EA" w14:textId="77777777" w:rsidR="00665162" w:rsidRDefault="00665162">
                    <w:pPr>
                      <w:rPr>
                        <w:b/>
                        <w:bCs/>
                        <w:sz w:val="16"/>
                        <w:szCs w:val="16"/>
                      </w:rPr>
                    </w:pPr>
                  </w:p>
                  <w:p w14:paraId="2E013603" w14:textId="77777777" w:rsidR="00665162" w:rsidRDefault="00665162">
                    <w:pPr>
                      <w:rPr>
                        <w:b/>
                        <w:bCs/>
                        <w:sz w:val="16"/>
                        <w:szCs w:val="16"/>
                      </w:rPr>
                    </w:pPr>
                    <w:r>
                      <w:rPr>
                        <w:b/>
                        <w:bCs/>
                        <w:sz w:val="20"/>
                        <w:szCs w:val="20"/>
                      </w:rPr>
                      <w:t>L</w:t>
                    </w:r>
                  </w:p>
                  <w:p w14:paraId="7F81E53B" w14:textId="77777777" w:rsidR="00665162" w:rsidRDefault="00665162">
                    <w:pPr>
                      <w:rPr>
                        <w:b/>
                        <w:bCs/>
                        <w:sz w:val="10"/>
                        <w:szCs w:val="10"/>
                      </w:rPr>
                    </w:pPr>
                  </w:p>
                  <w:p w14:paraId="354407F6" w14:textId="77777777" w:rsidR="00665162" w:rsidRDefault="00665162">
                    <w:pPr>
                      <w:rPr>
                        <w:b/>
                        <w:bCs/>
                        <w:sz w:val="16"/>
                        <w:szCs w:val="16"/>
                      </w:rPr>
                    </w:pPr>
                  </w:p>
                  <w:p w14:paraId="0DF24834" w14:textId="77777777" w:rsidR="00665162" w:rsidRDefault="00665162">
                    <w:pPr>
                      <w:rPr>
                        <w:b/>
                        <w:bCs/>
                        <w:sz w:val="16"/>
                        <w:szCs w:val="16"/>
                      </w:rPr>
                    </w:pPr>
                  </w:p>
                  <w:p w14:paraId="22C8B295" w14:textId="77777777" w:rsidR="00665162" w:rsidRDefault="00665162">
                    <w:pPr>
                      <w:rPr>
                        <w:b/>
                        <w:bCs/>
                        <w:sz w:val="16"/>
                        <w:szCs w:val="16"/>
                      </w:rPr>
                    </w:pPr>
                    <w:r>
                      <w:rPr>
                        <w:b/>
                        <w:bCs/>
                        <w:sz w:val="20"/>
                        <w:szCs w:val="20"/>
                      </w:rPr>
                      <w:t>M</w:t>
                    </w:r>
                  </w:p>
                  <w:p w14:paraId="0877C0BE" w14:textId="77777777" w:rsidR="00665162" w:rsidRDefault="00665162">
                    <w:pPr>
                      <w:rPr>
                        <w:b/>
                        <w:bCs/>
                        <w:sz w:val="10"/>
                        <w:szCs w:val="10"/>
                      </w:rPr>
                    </w:pPr>
                  </w:p>
                  <w:p w14:paraId="7529FEDB" w14:textId="77777777" w:rsidR="00665162" w:rsidRDefault="00665162">
                    <w:pPr>
                      <w:rPr>
                        <w:b/>
                        <w:bCs/>
                        <w:sz w:val="16"/>
                        <w:szCs w:val="16"/>
                      </w:rPr>
                    </w:pPr>
                  </w:p>
                  <w:p w14:paraId="6722FC7C" w14:textId="77777777" w:rsidR="00665162" w:rsidRDefault="00665162">
                    <w:pPr>
                      <w:rPr>
                        <w:b/>
                        <w:bCs/>
                        <w:sz w:val="16"/>
                        <w:szCs w:val="16"/>
                      </w:rPr>
                    </w:pPr>
                  </w:p>
                  <w:p w14:paraId="443D14A9" w14:textId="77777777" w:rsidR="00665162" w:rsidRDefault="00665162">
                    <w:pPr>
                      <w:rPr>
                        <w:b/>
                        <w:bCs/>
                        <w:sz w:val="16"/>
                        <w:szCs w:val="16"/>
                      </w:rPr>
                    </w:pPr>
                    <w:r>
                      <w:rPr>
                        <w:b/>
                        <w:bCs/>
                        <w:sz w:val="20"/>
                        <w:szCs w:val="20"/>
                      </w:rPr>
                      <w:t>N</w:t>
                    </w:r>
                  </w:p>
                  <w:p w14:paraId="764E7BA5" w14:textId="77777777" w:rsidR="00665162" w:rsidRDefault="00665162">
                    <w:pPr>
                      <w:rPr>
                        <w:b/>
                        <w:bCs/>
                        <w:sz w:val="10"/>
                        <w:szCs w:val="10"/>
                      </w:rPr>
                    </w:pPr>
                  </w:p>
                  <w:p w14:paraId="3BEA6A7E" w14:textId="77777777" w:rsidR="00665162" w:rsidRDefault="00665162">
                    <w:pPr>
                      <w:rPr>
                        <w:b/>
                        <w:bCs/>
                        <w:sz w:val="16"/>
                        <w:szCs w:val="16"/>
                      </w:rPr>
                    </w:pPr>
                  </w:p>
                  <w:p w14:paraId="2B043FDD" w14:textId="77777777" w:rsidR="00665162" w:rsidRDefault="00665162">
                    <w:pPr>
                      <w:rPr>
                        <w:b/>
                        <w:bCs/>
                        <w:sz w:val="16"/>
                        <w:szCs w:val="16"/>
                      </w:rPr>
                    </w:pPr>
                  </w:p>
                  <w:p w14:paraId="5D12BDD3" w14:textId="77777777" w:rsidR="00665162" w:rsidRDefault="00665162">
                    <w:pPr>
                      <w:rPr>
                        <w:b/>
                        <w:bCs/>
                        <w:sz w:val="16"/>
                        <w:szCs w:val="16"/>
                      </w:rPr>
                    </w:pPr>
                    <w:r>
                      <w:rPr>
                        <w:b/>
                        <w:bCs/>
                        <w:sz w:val="20"/>
                        <w:szCs w:val="20"/>
                      </w:rPr>
                      <w:t>O</w:t>
                    </w:r>
                  </w:p>
                  <w:p w14:paraId="33093EDD" w14:textId="77777777" w:rsidR="00665162" w:rsidRDefault="00665162">
                    <w:pPr>
                      <w:rPr>
                        <w:b/>
                        <w:bCs/>
                        <w:sz w:val="10"/>
                        <w:szCs w:val="10"/>
                      </w:rPr>
                    </w:pPr>
                  </w:p>
                  <w:p w14:paraId="04BD7DC1" w14:textId="77777777" w:rsidR="00665162" w:rsidRDefault="00665162">
                    <w:pPr>
                      <w:rPr>
                        <w:b/>
                        <w:bCs/>
                        <w:sz w:val="16"/>
                        <w:szCs w:val="16"/>
                      </w:rPr>
                    </w:pPr>
                  </w:p>
                  <w:p w14:paraId="748E03F1" w14:textId="77777777" w:rsidR="00665162" w:rsidRDefault="00665162">
                    <w:pPr>
                      <w:rPr>
                        <w:b/>
                        <w:bCs/>
                        <w:sz w:val="16"/>
                        <w:szCs w:val="16"/>
                      </w:rPr>
                    </w:pPr>
                  </w:p>
                  <w:p w14:paraId="073A228D" w14:textId="77777777" w:rsidR="00665162" w:rsidRDefault="00665162">
                    <w:pPr>
                      <w:rPr>
                        <w:b/>
                        <w:bCs/>
                        <w:sz w:val="16"/>
                        <w:szCs w:val="16"/>
                      </w:rPr>
                    </w:pPr>
                    <w:r>
                      <w:rPr>
                        <w:b/>
                        <w:bCs/>
                        <w:sz w:val="20"/>
                        <w:szCs w:val="20"/>
                      </w:rPr>
                      <w:t>P</w:t>
                    </w:r>
                  </w:p>
                  <w:p w14:paraId="5C4C2136" w14:textId="77777777" w:rsidR="00665162" w:rsidRDefault="00665162">
                    <w:pPr>
                      <w:rPr>
                        <w:b/>
                        <w:bCs/>
                        <w:sz w:val="10"/>
                        <w:szCs w:val="10"/>
                      </w:rPr>
                    </w:pPr>
                  </w:p>
                  <w:p w14:paraId="6FA2F1FA" w14:textId="77777777" w:rsidR="00665162" w:rsidRDefault="00665162">
                    <w:pPr>
                      <w:rPr>
                        <w:b/>
                        <w:bCs/>
                        <w:sz w:val="16"/>
                        <w:szCs w:val="16"/>
                      </w:rPr>
                    </w:pPr>
                  </w:p>
                  <w:p w14:paraId="5929EA19" w14:textId="77777777" w:rsidR="00665162" w:rsidRDefault="00665162">
                    <w:pPr>
                      <w:rPr>
                        <w:b/>
                        <w:bCs/>
                        <w:sz w:val="16"/>
                        <w:szCs w:val="16"/>
                      </w:rPr>
                    </w:pPr>
                  </w:p>
                  <w:p w14:paraId="380698AD" w14:textId="77777777" w:rsidR="00665162" w:rsidRDefault="00665162">
                    <w:pPr>
                      <w:rPr>
                        <w:b/>
                        <w:bCs/>
                        <w:sz w:val="16"/>
                        <w:szCs w:val="16"/>
                      </w:rPr>
                    </w:pPr>
                    <w:r>
                      <w:rPr>
                        <w:b/>
                        <w:bCs/>
                        <w:sz w:val="20"/>
                        <w:szCs w:val="20"/>
                      </w:rPr>
                      <w:t>Q</w:t>
                    </w:r>
                  </w:p>
                  <w:p w14:paraId="701BE549" w14:textId="77777777" w:rsidR="00665162" w:rsidRDefault="00665162">
                    <w:pPr>
                      <w:rPr>
                        <w:b/>
                        <w:bCs/>
                        <w:sz w:val="10"/>
                        <w:szCs w:val="10"/>
                      </w:rPr>
                    </w:pPr>
                  </w:p>
                  <w:p w14:paraId="79380373" w14:textId="77777777" w:rsidR="00665162" w:rsidRDefault="00665162">
                    <w:pPr>
                      <w:rPr>
                        <w:b/>
                        <w:bCs/>
                        <w:sz w:val="16"/>
                        <w:szCs w:val="16"/>
                      </w:rPr>
                    </w:pPr>
                  </w:p>
                  <w:p w14:paraId="74E93C33" w14:textId="77777777" w:rsidR="00665162" w:rsidRDefault="00665162">
                    <w:pPr>
                      <w:rPr>
                        <w:b/>
                        <w:bCs/>
                        <w:sz w:val="16"/>
                        <w:szCs w:val="16"/>
                      </w:rPr>
                    </w:pPr>
                  </w:p>
                  <w:p w14:paraId="32B7603F" w14:textId="77777777" w:rsidR="00665162" w:rsidRDefault="00665162">
                    <w:pPr>
                      <w:rPr>
                        <w:b/>
                        <w:bCs/>
                        <w:sz w:val="16"/>
                        <w:szCs w:val="16"/>
                      </w:rPr>
                    </w:pPr>
                    <w:r>
                      <w:rPr>
                        <w:b/>
                        <w:bCs/>
                        <w:sz w:val="20"/>
                        <w:szCs w:val="20"/>
                      </w:rPr>
                      <w:t>R</w:t>
                    </w:r>
                  </w:p>
                  <w:p w14:paraId="3FF42422" w14:textId="77777777" w:rsidR="00665162" w:rsidRDefault="00665162">
                    <w:pPr>
                      <w:rPr>
                        <w:b/>
                        <w:bCs/>
                        <w:sz w:val="10"/>
                        <w:szCs w:val="10"/>
                      </w:rPr>
                    </w:pPr>
                  </w:p>
                  <w:p w14:paraId="141AFEA0" w14:textId="77777777" w:rsidR="00665162" w:rsidRDefault="00665162">
                    <w:pPr>
                      <w:rPr>
                        <w:b/>
                        <w:bCs/>
                        <w:sz w:val="16"/>
                        <w:szCs w:val="16"/>
                      </w:rPr>
                    </w:pPr>
                  </w:p>
                  <w:p w14:paraId="6AA70488" w14:textId="77777777" w:rsidR="00665162" w:rsidRDefault="00665162">
                    <w:pPr>
                      <w:rPr>
                        <w:b/>
                        <w:bCs/>
                        <w:sz w:val="16"/>
                        <w:szCs w:val="16"/>
                      </w:rPr>
                    </w:pPr>
                  </w:p>
                  <w:p w14:paraId="2465CF64" w14:textId="77777777" w:rsidR="00665162" w:rsidRDefault="00665162">
                    <w:pPr>
                      <w:rPr>
                        <w:b/>
                        <w:bCs/>
                        <w:sz w:val="16"/>
                        <w:szCs w:val="16"/>
                      </w:rPr>
                    </w:pPr>
                    <w:r>
                      <w:rPr>
                        <w:b/>
                        <w:bCs/>
                        <w:sz w:val="20"/>
                        <w:szCs w:val="20"/>
                      </w:rPr>
                      <w:t>S</w:t>
                    </w:r>
                  </w:p>
                  <w:p w14:paraId="70D1FE13" w14:textId="77777777" w:rsidR="00665162" w:rsidRDefault="00665162">
                    <w:pPr>
                      <w:rPr>
                        <w:b/>
                        <w:bCs/>
                        <w:sz w:val="10"/>
                        <w:szCs w:val="10"/>
                      </w:rPr>
                    </w:pPr>
                  </w:p>
                  <w:p w14:paraId="430D1B6F" w14:textId="77777777" w:rsidR="00665162" w:rsidRDefault="00665162">
                    <w:pPr>
                      <w:rPr>
                        <w:b/>
                        <w:bCs/>
                        <w:sz w:val="16"/>
                        <w:szCs w:val="16"/>
                      </w:rPr>
                    </w:pPr>
                  </w:p>
                  <w:p w14:paraId="68E246F7" w14:textId="77777777" w:rsidR="00665162" w:rsidRDefault="00665162">
                    <w:pPr>
                      <w:rPr>
                        <w:b/>
                        <w:bCs/>
                        <w:sz w:val="16"/>
                        <w:szCs w:val="16"/>
                      </w:rPr>
                    </w:pPr>
                  </w:p>
                  <w:p w14:paraId="4BC9632C" w14:textId="77777777" w:rsidR="00665162" w:rsidRDefault="00665162">
                    <w:pPr>
                      <w:rPr>
                        <w:b/>
                        <w:bCs/>
                        <w:sz w:val="16"/>
                        <w:szCs w:val="16"/>
                      </w:rPr>
                    </w:pPr>
                    <w:r>
                      <w:rPr>
                        <w:b/>
                        <w:bCs/>
                        <w:sz w:val="20"/>
                        <w:szCs w:val="20"/>
                      </w:rPr>
                      <w:t>T</w:t>
                    </w:r>
                  </w:p>
                  <w:p w14:paraId="07EE68FA" w14:textId="77777777" w:rsidR="00665162" w:rsidRDefault="00665162">
                    <w:pPr>
                      <w:rPr>
                        <w:b/>
                        <w:bCs/>
                        <w:sz w:val="10"/>
                        <w:szCs w:val="10"/>
                      </w:rPr>
                    </w:pPr>
                  </w:p>
                  <w:p w14:paraId="603DF810" w14:textId="77777777" w:rsidR="00665162" w:rsidRDefault="00665162">
                    <w:pPr>
                      <w:rPr>
                        <w:b/>
                        <w:bCs/>
                        <w:sz w:val="16"/>
                        <w:szCs w:val="16"/>
                      </w:rPr>
                    </w:pPr>
                  </w:p>
                  <w:p w14:paraId="44627553" w14:textId="77777777" w:rsidR="00665162" w:rsidRDefault="00665162">
                    <w:pPr>
                      <w:rPr>
                        <w:b/>
                        <w:bCs/>
                        <w:sz w:val="16"/>
                        <w:szCs w:val="16"/>
                      </w:rPr>
                    </w:pPr>
                  </w:p>
                  <w:p w14:paraId="103BC021" w14:textId="77777777" w:rsidR="00665162" w:rsidRDefault="00665162">
                    <w:pPr>
                      <w:rPr>
                        <w:b/>
                        <w:bCs/>
                        <w:sz w:val="16"/>
                        <w:szCs w:val="16"/>
                      </w:rPr>
                    </w:pPr>
                    <w:r>
                      <w:rPr>
                        <w:b/>
                        <w:bCs/>
                        <w:sz w:val="20"/>
                        <w:szCs w:val="20"/>
                      </w:rPr>
                      <w:t>U</w:t>
                    </w:r>
                  </w:p>
                  <w:p w14:paraId="5F4676B2" w14:textId="77777777" w:rsidR="00665162" w:rsidRDefault="00665162">
                    <w:pPr>
                      <w:rPr>
                        <w:b/>
                        <w:bCs/>
                        <w:sz w:val="10"/>
                        <w:szCs w:val="10"/>
                      </w:rPr>
                    </w:pPr>
                  </w:p>
                  <w:p w14:paraId="2D447A29" w14:textId="77777777" w:rsidR="00665162" w:rsidRDefault="00665162">
                    <w:pPr>
                      <w:rPr>
                        <w:b/>
                        <w:bCs/>
                        <w:sz w:val="16"/>
                        <w:szCs w:val="16"/>
                      </w:rPr>
                    </w:pPr>
                  </w:p>
                  <w:p w14:paraId="370F3529" w14:textId="77777777" w:rsidR="00665162" w:rsidRDefault="00665162">
                    <w:pPr>
                      <w:rPr>
                        <w:b/>
                        <w:bCs/>
                        <w:sz w:val="16"/>
                        <w:szCs w:val="16"/>
                      </w:rPr>
                    </w:pPr>
                  </w:p>
                  <w:p w14:paraId="5D773D8F" w14:textId="77777777" w:rsidR="00665162" w:rsidRDefault="00665162">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14:anchorId="3A25BBD1" wp14:editId="54A313DF">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D64A7" w14:textId="77777777" w:rsidR="00F445FF" w:rsidRDefault="00F445F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5BBD1"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14:paraId="7DCD64A7" w14:textId="77777777" w:rsidR="00665162" w:rsidRDefault="00665162">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4373"/>
    <w:multiLevelType w:val="hybridMultilevel"/>
    <w:tmpl w:val="79CA958C"/>
    <w:lvl w:ilvl="0" w:tplc="A8D8F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319E1"/>
    <w:multiLevelType w:val="hybridMultilevel"/>
    <w:tmpl w:val="712AC2AC"/>
    <w:lvl w:ilvl="0" w:tplc="7C9279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D273AE"/>
    <w:multiLevelType w:val="hybridMultilevel"/>
    <w:tmpl w:val="DF2E8A2C"/>
    <w:lvl w:ilvl="0" w:tplc="A9301B62">
      <w:start w:val="17"/>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D54399"/>
    <w:multiLevelType w:val="hybridMultilevel"/>
    <w:tmpl w:val="3F3E98BA"/>
    <w:lvl w:ilvl="0" w:tplc="A83C8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2F5885"/>
    <w:multiLevelType w:val="hybridMultilevel"/>
    <w:tmpl w:val="521EAB0E"/>
    <w:lvl w:ilvl="0" w:tplc="6EF65460">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342FE8"/>
    <w:multiLevelType w:val="hybridMultilevel"/>
    <w:tmpl w:val="E528E6C2"/>
    <w:lvl w:ilvl="0" w:tplc="11F66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D82BA4"/>
    <w:multiLevelType w:val="hybridMultilevel"/>
    <w:tmpl w:val="E418EC9A"/>
    <w:lvl w:ilvl="0" w:tplc="491AF73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7778DA"/>
    <w:multiLevelType w:val="hybridMultilevel"/>
    <w:tmpl w:val="405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27A46746"/>
    <w:multiLevelType w:val="hybridMultilevel"/>
    <w:tmpl w:val="FADAFEF4"/>
    <w:lvl w:ilvl="0" w:tplc="B302F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471F25"/>
    <w:multiLevelType w:val="hybridMultilevel"/>
    <w:tmpl w:val="9176D990"/>
    <w:lvl w:ilvl="0" w:tplc="5ABC760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9A4E4D"/>
    <w:multiLevelType w:val="hybridMultilevel"/>
    <w:tmpl w:val="47641384"/>
    <w:lvl w:ilvl="0" w:tplc="0409000F">
      <w:start w:val="1"/>
      <w:numFmt w:val="decimal"/>
      <w:lvlText w:val="%1."/>
      <w:lvlJc w:val="left"/>
      <w:pPr>
        <w:ind w:left="720" w:hanging="360"/>
      </w:pPr>
      <w:rPr>
        <w:rFonts w:hint="default"/>
      </w:rPr>
    </w:lvl>
    <w:lvl w:ilvl="1" w:tplc="CE4CC716">
      <w:start w:val="1"/>
      <w:numFmt w:val="lowerLetter"/>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B6071D"/>
    <w:multiLevelType w:val="hybridMultilevel"/>
    <w:tmpl w:val="7DB06386"/>
    <w:lvl w:ilvl="0" w:tplc="65DC2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3203BD"/>
    <w:multiLevelType w:val="hybridMultilevel"/>
    <w:tmpl w:val="7FF2C760"/>
    <w:lvl w:ilvl="0" w:tplc="7F1CB6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928B2"/>
    <w:multiLevelType w:val="hybridMultilevel"/>
    <w:tmpl w:val="FF528CD8"/>
    <w:lvl w:ilvl="0" w:tplc="31D2B1D6">
      <w:start w:val="1"/>
      <w:numFmt w:val="lowerLetter"/>
      <w:lvlText w:val="(%1)"/>
      <w:lvlJc w:val="left"/>
      <w:pPr>
        <w:ind w:left="44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821B53"/>
    <w:multiLevelType w:val="hybridMultilevel"/>
    <w:tmpl w:val="910AC642"/>
    <w:lvl w:ilvl="0" w:tplc="AB86C5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86320"/>
    <w:multiLevelType w:val="hybridMultilevel"/>
    <w:tmpl w:val="BDB4148C"/>
    <w:lvl w:ilvl="0" w:tplc="F5C2A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67101B"/>
    <w:multiLevelType w:val="hybridMultilevel"/>
    <w:tmpl w:val="C9D0A4DE"/>
    <w:lvl w:ilvl="0" w:tplc="F3CEA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D85612"/>
    <w:multiLevelType w:val="hybridMultilevel"/>
    <w:tmpl w:val="B8485506"/>
    <w:lvl w:ilvl="0" w:tplc="6BC00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1F3EFB"/>
    <w:multiLevelType w:val="hybridMultilevel"/>
    <w:tmpl w:val="2DF6B5C2"/>
    <w:lvl w:ilvl="0" w:tplc="CC7E9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E91326"/>
    <w:multiLevelType w:val="hybridMultilevel"/>
    <w:tmpl w:val="AF361952"/>
    <w:lvl w:ilvl="0" w:tplc="56462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D748B8"/>
    <w:multiLevelType w:val="hybridMultilevel"/>
    <w:tmpl w:val="A68CF394"/>
    <w:lvl w:ilvl="0" w:tplc="5B960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643199"/>
    <w:multiLevelType w:val="hybridMultilevel"/>
    <w:tmpl w:val="CDA8251A"/>
    <w:lvl w:ilvl="0" w:tplc="70AAB2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65DDA"/>
    <w:multiLevelType w:val="hybridMultilevel"/>
    <w:tmpl w:val="7AAC8044"/>
    <w:lvl w:ilvl="0" w:tplc="648830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1073CE"/>
    <w:multiLevelType w:val="hybridMultilevel"/>
    <w:tmpl w:val="F8EC21E0"/>
    <w:lvl w:ilvl="0" w:tplc="B596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626274"/>
    <w:multiLevelType w:val="hybridMultilevel"/>
    <w:tmpl w:val="4276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63E72"/>
    <w:multiLevelType w:val="hybridMultilevel"/>
    <w:tmpl w:val="959CEC36"/>
    <w:lvl w:ilvl="0" w:tplc="14C41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17"/>
  </w:num>
  <w:num w:numId="4">
    <w:abstractNumId w:val="0"/>
  </w:num>
  <w:num w:numId="5">
    <w:abstractNumId w:val="25"/>
  </w:num>
  <w:num w:numId="6">
    <w:abstractNumId w:val="4"/>
  </w:num>
  <w:num w:numId="7">
    <w:abstractNumId w:val="12"/>
  </w:num>
  <w:num w:numId="8">
    <w:abstractNumId w:val="23"/>
  </w:num>
  <w:num w:numId="9">
    <w:abstractNumId w:val="19"/>
  </w:num>
  <w:num w:numId="10">
    <w:abstractNumId w:val="9"/>
  </w:num>
  <w:num w:numId="11">
    <w:abstractNumId w:val="14"/>
  </w:num>
  <w:num w:numId="12">
    <w:abstractNumId w:val="16"/>
  </w:num>
  <w:num w:numId="13">
    <w:abstractNumId w:val="10"/>
  </w:num>
  <w:num w:numId="14">
    <w:abstractNumId w:val="2"/>
  </w:num>
  <w:num w:numId="15">
    <w:abstractNumId w:val="6"/>
  </w:num>
  <w:num w:numId="16">
    <w:abstractNumId w:val="5"/>
  </w:num>
  <w:num w:numId="17">
    <w:abstractNumId w:val="26"/>
  </w:num>
  <w:num w:numId="18">
    <w:abstractNumId w:val="3"/>
  </w:num>
  <w:num w:numId="19">
    <w:abstractNumId w:val="22"/>
  </w:num>
  <w:num w:numId="20">
    <w:abstractNumId w:val="11"/>
  </w:num>
  <w:num w:numId="21">
    <w:abstractNumId w:val="24"/>
  </w:num>
  <w:num w:numId="22">
    <w:abstractNumId w:val="1"/>
  </w:num>
  <w:num w:numId="23">
    <w:abstractNumId w:val="21"/>
  </w:num>
  <w:num w:numId="24">
    <w:abstractNumId w:val="18"/>
  </w:num>
  <w:num w:numId="25">
    <w:abstractNumId w:val="20"/>
  </w:num>
  <w:num w:numId="26">
    <w:abstractNumId w:val="13"/>
  </w:num>
  <w:num w:numId="2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0442"/>
    <w:rsid w:val="00017D7F"/>
    <w:rsid w:val="00024D2A"/>
    <w:rsid w:val="0003298E"/>
    <w:rsid w:val="00034D02"/>
    <w:rsid w:val="000360A9"/>
    <w:rsid w:val="00040176"/>
    <w:rsid w:val="0004260A"/>
    <w:rsid w:val="000469E2"/>
    <w:rsid w:val="000474C1"/>
    <w:rsid w:val="00050BF6"/>
    <w:rsid w:val="00051558"/>
    <w:rsid w:val="00071C4B"/>
    <w:rsid w:val="0007226E"/>
    <w:rsid w:val="00072F35"/>
    <w:rsid w:val="00074184"/>
    <w:rsid w:val="00082311"/>
    <w:rsid w:val="000839D2"/>
    <w:rsid w:val="000854C5"/>
    <w:rsid w:val="00087A48"/>
    <w:rsid w:val="00093A3D"/>
    <w:rsid w:val="00094E71"/>
    <w:rsid w:val="00097A0A"/>
    <w:rsid w:val="000A0464"/>
    <w:rsid w:val="000A1D21"/>
    <w:rsid w:val="000A5A91"/>
    <w:rsid w:val="000B3993"/>
    <w:rsid w:val="000B6061"/>
    <w:rsid w:val="000C2CC5"/>
    <w:rsid w:val="000D42D8"/>
    <w:rsid w:val="000D745C"/>
    <w:rsid w:val="000D7927"/>
    <w:rsid w:val="000E5FAA"/>
    <w:rsid w:val="000F4FCD"/>
    <w:rsid w:val="000F747A"/>
    <w:rsid w:val="00121B8E"/>
    <w:rsid w:val="0013141B"/>
    <w:rsid w:val="001317A8"/>
    <w:rsid w:val="00142289"/>
    <w:rsid w:val="00150C06"/>
    <w:rsid w:val="001662CC"/>
    <w:rsid w:val="00167B61"/>
    <w:rsid w:val="0017146D"/>
    <w:rsid w:val="001753F7"/>
    <w:rsid w:val="00182F95"/>
    <w:rsid w:val="00190A8A"/>
    <w:rsid w:val="00192985"/>
    <w:rsid w:val="00193455"/>
    <w:rsid w:val="001A5FD5"/>
    <w:rsid w:val="001B27D1"/>
    <w:rsid w:val="001D0B73"/>
    <w:rsid w:val="001D33AB"/>
    <w:rsid w:val="001E006E"/>
    <w:rsid w:val="001F4BBF"/>
    <w:rsid w:val="0021273D"/>
    <w:rsid w:val="00214A74"/>
    <w:rsid w:val="00233097"/>
    <w:rsid w:val="00236427"/>
    <w:rsid w:val="00240552"/>
    <w:rsid w:val="00241C65"/>
    <w:rsid w:val="002422F4"/>
    <w:rsid w:val="00246414"/>
    <w:rsid w:val="00263E20"/>
    <w:rsid w:val="00267E4B"/>
    <w:rsid w:val="00274860"/>
    <w:rsid w:val="00281526"/>
    <w:rsid w:val="00286CB0"/>
    <w:rsid w:val="002877C7"/>
    <w:rsid w:val="00290BD1"/>
    <w:rsid w:val="00293A91"/>
    <w:rsid w:val="00297485"/>
    <w:rsid w:val="00297721"/>
    <w:rsid w:val="002A2DDB"/>
    <w:rsid w:val="002A412F"/>
    <w:rsid w:val="002B2585"/>
    <w:rsid w:val="002B25E1"/>
    <w:rsid w:val="002B416C"/>
    <w:rsid w:val="002B48EE"/>
    <w:rsid w:val="002B6E70"/>
    <w:rsid w:val="002C0B1D"/>
    <w:rsid w:val="002C2792"/>
    <w:rsid w:val="002D03D9"/>
    <w:rsid w:val="002D0D6D"/>
    <w:rsid w:val="002D1F46"/>
    <w:rsid w:val="002D2236"/>
    <w:rsid w:val="002D3D7D"/>
    <w:rsid w:val="002D485E"/>
    <w:rsid w:val="002D5253"/>
    <w:rsid w:val="002F4367"/>
    <w:rsid w:val="002F6172"/>
    <w:rsid w:val="0030235F"/>
    <w:rsid w:val="00303523"/>
    <w:rsid w:val="003038BF"/>
    <w:rsid w:val="00306E68"/>
    <w:rsid w:val="00311921"/>
    <w:rsid w:val="00315E64"/>
    <w:rsid w:val="00325848"/>
    <w:rsid w:val="00345412"/>
    <w:rsid w:val="00363B85"/>
    <w:rsid w:val="00373781"/>
    <w:rsid w:val="0037512F"/>
    <w:rsid w:val="0038004F"/>
    <w:rsid w:val="00380707"/>
    <w:rsid w:val="00383270"/>
    <w:rsid w:val="00385049"/>
    <w:rsid w:val="00386DFB"/>
    <w:rsid w:val="003925CE"/>
    <w:rsid w:val="003B1871"/>
    <w:rsid w:val="003C284C"/>
    <w:rsid w:val="003C2C1B"/>
    <w:rsid w:val="003C54B0"/>
    <w:rsid w:val="003D1C27"/>
    <w:rsid w:val="003E0C56"/>
    <w:rsid w:val="003E3086"/>
    <w:rsid w:val="003E659F"/>
    <w:rsid w:val="003F54DD"/>
    <w:rsid w:val="0040182D"/>
    <w:rsid w:val="00404643"/>
    <w:rsid w:val="00411ECD"/>
    <w:rsid w:val="00413A95"/>
    <w:rsid w:val="004253A8"/>
    <w:rsid w:val="00425A69"/>
    <w:rsid w:val="004305A4"/>
    <w:rsid w:val="004516C2"/>
    <w:rsid w:val="00451D03"/>
    <w:rsid w:val="00454764"/>
    <w:rsid w:val="00454A93"/>
    <w:rsid w:val="00473460"/>
    <w:rsid w:val="00476593"/>
    <w:rsid w:val="0047777C"/>
    <w:rsid w:val="004850F6"/>
    <w:rsid w:val="00492AE1"/>
    <w:rsid w:val="00495924"/>
    <w:rsid w:val="0049695A"/>
    <w:rsid w:val="0049769D"/>
    <w:rsid w:val="004A4024"/>
    <w:rsid w:val="004A42B3"/>
    <w:rsid w:val="004B5BC0"/>
    <w:rsid w:val="004C0CCE"/>
    <w:rsid w:val="004D23F3"/>
    <w:rsid w:val="004E49DD"/>
    <w:rsid w:val="004F47E0"/>
    <w:rsid w:val="004F5B91"/>
    <w:rsid w:val="004F7678"/>
    <w:rsid w:val="00500A17"/>
    <w:rsid w:val="0051108C"/>
    <w:rsid w:val="00515E30"/>
    <w:rsid w:val="005163A3"/>
    <w:rsid w:val="005171AD"/>
    <w:rsid w:val="00531D8E"/>
    <w:rsid w:val="00533068"/>
    <w:rsid w:val="00553307"/>
    <w:rsid w:val="0056426F"/>
    <w:rsid w:val="00566647"/>
    <w:rsid w:val="0058042F"/>
    <w:rsid w:val="00580948"/>
    <w:rsid w:val="005838B1"/>
    <w:rsid w:val="00593114"/>
    <w:rsid w:val="00594BAC"/>
    <w:rsid w:val="005973FA"/>
    <w:rsid w:val="005A383B"/>
    <w:rsid w:val="005A39FE"/>
    <w:rsid w:val="005A5EB7"/>
    <w:rsid w:val="005B07B6"/>
    <w:rsid w:val="005B2D79"/>
    <w:rsid w:val="005C0FF9"/>
    <w:rsid w:val="005C2111"/>
    <w:rsid w:val="005C31F0"/>
    <w:rsid w:val="005D1301"/>
    <w:rsid w:val="005D18DB"/>
    <w:rsid w:val="005E12E0"/>
    <w:rsid w:val="005E22B8"/>
    <w:rsid w:val="005E4F81"/>
    <w:rsid w:val="005E7FAF"/>
    <w:rsid w:val="005F0579"/>
    <w:rsid w:val="005F3B5C"/>
    <w:rsid w:val="005F5CC5"/>
    <w:rsid w:val="00604D00"/>
    <w:rsid w:val="0061027A"/>
    <w:rsid w:val="0063639F"/>
    <w:rsid w:val="006400A2"/>
    <w:rsid w:val="0064755D"/>
    <w:rsid w:val="00652B94"/>
    <w:rsid w:val="00655033"/>
    <w:rsid w:val="00664772"/>
    <w:rsid w:val="00665162"/>
    <w:rsid w:val="0066704F"/>
    <w:rsid w:val="00670F38"/>
    <w:rsid w:val="006736BD"/>
    <w:rsid w:val="00676ACF"/>
    <w:rsid w:val="00681537"/>
    <w:rsid w:val="00687961"/>
    <w:rsid w:val="00697FF2"/>
    <w:rsid w:val="006A6B46"/>
    <w:rsid w:val="006C426E"/>
    <w:rsid w:val="006C6DEC"/>
    <w:rsid w:val="006C782D"/>
    <w:rsid w:val="006E0BFD"/>
    <w:rsid w:val="006E339A"/>
    <w:rsid w:val="006E7488"/>
    <w:rsid w:val="007001B5"/>
    <w:rsid w:val="00700A71"/>
    <w:rsid w:val="0070215A"/>
    <w:rsid w:val="00702937"/>
    <w:rsid w:val="00703284"/>
    <w:rsid w:val="007133DF"/>
    <w:rsid w:val="00715D14"/>
    <w:rsid w:val="0072160B"/>
    <w:rsid w:val="0072411A"/>
    <w:rsid w:val="007375ED"/>
    <w:rsid w:val="00743BFF"/>
    <w:rsid w:val="00745850"/>
    <w:rsid w:val="007522BB"/>
    <w:rsid w:val="00753CAF"/>
    <w:rsid w:val="00755E81"/>
    <w:rsid w:val="00756C50"/>
    <w:rsid w:val="00757DFF"/>
    <w:rsid w:val="00770699"/>
    <w:rsid w:val="007835FF"/>
    <w:rsid w:val="007A0693"/>
    <w:rsid w:val="007A2338"/>
    <w:rsid w:val="007A5908"/>
    <w:rsid w:val="007A728A"/>
    <w:rsid w:val="007B1661"/>
    <w:rsid w:val="007B6873"/>
    <w:rsid w:val="007C3B25"/>
    <w:rsid w:val="007C4BEE"/>
    <w:rsid w:val="007D17BD"/>
    <w:rsid w:val="007D38A7"/>
    <w:rsid w:val="007D70B1"/>
    <w:rsid w:val="007E4DCB"/>
    <w:rsid w:val="007F0F94"/>
    <w:rsid w:val="007F4740"/>
    <w:rsid w:val="00800A1F"/>
    <w:rsid w:val="008037A8"/>
    <w:rsid w:val="0080535B"/>
    <w:rsid w:val="00816DE7"/>
    <w:rsid w:val="008201B3"/>
    <w:rsid w:val="00824EC6"/>
    <w:rsid w:val="00827FFC"/>
    <w:rsid w:val="0083595D"/>
    <w:rsid w:val="00844EFE"/>
    <w:rsid w:val="00852CB0"/>
    <w:rsid w:val="00853FBB"/>
    <w:rsid w:val="008544EE"/>
    <w:rsid w:val="008566FB"/>
    <w:rsid w:val="00863B29"/>
    <w:rsid w:val="00886056"/>
    <w:rsid w:val="0088743D"/>
    <w:rsid w:val="00887B45"/>
    <w:rsid w:val="00892C99"/>
    <w:rsid w:val="008C7B6B"/>
    <w:rsid w:val="008D06CB"/>
    <w:rsid w:val="008D3BC2"/>
    <w:rsid w:val="008E1603"/>
    <w:rsid w:val="008E6121"/>
    <w:rsid w:val="008E7619"/>
    <w:rsid w:val="008F6019"/>
    <w:rsid w:val="008F7C08"/>
    <w:rsid w:val="0090530B"/>
    <w:rsid w:val="0090570C"/>
    <w:rsid w:val="00905DCF"/>
    <w:rsid w:val="00907D38"/>
    <w:rsid w:val="00921284"/>
    <w:rsid w:val="00922441"/>
    <w:rsid w:val="00931348"/>
    <w:rsid w:val="00952BA2"/>
    <w:rsid w:val="00971EC3"/>
    <w:rsid w:val="009758AD"/>
    <w:rsid w:val="0098097F"/>
    <w:rsid w:val="00985BFF"/>
    <w:rsid w:val="009908C7"/>
    <w:rsid w:val="00992161"/>
    <w:rsid w:val="00992FB5"/>
    <w:rsid w:val="00996443"/>
    <w:rsid w:val="009A1B52"/>
    <w:rsid w:val="009B18EF"/>
    <w:rsid w:val="009B71FF"/>
    <w:rsid w:val="009C7E6B"/>
    <w:rsid w:val="009E1F5A"/>
    <w:rsid w:val="009E44D0"/>
    <w:rsid w:val="009E785B"/>
    <w:rsid w:val="009F5C5F"/>
    <w:rsid w:val="009F7904"/>
    <w:rsid w:val="00A01861"/>
    <w:rsid w:val="00A17C0A"/>
    <w:rsid w:val="00A20216"/>
    <w:rsid w:val="00A2047E"/>
    <w:rsid w:val="00A21025"/>
    <w:rsid w:val="00A22209"/>
    <w:rsid w:val="00A25A9A"/>
    <w:rsid w:val="00A35B41"/>
    <w:rsid w:val="00A46CB0"/>
    <w:rsid w:val="00A60582"/>
    <w:rsid w:val="00A738C1"/>
    <w:rsid w:val="00A7756D"/>
    <w:rsid w:val="00A81AFF"/>
    <w:rsid w:val="00A8299F"/>
    <w:rsid w:val="00A84085"/>
    <w:rsid w:val="00A94859"/>
    <w:rsid w:val="00AA6BAF"/>
    <w:rsid w:val="00AA733C"/>
    <w:rsid w:val="00AA750D"/>
    <w:rsid w:val="00AA7F4D"/>
    <w:rsid w:val="00AC165D"/>
    <w:rsid w:val="00AC16DE"/>
    <w:rsid w:val="00AC19E9"/>
    <w:rsid w:val="00AC62F2"/>
    <w:rsid w:val="00AD03E6"/>
    <w:rsid w:val="00B0515F"/>
    <w:rsid w:val="00B05A63"/>
    <w:rsid w:val="00B13D4E"/>
    <w:rsid w:val="00B14641"/>
    <w:rsid w:val="00B1504C"/>
    <w:rsid w:val="00B23AAC"/>
    <w:rsid w:val="00B27571"/>
    <w:rsid w:val="00B365D4"/>
    <w:rsid w:val="00B37284"/>
    <w:rsid w:val="00B3767C"/>
    <w:rsid w:val="00B41A5F"/>
    <w:rsid w:val="00B42C0B"/>
    <w:rsid w:val="00B503DA"/>
    <w:rsid w:val="00B51782"/>
    <w:rsid w:val="00B53CB3"/>
    <w:rsid w:val="00B55B2F"/>
    <w:rsid w:val="00B55F95"/>
    <w:rsid w:val="00B57AA1"/>
    <w:rsid w:val="00B66684"/>
    <w:rsid w:val="00B740E3"/>
    <w:rsid w:val="00B74441"/>
    <w:rsid w:val="00B74D98"/>
    <w:rsid w:val="00B7635F"/>
    <w:rsid w:val="00B76C2D"/>
    <w:rsid w:val="00B8421F"/>
    <w:rsid w:val="00B85EA5"/>
    <w:rsid w:val="00B93E3D"/>
    <w:rsid w:val="00B95E86"/>
    <w:rsid w:val="00BB781A"/>
    <w:rsid w:val="00BC66F6"/>
    <w:rsid w:val="00BD03B1"/>
    <w:rsid w:val="00BD61C5"/>
    <w:rsid w:val="00BE17C1"/>
    <w:rsid w:val="00BE4D4E"/>
    <w:rsid w:val="00BF7B47"/>
    <w:rsid w:val="00C06BFD"/>
    <w:rsid w:val="00C10BF5"/>
    <w:rsid w:val="00C1584C"/>
    <w:rsid w:val="00C30BD6"/>
    <w:rsid w:val="00C40EAD"/>
    <w:rsid w:val="00C43C50"/>
    <w:rsid w:val="00C4748C"/>
    <w:rsid w:val="00C5759E"/>
    <w:rsid w:val="00C604C9"/>
    <w:rsid w:val="00C61B81"/>
    <w:rsid w:val="00C6568A"/>
    <w:rsid w:val="00C66FA9"/>
    <w:rsid w:val="00C72090"/>
    <w:rsid w:val="00C74B84"/>
    <w:rsid w:val="00C77CD9"/>
    <w:rsid w:val="00C77D14"/>
    <w:rsid w:val="00C83C06"/>
    <w:rsid w:val="00C849AA"/>
    <w:rsid w:val="00C92D40"/>
    <w:rsid w:val="00C94E53"/>
    <w:rsid w:val="00CA1C8B"/>
    <w:rsid w:val="00CA48D0"/>
    <w:rsid w:val="00CB1B58"/>
    <w:rsid w:val="00CB3874"/>
    <w:rsid w:val="00CC0553"/>
    <w:rsid w:val="00CC09AE"/>
    <w:rsid w:val="00CC2260"/>
    <w:rsid w:val="00CD22C7"/>
    <w:rsid w:val="00CD3E12"/>
    <w:rsid w:val="00CE4725"/>
    <w:rsid w:val="00CF2F3E"/>
    <w:rsid w:val="00D03454"/>
    <w:rsid w:val="00D03FB2"/>
    <w:rsid w:val="00D0417E"/>
    <w:rsid w:val="00D17D35"/>
    <w:rsid w:val="00D24D0D"/>
    <w:rsid w:val="00D30860"/>
    <w:rsid w:val="00D31C16"/>
    <w:rsid w:val="00D40790"/>
    <w:rsid w:val="00D42877"/>
    <w:rsid w:val="00D54E95"/>
    <w:rsid w:val="00D6023B"/>
    <w:rsid w:val="00D67496"/>
    <w:rsid w:val="00D715A5"/>
    <w:rsid w:val="00D81DCF"/>
    <w:rsid w:val="00D8444D"/>
    <w:rsid w:val="00D860D4"/>
    <w:rsid w:val="00D910E8"/>
    <w:rsid w:val="00D94E6D"/>
    <w:rsid w:val="00DA1549"/>
    <w:rsid w:val="00DA4E44"/>
    <w:rsid w:val="00DB2B3F"/>
    <w:rsid w:val="00DB3A88"/>
    <w:rsid w:val="00DB5FE9"/>
    <w:rsid w:val="00DC093D"/>
    <w:rsid w:val="00DC1A4F"/>
    <w:rsid w:val="00DC6A7E"/>
    <w:rsid w:val="00DC7D3E"/>
    <w:rsid w:val="00DE386F"/>
    <w:rsid w:val="00DE5BB7"/>
    <w:rsid w:val="00DE77B5"/>
    <w:rsid w:val="00E2500F"/>
    <w:rsid w:val="00E25B22"/>
    <w:rsid w:val="00E35009"/>
    <w:rsid w:val="00E3604B"/>
    <w:rsid w:val="00E40D28"/>
    <w:rsid w:val="00E7432E"/>
    <w:rsid w:val="00EA5304"/>
    <w:rsid w:val="00EA5477"/>
    <w:rsid w:val="00EB4E6E"/>
    <w:rsid w:val="00EC5A75"/>
    <w:rsid w:val="00EE042A"/>
    <w:rsid w:val="00EE1EDB"/>
    <w:rsid w:val="00EE2540"/>
    <w:rsid w:val="00EE29EE"/>
    <w:rsid w:val="00EF73D6"/>
    <w:rsid w:val="00F000D9"/>
    <w:rsid w:val="00F002C9"/>
    <w:rsid w:val="00F1253E"/>
    <w:rsid w:val="00F14DBA"/>
    <w:rsid w:val="00F24300"/>
    <w:rsid w:val="00F26B60"/>
    <w:rsid w:val="00F3279E"/>
    <w:rsid w:val="00F330A4"/>
    <w:rsid w:val="00F40185"/>
    <w:rsid w:val="00F445FF"/>
    <w:rsid w:val="00F46137"/>
    <w:rsid w:val="00F506D6"/>
    <w:rsid w:val="00F545C1"/>
    <w:rsid w:val="00F635F1"/>
    <w:rsid w:val="00F82B0E"/>
    <w:rsid w:val="00F87079"/>
    <w:rsid w:val="00F95346"/>
    <w:rsid w:val="00FA4F4A"/>
    <w:rsid w:val="00FA638F"/>
    <w:rsid w:val="00FB2760"/>
    <w:rsid w:val="00FB28CE"/>
    <w:rsid w:val="00FB7C31"/>
    <w:rsid w:val="00FC0661"/>
    <w:rsid w:val="00FC6CD9"/>
    <w:rsid w:val="00FD581A"/>
    <w:rsid w:val="00FD65D1"/>
    <w:rsid w:val="00FF0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F7D5D4"/>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635F"/>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B7635F"/>
  </w:style>
  <w:style w:type="character" w:styleId="FootnoteReference">
    <w:name w:val="footnote reference"/>
    <w:uiPriority w:val="99"/>
    <w:semiHidden/>
    <w:unhideWhenUsed/>
    <w:rsid w:val="00B7635F"/>
    <w:rPr>
      <w:vertAlign w:val="superscript"/>
    </w:rPr>
  </w:style>
  <w:style w:type="character" w:styleId="CommentReference">
    <w:name w:val="annotation reference"/>
    <w:basedOn w:val="DefaultParagraphFont"/>
    <w:uiPriority w:val="99"/>
    <w:semiHidden/>
    <w:unhideWhenUsed/>
    <w:rsid w:val="00454764"/>
    <w:rPr>
      <w:sz w:val="16"/>
      <w:szCs w:val="16"/>
    </w:rPr>
  </w:style>
  <w:style w:type="paragraph" w:styleId="CommentText">
    <w:name w:val="annotation text"/>
    <w:basedOn w:val="Normal"/>
    <w:link w:val="CommentTextChar"/>
    <w:uiPriority w:val="99"/>
    <w:semiHidden/>
    <w:unhideWhenUsed/>
    <w:rsid w:val="00454764"/>
    <w:pPr>
      <w:widowControl w:val="0"/>
      <w:tabs>
        <w:tab w:val="clear" w:pos="1440"/>
        <w:tab w:val="clear" w:pos="4320"/>
        <w:tab w:val="clear" w:pos="9072"/>
      </w:tabs>
      <w:snapToGrid/>
    </w:pPr>
    <w:rPr>
      <w:rFonts w:asciiTheme="minorHAnsi" w:eastAsiaTheme="minorEastAsia" w:hAnsiTheme="minorHAnsi" w:cstheme="minorBidi"/>
      <w:kern w:val="2"/>
      <w:sz w:val="20"/>
      <w:szCs w:val="20"/>
      <w:lang w:eastAsia="zh-TW"/>
    </w:rPr>
  </w:style>
  <w:style w:type="character" w:customStyle="1" w:styleId="CommentTextChar">
    <w:name w:val="Comment Text Char"/>
    <w:basedOn w:val="DefaultParagraphFont"/>
    <w:link w:val="CommentText"/>
    <w:uiPriority w:val="99"/>
    <w:semiHidden/>
    <w:rsid w:val="00454764"/>
    <w:rPr>
      <w:rFonts w:asciiTheme="minorHAnsi" w:eastAsiaTheme="minorEastAsia" w:hAnsiTheme="minorHAnsi" w:cstheme="minorBidi"/>
      <w:kern w:val="2"/>
      <w:lang w:eastAsia="zh-TW"/>
    </w:rPr>
  </w:style>
  <w:style w:type="character" w:styleId="PlaceholderText">
    <w:name w:val="Placeholder Text"/>
    <w:uiPriority w:val="99"/>
    <w:semiHidden/>
    <w:rsid w:val="00DC09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FF50F6C5AB4A6B9BA556C25EC9073A"/>
        <w:category>
          <w:name w:val="General"/>
          <w:gallery w:val="placeholder"/>
        </w:category>
        <w:types>
          <w:type w:val="bbPlcHdr"/>
        </w:types>
        <w:behaviors>
          <w:behavior w:val="content"/>
        </w:behaviors>
        <w:guid w:val="{E6DD0257-4692-4A0E-AE92-A00FC02D368C}"/>
      </w:docPartPr>
      <w:docPartBody>
        <w:p w:rsidR="00BF0171" w:rsidRDefault="00736346" w:rsidP="00736346">
          <w:pPr>
            <w:pStyle w:val="75FF50F6C5AB4A6B9BA556C25EC9073A"/>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46"/>
    <w:rsid w:val="00011E4C"/>
    <w:rsid w:val="00136C80"/>
    <w:rsid w:val="00180FDC"/>
    <w:rsid w:val="00200307"/>
    <w:rsid w:val="003808AD"/>
    <w:rsid w:val="00382B49"/>
    <w:rsid w:val="00395C7D"/>
    <w:rsid w:val="00424292"/>
    <w:rsid w:val="0054435A"/>
    <w:rsid w:val="00736346"/>
    <w:rsid w:val="00873F61"/>
    <w:rsid w:val="008A3984"/>
    <w:rsid w:val="00962695"/>
    <w:rsid w:val="00AF25B1"/>
    <w:rsid w:val="00AF4251"/>
    <w:rsid w:val="00BF0171"/>
    <w:rsid w:val="00BF1F6E"/>
    <w:rsid w:val="00C21F2F"/>
    <w:rsid w:val="00C76173"/>
    <w:rsid w:val="00D2664E"/>
    <w:rsid w:val="00E46BF5"/>
    <w:rsid w:val="00F45A9D"/>
    <w:rsid w:val="00FD0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346"/>
  </w:style>
  <w:style w:type="paragraph" w:customStyle="1" w:styleId="75FF50F6C5AB4A6B9BA556C25EC9073A">
    <w:name w:val="75FF50F6C5AB4A6B9BA556C25EC9073A"/>
    <w:rsid w:val="00736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AB520-E4E7-4721-B488-E6EA6B7E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5778</Words>
  <Characters>32939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Christine KH Chan</cp:lastModifiedBy>
  <cp:revision>2</cp:revision>
  <cp:lastPrinted>2018-10-06T09:09:00Z</cp:lastPrinted>
  <dcterms:created xsi:type="dcterms:W3CDTF">2018-10-08T01:06:00Z</dcterms:created>
  <dcterms:modified xsi:type="dcterms:W3CDTF">2018-10-08T01:06:00Z</dcterms:modified>
</cp:coreProperties>
</file>