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7AD" w:rsidRDefault="001C3BFB" w:rsidP="005B34E5">
      <w:pPr>
        <w:jc w:val="right"/>
        <w:rPr>
          <w:szCs w:val="28"/>
          <w:lang w:val="en-US"/>
        </w:rPr>
      </w:pPr>
      <w:r w:rsidRPr="008E6161">
        <w:tab/>
      </w:r>
      <w:r w:rsidRPr="008E6161">
        <w:tab/>
      </w:r>
      <w:r w:rsidRPr="008E6161">
        <w:tab/>
      </w:r>
      <w:r w:rsidRPr="008E6161">
        <w:tab/>
      </w:r>
      <w:r w:rsidRPr="008E6161">
        <w:tab/>
      </w:r>
      <w:r w:rsidRPr="008E6161">
        <w:tab/>
      </w:r>
      <w:r w:rsidRPr="008E6161">
        <w:tab/>
      </w:r>
      <w:bookmarkStart w:id="0" w:name="_GoBack"/>
      <w:r w:rsidR="00CD5885" w:rsidRPr="00E664DE">
        <w:rPr>
          <w:szCs w:val="28"/>
        </w:rPr>
        <w:t xml:space="preserve">HCCM </w:t>
      </w:r>
      <w:r w:rsidR="005D1A66">
        <w:rPr>
          <w:szCs w:val="28"/>
        </w:rPr>
        <w:t>191</w:t>
      </w:r>
      <w:r w:rsidR="00CD5885" w:rsidRPr="00E664DE">
        <w:rPr>
          <w:szCs w:val="28"/>
        </w:rPr>
        <w:t>/202</w:t>
      </w:r>
      <w:r w:rsidR="005D1A66">
        <w:rPr>
          <w:szCs w:val="28"/>
        </w:rPr>
        <w:t>1</w:t>
      </w:r>
      <w:bookmarkEnd w:id="0"/>
    </w:p>
    <w:p w:rsidR="00153CA8" w:rsidRPr="00153CA8" w:rsidRDefault="00153CA8" w:rsidP="005B34E5">
      <w:pPr>
        <w:jc w:val="right"/>
        <w:rPr>
          <w:szCs w:val="28"/>
          <w:lang w:val="en-US"/>
        </w:rPr>
      </w:pPr>
      <w:r w:rsidRPr="00153CA8">
        <w:rPr>
          <w:szCs w:val="28"/>
          <w:lang w:val="en-US"/>
        </w:rPr>
        <w:t>[2021] HKCFI 3586</w:t>
      </w:r>
    </w:p>
    <w:p w:rsidR="00BB4958" w:rsidRPr="008E6161" w:rsidRDefault="00BB4958" w:rsidP="005B34E5">
      <w:pPr>
        <w:pStyle w:val="Header"/>
        <w:tabs>
          <w:tab w:val="clear" w:pos="4320"/>
          <w:tab w:val="clear" w:pos="8640"/>
        </w:tabs>
        <w:overflowPunct/>
        <w:autoSpaceDE/>
        <w:autoSpaceDN/>
        <w:adjustRightInd/>
        <w:snapToGrid w:val="0"/>
        <w:spacing w:line="240" w:lineRule="auto"/>
        <w:textAlignment w:val="auto"/>
        <w:rPr>
          <w:rFonts w:eastAsia="宋体"/>
        </w:rPr>
      </w:pPr>
    </w:p>
    <w:p w:rsidR="00BB4958" w:rsidRPr="008E6161" w:rsidRDefault="00BB4958" w:rsidP="005B34E5">
      <w:pPr>
        <w:pStyle w:val="Header"/>
        <w:tabs>
          <w:tab w:val="clear" w:pos="4320"/>
          <w:tab w:val="clear" w:pos="8640"/>
        </w:tabs>
        <w:overflowPunct/>
        <w:autoSpaceDE/>
        <w:autoSpaceDN/>
        <w:adjustRightInd/>
        <w:snapToGrid w:val="0"/>
        <w:spacing w:line="100" w:lineRule="exact"/>
        <w:textAlignment w:val="auto"/>
        <w:rPr>
          <w:rFonts w:eastAsia="宋体"/>
        </w:rPr>
        <w:sectPr w:rsidR="00BB4958" w:rsidRPr="008E6161" w:rsidSect="005B34E5">
          <w:headerReference w:type="default" r:id="rId8"/>
          <w:footerReference w:type="default" r:id="rId9"/>
          <w:pgSz w:w="11906" w:h="16838" w:code="9"/>
          <w:pgMar w:top="1418" w:right="1701" w:bottom="1418" w:left="1701" w:header="720" w:footer="720" w:gutter="0"/>
          <w:cols w:space="708"/>
          <w:docGrid w:linePitch="380"/>
        </w:sectPr>
      </w:pPr>
    </w:p>
    <w:p w:rsidR="00E43185" w:rsidRDefault="00E43185" w:rsidP="005B34E5">
      <w:pPr>
        <w:snapToGrid w:val="0"/>
        <w:spacing w:line="440" w:lineRule="exact"/>
        <w:jc w:val="center"/>
        <w:rPr>
          <w:b/>
        </w:rPr>
      </w:pPr>
      <w:r w:rsidRPr="008E6161">
        <w:rPr>
          <w:b/>
        </w:rPr>
        <w:t>IN THE HIGH COURT OF THE</w:t>
      </w:r>
    </w:p>
    <w:p w:rsidR="00DA4E1C" w:rsidRPr="00DA4E1C" w:rsidRDefault="00DA4E1C" w:rsidP="005B34E5">
      <w:pPr>
        <w:snapToGrid w:val="0"/>
        <w:spacing w:line="440" w:lineRule="exact"/>
        <w:jc w:val="center"/>
        <w:rPr>
          <w:b/>
        </w:rPr>
      </w:pPr>
      <w:r w:rsidRPr="00DA4E1C">
        <w:rPr>
          <w:b/>
        </w:rPr>
        <w:t>HONG KONG SPECIAL ADMINISTRATIVE REGION</w:t>
      </w:r>
    </w:p>
    <w:p w:rsidR="00E43185" w:rsidRPr="008E6161" w:rsidRDefault="00E43185" w:rsidP="005B34E5">
      <w:pPr>
        <w:snapToGrid w:val="0"/>
        <w:spacing w:line="440" w:lineRule="exact"/>
        <w:jc w:val="center"/>
        <w:rPr>
          <w:b/>
        </w:rPr>
      </w:pPr>
      <w:r w:rsidRPr="008E6161">
        <w:rPr>
          <w:b/>
        </w:rPr>
        <w:t>COURT OF FIRST INSTANCE</w:t>
      </w:r>
    </w:p>
    <w:p w:rsidR="00E43185" w:rsidRPr="008E6161" w:rsidRDefault="00394676" w:rsidP="005B34E5">
      <w:pPr>
        <w:snapToGrid w:val="0"/>
        <w:spacing w:line="440" w:lineRule="exact"/>
        <w:jc w:val="center"/>
        <w:rPr>
          <w:rFonts w:eastAsia="PMingLiU"/>
          <w:lang w:eastAsia="zh-TW"/>
        </w:rPr>
      </w:pPr>
      <w:r>
        <w:rPr>
          <w:color w:val="000000"/>
          <w:szCs w:val="28"/>
        </w:rPr>
        <w:t>CONFIDENTIAL MISCELLANEOUS PROCEEDINGS</w:t>
      </w:r>
      <w:r>
        <w:rPr>
          <w:color w:val="000000"/>
          <w:szCs w:val="28"/>
        </w:rPr>
        <w:br/>
        <w:t xml:space="preserve">NO </w:t>
      </w:r>
      <w:r w:rsidR="005D1A66">
        <w:rPr>
          <w:color w:val="000000"/>
          <w:szCs w:val="28"/>
        </w:rPr>
        <w:t>191</w:t>
      </w:r>
      <w:r>
        <w:rPr>
          <w:color w:val="000000"/>
          <w:szCs w:val="28"/>
        </w:rPr>
        <w:t xml:space="preserve"> OF 20</w:t>
      </w:r>
      <w:r w:rsidR="00CD5885">
        <w:rPr>
          <w:color w:val="000000"/>
          <w:szCs w:val="28"/>
        </w:rPr>
        <w:t>2</w:t>
      </w:r>
      <w:r w:rsidR="005D1A66">
        <w:rPr>
          <w:color w:val="000000"/>
          <w:szCs w:val="28"/>
        </w:rPr>
        <w:t>1</w:t>
      </w:r>
    </w:p>
    <w:p w:rsidR="00132F29" w:rsidRPr="008E6161" w:rsidRDefault="00E43185" w:rsidP="005B34E5">
      <w:pPr>
        <w:snapToGrid w:val="0"/>
        <w:spacing w:after="400"/>
        <w:jc w:val="center"/>
      </w:pPr>
      <w:r w:rsidRPr="008E6161">
        <w:t>_________</w:t>
      </w:r>
      <w:r w:rsidR="00E137AD" w:rsidRPr="008E6161">
        <w:t>___</w:t>
      </w:r>
      <w:r w:rsidRPr="008E6161">
        <w:t>___</w:t>
      </w:r>
    </w:p>
    <w:p w:rsidR="00DD453D" w:rsidRDefault="00C235B8" w:rsidP="005B34E5">
      <w:pPr>
        <w:tabs>
          <w:tab w:val="left" w:pos="900"/>
          <w:tab w:val="left" w:pos="3402"/>
          <w:tab w:val="right" w:pos="8400"/>
        </w:tabs>
        <w:spacing w:after="200"/>
        <w:ind w:left="3402"/>
        <w:rPr>
          <w:rFonts w:eastAsia="PMingLiU"/>
          <w:lang w:eastAsia="zh-TW"/>
        </w:rPr>
      </w:pPr>
      <w:r>
        <w:rPr>
          <w:rFonts w:eastAsia="PMingLiU"/>
          <w:lang w:eastAsia="zh-TW"/>
        </w:rPr>
        <w:t xml:space="preserve">IN THE MATTER of </w:t>
      </w:r>
      <w:r w:rsidR="00EB248A">
        <w:rPr>
          <w:rFonts w:eastAsia="PMingLiU"/>
          <w:lang w:eastAsia="zh-TW"/>
        </w:rPr>
        <w:t xml:space="preserve">Schedule 7 of </w:t>
      </w:r>
      <w:r w:rsidR="006E22BB">
        <w:rPr>
          <w:rFonts w:eastAsia="PMingLiU"/>
          <w:lang w:eastAsia="zh-TW"/>
        </w:rPr>
        <w:t>t</w:t>
      </w:r>
      <w:r w:rsidR="00EB248A">
        <w:rPr>
          <w:rFonts w:eastAsia="PMingLiU"/>
          <w:lang w:eastAsia="zh-TW"/>
        </w:rPr>
        <w:t xml:space="preserve">he Implementation Rules for Article 43 of </w:t>
      </w:r>
      <w:r w:rsidR="006E22BB">
        <w:rPr>
          <w:rFonts w:eastAsia="PMingLiU"/>
          <w:lang w:eastAsia="zh-TW"/>
        </w:rPr>
        <w:t>t</w:t>
      </w:r>
      <w:r w:rsidR="00EB248A">
        <w:rPr>
          <w:rFonts w:eastAsia="PMingLiU"/>
          <w:lang w:eastAsia="zh-TW"/>
        </w:rPr>
        <w:t xml:space="preserve">he Law of </w:t>
      </w:r>
      <w:r w:rsidR="006E22BB">
        <w:rPr>
          <w:rFonts w:eastAsia="PMingLiU"/>
          <w:lang w:eastAsia="zh-TW"/>
        </w:rPr>
        <w:t>t</w:t>
      </w:r>
      <w:r w:rsidR="00EB248A">
        <w:rPr>
          <w:rFonts w:eastAsia="PMingLiU"/>
          <w:lang w:eastAsia="zh-TW"/>
        </w:rPr>
        <w:t>he People’s Republic of China on Safeguarding National Security in the Hong</w:t>
      </w:r>
      <w:r w:rsidR="00104CE7">
        <w:rPr>
          <w:rFonts w:eastAsia="PMingLiU"/>
          <w:lang w:eastAsia="zh-TW"/>
        </w:rPr>
        <w:t> </w:t>
      </w:r>
      <w:r w:rsidR="00EB248A">
        <w:rPr>
          <w:rFonts w:eastAsia="PMingLiU"/>
          <w:lang w:eastAsia="zh-TW"/>
        </w:rPr>
        <w:t>Kong Special Administrative Region</w:t>
      </w:r>
    </w:p>
    <w:p w:rsidR="0039072B" w:rsidRPr="008E6161" w:rsidRDefault="0039072B" w:rsidP="005B34E5">
      <w:pPr>
        <w:snapToGrid w:val="0"/>
        <w:jc w:val="center"/>
      </w:pPr>
      <w:r w:rsidRPr="008E6161">
        <w:t>_______________</w:t>
      </w:r>
    </w:p>
    <w:p w:rsidR="00C235B8" w:rsidRPr="00C235B8" w:rsidRDefault="00C235B8" w:rsidP="005B34E5">
      <w:pPr>
        <w:tabs>
          <w:tab w:val="left" w:pos="560"/>
          <w:tab w:val="center" w:pos="4480"/>
          <w:tab w:val="right" w:pos="8453"/>
          <w:tab w:val="right" w:pos="8640"/>
          <w:tab w:val="right" w:pos="8820"/>
        </w:tabs>
        <w:snapToGrid w:val="0"/>
        <w:ind w:right="-374"/>
        <w:jc w:val="left"/>
        <w:rPr>
          <w:kern w:val="0"/>
        </w:rPr>
      </w:pPr>
      <w:r w:rsidRPr="00C235B8">
        <w:rPr>
          <w:rFonts w:hint="eastAsia"/>
          <w:kern w:val="0"/>
        </w:rPr>
        <w:t>BETWEEN</w:t>
      </w:r>
    </w:p>
    <w:p w:rsidR="00C235B8" w:rsidRPr="00C235B8" w:rsidRDefault="00C235B8" w:rsidP="00E74B94">
      <w:pPr>
        <w:tabs>
          <w:tab w:val="left" w:pos="1440"/>
          <w:tab w:val="center" w:pos="4111"/>
          <w:tab w:val="right" w:pos="8453"/>
        </w:tabs>
        <w:snapToGrid w:val="0"/>
        <w:jc w:val="left"/>
        <w:rPr>
          <w:kern w:val="0"/>
        </w:rPr>
      </w:pPr>
    </w:p>
    <w:p w:rsidR="00C235B8" w:rsidRDefault="00C235B8" w:rsidP="00E74B94">
      <w:pPr>
        <w:tabs>
          <w:tab w:val="center" w:pos="4111"/>
          <w:tab w:val="left" w:pos="6946"/>
          <w:tab w:val="right" w:pos="8505"/>
        </w:tabs>
        <w:snapToGrid w:val="0"/>
        <w:ind w:right="-193"/>
        <w:jc w:val="left"/>
        <w:rPr>
          <w:kern w:val="0"/>
        </w:rPr>
      </w:pPr>
      <w:r w:rsidRPr="00C235B8">
        <w:rPr>
          <w:rFonts w:hint="eastAsia"/>
          <w:kern w:val="0"/>
        </w:rPr>
        <w:tab/>
      </w:r>
      <w:r w:rsidR="00FF352C">
        <w:rPr>
          <w:kern w:val="0"/>
        </w:rPr>
        <w:t>J</w:t>
      </w:r>
      <w:r w:rsidRPr="00C235B8">
        <w:rPr>
          <w:rFonts w:hint="eastAsia"/>
          <w:kern w:val="0"/>
        </w:rPr>
        <w:tab/>
      </w:r>
      <w:r w:rsidR="00EB248A">
        <w:rPr>
          <w:kern w:val="0"/>
        </w:rPr>
        <w:t>1</w:t>
      </w:r>
      <w:r w:rsidR="00EB248A" w:rsidRPr="00EB248A">
        <w:rPr>
          <w:kern w:val="0"/>
          <w:vertAlign w:val="superscript"/>
        </w:rPr>
        <w:t>st</w:t>
      </w:r>
      <w:r w:rsidR="00EB248A">
        <w:rPr>
          <w:kern w:val="0"/>
        </w:rPr>
        <w:t xml:space="preserve"> </w:t>
      </w:r>
      <w:r w:rsidRPr="00C235B8">
        <w:rPr>
          <w:kern w:val="0"/>
        </w:rPr>
        <w:t>Ap</w:t>
      </w:r>
      <w:r w:rsidRPr="00C235B8">
        <w:rPr>
          <w:rFonts w:hint="eastAsia"/>
          <w:kern w:val="0"/>
        </w:rPr>
        <w:t>plicant</w:t>
      </w:r>
    </w:p>
    <w:p w:rsidR="00EB248A" w:rsidRPr="00C235B8" w:rsidRDefault="00EB248A" w:rsidP="00E74B94">
      <w:pPr>
        <w:tabs>
          <w:tab w:val="center" w:pos="4111"/>
          <w:tab w:val="right" w:pos="8820"/>
        </w:tabs>
        <w:snapToGrid w:val="0"/>
        <w:ind w:right="-374"/>
        <w:jc w:val="left"/>
        <w:rPr>
          <w:spacing w:val="-2"/>
          <w:kern w:val="0"/>
        </w:rPr>
      </w:pPr>
    </w:p>
    <w:p w:rsidR="00C235B8" w:rsidRDefault="00C235B8" w:rsidP="00E74B94">
      <w:pPr>
        <w:tabs>
          <w:tab w:val="center" w:pos="4111"/>
          <w:tab w:val="left" w:pos="6946"/>
        </w:tabs>
        <w:snapToGrid w:val="0"/>
        <w:ind w:right="-193"/>
        <w:jc w:val="left"/>
        <w:rPr>
          <w:spacing w:val="-2"/>
          <w:kern w:val="0"/>
        </w:rPr>
      </w:pPr>
      <w:r w:rsidRPr="00C235B8">
        <w:rPr>
          <w:rFonts w:hint="eastAsia"/>
          <w:spacing w:val="-2"/>
          <w:kern w:val="0"/>
        </w:rPr>
        <w:tab/>
      </w:r>
      <w:r w:rsidR="00FF352C">
        <w:rPr>
          <w:spacing w:val="-2"/>
          <w:kern w:val="0"/>
        </w:rPr>
        <w:t>H</w:t>
      </w:r>
      <w:r w:rsidR="00E46124">
        <w:rPr>
          <w:spacing w:val="-2"/>
          <w:kern w:val="0"/>
        </w:rPr>
        <w:tab/>
      </w:r>
      <w:r w:rsidR="00EB248A">
        <w:rPr>
          <w:spacing w:val="-2"/>
          <w:kern w:val="0"/>
        </w:rPr>
        <w:t>2</w:t>
      </w:r>
      <w:r w:rsidR="00EB248A" w:rsidRPr="00EB248A">
        <w:rPr>
          <w:spacing w:val="-2"/>
          <w:kern w:val="0"/>
          <w:vertAlign w:val="superscript"/>
        </w:rPr>
        <w:t>nd</w:t>
      </w:r>
      <w:r w:rsidR="00EB248A">
        <w:rPr>
          <w:spacing w:val="-2"/>
          <w:kern w:val="0"/>
        </w:rPr>
        <w:t xml:space="preserve"> Applicant</w:t>
      </w:r>
    </w:p>
    <w:p w:rsidR="00DF7405" w:rsidRDefault="00DF7405" w:rsidP="00E74B94">
      <w:pPr>
        <w:tabs>
          <w:tab w:val="center" w:pos="4111"/>
          <w:tab w:val="left" w:pos="6946"/>
        </w:tabs>
        <w:snapToGrid w:val="0"/>
        <w:ind w:right="-193"/>
        <w:jc w:val="left"/>
        <w:rPr>
          <w:spacing w:val="-2"/>
          <w:kern w:val="0"/>
        </w:rPr>
      </w:pPr>
    </w:p>
    <w:p w:rsidR="00DF7405" w:rsidRDefault="00DF7405" w:rsidP="00E74B94">
      <w:pPr>
        <w:tabs>
          <w:tab w:val="center" w:pos="4111"/>
          <w:tab w:val="left" w:pos="6946"/>
        </w:tabs>
        <w:snapToGrid w:val="0"/>
        <w:ind w:right="-193"/>
        <w:jc w:val="left"/>
        <w:rPr>
          <w:spacing w:val="-2"/>
          <w:kern w:val="0"/>
        </w:rPr>
      </w:pPr>
      <w:r>
        <w:rPr>
          <w:spacing w:val="-2"/>
          <w:kern w:val="0"/>
        </w:rPr>
        <w:tab/>
      </w:r>
      <w:r w:rsidR="00FF352C">
        <w:rPr>
          <w:spacing w:val="-2"/>
          <w:kern w:val="0"/>
        </w:rPr>
        <w:t>N</w:t>
      </w:r>
      <w:r>
        <w:rPr>
          <w:spacing w:val="-2"/>
          <w:kern w:val="0"/>
        </w:rPr>
        <w:tab/>
        <w:t>3</w:t>
      </w:r>
      <w:r w:rsidRPr="00DF7405">
        <w:rPr>
          <w:spacing w:val="-2"/>
          <w:kern w:val="0"/>
          <w:vertAlign w:val="superscript"/>
        </w:rPr>
        <w:t>rd</w:t>
      </w:r>
      <w:r>
        <w:rPr>
          <w:spacing w:val="-2"/>
          <w:kern w:val="0"/>
        </w:rPr>
        <w:t xml:space="preserve"> Applicant</w:t>
      </w:r>
    </w:p>
    <w:p w:rsidR="00DF7405" w:rsidRDefault="00DF7405" w:rsidP="00E74B94">
      <w:pPr>
        <w:tabs>
          <w:tab w:val="center" w:pos="4111"/>
          <w:tab w:val="left" w:pos="6946"/>
        </w:tabs>
        <w:snapToGrid w:val="0"/>
        <w:ind w:right="-193"/>
        <w:jc w:val="left"/>
        <w:rPr>
          <w:spacing w:val="-2"/>
          <w:kern w:val="0"/>
        </w:rPr>
      </w:pPr>
    </w:p>
    <w:p w:rsidR="00DF7405" w:rsidRDefault="00DF7405" w:rsidP="00E74B94">
      <w:pPr>
        <w:tabs>
          <w:tab w:val="center" w:pos="4111"/>
          <w:tab w:val="left" w:pos="6946"/>
        </w:tabs>
        <w:snapToGrid w:val="0"/>
        <w:ind w:right="-193"/>
        <w:jc w:val="left"/>
        <w:rPr>
          <w:spacing w:val="-2"/>
          <w:kern w:val="0"/>
        </w:rPr>
      </w:pPr>
      <w:r>
        <w:rPr>
          <w:spacing w:val="-2"/>
          <w:kern w:val="0"/>
        </w:rPr>
        <w:tab/>
      </w:r>
      <w:r w:rsidR="00FF352C">
        <w:rPr>
          <w:spacing w:val="-2"/>
          <w:kern w:val="0"/>
        </w:rPr>
        <w:t>C</w:t>
      </w:r>
      <w:r>
        <w:rPr>
          <w:spacing w:val="-2"/>
          <w:kern w:val="0"/>
        </w:rPr>
        <w:tab/>
        <w:t>4</w:t>
      </w:r>
      <w:r w:rsidRPr="00DF7405">
        <w:rPr>
          <w:spacing w:val="-2"/>
          <w:kern w:val="0"/>
          <w:vertAlign w:val="superscript"/>
        </w:rPr>
        <w:t>th</w:t>
      </w:r>
      <w:r>
        <w:rPr>
          <w:spacing w:val="-2"/>
          <w:kern w:val="0"/>
        </w:rPr>
        <w:t xml:space="preserve"> Applicant</w:t>
      </w:r>
    </w:p>
    <w:p w:rsidR="00DF7405" w:rsidRDefault="00DF7405" w:rsidP="00E74B94">
      <w:pPr>
        <w:tabs>
          <w:tab w:val="center" w:pos="4111"/>
          <w:tab w:val="left" w:pos="6946"/>
        </w:tabs>
        <w:snapToGrid w:val="0"/>
        <w:ind w:right="-193"/>
        <w:jc w:val="left"/>
        <w:rPr>
          <w:spacing w:val="-2"/>
          <w:kern w:val="0"/>
        </w:rPr>
      </w:pPr>
    </w:p>
    <w:p w:rsidR="00DF7405" w:rsidRPr="00C235B8" w:rsidRDefault="00DF7405" w:rsidP="00E74B94">
      <w:pPr>
        <w:tabs>
          <w:tab w:val="center" w:pos="4111"/>
          <w:tab w:val="left" w:pos="6946"/>
        </w:tabs>
        <w:snapToGrid w:val="0"/>
        <w:ind w:right="-193"/>
        <w:jc w:val="left"/>
        <w:rPr>
          <w:spacing w:val="-2"/>
          <w:kern w:val="0"/>
        </w:rPr>
      </w:pPr>
      <w:r>
        <w:rPr>
          <w:spacing w:val="-2"/>
          <w:kern w:val="0"/>
        </w:rPr>
        <w:tab/>
      </w:r>
      <w:r w:rsidR="00FF352C">
        <w:rPr>
          <w:spacing w:val="-2"/>
          <w:kern w:val="0"/>
        </w:rPr>
        <w:t>D</w:t>
      </w:r>
      <w:r>
        <w:rPr>
          <w:spacing w:val="-2"/>
          <w:kern w:val="0"/>
        </w:rPr>
        <w:tab/>
        <w:t>5</w:t>
      </w:r>
      <w:r w:rsidRPr="00DF7405">
        <w:rPr>
          <w:spacing w:val="-2"/>
          <w:kern w:val="0"/>
          <w:vertAlign w:val="superscript"/>
        </w:rPr>
        <w:t>th</w:t>
      </w:r>
      <w:r>
        <w:rPr>
          <w:spacing w:val="-2"/>
          <w:kern w:val="0"/>
        </w:rPr>
        <w:t xml:space="preserve"> Applicant</w:t>
      </w:r>
    </w:p>
    <w:p w:rsidR="00C235B8" w:rsidRPr="00C235B8" w:rsidRDefault="00C235B8" w:rsidP="00E74B94">
      <w:pPr>
        <w:tabs>
          <w:tab w:val="left" w:pos="1440"/>
          <w:tab w:val="center" w:pos="4111"/>
          <w:tab w:val="right" w:pos="8505"/>
        </w:tabs>
        <w:snapToGrid w:val="0"/>
        <w:ind w:right="-193"/>
        <w:jc w:val="left"/>
        <w:rPr>
          <w:kern w:val="0"/>
        </w:rPr>
      </w:pPr>
    </w:p>
    <w:p w:rsidR="00C235B8" w:rsidRPr="00C235B8" w:rsidRDefault="00C235B8" w:rsidP="00E74B94">
      <w:pPr>
        <w:tabs>
          <w:tab w:val="center" w:pos="4111"/>
          <w:tab w:val="right" w:pos="8453"/>
          <w:tab w:val="right" w:pos="8640"/>
          <w:tab w:val="right" w:pos="8820"/>
          <w:tab w:val="right" w:pos="8960"/>
        </w:tabs>
        <w:snapToGrid w:val="0"/>
        <w:ind w:right="-374"/>
        <w:jc w:val="left"/>
        <w:rPr>
          <w:kern w:val="0"/>
        </w:rPr>
      </w:pPr>
      <w:r w:rsidRPr="00C235B8">
        <w:rPr>
          <w:rFonts w:hint="eastAsia"/>
          <w:kern w:val="0"/>
        </w:rPr>
        <w:tab/>
        <w:t>and</w:t>
      </w:r>
    </w:p>
    <w:p w:rsidR="00C235B8" w:rsidRPr="00C235B8" w:rsidRDefault="00C235B8" w:rsidP="00E74B94">
      <w:pPr>
        <w:tabs>
          <w:tab w:val="left" w:pos="1440"/>
          <w:tab w:val="center" w:pos="4111"/>
          <w:tab w:val="right" w:pos="8453"/>
          <w:tab w:val="right" w:pos="8640"/>
        </w:tabs>
        <w:snapToGrid w:val="0"/>
        <w:jc w:val="left"/>
        <w:rPr>
          <w:kern w:val="0"/>
        </w:rPr>
      </w:pPr>
    </w:p>
    <w:p w:rsidR="00C235B8" w:rsidRPr="00C235B8" w:rsidRDefault="00C235B8" w:rsidP="00E74B94">
      <w:pPr>
        <w:tabs>
          <w:tab w:val="left" w:pos="1440"/>
          <w:tab w:val="center" w:pos="4111"/>
          <w:tab w:val="left" w:pos="7230"/>
          <w:tab w:val="right" w:pos="8505"/>
        </w:tabs>
        <w:snapToGrid w:val="0"/>
        <w:spacing w:after="200"/>
        <w:ind w:right="-193"/>
        <w:jc w:val="left"/>
        <w:rPr>
          <w:spacing w:val="-10"/>
          <w:kern w:val="0"/>
        </w:rPr>
      </w:pPr>
      <w:r w:rsidRPr="00C235B8">
        <w:rPr>
          <w:rFonts w:hint="eastAsia"/>
          <w:kern w:val="0"/>
        </w:rPr>
        <w:tab/>
      </w:r>
      <w:r w:rsidRPr="00C235B8">
        <w:rPr>
          <w:rFonts w:hint="eastAsia"/>
          <w:kern w:val="0"/>
        </w:rPr>
        <w:tab/>
      </w:r>
      <w:r w:rsidR="00EB248A">
        <w:rPr>
          <w:kern w:val="0"/>
        </w:rPr>
        <w:t>Commissioner of Police</w:t>
      </w:r>
      <w:r w:rsidRPr="00C235B8">
        <w:rPr>
          <w:rFonts w:hint="eastAsia"/>
          <w:kern w:val="0"/>
        </w:rPr>
        <w:tab/>
      </w:r>
      <w:r w:rsidRPr="00C235B8">
        <w:rPr>
          <w:rFonts w:hint="eastAsia"/>
          <w:spacing w:val="-10"/>
          <w:kern w:val="0"/>
        </w:rPr>
        <w:t>Respondent</w:t>
      </w:r>
    </w:p>
    <w:p w:rsidR="00671EBA" w:rsidRPr="008E6161" w:rsidRDefault="00671EBA" w:rsidP="005B34E5">
      <w:pPr>
        <w:snapToGrid w:val="0"/>
        <w:jc w:val="center"/>
      </w:pPr>
      <w:r w:rsidRPr="008E6161">
        <w:t>_______________</w:t>
      </w:r>
    </w:p>
    <w:p w:rsidR="00C235B8" w:rsidRPr="008E6161" w:rsidRDefault="00C235B8" w:rsidP="005B34E5">
      <w:pPr>
        <w:tabs>
          <w:tab w:val="center" w:pos="4156"/>
        </w:tabs>
        <w:snapToGrid w:val="0"/>
        <w:spacing w:after="120"/>
        <w:ind w:right="-477"/>
        <w:jc w:val="left"/>
      </w:pPr>
      <w:r>
        <w:rPr>
          <w:rFonts w:eastAsia="PMingLiU"/>
          <w:lang w:eastAsia="zh-TW"/>
        </w:rPr>
        <w:tab/>
      </w:r>
    </w:p>
    <w:p w:rsidR="001C3BFB" w:rsidRPr="008E6161" w:rsidRDefault="00747A21" w:rsidP="005B34E5">
      <w:pPr>
        <w:spacing w:line="360" w:lineRule="auto"/>
      </w:pPr>
      <w:r w:rsidRPr="008E6161">
        <w:t xml:space="preserve">Before: </w:t>
      </w:r>
      <w:r w:rsidR="00425D19" w:rsidRPr="008E6161">
        <w:t xml:space="preserve"> </w:t>
      </w:r>
      <w:r w:rsidR="007275F4" w:rsidRPr="008E6161">
        <w:t xml:space="preserve">Hon </w:t>
      </w:r>
      <w:r w:rsidR="00CD5885">
        <w:t>Alex Lee</w:t>
      </w:r>
      <w:r w:rsidR="007275F4" w:rsidRPr="008E6161">
        <w:t xml:space="preserve"> J </w:t>
      </w:r>
      <w:r w:rsidR="007275F4" w:rsidRPr="00492C71">
        <w:t>in C</w:t>
      </w:r>
      <w:r w:rsidR="006176D5" w:rsidRPr="00492C71">
        <w:t>hambers</w:t>
      </w:r>
      <w:r w:rsidR="002C724D" w:rsidRPr="00492C71">
        <w:t xml:space="preserve"> </w:t>
      </w:r>
      <w:r w:rsidR="00DA03AC">
        <w:t>(</w:t>
      </w:r>
      <w:r w:rsidR="002C724D" w:rsidRPr="00492C71">
        <w:t>Not open to public</w:t>
      </w:r>
      <w:r w:rsidR="00DA03AC">
        <w:t>)</w:t>
      </w:r>
      <w:r w:rsidR="002C724D">
        <w:t xml:space="preserve"> </w:t>
      </w:r>
    </w:p>
    <w:p w:rsidR="001C3BFB" w:rsidRDefault="00747A21" w:rsidP="005B34E5">
      <w:pPr>
        <w:spacing w:line="360" w:lineRule="auto"/>
      </w:pPr>
      <w:r w:rsidRPr="008E6161">
        <w:t>Date</w:t>
      </w:r>
      <w:r w:rsidR="00603654" w:rsidRPr="008E6161">
        <w:t xml:space="preserve"> </w:t>
      </w:r>
      <w:r w:rsidRPr="008E6161">
        <w:t xml:space="preserve">of Hearing: </w:t>
      </w:r>
      <w:r w:rsidR="00DF7405">
        <w:t>27 October</w:t>
      </w:r>
      <w:r w:rsidR="00EB248A">
        <w:t xml:space="preserve"> 2021</w:t>
      </w:r>
    </w:p>
    <w:p w:rsidR="00CD0EE4" w:rsidRPr="00153CA8" w:rsidRDefault="00522699" w:rsidP="00153CA8">
      <w:pPr>
        <w:spacing w:after="180" w:line="360" w:lineRule="auto"/>
      </w:pPr>
      <w:r>
        <w:t xml:space="preserve">Date of Ruling: </w:t>
      </w:r>
      <w:r w:rsidR="0031092D" w:rsidRPr="0031092D">
        <w:rPr>
          <w:rFonts w:eastAsia="PMingLiU"/>
          <w:lang w:val="en-US" w:eastAsia="zh-TW"/>
        </w:rPr>
        <w:t>29</w:t>
      </w:r>
      <w:r w:rsidR="0031092D">
        <w:rPr>
          <w:rFonts w:eastAsia="PMingLiU"/>
          <w:lang w:val="en-US" w:eastAsia="zh-TW"/>
        </w:rPr>
        <w:t xml:space="preserve"> November </w:t>
      </w:r>
      <w:r w:rsidR="00EB248A" w:rsidRPr="0031092D">
        <w:t>2021</w:t>
      </w:r>
    </w:p>
    <w:tbl>
      <w:tblPr>
        <w:tblW w:w="0" w:type="auto"/>
        <w:jc w:val="center"/>
        <w:tblBorders>
          <w:top w:val="single" w:sz="4" w:space="0" w:color="auto"/>
          <w:bottom w:val="single" w:sz="4" w:space="0" w:color="auto"/>
        </w:tblBorders>
        <w:tblLook w:val="04A0" w:firstRow="1" w:lastRow="0" w:firstColumn="1" w:lastColumn="0" w:noHBand="0" w:noVBand="1"/>
      </w:tblPr>
      <w:tblGrid>
        <w:gridCol w:w="1274"/>
      </w:tblGrid>
      <w:tr w:rsidR="00CD0EE4" w:rsidRPr="008E6161" w:rsidTr="0034406E">
        <w:trPr>
          <w:jc w:val="center"/>
        </w:trPr>
        <w:tc>
          <w:tcPr>
            <w:tcW w:w="0" w:type="auto"/>
            <w:shd w:val="clear" w:color="auto" w:fill="auto"/>
            <w:vAlign w:val="center"/>
          </w:tcPr>
          <w:p w:rsidR="00CD0EE4" w:rsidRPr="008E6161" w:rsidRDefault="00CD5885" w:rsidP="005B34E5">
            <w:pPr>
              <w:spacing w:before="100" w:after="100"/>
              <w:jc w:val="center"/>
              <w:rPr>
                <w:rFonts w:eastAsia="PMingLiU"/>
                <w:lang w:eastAsia="zh-TW"/>
              </w:rPr>
            </w:pPr>
            <w:r>
              <w:rPr>
                <w:rFonts w:eastAsia="PMingLiU"/>
                <w:lang w:eastAsia="zh-TW"/>
              </w:rPr>
              <w:t>RULING</w:t>
            </w:r>
            <w:r w:rsidR="006176D5">
              <w:rPr>
                <w:rFonts w:eastAsia="PMingLiU"/>
                <w:lang w:eastAsia="zh-TW"/>
              </w:rPr>
              <w:t xml:space="preserve"> </w:t>
            </w:r>
          </w:p>
        </w:tc>
      </w:tr>
    </w:tbl>
    <w:p w:rsidR="00CD5885" w:rsidRPr="00BC6E15" w:rsidRDefault="00CD5885" w:rsidP="005B34E5">
      <w:pPr>
        <w:pStyle w:val="H-1"/>
        <w:spacing w:before="360" w:line="360" w:lineRule="auto"/>
        <w:rPr>
          <w:i w:val="0"/>
          <w:u w:val="single"/>
        </w:rPr>
      </w:pPr>
      <w:r w:rsidRPr="00BC6E15">
        <w:rPr>
          <w:i w:val="0"/>
          <w:u w:val="single"/>
        </w:rPr>
        <w:lastRenderedPageBreak/>
        <w:t>Introduction</w:t>
      </w:r>
    </w:p>
    <w:p w:rsidR="0017482B" w:rsidRDefault="00923878" w:rsidP="00467F79">
      <w:pPr>
        <w:pStyle w:val="Final"/>
      </w:pPr>
      <w:r>
        <w:tab/>
      </w:r>
      <w:r w:rsidR="00AB5ECA" w:rsidRPr="00AF6317">
        <w:t xml:space="preserve">This is about </w:t>
      </w:r>
      <w:r w:rsidR="006A2083">
        <w:t xml:space="preserve">the </w:t>
      </w:r>
      <w:r w:rsidR="00AB5ECA" w:rsidRPr="00AF6317">
        <w:t>two s</w:t>
      </w:r>
      <w:r w:rsidR="00EB248A" w:rsidRPr="00AF6317">
        <w:t>ummons</w:t>
      </w:r>
      <w:r w:rsidR="00AB5ECA" w:rsidRPr="00AF6317">
        <w:t>es</w:t>
      </w:r>
      <w:r w:rsidR="00AB5ECA" w:rsidRPr="00AF6317">
        <w:rPr>
          <w:rStyle w:val="FootnoteReference"/>
        </w:rPr>
        <w:footnoteReference w:id="1"/>
      </w:r>
      <w:r w:rsidR="00AB5ECA" w:rsidRPr="00AF6317">
        <w:t xml:space="preserve"> taken out by the </w:t>
      </w:r>
      <w:r w:rsidR="00EB248A" w:rsidRPr="00AF6317">
        <w:t>Applicants</w:t>
      </w:r>
      <w:r w:rsidR="0017482B">
        <w:t xml:space="preserve"> for: </w:t>
      </w:r>
    </w:p>
    <w:p w:rsidR="0017482B" w:rsidRPr="00664583" w:rsidRDefault="0017482B" w:rsidP="005B34E5">
      <w:pPr>
        <w:pStyle w:val="Hanging"/>
        <w:numPr>
          <w:ilvl w:val="0"/>
          <w:numId w:val="30"/>
        </w:numPr>
        <w:spacing w:before="160" w:after="160" w:line="360" w:lineRule="auto"/>
        <w:ind w:hanging="731"/>
      </w:pPr>
      <w:r w:rsidRPr="00664583">
        <w:t>variation of Production Orders (“</w:t>
      </w:r>
      <w:r w:rsidRPr="00664583">
        <w:rPr>
          <w:b/>
          <w:bCs/>
        </w:rPr>
        <w:t>POs</w:t>
      </w:r>
      <w:r w:rsidRPr="00664583">
        <w:t xml:space="preserve">”) granted </w:t>
      </w:r>
      <w:r>
        <w:t xml:space="preserve">by </w:t>
      </w:r>
      <w:r w:rsidRPr="00664583">
        <w:t xml:space="preserve">this Court against each of the </w:t>
      </w:r>
      <w:r w:rsidR="00446C11">
        <w:t>A</w:t>
      </w:r>
      <w:r>
        <w:t>pplicant</w:t>
      </w:r>
      <w:r w:rsidRPr="00664583">
        <w:t>s on 27 Aug</w:t>
      </w:r>
      <w:r w:rsidR="00467F79">
        <w:t>ust</w:t>
      </w:r>
      <w:r w:rsidRPr="00664583">
        <w:t xml:space="preserve"> 2021 (“</w:t>
      </w:r>
      <w:r w:rsidRPr="00664583">
        <w:rPr>
          <w:b/>
          <w:bCs/>
        </w:rPr>
        <w:t>Variation Summons</w:t>
      </w:r>
      <w:r w:rsidRPr="00664583">
        <w:t>”)</w:t>
      </w:r>
      <w:r>
        <w:rPr>
          <w:rStyle w:val="FootnoteReference"/>
          <w:szCs w:val="28"/>
        </w:rPr>
        <w:footnoteReference w:id="2"/>
      </w:r>
      <w:r w:rsidRPr="00664583">
        <w:t>;</w:t>
      </w:r>
      <w:r>
        <w:t xml:space="preserve"> and</w:t>
      </w:r>
    </w:p>
    <w:p w:rsidR="001E3E5C" w:rsidRDefault="0017482B" w:rsidP="005B34E5">
      <w:pPr>
        <w:pStyle w:val="Hanging"/>
        <w:numPr>
          <w:ilvl w:val="0"/>
          <w:numId w:val="30"/>
        </w:numPr>
        <w:spacing w:before="160" w:after="160" w:line="360" w:lineRule="auto"/>
        <w:ind w:hanging="731"/>
      </w:pPr>
      <w:r w:rsidRPr="00664583">
        <w:t xml:space="preserve">extension of time for compliance with the POs within 14 days of the final determination of the Variation </w:t>
      </w:r>
      <w:r w:rsidRPr="00664583">
        <w:rPr>
          <w:lang w:eastAsia="zh-TW"/>
        </w:rPr>
        <w:t>Summons</w:t>
      </w:r>
      <w:r w:rsidRPr="00664583">
        <w:t xml:space="preserve"> (“</w:t>
      </w:r>
      <w:r>
        <w:rPr>
          <w:b/>
          <w:bCs/>
        </w:rPr>
        <w:t>Time</w:t>
      </w:r>
      <w:r w:rsidRPr="00664583">
        <w:rPr>
          <w:b/>
          <w:bCs/>
        </w:rPr>
        <w:t xml:space="preserve"> Summons</w:t>
      </w:r>
      <w:r w:rsidRPr="00664583">
        <w:t>”)</w:t>
      </w:r>
      <w:r>
        <w:rPr>
          <w:rStyle w:val="FootnoteReference"/>
          <w:szCs w:val="28"/>
        </w:rPr>
        <w:footnoteReference w:id="3"/>
      </w:r>
      <w:r w:rsidRPr="00664583">
        <w:t>.</w:t>
      </w:r>
    </w:p>
    <w:p w:rsidR="00515EE2" w:rsidRPr="001E3E5C" w:rsidRDefault="00923878" w:rsidP="00467F79">
      <w:pPr>
        <w:pStyle w:val="Final"/>
      </w:pPr>
      <w:r>
        <w:t>T</w:t>
      </w:r>
      <w:r w:rsidR="001E3E5C">
        <w:t xml:space="preserve">he POs were granted </w:t>
      </w:r>
      <w:r w:rsidR="00BC2432">
        <w:t xml:space="preserve">to the Respondent </w:t>
      </w:r>
      <w:r w:rsidR="001E3E5C">
        <w:t xml:space="preserve">pursuant to s 3(2) of </w:t>
      </w:r>
      <w:r w:rsidR="00616276">
        <w:t>Schedule</w:t>
      </w:r>
      <w:r w:rsidR="001E3E5C">
        <w:t xml:space="preserve"> 7 to the Implementation Rules (</w:t>
      </w:r>
      <w:r w:rsidR="0071291D">
        <w:t>“</w:t>
      </w:r>
      <w:proofErr w:type="spellStart"/>
      <w:r w:rsidR="0071291D" w:rsidRPr="001E3E5C">
        <w:rPr>
          <w:b/>
        </w:rPr>
        <w:t>Sch</w:t>
      </w:r>
      <w:proofErr w:type="spellEnd"/>
      <w:r w:rsidR="0071291D" w:rsidRPr="001E3E5C">
        <w:rPr>
          <w:b/>
        </w:rPr>
        <w:t xml:space="preserve"> 7</w:t>
      </w:r>
      <w:r w:rsidR="0071291D">
        <w:t xml:space="preserve">”; </w:t>
      </w:r>
      <w:r w:rsidR="001E3E5C">
        <w:t>“</w:t>
      </w:r>
      <w:r w:rsidR="001E3E5C" w:rsidRPr="001E3E5C">
        <w:rPr>
          <w:b/>
        </w:rPr>
        <w:t>IR</w:t>
      </w:r>
      <w:r w:rsidR="001E3E5C">
        <w:t>”) made under Article 43 of the Law of the People’s Republic of China of Safeguarding National Security in the Hong Kong Special Administrative Region (“</w:t>
      </w:r>
      <w:r w:rsidR="001E3E5C" w:rsidRPr="001E3E5C">
        <w:rPr>
          <w:b/>
        </w:rPr>
        <w:t>NSL</w:t>
      </w:r>
      <w:r w:rsidR="001E3E5C">
        <w:t xml:space="preserve">”).  </w:t>
      </w:r>
      <w:r w:rsidR="00157C06">
        <w:t>O</w:t>
      </w:r>
      <w:r w:rsidR="00157C06" w:rsidRPr="001E3E5C">
        <w:t>n 1 Sep</w:t>
      </w:r>
      <w:r w:rsidR="00467F79">
        <w:t>tember</w:t>
      </w:r>
      <w:r w:rsidR="00157C06" w:rsidRPr="001E3E5C">
        <w:t xml:space="preserve"> 2021</w:t>
      </w:r>
      <w:r w:rsidR="00157C06">
        <w:t>, the POs</w:t>
      </w:r>
      <w:r w:rsidR="001E3E5C">
        <w:t xml:space="preserve"> were served on </w:t>
      </w:r>
      <w:r w:rsidR="00157C06">
        <w:t>A</w:t>
      </w:r>
      <w:r w:rsidR="001E3E5C">
        <w:t>pplicant</w:t>
      </w:r>
      <w:r w:rsidR="001E3E5C" w:rsidRPr="001E3E5C">
        <w:t>s</w:t>
      </w:r>
      <w:r w:rsidR="001E3E5C">
        <w:t xml:space="preserve"> who were given 7 days for </w:t>
      </w:r>
      <w:r w:rsidR="001E3E5C" w:rsidRPr="001E3E5C">
        <w:t>compliance.</w:t>
      </w:r>
    </w:p>
    <w:p w:rsidR="002D3726" w:rsidRDefault="00334CF9" w:rsidP="00467F79">
      <w:pPr>
        <w:pStyle w:val="Final"/>
      </w:pPr>
      <w:r>
        <w:t xml:space="preserve">The </w:t>
      </w:r>
      <w:r w:rsidR="001E3E5C" w:rsidRPr="00664583">
        <w:t>PO</w:t>
      </w:r>
      <w:r>
        <w:t>s</w:t>
      </w:r>
      <w:r w:rsidR="001E3E5C" w:rsidRPr="00664583">
        <w:t xml:space="preserve"> are </w:t>
      </w:r>
      <w:r w:rsidR="00157C06">
        <w:t xml:space="preserve">all made </w:t>
      </w:r>
      <w:r>
        <w:t>in identical terms by which</w:t>
      </w:r>
      <w:r w:rsidR="00157C06">
        <w:t xml:space="preserve"> each of</w:t>
      </w:r>
      <w:r>
        <w:t xml:space="preserve"> the</w:t>
      </w:r>
      <w:r w:rsidR="00616276">
        <w:t> </w:t>
      </w:r>
      <w:r w:rsidR="005D33C9">
        <w:t>A</w:t>
      </w:r>
      <w:r>
        <w:t xml:space="preserve">pplicants, being </w:t>
      </w:r>
      <w:r w:rsidR="00FF352C">
        <w:t>trustee of</w:t>
      </w:r>
      <w:r w:rsidR="001E3E5C" w:rsidRPr="00664583">
        <w:t xml:space="preserve"> </w:t>
      </w:r>
      <w:r w:rsidR="00FF352C" w:rsidRPr="00FF352C">
        <w:t>[</w:t>
      </w:r>
      <w:r w:rsidR="00FF352C">
        <w:t>the Association]</w:t>
      </w:r>
      <w:r w:rsidRPr="00FF352C">
        <w:t>,</w:t>
      </w:r>
      <w:r>
        <w:t xml:space="preserve"> </w:t>
      </w:r>
      <w:r w:rsidR="0071291D">
        <w:t>is</w:t>
      </w:r>
      <w:r>
        <w:t xml:space="preserve"> required</w:t>
      </w:r>
      <w:r w:rsidR="001E3E5C" w:rsidRPr="00664583">
        <w:t xml:space="preserve"> to produce the following materials</w:t>
      </w:r>
      <w:r>
        <w:rPr>
          <w:rStyle w:val="FootnoteReference"/>
        </w:rPr>
        <w:footnoteReference w:id="4"/>
      </w:r>
      <w:r w:rsidR="001E3E5C" w:rsidRPr="00664583">
        <w:t xml:space="preserve">: </w:t>
      </w:r>
    </w:p>
    <w:p w:rsidR="005B34E5" w:rsidRPr="00923878" w:rsidRDefault="002D3726" w:rsidP="00467F79">
      <w:pPr>
        <w:pStyle w:val="Quotation"/>
      </w:pPr>
      <w:r w:rsidRPr="00923878">
        <w:t xml:space="preserve">“Either solely or jointly with others, copies of all correspondence </w:t>
      </w:r>
      <w:r w:rsidR="00B611D8" w:rsidRPr="00923878">
        <w:t>(“</w:t>
      </w:r>
      <w:r w:rsidR="00B611D8" w:rsidRPr="00923878">
        <w:rPr>
          <w:b/>
        </w:rPr>
        <w:t>Correspondence</w:t>
      </w:r>
      <w:r w:rsidR="00B611D8" w:rsidRPr="00923878">
        <w:t xml:space="preserve">”) </w:t>
      </w:r>
      <w:r w:rsidRPr="00923878">
        <w:t xml:space="preserve">of </w:t>
      </w:r>
      <w:r w:rsidR="00FF352C" w:rsidRPr="00FF352C">
        <w:t>[</w:t>
      </w:r>
      <w:r w:rsidR="00FF352C">
        <w:t>the Association]</w:t>
      </w:r>
      <w:r w:rsidRPr="00923878">
        <w:t xml:space="preserve"> and following </w:t>
      </w:r>
      <w:r w:rsidR="001B1ED8" w:rsidRPr="00923878">
        <w:t>items: -</w:t>
      </w:r>
    </w:p>
    <w:p w:rsidR="00334CF9" w:rsidRPr="002D3726" w:rsidRDefault="00334CF9" w:rsidP="009240C4">
      <w:pPr>
        <w:pStyle w:val="Quotation"/>
        <w:numPr>
          <w:ilvl w:val="0"/>
          <w:numId w:val="34"/>
        </w:numPr>
        <w:ind w:left="2268" w:hanging="567"/>
      </w:pPr>
      <w:r w:rsidRPr="002D3726">
        <w:t>management accounts, accounting ledgers, transaction records with all relevant supporting documents or agreements, business records</w:t>
      </w:r>
      <w:r w:rsidR="00446C11">
        <w:t>,</w:t>
      </w:r>
      <w:r w:rsidRPr="002D3726">
        <w:t xml:space="preserve"> meeting minutes (including meetings held with places outside </w:t>
      </w:r>
      <w:r w:rsidRPr="002D3726">
        <w:lastRenderedPageBreak/>
        <w:t xml:space="preserve">Hong Kong using communications technologies) of </w:t>
      </w:r>
      <w:r w:rsidR="00FF352C" w:rsidRPr="00FF352C">
        <w:t>[</w:t>
      </w:r>
      <w:r w:rsidR="00FF352C">
        <w:t xml:space="preserve">the Association] </w:t>
      </w:r>
      <w:r w:rsidRPr="002D3726">
        <w:t>from 1</w:t>
      </w:r>
      <w:r w:rsidR="00FF352C">
        <w:t> </w:t>
      </w:r>
      <w:r w:rsidRPr="002D3726">
        <w:t>Jun</w:t>
      </w:r>
      <w:r w:rsidR="00FF352C">
        <w:t> </w:t>
      </w:r>
      <w:r w:rsidRPr="002D3726">
        <w:t>2019 to present (“</w:t>
      </w:r>
      <w:r w:rsidRPr="002D3726">
        <w:rPr>
          <w:b/>
          <w:bCs/>
        </w:rPr>
        <w:t>Category (</w:t>
      </w:r>
      <w:proofErr w:type="spellStart"/>
      <w:r w:rsidRPr="002D3726">
        <w:rPr>
          <w:b/>
          <w:bCs/>
        </w:rPr>
        <w:t>i</w:t>
      </w:r>
      <w:proofErr w:type="spellEnd"/>
      <w:r w:rsidRPr="002D3726">
        <w:rPr>
          <w:b/>
          <w:bCs/>
        </w:rPr>
        <w:t>)</w:t>
      </w:r>
      <w:r w:rsidRPr="002D3726">
        <w:t>”)</w:t>
      </w:r>
      <w:r w:rsidR="008A6994" w:rsidRPr="002D3726">
        <w:t>;</w:t>
      </w:r>
    </w:p>
    <w:p w:rsidR="00334CF9" w:rsidRPr="002D3726" w:rsidRDefault="00334CF9" w:rsidP="009240C4">
      <w:pPr>
        <w:pStyle w:val="Quotation"/>
        <w:numPr>
          <w:ilvl w:val="0"/>
          <w:numId w:val="34"/>
        </w:numPr>
        <w:ind w:left="2268" w:hanging="567"/>
      </w:pPr>
      <w:r w:rsidRPr="002D3726">
        <w:t xml:space="preserve">the particulars of donors (including </w:t>
      </w:r>
      <w:r w:rsidRPr="002D3726">
        <w:rPr>
          <w:bCs/>
        </w:rPr>
        <w:t>name</w:t>
      </w:r>
      <w:r w:rsidRPr="002D3726">
        <w:t xml:space="preserve">, </w:t>
      </w:r>
      <w:r w:rsidRPr="002D3726">
        <w:rPr>
          <w:bCs/>
        </w:rPr>
        <w:t>type</w:t>
      </w:r>
      <w:r w:rsidRPr="002D3726">
        <w:t xml:space="preserve"> and </w:t>
      </w:r>
      <w:r w:rsidRPr="002D3726">
        <w:rPr>
          <w:bCs/>
        </w:rPr>
        <w:t>number of identification document</w:t>
      </w:r>
      <w:r w:rsidRPr="002D3726">
        <w:t xml:space="preserve">, </w:t>
      </w:r>
      <w:r w:rsidRPr="002D3726">
        <w:rPr>
          <w:bCs/>
        </w:rPr>
        <w:t>contact telephone number</w:t>
      </w:r>
      <w:r w:rsidRPr="002D3726">
        <w:t xml:space="preserve"> and </w:t>
      </w:r>
      <w:r w:rsidRPr="002D3726">
        <w:rPr>
          <w:bCs/>
        </w:rPr>
        <w:t>residential address</w:t>
      </w:r>
      <w:r w:rsidRPr="002D3726">
        <w:t xml:space="preserve">) in relation to those donations which are more than HKD100,000 each of </w:t>
      </w:r>
      <w:r w:rsidR="00FF352C" w:rsidRPr="00FF352C">
        <w:t>[</w:t>
      </w:r>
      <w:r w:rsidR="00FF352C">
        <w:t xml:space="preserve">the Association] </w:t>
      </w:r>
      <w:r w:rsidRPr="002D3726">
        <w:t>from 1</w:t>
      </w:r>
      <w:r w:rsidR="00FF352C">
        <w:t> </w:t>
      </w:r>
      <w:r w:rsidRPr="002D3726">
        <w:t>Jun</w:t>
      </w:r>
      <w:r w:rsidR="00FF352C">
        <w:t> </w:t>
      </w:r>
      <w:r w:rsidRPr="002D3726">
        <w:t>2019 to present (“</w:t>
      </w:r>
      <w:r w:rsidRPr="002D3726">
        <w:rPr>
          <w:b/>
          <w:bCs/>
        </w:rPr>
        <w:t>Category (ii)</w:t>
      </w:r>
      <w:r w:rsidR="008A6994" w:rsidRPr="002D3726">
        <w:t>”);</w:t>
      </w:r>
    </w:p>
    <w:p w:rsidR="00334CF9" w:rsidRPr="002D3726" w:rsidRDefault="00334CF9" w:rsidP="009240C4">
      <w:pPr>
        <w:pStyle w:val="Quotation"/>
        <w:numPr>
          <w:ilvl w:val="0"/>
          <w:numId w:val="34"/>
        </w:numPr>
        <w:ind w:left="2268" w:hanging="567"/>
      </w:pPr>
      <w:r w:rsidRPr="002D3726">
        <w:t xml:space="preserve">details of donations/subsidies recipients (including </w:t>
      </w:r>
      <w:r w:rsidRPr="002D3726">
        <w:rPr>
          <w:bCs/>
        </w:rPr>
        <w:t>name</w:t>
      </w:r>
      <w:r w:rsidRPr="002D3726">
        <w:t xml:space="preserve">, </w:t>
      </w:r>
      <w:r w:rsidRPr="002D3726">
        <w:rPr>
          <w:bCs/>
        </w:rPr>
        <w:t>type</w:t>
      </w:r>
      <w:r w:rsidRPr="002D3726">
        <w:t xml:space="preserve"> and </w:t>
      </w:r>
      <w:r w:rsidRPr="002D3726">
        <w:rPr>
          <w:bCs/>
        </w:rPr>
        <w:t>number of identification document</w:t>
      </w:r>
      <w:r w:rsidRPr="002D3726">
        <w:t xml:space="preserve">, </w:t>
      </w:r>
      <w:r w:rsidRPr="002D3726">
        <w:rPr>
          <w:bCs/>
        </w:rPr>
        <w:t>contact telephone number</w:t>
      </w:r>
      <w:r w:rsidRPr="002D3726">
        <w:t xml:space="preserve"> and </w:t>
      </w:r>
      <w:r w:rsidRPr="002D3726">
        <w:rPr>
          <w:bCs/>
        </w:rPr>
        <w:t>residential address</w:t>
      </w:r>
      <w:r w:rsidRPr="002D3726">
        <w:t xml:space="preserve">), relevant reasons for granting the donations or subsidies and details of programmes or events subsidized in relation to those donations which are more than HKD 50,000 each of </w:t>
      </w:r>
      <w:r w:rsidR="00FF352C" w:rsidRPr="00FF352C">
        <w:t>[</w:t>
      </w:r>
      <w:r w:rsidR="00FF352C">
        <w:t xml:space="preserve">the Association] </w:t>
      </w:r>
      <w:r w:rsidRPr="002D3726">
        <w:t>from 1 Jun 2019 to present (“</w:t>
      </w:r>
      <w:r w:rsidRPr="002D3726">
        <w:rPr>
          <w:b/>
          <w:bCs/>
        </w:rPr>
        <w:t>Category (iii)</w:t>
      </w:r>
      <w:r w:rsidRPr="002D3726">
        <w:t>”)</w:t>
      </w:r>
      <w:r w:rsidR="008A6994" w:rsidRPr="002D3726">
        <w:t>; and</w:t>
      </w:r>
    </w:p>
    <w:p w:rsidR="001E3E5C" w:rsidRPr="00446C11" w:rsidRDefault="00334CF9" w:rsidP="00467F79">
      <w:pPr>
        <w:pStyle w:val="Quotation"/>
        <w:numPr>
          <w:ilvl w:val="0"/>
          <w:numId w:val="34"/>
        </w:numPr>
        <w:ind w:left="2268" w:hanging="567"/>
      </w:pPr>
      <w:r w:rsidRPr="002D3726">
        <w:t xml:space="preserve">any agreement / trust deed / legal arrangement entered with </w:t>
      </w:r>
      <w:r w:rsidR="00BC6532">
        <w:t>[a third party]</w:t>
      </w:r>
      <w:r w:rsidRPr="002D3726">
        <w:t xml:space="preserve"> or other local / foreign political organization of </w:t>
      </w:r>
      <w:r w:rsidR="00FF352C" w:rsidRPr="00FF352C">
        <w:t>[</w:t>
      </w:r>
      <w:r w:rsidR="00FF352C">
        <w:t>the</w:t>
      </w:r>
      <w:r w:rsidR="00FF352C">
        <w:rPr>
          <w:lang w:val="en-US"/>
        </w:rPr>
        <w:t> </w:t>
      </w:r>
      <w:r w:rsidR="00FF352C">
        <w:t xml:space="preserve">Association] </w:t>
      </w:r>
      <w:r w:rsidR="005D33C9" w:rsidRPr="002D3726">
        <w:t>from 1</w:t>
      </w:r>
      <w:r w:rsidR="00FF352C">
        <w:rPr>
          <w:lang w:val="en-US"/>
        </w:rPr>
        <w:t> </w:t>
      </w:r>
      <w:r w:rsidR="005D33C9" w:rsidRPr="002D3726">
        <w:t>Jun</w:t>
      </w:r>
      <w:r w:rsidR="00FF352C">
        <w:rPr>
          <w:lang w:val="en-US"/>
        </w:rPr>
        <w:t> </w:t>
      </w:r>
      <w:r w:rsidR="005D33C9" w:rsidRPr="002D3726">
        <w:t>2019 to present (</w:t>
      </w:r>
      <w:r w:rsidRPr="002D3726">
        <w:t>“</w:t>
      </w:r>
      <w:r w:rsidRPr="002D3726">
        <w:rPr>
          <w:b/>
          <w:bCs/>
        </w:rPr>
        <w:t>Category</w:t>
      </w:r>
      <w:r w:rsidR="00FF352C">
        <w:rPr>
          <w:b/>
          <w:bCs/>
          <w:lang w:val="en-US"/>
        </w:rPr>
        <w:t> </w:t>
      </w:r>
      <w:r w:rsidRPr="002D3726">
        <w:rPr>
          <w:b/>
          <w:bCs/>
        </w:rPr>
        <w:t>(iv)</w:t>
      </w:r>
      <w:r w:rsidRPr="002D3726">
        <w:t>”</w:t>
      </w:r>
      <w:proofErr w:type="gramStart"/>
      <w:r w:rsidRPr="002D3726">
        <w:t>)</w:t>
      </w:r>
      <w:r w:rsidR="00446C11">
        <w:t xml:space="preserve"> </w:t>
      </w:r>
      <w:r w:rsidR="002D3726" w:rsidRPr="002D3726">
        <w:t>”</w:t>
      </w:r>
      <w:proofErr w:type="gramEnd"/>
    </w:p>
    <w:p w:rsidR="00916207" w:rsidRDefault="00515EE2" w:rsidP="00467F79">
      <w:pPr>
        <w:pStyle w:val="Final"/>
      </w:pPr>
      <w:r w:rsidRPr="00664583">
        <w:t>On 7 Sep</w:t>
      </w:r>
      <w:r w:rsidR="00467F79">
        <w:t>tember</w:t>
      </w:r>
      <w:r w:rsidRPr="00664583">
        <w:t xml:space="preserve"> 2021, </w:t>
      </w:r>
      <w:r>
        <w:t xml:space="preserve">the </w:t>
      </w:r>
      <w:r w:rsidR="005D33C9">
        <w:t>A</w:t>
      </w:r>
      <w:r>
        <w:t xml:space="preserve">pplicants </w:t>
      </w:r>
      <w:r w:rsidR="005D33C9">
        <w:t xml:space="preserve">produced </w:t>
      </w:r>
      <w:r w:rsidR="00157C06">
        <w:t xml:space="preserve">documents in </w:t>
      </w:r>
      <w:r w:rsidRPr="00515EE2">
        <w:t xml:space="preserve">Category (ii) and (iv) to </w:t>
      </w:r>
      <w:r>
        <w:t xml:space="preserve">the </w:t>
      </w:r>
      <w:r w:rsidR="00BC2432">
        <w:t>R</w:t>
      </w:r>
      <w:r>
        <w:t xml:space="preserve">espondent </w:t>
      </w:r>
      <w:r w:rsidRPr="00515EE2">
        <w:rPr>
          <w:bCs/>
          <w:i/>
          <w:iCs/>
        </w:rPr>
        <w:t>without</w:t>
      </w:r>
      <w:r w:rsidRPr="00515EE2">
        <w:rPr>
          <w:bCs/>
        </w:rPr>
        <w:t xml:space="preserve"> any redactions</w:t>
      </w:r>
      <w:r w:rsidR="00157C06">
        <w:rPr>
          <w:bCs/>
        </w:rPr>
        <w:t xml:space="preserve"> and </w:t>
      </w:r>
      <w:r w:rsidR="0087585E">
        <w:rPr>
          <w:bCs/>
        </w:rPr>
        <w:t xml:space="preserve">at the same time </w:t>
      </w:r>
      <w:r w:rsidR="00157C06">
        <w:rPr>
          <w:bCs/>
        </w:rPr>
        <w:t xml:space="preserve">they </w:t>
      </w:r>
      <w:r>
        <w:t xml:space="preserve">applied </w:t>
      </w:r>
      <w:r w:rsidRPr="00515EE2">
        <w:t xml:space="preserve">for extension of time for compliance </w:t>
      </w:r>
      <w:r w:rsidR="00157C06">
        <w:t xml:space="preserve">regarding the </w:t>
      </w:r>
      <w:r w:rsidRPr="00515EE2">
        <w:t xml:space="preserve">other </w:t>
      </w:r>
      <w:r w:rsidR="0071291D">
        <w:t>material</w:t>
      </w:r>
      <w:r w:rsidR="00157C06">
        <w:t>s</w:t>
      </w:r>
      <w:r w:rsidR="0071291D">
        <w:t xml:space="preserve"> covered by the </w:t>
      </w:r>
      <w:proofErr w:type="spellStart"/>
      <w:r w:rsidR="0071291D">
        <w:t>POs</w:t>
      </w:r>
      <w:r w:rsidRPr="00515EE2">
        <w:t>.</w:t>
      </w:r>
      <w:proofErr w:type="spellEnd"/>
      <w:r>
        <w:t xml:space="preserve">  B</w:t>
      </w:r>
      <w:r w:rsidR="0087585E">
        <w:t xml:space="preserve">y consent, the deadline for compliance </w:t>
      </w:r>
      <w:r w:rsidR="00157C06">
        <w:t>was extended</w:t>
      </w:r>
      <w:r w:rsidR="00157C06" w:rsidRPr="00664583">
        <w:t xml:space="preserve"> to 13 Oct</w:t>
      </w:r>
      <w:r w:rsidR="00467F79">
        <w:t>ober</w:t>
      </w:r>
      <w:r w:rsidR="00157C06" w:rsidRPr="00664583">
        <w:t xml:space="preserve"> 2021</w:t>
      </w:r>
      <w:r w:rsidR="001E3E5C" w:rsidRPr="00664583">
        <w:t>.</w:t>
      </w:r>
    </w:p>
    <w:p w:rsidR="00916207" w:rsidRPr="00916207" w:rsidRDefault="0087585E" w:rsidP="00467F79">
      <w:pPr>
        <w:pStyle w:val="Final"/>
      </w:pPr>
      <w:r>
        <w:t xml:space="preserve">As aforesaid, </w:t>
      </w:r>
      <w:r w:rsidR="00157C06">
        <w:t>o</w:t>
      </w:r>
      <w:r w:rsidR="005D33C9" w:rsidRPr="00916207">
        <w:t>n 7 Oct</w:t>
      </w:r>
      <w:r w:rsidR="00467F79">
        <w:t>ober</w:t>
      </w:r>
      <w:r w:rsidR="005D33C9" w:rsidRPr="00916207">
        <w:t xml:space="preserve"> 2021 the Applicants filed the Variation Summons and </w:t>
      </w:r>
      <w:r w:rsidR="00BC2432">
        <w:t xml:space="preserve">the </w:t>
      </w:r>
      <w:r w:rsidR="005D33C9" w:rsidRPr="00916207">
        <w:t xml:space="preserve">Time Summons, seeking </w:t>
      </w:r>
      <w:r w:rsidR="00916207" w:rsidRPr="00916207">
        <w:t>redaction of the</w:t>
      </w:r>
      <w:r w:rsidR="00916207">
        <w:t xml:space="preserve"> following</w:t>
      </w:r>
      <w:r w:rsidR="00916207" w:rsidRPr="00916207">
        <w:t xml:space="preserve"> personal data </w:t>
      </w:r>
      <w:r w:rsidR="0071291D">
        <w:t>(“</w:t>
      </w:r>
      <w:r w:rsidR="0071291D" w:rsidRPr="0071291D">
        <w:rPr>
          <w:b/>
        </w:rPr>
        <w:t>Personal Data</w:t>
      </w:r>
      <w:r w:rsidR="0071291D">
        <w:t xml:space="preserve">”) </w:t>
      </w:r>
      <w:r>
        <w:t>of donation/ subsidy</w:t>
      </w:r>
      <w:r w:rsidR="00916207" w:rsidRPr="00916207">
        <w:t xml:space="preserve"> recipients from</w:t>
      </w:r>
      <w:r w:rsidR="0071291D">
        <w:t xml:space="preserve"> documents in</w:t>
      </w:r>
      <w:r w:rsidR="00916207" w:rsidRPr="00916207">
        <w:t xml:space="preserve"> </w:t>
      </w:r>
      <w:r w:rsidR="00916207" w:rsidRPr="00664583">
        <w:t>Category (</w:t>
      </w:r>
      <w:proofErr w:type="spellStart"/>
      <w:r w:rsidR="00916207" w:rsidRPr="00664583">
        <w:t>i</w:t>
      </w:r>
      <w:proofErr w:type="spellEnd"/>
      <w:r w:rsidR="00916207" w:rsidRPr="00664583">
        <w:t xml:space="preserve">) and </w:t>
      </w:r>
      <w:r w:rsidR="00DF7CA4" w:rsidRPr="00664583">
        <w:t xml:space="preserve">Category </w:t>
      </w:r>
      <w:r w:rsidR="00916207" w:rsidRPr="00664583">
        <w:t>(iii)</w:t>
      </w:r>
      <w:r w:rsidR="00916207" w:rsidRPr="00916207">
        <w:t xml:space="preserve">, </w:t>
      </w:r>
      <w:r w:rsidR="006B14E5" w:rsidRPr="00916207">
        <w:t>namely: -</w:t>
      </w:r>
    </w:p>
    <w:p w:rsidR="00916207" w:rsidRPr="00916207" w:rsidRDefault="00916207" w:rsidP="00B426FE">
      <w:pPr>
        <w:pStyle w:val="Hanging"/>
        <w:numPr>
          <w:ilvl w:val="0"/>
          <w:numId w:val="33"/>
        </w:numPr>
        <w:spacing w:before="160" w:after="160" w:line="360" w:lineRule="auto"/>
        <w:ind w:hanging="731"/>
      </w:pPr>
      <w:r w:rsidRPr="00916207">
        <w:t>telephone numbers;</w:t>
      </w:r>
    </w:p>
    <w:p w:rsidR="00916207" w:rsidRPr="00916207" w:rsidRDefault="00916207" w:rsidP="00B426FE">
      <w:pPr>
        <w:pStyle w:val="Hanging"/>
        <w:numPr>
          <w:ilvl w:val="0"/>
          <w:numId w:val="33"/>
        </w:numPr>
        <w:spacing w:before="160" w:after="160" w:line="360" w:lineRule="auto"/>
        <w:ind w:hanging="731"/>
      </w:pPr>
      <w:r w:rsidRPr="00916207">
        <w:t>residential addresses;</w:t>
      </w:r>
    </w:p>
    <w:p w:rsidR="00916207" w:rsidRPr="00916207" w:rsidRDefault="00916207" w:rsidP="00B426FE">
      <w:pPr>
        <w:pStyle w:val="Hanging"/>
        <w:numPr>
          <w:ilvl w:val="0"/>
          <w:numId w:val="33"/>
        </w:numPr>
        <w:spacing w:before="160" w:after="160" w:line="360" w:lineRule="auto"/>
        <w:ind w:hanging="731"/>
      </w:pPr>
      <w:r w:rsidRPr="00916207">
        <w:t>email addresses;</w:t>
      </w:r>
    </w:p>
    <w:p w:rsidR="00916207" w:rsidRPr="00916207" w:rsidRDefault="00916207" w:rsidP="00B426FE">
      <w:pPr>
        <w:pStyle w:val="Hanging"/>
        <w:numPr>
          <w:ilvl w:val="0"/>
          <w:numId w:val="33"/>
        </w:numPr>
        <w:spacing w:before="160" w:after="160" w:line="360" w:lineRule="auto"/>
        <w:ind w:hanging="731"/>
      </w:pPr>
      <w:r w:rsidRPr="00916207">
        <w:lastRenderedPageBreak/>
        <w:t>the last four digits of their HKID or such other identification documents (including but not limited to passports);</w:t>
      </w:r>
    </w:p>
    <w:p w:rsidR="00916207" w:rsidRPr="00916207" w:rsidRDefault="00916207" w:rsidP="00B426FE">
      <w:pPr>
        <w:pStyle w:val="Hanging"/>
        <w:numPr>
          <w:ilvl w:val="0"/>
          <w:numId w:val="33"/>
        </w:numPr>
        <w:spacing w:before="160" w:after="160" w:line="360" w:lineRule="auto"/>
        <w:ind w:hanging="731"/>
      </w:pPr>
      <w:r w:rsidRPr="00916207">
        <w:t>prisoners’ numbers, and</w:t>
      </w:r>
    </w:p>
    <w:p w:rsidR="001E3E5C" w:rsidRDefault="00916207" w:rsidP="00B426FE">
      <w:pPr>
        <w:pStyle w:val="Hanging"/>
        <w:numPr>
          <w:ilvl w:val="0"/>
          <w:numId w:val="33"/>
        </w:numPr>
        <w:spacing w:before="160" w:after="160" w:line="360" w:lineRule="auto"/>
        <w:ind w:hanging="731"/>
      </w:pPr>
      <w:r w:rsidRPr="00916207">
        <w:t>particulars of psychological and medical treatments including consultation, advice, diagnosis, operations and hospital stay.</w:t>
      </w:r>
    </w:p>
    <w:p w:rsidR="00714B7A" w:rsidRDefault="00163F69" w:rsidP="00467F79">
      <w:pPr>
        <w:pStyle w:val="Final"/>
      </w:pPr>
      <w:r w:rsidRPr="00163F69">
        <w:t>On 12 Oct</w:t>
      </w:r>
      <w:r w:rsidR="00467F79">
        <w:t>ober</w:t>
      </w:r>
      <w:r w:rsidRPr="00163F69">
        <w:t xml:space="preserve"> 2021 and 15 Oct</w:t>
      </w:r>
      <w:r w:rsidR="00467F79">
        <w:t>ober</w:t>
      </w:r>
      <w:r w:rsidRPr="00163F69">
        <w:t xml:space="preserve"> 2021, </w:t>
      </w:r>
      <w:r>
        <w:t xml:space="preserve">the Applicants produced to the Respondent </w:t>
      </w:r>
      <w:r w:rsidR="0071291D" w:rsidRPr="00163F69">
        <w:t>the Correspondence</w:t>
      </w:r>
      <w:r w:rsidR="0071291D">
        <w:t xml:space="preserve"> </w:t>
      </w:r>
      <w:r w:rsidR="0071291D" w:rsidRPr="00163F69">
        <w:t>and</w:t>
      </w:r>
      <w:r w:rsidR="0071291D">
        <w:t xml:space="preserve"> documents in </w:t>
      </w:r>
      <w:r w:rsidRPr="00163F69">
        <w:t>Category (</w:t>
      </w:r>
      <w:proofErr w:type="spellStart"/>
      <w:r w:rsidRPr="00163F69">
        <w:t>i</w:t>
      </w:r>
      <w:proofErr w:type="spellEnd"/>
      <w:r w:rsidRPr="00163F69">
        <w:t>)</w:t>
      </w:r>
      <w:r w:rsidR="00467F79">
        <w:t> </w:t>
      </w:r>
      <w:r w:rsidRPr="00163F69">
        <w:t xml:space="preserve">(except some of the supporting documents).  </w:t>
      </w:r>
      <w:r w:rsidR="0071291D">
        <w:t>Therefore, w</w:t>
      </w:r>
      <w:r w:rsidRPr="00163F69">
        <w:t xml:space="preserve">hat remains in </w:t>
      </w:r>
      <w:r w:rsidR="00157C06">
        <w:t xml:space="preserve">dispute are </w:t>
      </w:r>
      <w:r w:rsidR="0071291D">
        <w:t xml:space="preserve">some of the </w:t>
      </w:r>
      <w:r w:rsidR="00157C06">
        <w:t>documents in</w:t>
      </w:r>
      <w:r w:rsidRPr="00163F69">
        <w:t xml:space="preserve"> Category (i</w:t>
      </w:r>
      <w:r w:rsidR="00467F79">
        <w:t>i</w:t>
      </w:r>
      <w:r w:rsidRPr="00163F69">
        <w:t>)</w:t>
      </w:r>
      <w:r w:rsidR="00467F79">
        <w:t> </w:t>
      </w:r>
      <w:r w:rsidR="0071291D">
        <w:t xml:space="preserve">(namely the supporting documents) </w:t>
      </w:r>
      <w:r w:rsidRPr="00163F69">
        <w:t>and</w:t>
      </w:r>
      <w:r w:rsidR="0087585E">
        <w:t xml:space="preserve"> documents in</w:t>
      </w:r>
      <w:r w:rsidRPr="00163F69">
        <w:t xml:space="preserve"> Category (iii)</w:t>
      </w:r>
      <w:r w:rsidR="00467F79">
        <w:t> </w:t>
      </w:r>
      <w:r w:rsidR="00BC2432">
        <w:t>(</w:t>
      </w:r>
      <w:r w:rsidR="00714B7A">
        <w:t>collectively “</w:t>
      </w:r>
      <w:r w:rsidR="00714B7A" w:rsidRPr="00714B7A">
        <w:rPr>
          <w:b/>
        </w:rPr>
        <w:t>Disputed Documents</w:t>
      </w:r>
      <w:r w:rsidR="00714B7A">
        <w:t xml:space="preserve">”).  </w:t>
      </w:r>
    </w:p>
    <w:p w:rsidR="00B611D8" w:rsidRPr="00B426FE" w:rsidRDefault="00714B7A" w:rsidP="00467F79">
      <w:pPr>
        <w:pStyle w:val="Final"/>
      </w:pPr>
      <w:r>
        <w:t xml:space="preserve">On 22 October 2021, the Disputed Documents </w:t>
      </w:r>
      <w:r w:rsidR="0071291D">
        <w:t xml:space="preserve">(redacted in the way proposed by the Applicants) </w:t>
      </w:r>
      <w:r>
        <w:t>were produced to the Police</w:t>
      </w:r>
      <w:r>
        <w:rPr>
          <w:rStyle w:val="FootnoteReference"/>
        </w:rPr>
        <w:footnoteReference w:id="5"/>
      </w:r>
      <w:r>
        <w:t xml:space="preserve">.  Then on 25 October 2021, the Disputed Documents </w:t>
      </w:r>
      <w:r w:rsidR="00B611D8">
        <w:t xml:space="preserve">in </w:t>
      </w:r>
      <w:proofErr w:type="spellStart"/>
      <w:r w:rsidR="00B611D8">
        <w:t>unredacted</w:t>
      </w:r>
      <w:proofErr w:type="spellEnd"/>
      <w:r w:rsidR="00B611D8">
        <w:t xml:space="preserve"> form </w:t>
      </w:r>
      <w:r>
        <w:t>were also produced and sealed in the presence of the Applicants’ solicitors and the representative of the Police</w:t>
      </w:r>
      <w:r>
        <w:rPr>
          <w:rStyle w:val="FootnoteReference"/>
        </w:rPr>
        <w:footnoteReference w:id="6"/>
      </w:r>
      <w:r>
        <w:t xml:space="preserve">. </w:t>
      </w:r>
      <w:r w:rsidR="0071291D">
        <w:t xml:space="preserve"> </w:t>
      </w:r>
      <w:r w:rsidR="00B611D8">
        <w:t>Because of this development</w:t>
      </w:r>
      <w:r w:rsidR="0087585E">
        <w:t xml:space="preserve">, it would not be </w:t>
      </w:r>
      <w:r w:rsidR="00B71D93" w:rsidRPr="000D63ED">
        <w:rPr>
          <w:rFonts w:eastAsia="PMingLiU"/>
          <w:lang w:eastAsia="zh-HK"/>
        </w:rPr>
        <w:t>necessary</w:t>
      </w:r>
      <w:r w:rsidR="0087585E">
        <w:t xml:space="preserve"> for the court to rule on the Time Summons, </w:t>
      </w:r>
      <w:r w:rsidR="0071291D">
        <w:t xml:space="preserve">if the Applicants’ request for redaction </w:t>
      </w:r>
      <w:r w:rsidR="008215B3">
        <w:t>was</w:t>
      </w:r>
      <w:r w:rsidR="0071291D">
        <w:t xml:space="preserve"> </w:t>
      </w:r>
      <w:r w:rsidR="008215B3">
        <w:t xml:space="preserve">either </w:t>
      </w:r>
      <w:r w:rsidR="00B611D8">
        <w:t xml:space="preserve">totally acceded to or </w:t>
      </w:r>
      <w:r w:rsidR="0071291D">
        <w:t>rejected</w:t>
      </w:r>
      <w:r w:rsidR="008215B3">
        <w:t xml:space="preserve">.  </w:t>
      </w:r>
    </w:p>
    <w:p w:rsidR="007C5E75" w:rsidRPr="00B426FE" w:rsidRDefault="008B7839" w:rsidP="00B426FE">
      <w:pPr>
        <w:pStyle w:val="H-1"/>
        <w:spacing w:before="360" w:line="360" w:lineRule="auto"/>
        <w:rPr>
          <w:i w:val="0"/>
          <w:u w:val="single"/>
        </w:rPr>
      </w:pPr>
      <w:r w:rsidRPr="005B34E5">
        <w:rPr>
          <w:i w:val="0"/>
          <w:u w:val="single"/>
        </w:rPr>
        <w:t>Contentions of the parties</w:t>
      </w:r>
    </w:p>
    <w:p w:rsidR="008215B3" w:rsidRPr="00B426FE" w:rsidRDefault="00DF7CA4" w:rsidP="00467F79">
      <w:pPr>
        <w:pStyle w:val="Final"/>
      </w:pPr>
      <w:r w:rsidRPr="00DF7CA4">
        <w:t>It is</w:t>
      </w:r>
      <w:r w:rsidR="008215B3">
        <w:t xml:space="preserve"> the Applicants’ case that the P</w:t>
      </w:r>
      <w:r w:rsidRPr="00DF7CA4">
        <w:t xml:space="preserve">ersonal </w:t>
      </w:r>
      <w:r w:rsidR="008215B3">
        <w:t>d</w:t>
      </w:r>
      <w:r w:rsidRPr="00DF7CA4">
        <w:t>ata</w:t>
      </w:r>
      <w:r>
        <w:t xml:space="preserve"> </w:t>
      </w:r>
      <w:r w:rsidRPr="00DF7CA4">
        <w:t xml:space="preserve">was obtained by </w:t>
      </w:r>
      <w:r w:rsidR="00FF352C" w:rsidRPr="00FF352C">
        <w:t>[</w:t>
      </w:r>
      <w:r w:rsidR="00FF352C">
        <w:t xml:space="preserve">the Association] </w:t>
      </w:r>
      <w:r w:rsidRPr="00DF7CA4">
        <w:t>pursuant to an “Assurance” of confidentiality given to the donations/subsidies recipients, which invokes the equitable doctrine of confidence</w:t>
      </w:r>
      <w:r>
        <w:t xml:space="preserve">. </w:t>
      </w:r>
      <w:r w:rsidR="007534C4">
        <w:t xml:space="preserve"> </w:t>
      </w:r>
      <w:r w:rsidR="00B611D8">
        <w:t>Mr Pang, SC, points out</w:t>
      </w:r>
      <w:r>
        <w:t xml:space="preserve"> that the </w:t>
      </w:r>
      <w:r w:rsidR="008215B3">
        <w:t>Personal D</w:t>
      </w:r>
      <w:r>
        <w:t xml:space="preserve">ata is protected </w:t>
      </w:r>
      <w:r>
        <w:lastRenderedPageBreak/>
        <w:t>by the right to privacy under Article 14(1) of the Hong Kong Bill of Rights Ordinance, Cap</w:t>
      </w:r>
      <w:r w:rsidR="001A31D5">
        <w:t xml:space="preserve"> </w:t>
      </w:r>
      <w:r>
        <w:t>383 (“</w:t>
      </w:r>
      <w:r w:rsidRPr="007C5E75">
        <w:rPr>
          <w:b/>
        </w:rPr>
        <w:t>BOR 14</w:t>
      </w:r>
      <w:r>
        <w:t>”)</w:t>
      </w:r>
      <w:r w:rsidR="001A31D5">
        <w:rPr>
          <w:rStyle w:val="FootnoteReference"/>
        </w:rPr>
        <w:footnoteReference w:id="7"/>
      </w:r>
      <w:r w:rsidR="001A31D5">
        <w:t xml:space="preserve"> and </w:t>
      </w:r>
      <w:r>
        <w:t>the Personal Data</w:t>
      </w:r>
      <w:r w:rsidR="001A31D5">
        <w:t xml:space="preserve"> (Privacy) Ordinance, Cap 486</w:t>
      </w:r>
      <w:r w:rsidR="00467F79">
        <w:t>, more specifically s</w:t>
      </w:r>
      <w:r w:rsidR="008215B3">
        <w:t>4</w:t>
      </w:r>
      <w:r w:rsidR="008215B3">
        <w:rPr>
          <w:rStyle w:val="FootnoteReference"/>
        </w:rPr>
        <w:footnoteReference w:id="8"/>
      </w:r>
      <w:r w:rsidR="008215B3">
        <w:t xml:space="preserve"> and</w:t>
      </w:r>
      <w:r w:rsidR="008215B3" w:rsidRPr="008215B3">
        <w:t xml:space="preserve"> </w:t>
      </w:r>
      <w:proofErr w:type="spellStart"/>
      <w:r w:rsidR="008215B3">
        <w:t>Sch</w:t>
      </w:r>
      <w:proofErr w:type="spellEnd"/>
      <w:r w:rsidR="00661853">
        <w:rPr>
          <w:rFonts w:ascii="PMingLiU" w:eastAsia="PMingLiU" w:hAnsi="PMingLiU"/>
          <w:lang w:eastAsia="zh-TW"/>
        </w:rPr>
        <w:t xml:space="preserve"> </w:t>
      </w:r>
      <w:r w:rsidR="008215B3">
        <w:t>1, s3(1)</w:t>
      </w:r>
      <w:r w:rsidR="008215B3">
        <w:rPr>
          <w:rStyle w:val="FootnoteReference"/>
        </w:rPr>
        <w:footnoteReference w:id="9"/>
      </w:r>
      <w:r w:rsidR="007534C4">
        <w:t>.</w:t>
      </w:r>
      <w:r w:rsidR="00616276">
        <w:t xml:space="preserve">  </w:t>
      </w:r>
      <w:r w:rsidR="00B611D8">
        <w:t>He submits that</w:t>
      </w:r>
      <w:r w:rsidR="007C5E75">
        <w:t xml:space="preserve"> </w:t>
      </w:r>
      <w:r w:rsidR="007C5E75" w:rsidRPr="00664583">
        <w:t xml:space="preserve">the above matters </w:t>
      </w:r>
      <w:r w:rsidR="007C5E75">
        <w:t>are relevant to t</w:t>
      </w:r>
      <w:r w:rsidR="007C5E75" w:rsidRPr="00664583">
        <w:t>he public interest consideration under s3(4)(d)</w:t>
      </w:r>
      <w:r w:rsidR="007C5E75">
        <w:t xml:space="preserve">, </w:t>
      </w:r>
      <w:proofErr w:type="spellStart"/>
      <w:r w:rsidR="007C5E75">
        <w:t>Sch</w:t>
      </w:r>
      <w:proofErr w:type="spellEnd"/>
      <w:r w:rsidR="007C5E75">
        <w:t xml:space="preserve"> 7, IR and also t</w:t>
      </w:r>
      <w:r w:rsidR="007C5E75" w:rsidRPr="00664583">
        <w:t xml:space="preserve">he </w:t>
      </w:r>
      <w:r w:rsidR="007C5E75">
        <w:t xml:space="preserve">exercise of the court’s </w:t>
      </w:r>
      <w:r w:rsidR="007C5E75" w:rsidRPr="00664583">
        <w:t>discretion</w:t>
      </w:r>
      <w:r w:rsidR="007C5E75">
        <w:t xml:space="preserve">: </w:t>
      </w:r>
      <w:r w:rsidR="007C5E75" w:rsidRPr="008B7839">
        <w:rPr>
          <w:i/>
        </w:rPr>
        <w:t xml:space="preserve">see  </w:t>
      </w:r>
      <w:r w:rsidR="007C5E75" w:rsidRPr="008B7839">
        <w:rPr>
          <w:bCs/>
          <w:i/>
          <w:iCs/>
        </w:rPr>
        <w:t>A</w:t>
      </w:r>
      <w:r w:rsidR="00446C11">
        <w:rPr>
          <w:bCs/>
          <w:i/>
          <w:iCs/>
        </w:rPr>
        <w:t xml:space="preserve"> &amp; Anor</w:t>
      </w:r>
      <w:r w:rsidR="007C5E75" w:rsidRPr="008B7839">
        <w:rPr>
          <w:bCs/>
          <w:i/>
          <w:iCs/>
        </w:rPr>
        <w:t xml:space="preserve"> v C</w:t>
      </w:r>
      <w:r w:rsidR="008B7839" w:rsidRPr="008B7839">
        <w:rPr>
          <w:bCs/>
          <w:i/>
          <w:iCs/>
        </w:rPr>
        <w:t xml:space="preserve">ommissioner of </w:t>
      </w:r>
      <w:r w:rsidR="007C5E75" w:rsidRPr="008B7839">
        <w:rPr>
          <w:bCs/>
          <w:i/>
          <w:iCs/>
        </w:rPr>
        <w:t>P</w:t>
      </w:r>
      <w:r w:rsidR="008B7839" w:rsidRPr="008B7839">
        <w:rPr>
          <w:bCs/>
          <w:i/>
          <w:iCs/>
        </w:rPr>
        <w:t>olice</w:t>
      </w:r>
      <w:r w:rsidR="008B7839" w:rsidRPr="00BE3DEE">
        <w:rPr>
          <w:rStyle w:val="FootnoteReference"/>
          <w:bCs/>
          <w:iCs/>
        </w:rPr>
        <w:footnoteReference w:id="10"/>
      </w:r>
      <w:r w:rsidR="008B7839">
        <w:t>.</w:t>
      </w:r>
    </w:p>
    <w:p w:rsidR="00FA2314" w:rsidRPr="005B34E5" w:rsidRDefault="008B7839" w:rsidP="00467F79">
      <w:pPr>
        <w:pStyle w:val="Final"/>
        <w:rPr>
          <w:lang w:val="en-US"/>
        </w:rPr>
      </w:pPr>
      <w:r>
        <w:t>In opposi</w:t>
      </w:r>
      <w:r w:rsidR="00B611D8">
        <w:t>tion</w:t>
      </w:r>
      <w:r>
        <w:t>, the Respondent submits that</w:t>
      </w:r>
      <w:r w:rsidR="00157C06">
        <w:t xml:space="preserve"> </w:t>
      </w:r>
      <w:r w:rsidR="00B611D8">
        <w:t xml:space="preserve">the proposed redaction is </w:t>
      </w:r>
      <w:r w:rsidR="0087585E">
        <w:rPr>
          <w:lang w:val="en-US"/>
        </w:rPr>
        <w:t xml:space="preserve">impermissible </w:t>
      </w:r>
      <w:r w:rsidR="00B611D8">
        <w:rPr>
          <w:lang w:val="en-US"/>
        </w:rPr>
        <w:t>in that it is</w:t>
      </w:r>
      <w:r w:rsidR="0087585E">
        <w:rPr>
          <w:lang w:val="en-US"/>
        </w:rPr>
        <w:t xml:space="preserve"> an attempt to challenge </w:t>
      </w:r>
      <w:r w:rsidR="00AB02A6" w:rsidRPr="00157C06">
        <w:rPr>
          <w:lang w:val="en-HK"/>
        </w:rPr>
        <w:t xml:space="preserve">the </w:t>
      </w:r>
      <w:r w:rsidR="00AB02A6" w:rsidRPr="00157C06">
        <w:rPr>
          <w:bCs/>
          <w:iCs/>
          <w:lang w:val="en-HK"/>
        </w:rPr>
        <w:t>relevance</w:t>
      </w:r>
      <w:r w:rsidR="00AB02A6" w:rsidRPr="00157C06">
        <w:rPr>
          <w:lang w:val="en-HK"/>
        </w:rPr>
        <w:t xml:space="preserve"> of the materials to the underlying investigation</w:t>
      </w:r>
      <w:r w:rsidR="008215B3">
        <w:rPr>
          <w:lang w:val="en-HK"/>
        </w:rPr>
        <w:t xml:space="preserve"> when that</w:t>
      </w:r>
      <w:r w:rsidR="0087585E">
        <w:rPr>
          <w:lang w:val="en-HK"/>
        </w:rPr>
        <w:t xml:space="preserve"> issue</w:t>
      </w:r>
      <w:r w:rsidR="008215B3">
        <w:rPr>
          <w:lang w:val="en-HK"/>
        </w:rPr>
        <w:t xml:space="preserve"> has already been determined in favour of the Respondent</w:t>
      </w:r>
      <w:r w:rsidR="00157C06">
        <w:rPr>
          <w:lang w:val="en-HK"/>
        </w:rPr>
        <w:t xml:space="preserve">.  It is also submitted that </w:t>
      </w:r>
      <w:r w:rsidR="00AB02A6" w:rsidRPr="00157C06">
        <w:rPr>
          <w:lang w:val="en-HK"/>
        </w:rPr>
        <w:t>confidentiality and privacy are matters that ha</w:t>
      </w:r>
      <w:r w:rsidR="00537C0C">
        <w:rPr>
          <w:lang w:val="en-HK"/>
        </w:rPr>
        <w:t>d</w:t>
      </w:r>
      <w:r w:rsidR="00AB02A6" w:rsidRPr="00157C06">
        <w:rPr>
          <w:lang w:val="en-HK"/>
        </w:rPr>
        <w:t xml:space="preserve"> already been taken into account by the Court when</w:t>
      </w:r>
      <w:r w:rsidR="00157C06">
        <w:rPr>
          <w:lang w:val="en-HK"/>
        </w:rPr>
        <w:t xml:space="preserve"> </w:t>
      </w:r>
      <w:r w:rsidR="00AB02A6" w:rsidRPr="00157C06">
        <w:rPr>
          <w:lang w:val="en-HK"/>
        </w:rPr>
        <w:t xml:space="preserve">the POs </w:t>
      </w:r>
      <w:r w:rsidR="00157C06">
        <w:rPr>
          <w:lang w:val="en-HK"/>
        </w:rPr>
        <w:t xml:space="preserve">were granted </w:t>
      </w:r>
      <w:r w:rsidR="00AB02A6" w:rsidRPr="00157C06">
        <w:rPr>
          <w:lang w:val="en-HK"/>
        </w:rPr>
        <w:t xml:space="preserve">in the first place.  </w:t>
      </w:r>
      <w:r w:rsidR="002E05C5">
        <w:rPr>
          <w:lang w:val="en-HK"/>
        </w:rPr>
        <w:t>Moreover, b</w:t>
      </w:r>
      <w:r w:rsidR="00537C0C" w:rsidRPr="00157C06">
        <w:rPr>
          <w:lang w:val="en-HK"/>
        </w:rPr>
        <w:t>earing in mind the overriding and important need for effective national security investigations</w:t>
      </w:r>
      <w:r w:rsidR="00537C0C">
        <w:rPr>
          <w:lang w:val="en-HK"/>
        </w:rPr>
        <w:t>, i</w:t>
      </w:r>
      <w:r w:rsidR="00AB02A6" w:rsidRPr="00157C06">
        <w:rPr>
          <w:lang w:val="en-HK"/>
        </w:rPr>
        <w:t xml:space="preserve">n the absence of any exceptional difficulty or prejudice arising from the production of the materials, general confidentiality and privacy considerations, without more, are not valid grounds for discharging or varying the </w:t>
      </w:r>
      <w:proofErr w:type="spellStart"/>
      <w:r w:rsidR="00AB02A6" w:rsidRPr="00157C06">
        <w:rPr>
          <w:lang w:val="en-HK"/>
        </w:rPr>
        <w:t>POs</w:t>
      </w:r>
      <w:r w:rsidR="00537C0C">
        <w:rPr>
          <w:lang w:val="en-HK"/>
        </w:rPr>
        <w:t>.</w:t>
      </w:r>
      <w:proofErr w:type="spellEnd"/>
    </w:p>
    <w:p w:rsidR="00E501A2" w:rsidRPr="006A2083" w:rsidRDefault="00340069" w:rsidP="00B426FE">
      <w:pPr>
        <w:pStyle w:val="H-1"/>
        <w:spacing w:before="360" w:line="360" w:lineRule="auto"/>
        <w:rPr>
          <w:lang w:val="en-US"/>
        </w:rPr>
      </w:pPr>
      <w:r w:rsidRPr="00FA2314">
        <w:rPr>
          <w:lang w:val="en-US"/>
        </w:rPr>
        <w:t>Some initial</w:t>
      </w:r>
      <w:r w:rsidRPr="006A2083">
        <w:rPr>
          <w:lang w:val="en-US"/>
        </w:rPr>
        <w:t xml:space="preserve"> </w:t>
      </w:r>
      <w:r w:rsidR="00FA2314">
        <w:rPr>
          <w:lang w:val="en-US"/>
        </w:rPr>
        <w:t>observations</w:t>
      </w:r>
    </w:p>
    <w:p w:rsidR="002E05C5" w:rsidRPr="00B426FE" w:rsidRDefault="002E05C5" w:rsidP="00467F79">
      <w:pPr>
        <w:pStyle w:val="Final"/>
        <w:rPr>
          <w:lang w:val="en-US"/>
        </w:rPr>
      </w:pPr>
      <w:r>
        <w:rPr>
          <w:lang w:val="en-HK"/>
        </w:rPr>
        <w:t xml:space="preserve">Before </w:t>
      </w:r>
      <w:r w:rsidR="0087585E">
        <w:rPr>
          <w:lang w:val="en-HK"/>
        </w:rPr>
        <w:t xml:space="preserve">addressing the </w:t>
      </w:r>
      <w:r>
        <w:rPr>
          <w:lang w:val="en-HK"/>
        </w:rPr>
        <w:t>contentions of the parties, it is necessary to set out what are not in fact in dispute</w:t>
      </w:r>
      <w:r w:rsidR="00340069">
        <w:rPr>
          <w:lang w:val="en-HK"/>
        </w:rPr>
        <w:t xml:space="preserve"> in the present application</w:t>
      </w:r>
      <w:r>
        <w:rPr>
          <w:lang w:val="en-HK"/>
        </w:rPr>
        <w:t xml:space="preserve">.  </w:t>
      </w:r>
    </w:p>
    <w:p w:rsidR="00FA2314" w:rsidRPr="00B426FE" w:rsidRDefault="0087585E" w:rsidP="00467F79">
      <w:pPr>
        <w:pStyle w:val="Final"/>
        <w:rPr>
          <w:lang w:val="en-US"/>
        </w:rPr>
      </w:pPr>
      <w:r>
        <w:rPr>
          <w:lang w:val="en-HK"/>
        </w:rPr>
        <w:lastRenderedPageBreak/>
        <w:t>First, there is</w:t>
      </w:r>
      <w:r w:rsidR="00B611D8">
        <w:rPr>
          <w:lang w:val="en-HK"/>
        </w:rPr>
        <w:t xml:space="preserve"> </w:t>
      </w:r>
      <w:r w:rsidR="006A2083">
        <w:rPr>
          <w:lang w:val="en-HK"/>
        </w:rPr>
        <w:t>no systemic challenge to the constitutionalit</w:t>
      </w:r>
      <w:r w:rsidR="006B14E5">
        <w:rPr>
          <w:lang w:val="en-HK"/>
        </w:rPr>
        <w:t xml:space="preserve">y of the provisions in </w:t>
      </w:r>
      <w:proofErr w:type="spellStart"/>
      <w:r w:rsidR="006B14E5">
        <w:rPr>
          <w:lang w:val="en-HK"/>
        </w:rPr>
        <w:t>Sch</w:t>
      </w:r>
      <w:proofErr w:type="spellEnd"/>
      <w:r w:rsidR="006B14E5">
        <w:rPr>
          <w:lang w:val="en-HK"/>
        </w:rPr>
        <w:t xml:space="preserve"> 7</w:t>
      </w:r>
      <w:r w:rsidR="006A2083">
        <w:rPr>
          <w:lang w:val="en-HK"/>
        </w:rPr>
        <w:t xml:space="preserve">.  </w:t>
      </w:r>
    </w:p>
    <w:p w:rsidR="0017114F" w:rsidRPr="00B426FE" w:rsidRDefault="006B20D2" w:rsidP="00467F79">
      <w:pPr>
        <w:pStyle w:val="Final"/>
        <w:rPr>
          <w:lang w:val="en-US"/>
        </w:rPr>
      </w:pPr>
      <w:r>
        <w:rPr>
          <w:lang w:val="en-HK"/>
        </w:rPr>
        <w:t xml:space="preserve">Secondly, there is </w:t>
      </w:r>
      <w:r w:rsidR="00B611D8">
        <w:rPr>
          <w:lang w:val="en-HK"/>
        </w:rPr>
        <w:t>and can be</w:t>
      </w:r>
      <w:r w:rsidR="0087585E">
        <w:rPr>
          <w:lang w:val="en-HK"/>
        </w:rPr>
        <w:t xml:space="preserve"> no </w:t>
      </w:r>
      <w:r w:rsidR="00E501A2">
        <w:rPr>
          <w:lang w:val="en-HK"/>
        </w:rPr>
        <w:t xml:space="preserve">question </w:t>
      </w:r>
      <w:r w:rsidR="0087585E">
        <w:rPr>
          <w:lang w:val="en-HK"/>
        </w:rPr>
        <w:t xml:space="preserve">that </w:t>
      </w:r>
      <w:r w:rsidR="00537C0C" w:rsidRPr="00157C06">
        <w:rPr>
          <w:lang w:val="en-HK"/>
        </w:rPr>
        <w:t>confidentiality and privacy</w:t>
      </w:r>
      <w:r w:rsidR="00537C0C">
        <w:rPr>
          <w:lang w:val="en-HK"/>
        </w:rPr>
        <w:t xml:space="preserve"> are matters which the court is entitled to take into account when considering whether or not to grant a PO</w:t>
      </w:r>
      <w:r w:rsidR="00B611D8">
        <w:rPr>
          <w:lang w:val="en-HK"/>
        </w:rPr>
        <w:t xml:space="preserve"> under </w:t>
      </w:r>
      <w:proofErr w:type="spellStart"/>
      <w:r w:rsidR="006D5306">
        <w:rPr>
          <w:lang w:val="en-HK"/>
        </w:rPr>
        <w:t>S</w:t>
      </w:r>
      <w:r w:rsidR="006D5306">
        <w:rPr>
          <w:rFonts w:hint="eastAsia"/>
          <w:lang w:val="en-HK"/>
        </w:rPr>
        <w:t>c</w:t>
      </w:r>
      <w:r w:rsidR="006D5306">
        <w:rPr>
          <w:lang w:val="en-HK"/>
        </w:rPr>
        <w:t>h</w:t>
      </w:r>
      <w:proofErr w:type="spellEnd"/>
      <w:r w:rsidR="006D5306">
        <w:rPr>
          <w:lang w:val="en-HK"/>
        </w:rPr>
        <w:t xml:space="preserve"> 7</w:t>
      </w:r>
      <w:r w:rsidR="00537C0C">
        <w:rPr>
          <w:lang w:val="en-HK"/>
        </w:rPr>
        <w:t xml:space="preserve">.  </w:t>
      </w:r>
      <w:r w:rsidR="00B611D8">
        <w:rPr>
          <w:lang w:val="en-HK"/>
        </w:rPr>
        <w:t xml:space="preserve">This is because of </w:t>
      </w:r>
      <w:r w:rsidR="00537C0C">
        <w:rPr>
          <w:lang w:val="en-HK"/>
        </w:rPr>
        <w:t>s2(4)(d)(iv)</w:t>
      </w:r>
      <w:r w:rsidR="00B611D8">
        <w:rPr>
          <w:lang w:val="en-HK"/>
        </w:rPr>
        <w:t xml:space="preserve">, </w:t>
      </w:r>
      <w:proofErr w:type="spellStart"/>
      <w:r w:rsidR="00B611D8">
        <w:rPr>
          <w:lang w:val="en-HK"/>
        </w:rPr>
        <w:t>Sch</w:t>
      </w:r>
      <w:proofErr w:type="spellEnd"/>
      <w:r w:rsidR="00B611D8">
        <w:rPr>
          <w:lang w:val="en-HK"/>
        </w:rPr>
        <w:t xml:space="preserve"> 7</w:t>
      </w:r>
      <w:r w:rsidR="0017114F">
        <w:rPr>
          <w:lang w:val="en-HK"/>
        </w:rPr>
        <w:t xml:space="preserve">: </w:t>
      </w:r>
    </w:p>
    <w:p w:rsidR="0017114F" w:rsidRPr="00FA2314" w:rsidRDefault="0017114F" w:rsidP="00B426FE">
      <w:pPr>
        <w:pStyle w:val="Quotation"/>
        <w:rPr>
          <w:lang w:val="en-US"/>
        </w:rPr>
      </w:pPr>
      <w:r w:rsidRPr="00FA2314">
        <w:rPr>
          <w:lang w:val="en-US"/>
        </w:rPr>
        <w:t>“that there are reasonable grounds for believing that it is in the public interest that an order under subsection (2) should be made in respect of that person or those persons, having regard to—</w:t>
      </w:r>
    </w:p>
    <w:p w:rsidR="0017114F" w:rsidRPr="00FA2314" w:rsidRDefault="0017114F" w:rsidP="009240C4">
      <w:pPr>
        <w:pStyle w:val="Quotation"/>
        <w:ind w:left="1701"/>
        <w:rPr>
          <w:lang w:val="en-US"/>
        </w:rPr>
      </w:pPr>
      <w:r w:rsidRPr="00FA2314">
        <w:rPr>
          <w:lang w:val="en-US"/>
        </w:rPr>
        <w:t xml:space="preserve">… </w:t>
      </w:r>
    </w:p>
    <w:p w:rsidR="0017114F" w:rsidRDefault="0017114F" w:rsidP="009240C4">
      <w:pPr>
        <w:pStyle w:val="Quotation"/>
        <w:ind w:left="2268" w:hanging="567"/>
        <w:rPr>
          <w:lang w:val="en-US"/>
        </w:rPr>
      </w:pPr>
      <w:r w:rsidRPr="00FA2314">
        <w:rPr>
          <w:lang w:val="en-US"/>
        </w:rPr>
        <w:t>(iv)</w:t>
      </w:r>
      <w:r w:rsidRPr="00FA2314">
        <w:rPr>
          <w:lang w:val="en-US"/>
        </w:rPr>
        <w:tab/>
        <w:t>the circumstances under which the person or persons may have acquired, or may hold, the information or material (including any obligation of confidentiality in respect of the information or material and any family relationship with a person to whom the information or material relates</w:t>
      </w:r>
      <w:r w:rsidR="00FA2314">
        <w:rPr>
          <w:lang w:val="en-US"/>
        </w:rPr>
        <w:t>).”</w:t>
      </w:r>
      <w:r w:rsidR="00923878">
        <w:rPr>
          <w:lang w:val="en-US"/>
        </w:rPr>
        <w:t xml:space="preserve">       </w:t>
      </w:r>
    </w:p>
    <w:p w:rsidR="002D3726" w:rsidRPr="005B34E5" w:rsidRDefault="00AF471E" w:rsidP="00467F79">
      <w:pPr>
        <w:pStyle w:val="Final"/>
        <w:rPr>
          <w:lang w:val="en-US"/>
        </w:rPr>
      </w:pPr>
      <w:r>
        <w:rPr>
          <w:lang w:val="en-US"/>
        </w:rPr>
        <w:t>Thirdly</w:t>
      </w:r>
      <w:r w:rsidR="00B120C2" w:rsidRPr="00351EA3">
        <w:rPr>
          <w:lang w:val="en-US"/>
        </w:rPr>
        <w:t xml:space="preserve">, </w:t>
      </w:r>
      <w:r w:rsidR="00B11270" w:rsidRPr="00351EA3">
        <w:rPr>
          <w:lang w:val="en-US"/>
        </w:rPr>
        <w:t xml:space="preserve">both </w:t>
      </w:r>
      <w:proofErr w:type="spellStart"/>
      <w:r w:rsidR="00B11270" w:rsidRPr="00351EA3">
        <w:rPr>
          <w:lang w:val="en-US"/>
        </w:rPr>
        <w:t>Mr</w:t>
      </w:r>
      <w:proofErr w:type="spellEnd"/>
      <w:r w:rsidR="00B11270" w:rsidRPr="00351EA3">
        <w:rPr>
          <w:lang w:val="en-US"/>
        </w:rPr>
        <w:t xml:space="preserve"> Pang for the Applicants and </w:t>
      </w:r>
      <w:proofErr w:type="spellStart"/>
      <w:r w:rsidR="00B11270" w:rsidRPr="00351EA3">
        <w:rPr>
          <w:lang w:val="en-US"/>
        </w:rPr>
        <w:t>Ms</w:t>
      </w:r>
      <w:proofErr w:type="spellEnd"/>
      <w:r w:rsidR="00B11270" w:rsidRPr="00351EA3">
        <w:rPr>
          <w:lang w:val="en-US"/>
        </w:rPr>
        <w:t xml:space="preserve"> Cheung for the Respondent agree that the Disputed Documents are covered by the terms of the POs</w:t>
      </w:r>
      <w:r w:rsidR="00351EA3">
        <w:rPr>
          <w:lang w:val="en-US"/>
        </w:rPr>
        <w:t xml:space="preserve">, </w:t>
      </w:r>
      <w:r w:rsidR="00351EA3" w:rsidRPr="00351EA3">
        <w:rPr>
          <w:lang w:val="en-US"/>
        </w:rPr>
        <w:t xml:space="preserve">including medical records </w:t>
      </w:r>
      <w:r w:rsidR="00351EA3">
        <w:rPr>
          <w:lang w:val="en-US"/>
        </w:rPr>
        <w:t>of donation/ subsidy recipients</w:t>
      </w:r>
      <w:r w:rsidR="00B11270" w:rsidRPr="00351EA3">
        <w:rPr>
          <w:lang w:val="en-US"/>
        </w:rPr>
        <w:t xml:space="preserve">.  </w:t>
      </w:r>
      <w:r w:rsidR="00351EA3">
        <w:rPr>
          <w:lang w:val="en-US"/>
        </w:rPr>
        <w:t>Had it been otherwise, there would be no need for the application for redaction.</w:t>
      </w:r>
    </w:p>
    <w:p w:rsidR="00E31D45" w:rsidRDefault="00E31D45" w:rsidP="00B426FE">
      <w:pPr>
        <w:pStyle w:val="H-1"/>
        <w:spacing w:before="360" w:line="360" w:lineRule="auto"/>
        <w:rPr>
          <w:u w:val="single"/>
          <w:lang w:val="en-US"/>
        </w:rPr>
      </w:pPr>
      <w:r w:rsidRPr="005B34E5">
        <w:rPr>
          <w:i w:val="0"/>
          <w:u w:val="single"/>
        </w:rPr>
        <w:t>Consideration</w:t>
      </w:r>
    </w:p>
    <w:p w:rsidR="001533AC" w:rsidRPr="009A4324" w:rsidRDefault="00AF471E" w:rsidP="009A4324">
      <w:pPr>
        <w:pStyle w:val="H-1"/>
        <w:spacing w:before="360" w:line="360" w:lineRule="auto"/>
        <w:rPr>
          <w:lang w:val="en-US"/>
        </w:rPr>
      </w:pPr>
      <w:r w:rsidRPr="005B34E5">
        <w:rPr>
          <w:lang w:val="en-US"/>
        </w:rPr>
        <w:t xml:space="preserve">Statutory </w:t>
      </w:r>
      <w:r w:rsidR="006B14E5" w:rsidRPr="005B34E5">
        <w:rPr>
          <w:lang w:val="en-US"/>
        </w:rPr>
        <w:t>criteria</w:t>
      </w:r>
      <w:r w:rsidR="001533AC" w:rsidRPr="005B34E5">
        <w:rPr>
          <w:lang w:val="en-US"/>
        </w:rPr>
        <w:t xml:space="preserve"> </w:t>
      </w:r>
    </w:p>
    <w:p w:rsidR="000B072F" w:rsidRPr="00B426FE" w:rsidRDefault="000B072F" w:rsidP="00467F79">
      <w:pPr>
        <w:pStyle w:val="Final"/>
        <w:rPr>
          <w:lang w:val="en-US"/>
        </w:rPr>
      </w:pPr>
      <w:r w:rsidRPr="0055295A">
        <w:rPr>
          <w:lang w:val="en-US"/>
        </w:rPr>
        <w:t xml:space="preserve">Because of the coercive and potentially intrusive nature of </w:t>
      </w:r>
      <w:r w:rsidR="00AB6C28">
        <w:rPr>
          <w:lang w:val="en-US"/>
        </w:rPr>
        <w:t>the speci</w:t>
      </w:r>
      <w:r w:rsidR="006B14E5">
        <w:rPr>
          <w:lang w:val="en-US"/>
        </w:rPr>
        <w:t xml:space="preserve">al powers contained in </w:t>
      </w:r>
      <w:proofErr w:type="spellStart"/>
      <w:r w:rsidR="006B14E5">
        <w:rPr>
          <w:lang w:val="en-US"/>
        </w:rPr>
        <w:t>Sch</w:t>
      </w:r>
      <w:proofErr w:type="spellEnd"/>
      <w:r w:rsidR="006B14E5">
        <w:rPr>
          <w:lang w:val="en-US"/>
        </w:rPr>
        <w:t xml:space="preserve"> 7,</w:t>
      </w:r>
      <w:r w:rsidRPr="0055295A">
        <w:rPr>
          <w:lang w:val="en-US"/>
        </w:rPr>
        <w:t xml:space="preserve"> a judicial safeguard</w:t>
      </w:r>
      <w:r w:rsidR="00FC3E1E">
        <w:rPr>
          <w:lang w:val="en-US"/>
        </w:rPr>
        <w:t xml:space="preserve"> (in the form of prior authorization)</w:t>
      </w:r>
      <w:r w:rsidRPr="0055295A">
        <w:rPr>
          <w:lang w:val="en-US"/>
        </w:rPr>
        <w:t xml:space="preserve"> is </w:t>
      </w:r>
      <w:r w:rsidR="00875DE3">
        <w:rPr>
          <w:lang w:val="en-US"/>
        </w:rPr>
        <w:t xml:space="preserve">put in place </w:t>
      </w:r>
      <w:r w:rsidRPr="0055295A">
        <w:rPr>
          <w:lang w:val="en-US"/>
        </w:rPr>
        <w:t xml:space="preserve">to </w:t>
      </w:r>
      <w:r w:rsidR="00AB6C28">
        <w:rPr>
          <w:lang w:val="en-US"/>
        </w:rPr>
        <w:t>ensure that the use of those special powers is not unwarranted or oppressive</w:t>
      </w:r>
      <w:r w:rsidR="00FC3E1E">
        <w:rPr>
          <w:lang w:val="en-US"/>
        </w:rPr>
        <w:t xml:space="preserve">.  This prior judicial authorization would </w:t>
      </w:r>
      <w:r w:rsidR="00FC3E1E">
        <w:rPr>
          <w:lang w:val="en-US"/>
        </w:rPr>
        <w:lastRenderedPageBreak/>
        <w:t>provide an opportunity for the conflicting interests of the state and the individual to be assessed before the event so that the individuals’ right to privacy</w:t>
      </w:r>
      <w:r w:rsidR="006D5306">
        <w:rPr>
          <w:lang w:val="en-US"/>
        </w:rPr>
        <w:t xml:space="preserve"> </w:t>
      </w:r>
      <w:r w:rsidR="00AF7BB4">
        <w:rPr>
          <w:rFonts w:hint="eastAsia"/>
          <w:lang w:val="en-US"/>
        </w:rPr>
        <w:t>(</w:t>
      </w:r>
      <w:r w:rsidR="006D5306">
        <w:rPr>
          <w:lang w:val="en-US"/>
        </w:rPr>
        <w:t>guaranteed by the Basic Law</w:t>
      </w:r>
      <w:r w:rsidR="00FC3E1E">
        <w:rPr>
          <w:rStyle w:val="FootnoteReference"/>
          <w:lang w:val="en-US"/>
        </w:rPr>
        <w:footnoteReference w:id="11"/>
      </w:r>
      <w:r w:rsidR="00FC3E1E">
        <w:rPr>
          <w:lang w:val="en-US"/>
        </w:rPr>
        <w:t xml:space="preserve"> </w:t>
      </w:r>
      <w:r w:rsidR="006D5306">
        <w:rPr>
          <w:lang w:val="en-US"/>
        </w:rPr>
        <w:t>and BOR 14</w:t>
      </w:r>
      <w:r w:rsidR="00AF7BB4">
        <w:rPr>
          <w:lang w:val="en-US"/>
        </w:rPr>
        <w:t xml:space="preserve">) </w:t>
      </w:r>
      <w:r w:rsidR="00FC3E1E">
        <w:rPr>
          <w:lang w:val="en-US"/>
        </w:rPr>
        <w:t xml:space="preserve">would be breached only where the appropriate standard had been met.  The court vetting an application for PO must approach the task judicially with an independent mind balancing the conflicting interests: </w:t>
      </w:r>
      <w:r w:rsidR="00FC3E1E" w:rsidRPr="00BC695A">
        <w:rPr>
          <w:i/>
          <w:lang w:val="en-US"/>
        </w:rPr>
        <w:t>Keen Lloyd Holdings Ltd</w:t>
      </w:r>
      <w:r w:rsidR="00446C11">
        <w:rPr>
          <w:i/>
          <w:lang w:val="en-US"/>
        </w:rPr>
        <w:t xml:space="preserve"> &amp; </w:t>
      </w:r>
      <w:proofErr w:type="spellStart"/>
      <w:r w:rsidR="00446C11">
        <w:rPr>
          <w:i/>
          <w:lang w:val="en-US"/>
        </w:rPr>
        <w:t>Ors</w:t>
      </w:r>
      <w:proofErr w:type="spellEnd"/>
      <w:r w:rsidR="00FC3E1E" w:rsidRPr="00BC695A">
        <w:rPr>
          <w:i/>
          <w:lang w:val="en-US"/>
        </w:rPr>
        <w:t xml:space="preserve"> v Commissioner of Customs &amp; Excise</w:t>
      </w:r>
      <w:r w:rsidR="00FC3E1E">
        <w:rPr>
          <w:rStyle w:val="FootnoteReference"/>
          <w:i/>
          <w:lang w:val="en-US"/>
        </w:rPr>
        <w:footnoteReference w:id="12"/>
      </w:r>
      <w:r w:rsidR="00AB6C28">
        <w:rPr>
          <w:lang w:val="en-US"/>
        </w:rPr>
        <w:t>.</w:t>
      </w:r>
      <w:r w:rsidRPr="0055295A">
        <w:rPr>
          <w:lang w:val="en-US"/>
        </w:rPr>
        <w:t xml:space="preserve">  </w:t>
      </w:r>
      <w:r w:rsidR="00D748FC">
        <w:rPr>
          <w:lang w:val="en-US"/>
        </w:rPr>
        <w:t>T</w:t>
      </w:r>
      <w:r w:rsidRPr="0055295A">
        <w:rPr>
          <w:lang w:val="en-US"/>
        </w:rPr>
        <w:t xml:space="preserve">he court would not </w:t>
      </w:r>
      <w:r w:rsidR="00FC3E1E">
        <w:rPr>
          <w:lang w:val="en-US"/>
        </w:rPr>
        <w:t xml:space="preserve">authorize </w:t>
      </w:r>
      <w:r w:rsidR="00D748FC">
        <w:rPr>
          <w:lang w:val="en-US"/>
        </w:rPr>
        <w:t xml:space="preserve">the </w:t>
      </w:r>
      <w:r w:rsidR="00AB6C28">
        <w:rPr>
          <w:lang w:val="en-US"/>
        </w:rPr>
        <w:t>issue</w:t>
      </w:r>
      <w:r w:rsidR="001143F9">
        <w:rPr>
          <w:lang w:val="en-US"/>
        </w:rPr>
        <w:t xml:space="preserve"> of</w:t>
      </w:r>
      <w:r w:rsidR="00D748FC">
        <w:rPr>
          <w:lang w:val="en-US"/>
        </w:rPr>
        <w:t xml:space="preserve"> a PO</w:t>
      </w:r>
      <w:r w:rsidRPr="0055295A">
        <w:rPr>
          <w:lang w:val="en-US"/>
        </w:rPr>
        <w:t xml:space="preserve"> </w:t>
      </w:r>
      <w:r w:rsidR="00030255">
        <w:rPr>
          <w:rFonts w:hint="eastAsia"/>
          <w:lang w:val="en-US"/>
        </w:rPr>
        <w:t>u</w:t>
      </w:r>
      <w:r w:rsidR="00030255">
        <w:rPr>
          <w:lang w:val="en-US"/>
        </w:rPr>
        <w:t>nder s3(2</w:t>
      </w:r>
      <w:r w:rsidR="00030255">
        <w:rPr>
          <w:rFonts w:hint="eastAsia"/>
          <w:lang w:val="en-US"/>
        </w:rPr>
        <w:t xml:space="preserve">) </w:t>
      </w:r>
      <w:r w:rsidRPr="0055295A">
        <w:rPr>
          <w:lang w:val="en-US"/>
        </w:rPr>
        <w:t xml:space="preserve">unless it is satisfied that the relevant </w:t>
      </w:r>
      <w:r>
        <w:rPr>
          <w:lang w:val="en-US"/>
        </w:rPr>
        <w:t xml:space="preserve">statutory criteria </w:t>
      </w:r>
      <w:r w:rsidRPr="0055295A">
        <w:rPr>
          <w:lang w:val="en-US"/>
        </w:rPr>
        <w:t>set out in s3(4)</w:t>
      </w:r>
      <w:r w:rsidR="00D748FC" w:rsidRPr="00D748FC">
        <w:rPr>
          <w:rStyle w:val="FootnoteReference"/>
          <w:lang w:val="en-US"/>
        </w:rPr>
        <w:t xml:space="preserve"> </w:t>
      </w:r>
      <w:r w:rsidR="00D748FC">
        <w:rPr>
          <w:rStyle w:val="FootnoteReference"/>
          <w:lang w:val="en-US"/>
        </w:rPr>
        <w:footnoteReference w:id="13"/>
      </w:r>
      <w:r w:rsidR="00D748FC">
        <w:rPr>
          <w:lang w:val="en-US"/>
        </w:rPr>
        <w:t xml:space="preserve"> </w:t>
      </w:r>
      <w:r w:rsidRPr="0055295A">
        <w:rPr>
          <w:lang w:val="en-US"/>
        </w:rPr>
        <w:t>are met</w:t>
      </w:r>
      <w:r w:rsidR="00782616" w:rsidRPr="00782616">
        <w:rPr>
          <w:lang w:val="en-US"/>
        </w:rPr>
        <w:t xml:space="preserve">: </w:t>
      </w:r>
      <w:proofErr w:type="spellStart"/>
      <w:r w:rsidR="00782616">
        <w:rPr>
          <w:lang w:val="en-US"/>
        </w:rPr>
        <w:t>cf</w:t>
      </w:r>
      <w:proofErr w:type="spellEnd"/>
      <w:r w:rsidR="00782616">
        <w:rPr>
          <w:lang w:val="en-US"/>
        </w:rPr>
        <w:t xml:space="preserve"> </w:t>
      </w:r>
      <w:r w:rsidR="00782616" w:rsidRPr="00782616">
        <w:rPr>
          <w:i/>
          <w:lang w:val="en-US"/>
        </w:rPr>
        <w:t xml:space="preserve">R v Central </w:t>
      </w:r>
      <w:r w:rsidR="001B1ED8" w:rsidRPr="00782616">
        <w:rPr>
          <w:i/>
          <w:lang w:val="en-US"/>
        </w:rPr>
        <w:t>Criminal</w:t>
      </w:r>
      <w:r w:rsidR="00782616" w:rsidRPr="00782616">
        <w:rPr>
          <w:i/>
          <w:lang w:val="en-US"/>
        </w:rPr>
        <w:t xml:space="preserve"> Court</w:t>
      </w:r>
      <w:r w:rsidR="00446C11">
        <w:rPr>
          <w:i/>
          <w:lang w:val="en-US"/>
        </w:rPr>
        <w:t>,</w:t>
      </w:r>
      <w:r w:rsidR="00782616" w:rsidRPr="00782616">
        <w:rPr>
          <w:i/>
          <w:lang w:val="en-US"/>
        </w:rPr>
        <w:t xml:space="preserve"> ex p Bright</w:t>
      </w:r>
      <w:r w:rsidR="00782616" w:rsidRPr="002777EC">
        <w:rPr>
          <w:vertAlign w:val="superscript"/>
          <w:lang w:val="en-US"/>
        </w:rPr>
        <w:footnoteReference w:id="14"/>
      </w:r>
      <w:r w:rsidR="00782616">
        <w:rPr>
          <w:lang w:val="en-US"/>
        </w:rPr>
        <w:t xml:space="preserve">, applied in </w:t>
      </w:r>
      <w:r w:rsidR="00782616" w:rsidRPr="00BC695A">
        <w:rPr>
          <w:i/>
          <w:lang w:val="en-US"/>
        </w:rPr>
        <w:t>A</w:t>
      </w:r>
      <w:r w:rsidR="00446C11">
        <w:rPr>
          <w:i/>
          <w:lang w:val="en-US"/>
        </w:rPr>
        <w:t xml:space="preserve"> &amp; Anor</w:t>
      </w:r>
      <w:r w:rsidR="00782616" w:rsidRPr="00BC695A">
        <w:rPr>
          <w:i/>
          <w:lang w:val="en-US"/>
        </w:rPr>
        <w:t xml:space="preserve"> v Commissioner of Police</w:t>
      </w:r>
      <w:r w:rsidR="00782616">
        <w:rPr>
          <w:rStyle w:val="FootnoteReference"/>
          <w:lang w:val="en-US"/>
        </w:rPr>
        <w:footnoteReference w:id="15"/>
      </w:r>
      <w:r w:rsidR="00782616">
        <w:rPr>
          <w:lang w:val="en-US"/>
        </w:rPr>
        <w:t>.</w:t>
      </w:r>
    </w:p>
    <w:p w:rsidR="00AF471E" w:rsidRPr="00B426FE" w:rsidRDefault="00FC3E1E" w:rsidP="00467F79">
      <w:pPr>
        <w:pStyle w:val="Final"/>
        <w:rPr>
          <w:lang w:val="en-US"/>
        </w:rPr>
      </w:pPr>
      <w:r>
        <w:rPr>
          <w:lang w:val="en-US"/>
        </w:rPr>
        <w:t>In the present case, g</w:t>
      </w:r>
      <w:r w:rsidR="00E16214">
        <w:rPr>
          <w:lang w:val="en-US"/>
        </w:rPr>
        <w:t xml:space="preserve">iven that there is no </w:t>
      </w:r>
      <w:r w:rsidR="00FA2314">
        <w:rPr>
          <w:lang w:val="en-US"/>
        </w:rPr>
        <w:t xml:space="preserve">systemic </w:t>
      </w:r>
      <w:r w:rsidR="00E16214">
        <w:rPr>
          <w:lang w:val="en-US"/>
        </w:rPr>
        <w:t xml:space="preserve">challenge </w:t>
      </w:r>
      <w:r w:rsidR="006D5306">
        <w:rPr>
          <w:lang w:val="en-US"/>
        </w:rPr>
        <w:t xml:space="preserve">to the special powers contained in </w:t>
      </w:r>
      <w:proofErr w:type="spellStart"/>
      <w:r w:rsidR="006D5306">
        <w:rPr>
          <w:lang w:val="en-US"/>
        </w:rPr>
        <w:t>Sch</w:t>
      </w:r>
      <w:proofErr w:type="spellEnd"/>
      <w:r w:rsidR="006D5306">
        <w:rPr>
          <w:lang w:val="en-US"/>
        </w:rPr>
        <w:t xml:space="preserve"> 7 </w:t>
      </w:r>
      <w:r w:rsidR="00FA2314">
        <w:rPr>
          <w:lang w:val="en-US"/>
        </w:rPr>
        <w:t>a</w:t>
      </w:r>
      <w:r w:rsidR="00E16214">
        <w:rPr>
          <w:lang w:val="en-US"/>
        </w:rPr>
        <w:t xml:space="preserve">nd </w:t>
      </w:r>
      <w:r w:rsidR="00FA2314">
        <w:rPr>
          <w:lang w:val="en-US"/>
        </w:rPr>
        <w:t xml:space="preserve">also </w:t>
      </w:r>
      <w:r w:rsidR="00E16214">
        <w:rPr>
          <w:lang w:val="en-US"/>
        </w:rPr>
        <w:t>that there has</w:t>
      </w:r>
      <w:r w:rsidR="006D5306">
        <w:rPr>
          <w:lang w:val="en-US"/>
        </w:rPr>
        <w:t xml:space="preserve"> already</w:t>
      </w:r>
      <w:r w:rsidR="00E16214">
        <w:rPr>
          <w:lang w:val="en-US"/>
        </w:rPr>
        <w:t xml:space="preserve"> </w:t>
      </w:r>
      <w:r w:rsidR="00E16214">
        <w:rPr>
          <w:lang w:val="en-US"/>
        </w:rPr>
        <w:lastRenderedPageBreak/>
        <w:t>been partial compliance</w:t>
      </w:r>
      <w:r w:rsidR="00D748FC">
        <w:rPr>
          <w:lang w:val="en-US"/>
        </w:rPr>
        <w:t xml:space="preserve"> by the Applicants</w:t>
      </w:r>
      <w:r w:rsidR="00E16214">
        <w:rPr>
          <w:lang w:val="en-US"/>
        </w:rPr>
        <w:t xml:space="preserve">, the application for </w:t>
      </w:r>
      <w:r w:rsidR="006D5306">
        <w:rPr>
          <w:lang w:val="en-US"/>
        </w:rPr>
        <w:t>variation (</w:t>
      </w:r>
      <w:r w:rsidR="00E16214">
        <w:rPr>
          <w:lang w:val="en-US"/>
        </w:rPr>
        <w:t>redaction</w:t>
      </w:r>
      <w:r w:rsidR="006D5306">
        <w:rPr>
          <w:lang w:val="en-US"/>
        </w:rPr>
        <w:t>)</w:t>
      </w:r>
      <w:r w:rsidR="00E16214">
        <w:rPr>
          <w:lang w:val="en-US"/>
        </w:rPr>
        <w:t xml:space="preserve"> </w:t>
      </w:r>
      <w:r>
        <w:rPr>
          <w:lang w:val="en-US"/>
        </w:rPr>
        <w:t xml:space="preserve">must be </w:t>
      </w:r>
      <w:r w:rsidR="00E16214">
        <w:rPr>
          <w:lang w:val="en-US"/>
        </w:rPr>
        <w:t xml:space="preserve">considered </w:t>
      </w:r>
      <w:r w:rsidR="00FA2314">
        <w:rPr>
          <w:lang w:val="en-US"/>
        </w:rPr>
        <w:t xml:space="preserve">against the backdrop </w:t>
      </w:r>
      <w:r w:rsidR="00E16214">
        <w:rPr>
          <w:lang w:val="en-US"/>
        </w:rPr>
        <w:t xml:space="preserve">that </w:t>
      </w:r>
      <w:r w:rsidR="00FA2314">
        <w:rPr>
          <w:lang w:val="en-US"/>
        </w:rPr>
        <w:t xml:space="preserve">the POs are </w:t>
      </w:r>
      <w:r w:rsidR="006D5306">
        <w:rPr>
          <w:lang w:val="en-US"/>
        </w:rPr>
        <w:t xml:space="preserve">legally and </w:t>
      </w:r>
      <w:r w:rsidR="00FA2314">
        <w:rPr>
          <w:lang w:val="en-US"/>
        </w:rPr>
        <w:t>validly made</w:t>
      </w:r>
      <w:r w:rsidR="00E16214">
        <w:rPr>
          <w:lang w:val="en-US"/>
        </w:rPr>
        <w:t xml:space="preserve">.  </w:t>
      </w:r>
    </w:p>
    <w:p w:rsidR="00351EA3" w:rsidRPr="001C4DC2" w:rsidRDefault="00AF471E" w:rsidP="001C4DC2">
      <w:pPr>
        <w:pStyle w:val="Final"/>
        <w:rPr>
          <w:lang w:val="en-US"/>
        </w:rPr>
      </w:pPr>
      <w:r>
        <w:rPr>
          <w:lang w:val="en-US"/>
        </w:rPr>
        <w:t>I</w:t>
      </w:r>
      <w:r w:rsidR="00FA2314">
        <w:rPr>
          <w:lang w:val="en-US"/>
        </w:rPr>
        <w:t xml:space="preserve">n </w:t>
      </w:r>
      <w:r>
        <w:rPr>
          <w:lang w:val="en-US"/>
        </w:rPr>
        <w:t>the preamble of each of the POs</w:t>
      </w:r>
      <w:r w:rsidR="00FA2314">
        <w:rPr>
          <w:lang w:val="en-US"/>
        </w:rPr>
        <w:t>, it is stated</w:t>
      </w:r>
      <w:r>
        <w:rPr>
          <w:lang w:val="en-US"/>
        </w:rPr>
        <w:t xml:space="preserve"> that “the conditions in </w:t>
      </w:r>
      <w:r w:rsidR="001143F9" w:rsidRPr="001143F9">
        <w:rPr>
          <w:rFonts w:eastAsia="PMingLiU"/>
          <w:lang w:val="en-US" w:eastAsia="zh-HK"/>
        </w:rPr>
        <w:t>s</w:t>
      </w:r>
      <w:r>
        <w:rPr>
          <w:lang w:val="en-US"/>
        </w:rPr>
        <w:t xml:space="preserve">3(4)(b), (c) and (d) of </w:t>
      </w:r>
      <w:proofErr w:type="spellStart"/>
      <w:r w:rsidR="001143F9">
        <w:rPr>
          <w:lang w:val="en-US"/>
        </w:rPr>
        <w:t>Sch</w:t>
      </w:r>
      <w:proofErr w:type="spellEnd"/>
      <w:r w:rsidR="001143F9">
        <w:rPr>
          <w:lang w:val="en-US"/>
        </w:rPr>
        <w:t xml:space="preserve"> </w:t>
      </w:r>
      <w:r>
        <w:rPr>
          <w:lang w:val="en-US"/>
        </w:rPr>
        <w:t>7 of the Implementation Rules are fulfilled”</w:t>
      </w:r>
      <w:r>
        <w:rPr>
          <w:rStyle w:val="FootnoteReference"/>
          <w:lang w:val="en-US"/>
        </w:rPr>
        <w:footnoteReference w:id="16"/>
      </w:r>
      <w:r>
        <w:rPr>
          <w:lang w:val="en-US"/>
        </w:rPr>
        <w:t>.  B</w:t>
      </w:r>
      <w:r w:rsidR="00D748FC">
        <w:rPr>
          <w:lang w:val="en-US"/>
        </w:rPr>
        <w:t xml:space="preserve">y the reference to </w:t>
      </w:r>
      <w:r w:rsidR="00146CD3">
        <w:rPr>
          <w:lang w:val="en-US"/>
        </w:rPr>
        <w:t>s3(4)(b)</w:t>
      </w:r>
      <w:r w:rsidR="00D748FC">
        <w:rPr>
          <w:lang w:val="en-US"/>
        </w:rPr>
        <w:t xml:space="preserve"> of </w:t>
      </w:r>
      <w:proofErr w:type="spellStart"/>
      <w:r w:rsidR="00146CD3">
        <w:rPr>
          <w:lang w:val="en-US"/>
        </w:rPr>
        <w:t>Sch</w:t>
      </w:r>
      <w:proofErr w:type="spellEnd"/>
      <w:r w:rsidR="00146CD3">
        <w:rPr>
          <w:lang w:val="en-US"/>
        </w:rPr>
        <w:t xml:space="preserve"> 7</w:t>
      </w:r>
      <w:r w:rsidR="00D748FC">
        <w:rPr>
          <w:lang w:val="en-US"/>
        </w:rPr>
        <w:t xml:space="preserve"> in the POs</w:t>
      </w:r>
      <w:r w:rsidR="00146CD3">
        <w:rPr>
          <w:lang w:val="en-US"/>
        </w:rPr>
        <w:t xml:space="preserve">, it </w:t>
      </w:r>
      <w:r w:rsidR="00CB1338">
        <w:rPr>
          <w:lang w:val="en-US"/>
        </w:rPr>
        <w:t xml:space="preserve">must be understood </w:t>
      </w:r>
      <w:r w:rsidR="00146CD3">
        <w:rPr>
          <w:lang w:val="en-US"/>
        </w:rPr>
        <w:t xml:space="preserve">that the investigation is </w:t>
      </w:r>
      <w:r w:rsidR="00D748FC">
        <w:rPr>
          <w:lang w:val="en-US"/>
        </w:rPr>
        <w:t xml:space="preserve">said to be </w:t>
      </w:r>
      <w:r w:rsidR="00146CD3">
        <w:rPr>
          <w:lang w:val="en-US"/>
        </w:rPr>
        <w:t>into a person’s proceeds of a suspected offence endangering national security.  Furthermore, a</w:t>
      </w:r>
      <w:r w:rsidR="00351EA3" w:rsidRPr="00351EA3">
        <w:rPr>
          <w:lang w:val="en-US"/>
        </w:rPr>
        <w:t xml:space="preserve">lthough the Respondent’s affirmation filed in support of the application of the POs has not been disclosed to the Applicants, it </w:t>
      </w:r>
      <w:r w:rsidR="00C511CC">
        <w:rPr>
          <w:lang w:val="en-US"/>
        </w:rPr>
        <w:t>would</w:t>
      </w:r>
      <w:r w:rsidR="00351EA3" w:rsidRPr="00351EA3">
        <w:rPr>
          <w:lang w:val="en-US"/>
        </w:rPr>
        <w:t xml:space="preserve"> not </w:t>
      </w:r>
      <w:r w:rsidR="00C511CC">
        <w:rPr>
          <w:lang w:val="en-US"/>
        </w:rPr>
        <w:t xml:space="preserve">be </w:t>
      </w:r>
      <w:r w:rsidR="00351EA3" w:rsidRPr="00351EA3">
        <w:rPr>
          <w:lang w:val="en-US"/>
        </w:rPr>
        <w:t>difficult to fathom</w:t>
      </w:r>
      <w:r w:rsidR="00C511CC">
        <w:rPr>
          <w:lang w:val="en-US"/>
        </w:rPr>
        <w:t xml:space="preserve"> out</w:t>
      </w:r>
      <w:r w:rsidR="00351EA3" w:rsidRPr="00351EA3">
        <w:rPr>
          <w:lang w:val="en-US"/>
        </w:rPr>
        <w:t xml:space="preserve">, from the nature of the documents sought, that a major purpose of the POs is to facilitate the </w:t>
      </w:r>
      <w:r w:rsidR="00D748FC">
        <w:rPr>
          <w:lang w:val="en-US"/>
        </w:rPr>
        <w:t>p</w:t>
      </w:r>
      <w:r w:rsidR="00351EA3" w:rsidRPr="00351EA3">
        <w:rPr>
          <w:lang w:val="en-US"/>
        </w:rPr>
        <w:t>olice investigat</w:t>
      </w:r>
      <w:r w:rsidR="00D748FC">
        <w:rPr>
          <w:lang w:val="en-US"/>
        </w:rPr>
        <w:t>ion into</w:t>
      </w:r>
      <w:r w:rsidR="00351EA3" w:rsidRPr="00351EA3">
        <w:rPr>
          <w:lang w:val="en-US"/>
        </w:rPr>
        <w:t xml:space="preserve"> the fund flow and the reasons for payments.  </w:t>
      </w:r>
      <w:r w:rsidR="000B072F">
        <w:rPr>
          <w:lang w:val="en-US"/>
        </w:rPr>
        <w:t>These are important factors to be taken into account when the court is weighing the public interest under s3(4)(d)</w:t>
      </w:r>
      <w:r w:rsidR="00CB1338">
        <w:rPr>
          <w:lang w:val="en-US"/>
        </w:rPr>
        <w:t xml:space="preserve"> which </w:t>
      </w:r>
      <w:r w:rsidR="000B072F">
        <w:rPr>
          <w:lang w:val="en-US"/>
        </w:rPr>
        <w:t xml:space="preserve">I will come to that in a moment.  </w:t>
      </w:r>
      <w:r w:rsidR="00D748FC">
        <w:rPr>
          <w:lang w:val="en-US"/>
        </w:rPr>
        <w:t>At this junction, i</w:t>
      </w:r>
      <w:r w:rsidR="000B072F">
        <w:rPr>
          <w:lang w:val="en-US"/>
        </w:rPr>
        <w:t xml:space="preserve">t is pertinent to note that the threshold for s3(4)(b), namely </w:t>
      </w:r>
      <w:r w:rsidR="00D748FC">
        <w:rPr>
          <w:lang w:val="en-US"/>
        </w:rPr>
        <w:t>“</w:t>
      </w:r>
      <w:r w:rsidR="000B072F">
        <w:rPr>
          <w:lang w:val="en-US"/>
        </w:rPr>
        <w:t>reasonable grounds to suspect</w:t>
      </w:r>
      <w:r w:rsidR="00D748FC">
        <w:rPr>
          <w:lang w:val="en-US"/>
        </w:rPr>
        <w:t xml:space="preserve">” at the </w:t>
      </w:r>
      <w:r w:rsidR="000B072F">
        <w:rPr>
          <w:lang w:val="en-US"/>
        </w:rPr>
        <w:t>investigatory stage is relatively low</w:t>
      </w:r>
      <w:r w:rsidR="00D748FC">
        <w:rPr>
          <w:lang w:val="en-US"/>
        </w:rPr>
        <w:t xml:space="preserve">.  This is because it is settled that </w:t>
      </w:r>
      <w:r w:rsidR="00AB6C28">
        <w:rPr>
          <w:lang w:val="en-US"/>
        </w:rPr>
        <w:t>“</w:t>
      </w:r>
      <w:r w:rsidR="00D748FC">
        <w:rPr>
          <w:lang w:val="en-US"/>
        </w:rPr>
        <w:t>s</w:t>
      </w:r>
      <w:r w:rsidR="000B072F">
        <w:rPr>
          <w:lang w:val="en-US"/>
        </w:rPr>
        <w:t>uspicion</w:t>
      </w:r>
      <w:r w:rsidR="00AB6C28">
        <w:rPr>
          <w:lang w:val="en-US"/>
        </w:rPr>
        <w:t>”</w:t>
      </w:r>
      <w:r w:rsidR="000B072F">
        <w:rPr>
          <w:lang w:val="en-US"/>
        </w:rPr>
        <w:t xml:space="preserve"> is a state of conjecture or surmise where proof is lacking and is a far cry from </w:t>
      </w:r>
      <w:r w:rsidR="000B072F" w:rsidRPr="009626A3">
        <w:rPr>
          <w:i/>
          <w:lang w:val="en-US"/>
        </w:rPr>
        <w:t>prima facie</w:t>
      </w:r>
      <w:r w:rsidR="000B072F">
        <w:rPr>
          <w:lang w:val="en-US"/>
        </w:rPr>
        <w:t xml:space="preserve"> proof</w:t>
      </w:r>
      <w:r w:rsidR="009626A3">
        <w:rPr>
          <w:lang w:val="en-US"/>
        </w:rPr>
        <w:t>:</w:t>
      </w:r>
      <w:r w:rsidR="000B072F">
        <w:rPr>
          <w:lang w:val="en-US"/>
        </w:rPr>
        <w:t xml:space="preserve"> </w:t>
      </w:r>
      <w:r w:rsidR="009626A3" w:rsidRPr="009626A3">
        <w:rPr>
          <w:i/>
          <w:lang w:val="en-US"/>
        </w:rPr>
        <w:t xml:space="preserve">Hussein v Chong Fook </w:t>
      </w:r>
      <w:proofErr w:type="spellStart"/>
      <w:r w:rsidR="009626A3" w:rsidRPr="009626A3">
        <w:rPr>
          <w:i/>
          <w:lang w:val="en-US"/>
        </w:rPr>
        <w:t>Kam</w:t>
      </w:r>
      <w:proofErr w:type="spellEnd"/>
      <w:r w:rsidR="009626A3" w:rsidRPr="00A4742E">
        <w:rPr>
          <w:rStyle w:val="FootnoteReference"/>
          <w:lang w:val="en-US"/>
        </w:rPr>
        <w:footnoteReference w:id="17"/>
      </w:r>
      <w:r w:rsidR="009626A3">
        <w:rPr>
          <w:lang w:val="en-US"/>
        </w:rPr>
        <w:t xml:space="preserve">, applied in </w:t>
      </w:r>
      <w:r w:rsidR="009626A3" w:rsidRPr="009626A3">
        <w:rPr>
          <w:i/>
          <w:lang w:val="en-US"/>
        </w:rPr>
        <w:t>P v Commissioner of the ICAC</w:t>
      </w:r>
      <w:r w:rsidR="009626A3" w:rsidRPr="009626A3">
        <w:rPr>
          <w:vertAlign w:val="superscript"/>
          <w:lang w:val="en-US"/>
        </w:rPr>
        <w:footnoteReference w:id="18"/>
      </w:r>
      <w:r w:rsidR="009626A3">
        <w:rPr>
          <w:i/>
          <w:lang w:val="en-US"/>
        </w:rPr>
        <w:t>.</w:t>
      </w:r>
      <w:r w:rsidR="001C4DC2" w:rsidRPr="001C4DC2">
        <w:rPr>
          <w:lang w:val="en-US"/>
        </w:rPr>
        <w:t xml:space="preserve"> </w:t>
      </w:r>
      <w:r w:rsidR="001C4DC2">
        <w:rPr>
          <w:lang w:val="en-US"/>
        </w:rPr>
        <w:t xml:space="preserve">The condition of having “reasonable grounds to suspect” requires additionally that </w:t>
      </w:r>
      <w:r w:rsidR="0094198A">
        <w:rPr>
          <w:lang w:val="en-US"/>
        </w:rPr>
        <w:t>the</w:t>
      </w:r>
      <w:r w:rsidR="001C4DC2">
        <w:rPr>
          <w:lang w:val="en-US"/>
        </w:rPr>
        <w:t xml:space="preserve"> “suspicion”</w:t>
      </w:r>
      <w:r w:rsidR="0094198A">
        <w:rPr>
          <w:lang w:val="en-US"/>
        </w:rPr>
        <w:t xml:space="preserve"> is based on “reasonable grounds”, so that anyone looking at those grounds objectively would so suspect: </w:t>
      </w:r>
      <w:proofErr w:type="spellStart"/>
      <w:r w:rsidR="0094198A">
        <w:rPr>
          <w:lang w:val="en-US"/>
        </w:rPr>
        <w:t>cf</w:t>
      </w:r>
      <w:proofErr w:type="spellEnd"/>
      <w:r w:rsidR="0094198A">
        <w:rPr>
          <w:lang w:val="en-US"/>
        </w:rPr>
        <w:t xml:space="preserve"> </w:t>
      </w:r>
      <w:r w:rsidR="0094198A" w:rsidRPr="006E2DE0">
        <w:rPr>
          <w:i/>
          <w:lang w:val="en-US"/>
        </w:rPr>
        <w:t xml:space="preserve">HKSAR v </w:t>
      </w:r>
      <w:proofErr w:type="spellStart"/>
      <w:r w:rsidR="0094198A" w:rsidRPr="006E2DE0">
        <w:rPr>
          <w:i/>
          <w:lang w:val="en-US"/>
        </w:rPr>
        <w:t>Harjani</w:t>
      </w:r>
      <w:proofErr w:type="spellEnd"/>
      <w:r w:rsidR="0094198A" w:rsidRPr="006E2DE0">
        <w:rPr>
          <w:i/>
          <w:lang w:val="en-US"/>
        </w:rPr>
        <w:t xml:space="preserve"> </w:t>
      </w:r>
      <w:proofErr w:type="spellStart"/>
      <w:r w:rsidR="0094198A" w:rsidRPr="006E2DE0">
        <w:rPr>
          <w:i/>
          <w:lang w:val="en-US"/>
        </w:rPr>
        <w:t>Harest</w:t>
      </w:r>
      <w:proofErr w:type="spellEnd"/>
      <w:r w:rsidR="0094198A" w:rsidRPr="006E2DE0">
        <w:rPr>
          <w:i/>
          <w:lang w:val="en-US"/>
        </w:rPr>
        <w:t xml:space="preserve"> </w:t>
      </w:r>
      <w:proofErr w:type="spellStart"/>
      <w:r w:rsidR="0094198A" w:rsidRPr="006E2DE0">
        <w:rPr>
          <w:i/>
          <w:lang w:val="en-US"/>
        </w:rPr>
        <w:t>Murlidhar</w:t>
      </w:r>
      <w:proofErr w:type="spellEnd"/>
      <w:r w:rsidR="001C4DC2">
        <w:rPr>
          <w:lang w:val="en-US"/>
        </w:rPr>
        <w:t>.</w:t>
      </w:r>
      <w:r w:rsidR="0094198A">
        <w:rPr>
          <w:lang w:val="en-US"/>
        </w:rPr>
        <w:t xml:space="preserve"> </w:t>
      </w:r>
      <w:r w:rsidR="0094198A">
        <w:rPr>
          <w:rStyle w:val="FootnoteReference"/>
          <w:lang w:val="en-US"/>
        </w:rPr>
        <w:footnoteReference w:id="19"/>
      </w:r>
    </w:p>
    <w:p w:rsidR="006470B6" w:rsidRPr="00B426FE" w:rsidRDefault="00F868DF" w:rsidP="00467F79">
      <w:pPr>
        <w:pStyle w:val="Final"/>
        <w:rPr>
          <w:lang w:val="en-US"/>
        </w:rPr>
      </w:pPr>
      <w:r w:rsidRPr="00B01062">
        <w:rPr>
          <w:lang w:val="en-US"/>
        </w:rPr>
        <w:lastRenderedPageBreak/>
        <w:t>Apart from s3(4)(b)</w:t>
      </w:r>
      <w:r w:rsidR="009626A3" w:rsidRPr="00B01062">
        <w:rPr>
          <w:lang w:val="en-US"/>
        </w:rPr>
        <w:t>,</w:t>
      </w:r>
      <w:r w:rsidR="0014297B" w:rsidRPr="00B01062">
        <w:rPr>
          <w:lang w:val="en-US"/>
        </w:rPr>
        <w:t xml:space="preserve"> the court </w:t>
      </w:r>
      <w:r w:rsidR="00B01062" w:rsidRPr="00B01062">
        <w:rPr>
          <w:lang w:val="en-US"/>
        </w:rPr>
        <w:t xml:space="preserve">was </w:t>
      </w:r>
      <w:r w:rsidR="0014297B" w:rsidRPr="00B01062">
        <w:rPr>
          <w:lang w:val="en-US"/>
        </w:rPr>
        <w:t xml:space="preserve">satisfied that there are </w:t>
      </w:r>
      <w:r w:rsidR="0055295A" w:rsidRPr="00B01062">
        <w:rPr>
          <w:lang w:val="en-US"/>
        </w:rPr>
        <w:t>“</w:t>
      </w:r>
      <w:r w:rsidR="0014297B" w:rsidRPr="00B01062">
        <w:rPr>
          <w:lang w:val="en-US"/>
        </w:rPr>
        <w:t>reasonable grounds for believing</w:t>
      </w:r>
      <w:r w:rsidR="0055295A" w:rsidRPr="00B01062">
        <w:rPr>
          <w:lang w:val="en-US"/>
        </w:rPr>
        <w:t>”</w:t>
      </w:r>
      <w:r w:rsidR="0014297B" w:rsidRPr="00B01062">
        <w:rPr>
          <w:lang w:val="en-US"/>
        </w:rPr>
        <w:t xml:space="preserve"> that the material to which the application relates</w:t>
      </w:r>
      <w:r w:rsidR="0055295A" w:rsidRPr="00B01062">
        <w:rPr>
          <w:lang w:val="en-US"/>
        </w:rPr>
        <w:t xml:space="preserve"> (</w:t>
      </w:r>
      <w:proofErr w:type="spellStart"/>
      <w:r w:rsidR="0055295A" w:rsidRPr="00B01062">
        <w:rPr>
          <w:lang w:val="en-US"/>
        </w:rPr>
        <w:t>i</w:t>
      </w:r>
      <w:proofErr w:type="spellEnd"/>
      <w:r w:rsidR="0055295A" w:rsidRPr="00B01062">
        <w:rPr>
          <w:lang w:val="en-US"/>
        </w:rPr>
        <w:t>)</w:t>
      </w:r>
      <w:r w:rsidR="00C7590A">
        <w:rPr>
          <w:lang w:val="en-US"/>
        </w:rPr>
        <w:t> </w:t>
      </w:r>
      <w:r w:rsidR="0014297B" w:rsidRPr="00B01062">
        <w:rPr>
          <w:lang w:val="en-US"/>
        </w:rPr>
        <w:t>is likely to be relevant to the investigation for the purpose of which the application is made; and</w:t>
      </w:r>
      <w:r w:rsidR="0055295A" w:rsidRPr="00B01062">
        <w:rPr>
          <w:lang w:val="en-US"/>
        </w:rPr>
        <w:t xml:space="preserve"> </w:t>
      </w:r>
      <w:r w:rsidR="0014297B" w:rsidRPr="00B01062">
        <w:rPr>
          <w:lang w:val="en-US"/>
        </w:rPr>
        <w:t>(ii)</w:t>
      </w:r>
      <w:r w:rsidR="00C7590A">
        <w:rPr>
          <w:lang w:val="en-US"/>
        </w:rPr>
        <w:t> </w:t>
      </w:r>
      <w:r w:rsidR="0014297B" w:rsidRPr="00B01062">
        <w:rPr>
          <w:lang w:val="en-US"/>
        </w:rPr>
        <w:t>does not consist of or include items subject to legal professional privilege</w:t>
      </w:r>
      <w:r w:rsidR="0055295A" w:rsidRPr="00B01062">
        <w:rPr>
          <w:lang w:val="en-US"/>
        </w:rPr>
        <w:t xml:space="preserve">: s3(4)(c).  </w:t>
      </w:r>
      <w:r w:rsidR="00AF471E">
        <w:rPr>
          <w:lang w:val="en-US"/>
        </w:rPr>
        <w:t>Besides, t</w:t>
      </w:r>
      <w:r w:rsidR="0055295A" w:rsidRPr="0055295A">
        <w:rPr>
          <w:lang w:val="en-US"/>
        </w:rPr>
        <w:t xml:space="preserve">he court </w:t>
      </w:r>
      <w:r w:rsidR="00B01062">
        <w:rPr>
          <w:lang w:val="en-US"/>
        </w:rPr>
        <w:t xml:space="preserve">was </w:t>
      </w:r>
      <w:r w:rsidR="0055295A" w:rsidRPr="0055295A">
        <w:rPr>
          <w:lang w:val="en-US"/>
        </w:rPr>
        <w:t xml:space="preserve">also satisfied that </w:t>
      </w:r>
      <w:r w:rsidR="0014297B" w:rsidRPr="0055295A">
        <w:rPr>
          <w:lang w:val="en-US"/>
        </w:rPr>
        <w:t xml:space="preserve">there are </w:t>
      </w:r>
      <w:r w:rsidR="0055295A" w:rsidRPr="0055295A">
        <w:rPr>
          <w:lang w:val="en-US"/>
        </w:rPr>
        <w:t>“</w:t>
      </w:r>
      <w:r w:rsidR="0014297B" w:rsidRPr="0055295A">
        <w:rPr>
          <w:lang w:val="en-US"/>
        </w:rPr>
        <w:t>reasonable grounds for believing</w:t>
      </w:r>
      <w:r w:rsidR="0055295A" w:rsidRPr="0055295A">
        <w:rPr>
          <w:lang w:val="en-US"/>
        </w:rPr>
        <w:t>”</w:t>
      </w:r>
      <w:r w:rsidR="0014297B" w:rsidRPr="0055295A">
        <w:rPr>
          <w:lang w:val="en-US"/>
        </w:rPr>
        <w:t xml:space="preserve"> that it is in the public interest that the material should be produced or that access to it should be given, having regard to</w:t>
      </w:r>
      <w:r w:rsidR="0055295A" w:rsidRPr="0055295A">
        <w:rPr>
          <w:lang w:val="en-US"/>
        </w:rPr>
        <w:t xml:space="preserve"> (</w:t>
      </w:r>
      <w:proofErr w:type="spellStart"/>
      <w:r w:rsidR="0014297B" w:rsidRPr="0055295A">
        <w:rPr>
          <w:lang w:val="en-US"/>
        </w:rPr>
        <w:t>i</w:t>
      </w:r>
      <w:proofErr w:type="spellEnd"/>
      <w:r w:rsidR="0014297B" w:rsidRPr="0055295A">
        <w:rPr>
          <w:lang w:val="en-US"/>
        </w:rPr>
        <w:t>)</w:t>
      </w:r>
      <w:r w:rsidR="00C7590A">
        <w:rPr>
          <w:lang w:val="en-US"/>
        </w:rPr>
        <w:t> </w:t>
      </w:r>
      <w:r w:rsidR="0014297B" w:rsidRPr="0055295A">
        <w:rPr>
          <w:lang w:val="en-US"/>
        </w:rPr>
        <w:t>the benefit likely to accrue to the investigation if the material is obtained; and</w:t>
      </w:r>
      <w:r w:rsidR="0055295A" w:rsidRPr="0055295A">
        <w:rPr>
          <w:lang w:val="en-US"/>
        </w:rPr>
        <w:t xml:space="preserve"> </w:t>
      </w:r>
      <w:r w:rsidR="0014297B" w:rsidRPr="0055295A">
        <w:rPr>
          <w:lang w:val="en-US"/>
        </w:rPr>
        <w:t>(ii)</w:t>
      </w:r>
      <w:r w:rsidR="00C7590A">
        <w:rPr>
          <w:lang w:val="en-US"/>
        </w:rPr>
        <w:t> </w:t>
      </w:r>
      <w:r w:rsidR="0014297B" w:rsidRPr="0055295A">
        <w:rPr>
          <w:lang w:val="en-US"/>
        </w:rPr>
        <w:t>the circumstances under which the person in possession or control of the material holds or controls it, as the case may be.</w:t>
      </w:r>
      <w:r w:rsidR="0055295A">
        <w:rPr>
          <w:lang w:val="en-US"/>
        </w:rPr>
        <w:t xml:space="preserve">  </w:t>
      </w:r>
    </w:p>
    <w:p w:rsidR="00DF3ADC" w:rsidRPr="005B34E5" w:rsidRDefault="001C4DC2" w:rsidP="00467F79">
      <w:pPr>
        <w:pStyle w:val="Final"/>
        <w:rPr>
          <w:lang w:val="en-US"/>
        </w:rPr>
      </w:pPr>
      <w:r w:rsidRPr="001C4DC2">
        <w:rPr>
          <w:lang w:val="en-US"/>
        </w:rPr>
        <w:t xml:space="preserve">It is pertinent to note that the threshold test of “reasonable grounds of believing” applicable to both s3(4)(c) &amp; (d) is higher than that of “reasonable grounds for suspecting” applicable to s3(4)(b).  This is because it is settled that “belief”, though less than “knowledge”, is more than “mere suspicion”: </w:t>
      </w:r>
      <w:r w:rsidRPr="001C4DC2">
        <w:rPr>
          <w:i/>
          <w:lang w:val="en-US"/>
        </w:rPr>
        <w:t xml:space="preserve">Gifford v </w:t>
      </w:r>
      <w:proofErr w:type="spellStart"/>
      <w:r w:rsidRPr="001C4DC2">
        <w:rPr>
          <w:i/>
          <w:lang w:val="en-US"/>
        </w:rPr>
        <w:t>Kelson</w:t>
      </w:r>
      <w:proofErr w:type="spellEnd"/>
      <w:r w:rsidRPr="001C4DC2">
        <w:rPr>
          <w:vertAlign w:val="superscript"/>
          <w:lang w:val="en-US"/>
        </w:rPr>
        <w:footnoteReference w:id="20"/>
      </w:r>
      <w:r w:rsidRPr="001C4DC2">
        <w:rPr>
          <w:lang w:val="en-US"/>
        </w:rPr>
        <w:t xml:space="preserve">, applied in </w:t>
      </w:r>
      <w:r w:rsidRPr="001C4DC2">
        <w:rPr>
          <w:i/>
          <w:lang w:val="en-US"/>
        </w:rPr>
        <w:t>McIntosh v Webster</w:t>
      </w:r>
      <w:r w:rsidRPr="001C4DC2">
        <w:rPr>
          <w:vertAlign w:val="superscript"/>
          <w:lang w:val="en-US"/>
        </w:rPr>
        <w:footnoteReference w:id="21"/>
      </w:r>
      <w:r w:rsidRPr="001C4DC2">
        <w:rPr>
          <w:lang w:val="en-US"/>
        </w:rPr>
        <w:t xml:space="preserve">.  That said, it is necessary to bear in mind that the Court, when considering with an application under s3(2), is not dealing with either “reasonable grounds to suspect” or “reasonable grounds of believing”, as the case may be, as an element of offence.  Furthermore, the court is not tasked at the </w:t>
      </w:r>
      <w:r w:rsidRPr="001C4DC2">
        <w:rPr>
          <w:i/>
          <w:lang w:val="en-US"/>
        </w:rPr>
        <w:t>ex parte</w:t>
      </w:r>
      <w:r w:rsidRPr="001C4DC2">
        <w:rPr>
          <w:lang w:val="en-US"/>
        </w:rPr>
        <w:t xml:space="preserve"> stage to make any “findings of fact” as such.  Instead, the court is only tasked to form an objective assessment of the statutory criteria based on the limited information available and ask whether a</w:t>
      </w:r>
      <w:r w:rsidR="0028745F">
        <w:rPr>
          <w:lang w:val="en-US"/>
        </w:rPr>
        <w:t>ny</w:t>
      </w:r>
      <w:r w:rsidRPr="001C4DC2">
        <w:rPr>
          <w:lang w:val="en-US"/>
        </w:rPr>
        <w:t xml:space="preserve"> reasonable man </w:t>
      </w:r>
      <w:r w:rsidR="0028745F">
        <w:rPr>
          <w:lang w:val="en-US"/>
        </w:rPr>
        <w:t xml:space="preserve">looking at </w:t>
      </w:r>
      <w:r w:rsidRPr="001C4DC2">
        <w:rPr>
          <w:lang w:val="en-US"/>
        </w:rPr>
        <w:t xml:space="preserve">that information </w:t>
      </w:r>
      <w:r w:rsidR="0028745F">
        <w:rPr>
          <w:lang w:val="en-US"/>
        </w:rPr>
        <w:t xml:space="preserve">objectively </w:t>
      </w:r>
      <w:r w:rsidR="0094198A">
        <w:rPr>
          <w:lang w:val="en-US"/>
        </w:rPr>
        <w:t>would have the requisite belief</w:t>
      </w:r>
      <w:r>
        <w:rPr>
          <w:lang w:val="en-US"/>
        </w:rPr>
        <w:t>.</w:t>
      </w:r>
      <w:r w:rsidR="00AB6C28" w:rsidRPr="00DF3ADC">
        <w:rPr>
          <w:lang w:val="en-US"/>
        </w:rPr>
        <w:t xml:space="preserve">  </w:t>
      </w:r>
    </w:p>
    <w:p w:rsidR="007E7FAA" w:rsidRPr="00DF3ADC" w:rsidRDefault="00CF6AC1" w:rsidP="00B426FE">
      <w:pPr>
        <w:pStyle w:val="H-1"/>
        <w:spacing w:before="360" w:line="360" w:lineRule="auto"/>
        <w:rPr>
          <w:lang w:val="en-US"/>
        </w:rPr>
      </w:pPr>
      <w:r w:rsidRPr="00CB1338">
        <w:rPr>
          <w:lang w:val="en-US"/>
        </w:rPr>
        <w:lastRenderedPageBreak/>
        <w:t>The present</w:t>
      </w:r>
      <w:r>
        <w:rPr>
          <w:lang w:val="en-US"/>
        </w:rPr>
        <w:t xml:space="preserve"> </w:t>
      </w:r>
      <w:r w:rsidR="00CB1338">
        <w:rPr>
          <w:lang w:val="en-US"/>
        </w:rPr>
        <w:t>application</w:t>
      </w:r>
      <w:r>
        <w:rPr>
          <w:lang w:val="en-US"/>
        </w:rPr>
        <w:t xml:space="preserve"> </w:t>
      </w:r>
    </w:p>
    <w:p w:rsidR="0017114F" w:rsidRPr="001533AC" w:rsidRDefault="00CB1338" w:rsidP="00467F79">
      <w:pPr>
        <w:pStyle w:val="Final"/>
        <w:rPr>
          <w:lang w:val="en-US"/>
        </w:rPr>
      </w:pPr>
      <w:r>
        <w:rPr>
          <w:lang w:val="en-US"/>
        </w:rPr>
        <w:t>A</w:t>
      </w:r>
      <w:r w:rsidR="00B01062">
        <w:rPr>
          <w:lang w:val="en-US"/>
        </w:rPr>
        <w:t xml:space="preserve"> </w:t>
      </w:r>
      <w:r w:rsidR="0017114F" w:rsidRPr="001533AC">
        <w:rPr>
          <w:lang w:val="en-US"/>
        </w:rPr>
        <w:t xml:space="preserve">legal issue </w:t>
      </w:r>
      <w:r>
        <w:rPr>
          <w:lang w:val="en-US"/>
        </w:rPr>
        <w:t xml:space="preserve">arises </w:t>
      </w:r>
      <w:r w:rsidR="00E079CF">
        <w:rPr>
          <w:lang w:val="en-US"/>
        </w:rPr>
        <w:t xml:space="preserve">as to </w:t>
      </w:r>
      <w:r w:rsidR="007A460E" w:rsidRPr="001533AC">
        <w:rPr>
          <w:lang w:val="en-US"/>
        </w:rPr>
        <w:t xml:space="preserve">whether </w:t>
      </w:r>
      <w:r w:rsidR="0008199A" w:rsidRPr="001533AC">
        <w:rPr>
          <w:lang w:val="en-US"/>
        </w:rPr>
        <w:t>th</w:t>
      </w:r>
      <w:r w:rsidR="00B01062">
        <w:rPr>
          <w:lang w:val="en-US"/>
        </w:rPr>
        <w:t>is</w:t>
      </w:r>
      <w:r w:rsidR="0008199A" w:rsidRPr="001533AC">
        <w:rPr>
          <w:lang w:val="en-US"/>
        </w:rPr>
        <w:t xml:space="preserve"> </w:t>
      </w:r>
      <w:r w:rsidR="000E1A2F" w:rsidRPr="001533AC">
        <w:rPr>
          <w:lang w:val="en-US"/>
        </w:rPr>
        <w:t>c</w:t>
      </w:r>
      <w:r w:rsidR="0008199A" w:rsidRPr="001533AC">
        <w:rPr>
          <w:lang w:val="en-US"/>
        </w:rPr>
        <w:t>ourt</w:t>
      </w:r>
      <w:r w:rsidR="00E079CF">
        <w:rPr>
          <w:lang w:val="en-US"/>
        </w:rPr>
        <w:t>, having ordered the issue of a PO,</w:t>
      </w:r>
      <w:r w:rsidR="0008199A" w:rsidRPr="001533AC">
        <w:rPr>
          <w:lang w:val="en-US"/>
        </w:rPr>
        <w:t xml:space="preserve"> </w:t>
      </w:r>
      <w:r w:rsidR="006A2083">
        <w:rPr>
          <w:lang w:val="en-US"/>
        </w:rPr>
        <w:t xml:space="preserve">should </w:t>
      </w:r>
      <w:r w:rsidR="00711C83">
        <w:rPr>
          <w:lang w:val="en-US"/>
        </w:rPr>
        <w:t xml:space="preserve">entertain an application for variation </w:t>
      </w:r>
      <w:r w:rsidR="006A2083">
        <w:rPr>
          <w:lang w:val="en-US"/>
        </w:rPr>
        <w:t>on the grounds of</w:t>
      </w:r>
      <w:r w:rsidR="00711C83">
        <w:rPr>
          <w:lang w:val="en-US"/>
        </w:rPr>
        <w:t xml:space="preserve"> </w:t>
      </w:r>
      <w:r w:rsidR="00B45379">
        <w:rPr>
          <w:lang w:val="en-US"/>
        </w:rPr>
        <w:t>relevancy</w:t>
      </w:r>
      <w:r w:rsidR="00136D37">
        <w:rPr>
          <w:lang w:val="en-US"/>
        </w:rPr>
        <w:t xml:space="preserve"> </w:t>
      </w:r>
      <w:r w:rsidR="00CF6AC1">
        <w:rPr>
          <w:lang w:val="en-US"/>
        </w:rPr>
        <w:t xml:space="preserve">under </w:t>
      </w:r>
      <w:r w:rsidR="00136D37">
        <w:rPr>
          <w:lang w:val="en-US"/>
        </w:rPr>
        <w:t>s3(4)(c)(</w:t>
      </w:r>
      <w:proofErr w:type="spellStart"/>
      <w:r w:rsidR="00136D37">
        <w:rPr>
          <w:lang w:val="en-US"/>
        </w:rPr>
        <w:t>i</w:t>
      </w:r>
      <w:proofErr w:type="spellEnd"/>
      <w:r w:rsidR="00136D37">
        <w:rPr>
          <w:lang w:val="en-US"/>
        </w:rPr>
        <w:t>)</w:t>
      </w:r>
      <w:r w:rsidR="00CF6AC1">
        <w:rPr>
          <w:lang w:val="en-US"/>
        </w:rPr>
        <w:t xml:space="preserve">, </w:t>
      </w:r>
      <w:proofErr w:type="spellStart"/>
      <w:r w:rsidR="00CF6AC1">
        <w:rPr>
          <w:lang w:val="en-US"/>
        </w:rPr>
        <w:t>Sch</w:t>
      </w:r>
      <w:proofErr w:type="spellEnd"/>
      <w:r w:rsidR="00CF6AC1">
        <w:rPr>
          <w:lang w:val="en-US"/>
        </w:rPr>
        <w:t xml:space="preserve"> 7.  </w:t>
      </w:r>
      <w:r>
        <w:rPr>
          <w:lang w:val="en-US"/>
        </w:rPr>
        <w:t xml:space="preserve">Besides, </w:t>
      </w:r>
      <w:proofErr w:type="spellStart"/>
      <w:r w:rsidR="00A53EBE">
        <w:rPr>
          <w:lang w:val="en-US"/>
        </w:rPr>
        <w:t>Mr</w:t>
      </w:r>
      <w:proofErr w:type="spellEnd"/>
      <w:r w:rsidR="00A53EBE">
        <w:rPr>
          <w:lang w:val="en-US"/>
        </w:rPr>
        <w:t xml:space="preserve"> Pang invites </w:t>
      </w:r>
      <w:r>
        <w:rPr>
          <w:lang w:val="en-US"/>
        </w:rPr>
        <w:t>t</w:t>
      </w:r>
      <w:r w:rsidR="00CF6AC1">
        <w:rPr>
          <w:lang w:val="en-US"/>
        </w:rPr>
        <w:t>his Court to re-conduct the balanc</w:t>
      </w:r>
      <w:r w:rsidR="00030255">
        <w:rPr>
          <w:lang w:val="en-US"/>
        </w:rPr>
        <w:t>ing</w:t>
      </w:r>
      <w:r w:rsidR="00CF6AC1">
        <w:rPr>
          <w:lang w:val="en-US"/>
        </w:rPr>
        <w:t xml:space="preserve"> of public interest</w:t>
      </w:r>
      <w:r w:rsidR="00136D37">
        <w:rPr>
          <w:lang w:val="en-US"/>
        </w:rPr>
        <w:t xml:space="preserve"> </w:t>
      </w:r>
      <w:r w:rsidR="00CF6AC1">
        <w:rPr>
          <w:lang w:val="en-US"/>
        </w:rPr>
        <w:t>under s3(4)(d),</w:t>
      </w:r>
      <w:r w:rsidR="006A2083">
        <w:rPr>
          <w:lang w:val="en-US"/>
        </w:rPr>
        <w:t xml:space="preserve"> </w:t>
      </w:r>
      <w:proofErr w:type="spellStart"/>
      <w:r w:rsidR="006A2083">
        <w:rPr>
          <w:lang w:val="en-US"/>
        </w:rPr>
        <w:t>Sch</w:t>
      </w:r>
      <w:proofErr w:type="spellEnd"/>
      <w:r w:rsidR="006A2083">
        <w:rPr>
          <w:lang w:val="en-US"/>
        </w:rPr>
        <w:t xml:space="preserve"> 7.  </w:t>
      </w:r>
      <w:proofErr w:type="spellStart"/>
      <w:r w:rsidR="00CF6AC1">
        <w:rPr>
          <w:lang w:val="en-US"/>
        </w:rPr>
        <w:t>Mr</w:t>
      </w:r>
      <w:proofErr w:type="spellEnd"/>
      <w:r w:rsidR="00CF6AC1">
        <w:rPr>
          <w:lang w:val="en-US"/>
        </w:rPr>
        <w:t xml:space="preserve"> Pang goes further to </w:t>
      </w:r>
      <w:r w:rsidR="00136D37">
        <w:rPr>
          <w:lang w:val="en-US"/>
        </w:rPr>
        <w:t xml:space="preserve">submit that it is for the Respondent to satisfy the court </w:t>
      </w:r>
      <w:r w:rsidR="00711C83">
        <w:rPr>
          <w:lang w:val="en-US"/>
        </w:rPr>
        <w:t xml:space="preserve">on </w:t>
      </w:r>
      <w:r w:rsidR="00136D37">
        <w:rPr>
          <w:lang w:val="en-US"/>
        </w:rPr>
        <w:t>the relevancy and utility of the Personal Data to the investigation; otherwise, the redactions as proposed should be ordered</w:t>
      </w:r>
      <w:r w:rsidR="006A2083">
        <w:rPr>
          <w:rStyle w:val="FootnoteReference"/>
          <w:lang w:val="en-US"/>
        </w:rPr>
        <w:footnoteReference w:id="22"/>
      </w:r>
      <w:r w:rsidR="00136D37">
        <w:rPr>
          <w:lang w:val="en-US"/>
        </w:rPr>
        <w:t>.</w:t>
      </w:r>
    </w:p>
    <w:p w:rsidR="002B2462" w:rsidRDefault="00CB1338" w:rsidP="00B426FE">
      <w:pPr>
        <w:pStyle w:val="H-1"/>
        <w:spacing w:before="360" w:line="360" w:lineRule="auto"/>
        <w:rPr>
          <w:lang w:val="en-US"/>
        </w:rPr>
      </w:pPr>
      <w:r>
        <w:rPr>
          <w:lang w:val="en-US"/>
        </w:rPr>
        <w:t>Relevance</w:t>
      </w:r>
    </w:p>
    <w:p w:rsidR="00B01062" w:rsidRPr="00225708" w:rsidRDefault="008E3CD8" w:rsidP="00030255">
      <w:pPr>
        <w:pStyle w:val="Final"/>
        <w:rPr>
          <w:lang w:val="en-US"/>
        </w:rPr>
      </w:pPr>
      <w:r>
        <w:rPr>
          <w:lang w:val="en-US"/>
        </w:rPr>
        <w:t>E</w:t>
      </w:r>
      <w:r w:rsidR="00B01062" w:rsidRPr="00225708">
        <w:rPr>
          <w:lang w:val="en-US"/>
        </w:rPr>
        <w:t xml:space="preserve">ven </w:t>
      </w:r>
      <w:r w:rsidR="00B01062">
        <w:rPr>
          <w:lang w:val="en-US"/>
        </w:rPr>
        <w:t xml:space="preserve">though </w:t>
      </w:r>
      <w:r w:rsidR="00B01062" w:rsidRPr="00225708">
        <w:rPr>
          <w:lang w:val="en-US"/>
        </w:rPr>
        <w:t xml:space="preserve">the court retains a discretion not to order </w:t>
      </w:r>
      <w:r w:rsidR="00B01062">
        <w:rPr>
          <w:lang w:val="en-US"/>
        </w:rPr>
        <w:t xml:space="preserve">a </w:t>
      </w:r>
      <w:r w:rsidR="00B01062" w:rsidRPr="00225708">
        <w:rPr>
          <w:lang w:val="en-US"/>
        </w:rPr>
        <w:t>PO</w:t>
      </w:r>
      <w:r w:rsidR="00B01062" w:rsidRPr="00B01062">
        <w:rPr>
          <w:lang w:val="en-US"/>
        </w:rPr>
        <w:t xml:space="preserve"> </w:t>
      </w:r>
      <w:r w:rsidR="007E7FAA">
        <w:rPr>
          <w:lang w:val="en-US"/>
        </w:rPr>
        <w:t>even though</w:t>
      </w:r>
      <w:r w:rsidR="00B01062" w:rsidRPr="00225708">
        <w:rPr>
          <w:lang w:val="en-US"/>
        </w:rPr>
        <w:t xml:space="preserve"> all the statutory criteria</w:t>
      </w:r>
      <w:r w:rsidR="001D5229">
        <w:rPr>
          <w:lang w:val="en-US"/>
        </w:rPr>
        <w:t xml:space="preserve"> contained</w:t>
      </w:r>
      <w:r w:rsidR="00B01062" w:rsidRPr="00225708">
        <w:rPr>
          <w:lang w:val="en-US"/>
        </w:rPr>
        <w:t xml:space="preserve"> </w:t>
      </w:r>
      <w:r w:rsidR="001D5229">
        <w:rPr>
          <w:lang w:val="en-US"/>
        </w:rPr>
        <w:t xml:space="preserve">in s3(4), </w:t>
      </w:r>
      <w:proofErr w:type="spellStart"/>
      <w:r w:rsidR="001D5229">
        <w:rPr>
          <w:lang w:val="en-US"/>
        </w:rPr>
        <w:t>Sch</w:t>
      </w:r>
      <w:proofErr w:type="spellEnd"/>
      <w:r w:rsidR="001D5229">
        <w:rPr>
          <w:lang w:val="en-US"/>
        </w:rPr>
        <w:t xml:space="preserve"> 7 </w:t>
      </w:r>
      <w:r w:rsidR="00B01062">
        <w:rPr>
          <w:lang w:val="en-US"/>
        </w:rPr>
        <w:t xml:space="preserve">are met, </w:t>
      </w:r>
      <w:r w:rsidR="00B01062" w:rsidRPr="00225708">
        <w:rPr>
          <w:lang w:val="en-US"/>
        </w:rPr>
        <w:t xml:space="preserve">the </w:t>
      </w:r>
      <w:r w:rsidR="007A3B8D">
        <w:rPr>
          <w:lang w:val="en-US"/>
        </w:rPr>
        <w:t xml:space="preserve">room for </w:t>
      </w:r>
      <w:r w:rsidR="007E7FAA">
        <w:rPr>
          <w:lang w:val="en-US"/>
        </w:rPr>
        <w:t xml:space="preserve">exercising </w:t>
      </w:r>
      <w:r w:rsidR="007A3B8D">
        <w:rPr>
          <w:lang w:val="en-US"/>
        </w:rPr>
        <w:t xml:space="preserve">this discretion </w:t>
      </w:r>
      <w:r w:rsidR="001D5229">
        <w:rPr>
          <w:lang w:val="en-US"/>
        </w:rPr>
        <w:t xml:space="preserve">would be </w:t>
      </w:r>
      <w:r w:rsidR="007A3B8D">
        <w:rPr>
          <w:lang w:val="en-US"/>
        </w:rPr>
        <w:t xml:space="preserve">restricted and </w:t>
      </w:r>
      <w:r w:rsidR="001D5229">
        <w:rPr>
          <w:lang w:val="en-US"/>
        </w:rPr>
        <w:t>the</w:t>
      </w:r>
      <w:r w:rsidR="007A3B8D">
        <w:rPr>
          <w:lang w:val="en-US"/>
        </w:rPr>
        <w:t xml:space="preserve"> </w:t>
      </w:r>
      <w:r w:rsidR="007E7FAA">
        <w:rPr>
          <w:lang w:val="en-US"/>
        </w:rPr>
        <w:t xml:space="preserve">justification </w:t>
      </w:r>
      <w:r w:rsidR="001D5229">
        <w:rPr>
          <w:lang w:val="en-US"/>
        </w:rPr>
        <w:t xml:space="preserve">for refusal </w:t>
      </w:r>
      <w:r w:rsidR="007A3B8D">
        <w:rPr>
          <w:lang w:val="en-US"/>
        </w:rPr>
        <w:t>has to be strong</w:t>
      </w:r>
      <w:r w:rsidR="00B01062" w:rsidRPr="00225708">
        <w:rPr>
          <w:lang w:val="en-US"/>
        </w:rPr>
        <w:t xml:space="preserve">.  </w:t>
      </w:r>
      <w:r w:rsidR="00A53EBE">
        <w:rPr>
          <w:lang w:val="en-US"/>
        </w:rPr>
        <w:t xml:space="preserve">This is in view of the plain statutory intent that the integrity and effectiveness of the investigation should not be compromised.  </w:t>
      </w:r>
      <w:r w:rsidR="00030255">
        <w:rPr>
          <w:lang w:val="en-US"/>
        </w:rPr>
        <w:t>I</w:t>
      </w:r>
      <w:r w:rsidR="001D5229">
        <w:rPr>
          <w:lang w:val="en-US"/>
        </w:rPr>
        <w:t>n this regard, i</w:t>
      </w:r>
      <w:r w:rsidR="00030255">
        <w:rPr>
          <w:lang w:val="en-US"/>
        </w:rPr>
        <w:t>t is noted that in the context of the POBO regime,</w:t>
      </w:r>
      <w:r>
        <w:rPr>
          <w:lang w:val="en-US"/>
        </w:rPr>
        <w:t xml:space="preserve"> it has been held that</w:t>
      </w:r>
      <w:r w:rsidR="00030255">
        <w:rPr>
          <w:lang w:val="en-US"/>
        </w:rPr>
        <w:t xml:space="preserve"> w</w:t>
      </w:r>
      <w:r w:rsidR="00030255" w:rsidRPr="00030255">
        <w:rPr>
          <w:lang w:val="en-US"/>
        </w:rPr>
        <w:t>here the statutory criteria are satisfied, the test for the exercise of the discretion to refuse an order is whether compliance with the s14(</w:t>
      </w:r>
      <w:r w:rsidR="00A53EBE">
        <w:rPr>
          <w:lang w:val="en-US"/>
        </w:rPr>
        <w:t>1)(d) notice would be oppressive to the subject</w:t>
      </w:r>
      <w:r w:rsidR="00030255">
        <w:rPr>
          <w:lang w:val="en-US"/>
        </w:rPr>
        <w:t xml:space="preserve">.  </w:t>
      </w:r>
      <w:r w:rsidR="00B01062">
        <w:rPr>
          <w:lang w:val="en-US"/>
        </w:rPr>
        <w:t xml:space="preserve">As </w:t>
      </w:r>
      <w:r w:rsidR="00B01062" w:rsidRPr="00225708">
        <w:rPr>
          <w:lang w:val="en-US"/>
        </w:rPr>
        <w:t xml:space="preserve">Li CJ, who gives the judgment of the Court of Final Appeal in </w:t>
      </w:r>
      <w:r w:rsidR="00B01062" w:rsidRPr="00B01062">
        <w:rPr>
          <w:i/>
          <w:lang w:val="en-US"/>
        </w:rPr>
        <w:t>P v Commi</w:t>
      </w:r>
      <w:r w:rsidR="00B01062">
        <w:rPr>
          <w:i/>
          <w:lang w:val="en-US"/>
        </w:rPr>
        <w:t>s</w:t>
      </w:r>
      <w:r w:rsidR="00B01062" w:rsidRPr="00B01062">
        <w:rPr>
          <w:i/>
          <w:lang w:val="en-US"/>
        </w:rPr>
        <w:t>sioner of the ICAC</w:t>
      </w:r>
      <w:r w:rsidR="00B01062">
        <w:rPr>
          <w:lang w:val="en-US"/>
        </w:rPr>
        <w:t>,</w:t>
      </w:r>
      <w:r w:rsidR="00B01062" w:rsidRPr="00225708">
        <w:rPr>
          <w:lang w:val="en-US"/>
        </w:rPr>
        <w:t xml:space="preserve"> says</w:t>
      </w:r>
      <w:r w:rsidR="00B01062">
        <w:rPr>
          <w:rStyle w:val="FootnoteReference"/>
          <w:lang w:val="en-US"/>
        </w:rPr>
        <w:footnoteReference w:id="23"/>
      </w:r>
      <w:r w:rsidR="00B01062" w:rsidRPr="00225708">
        <w:rPr>
          <w:lang w:val="en-US"/>
        </w:rPr>
        <w:t>:</w:t>
      </w:r>
    </w:p>
    <w:p w:rsidR="009A4324" w:rsidRDefault="00427A59" w:rsidP="00B426FE">
      <w:pPr>
        <w:pStyle w:val="Quotation"/>
        <w:rPr>
          <w:lang w:val="en-US"/>
        </w:rPr>
      </w:pPr>
      <w:r>
        <w:rPr>
          <w:lang w:val="en-US"/>
        </w:rPr>
        <w:t>“29.</w:t>
      </w:r>
      <w:r w:rsidR="00B01062" w:rsidRPr="00923878">
        <w:rPr>
          <w:lang w:val="en-US"/>
        </w:rPr>
        <w:tab/>
        <w:t xml:space="preserve">Plainly, </w:t>
      </w:r>
      <w:r w:rsidR="00B01062" w:rsidRPr="00BC695A">
        <w:rPr>
          <w:u w:val="single"/>
          <w:lang w:val="en-US"/>
        </w:rPr>
        <w:t>the statutory intent is that the integrity and effectiveness of the investigation</w:t>
      </w:r>
      <w:r w:rsidR="00B01062" w:rsidRPr="00923878">
        <w:rPr>
          <w:lang w:val="en-US"/>
        </w:rPr>
        <w:t xml:space="preserve">, which is sought to be advanced by the use of the special investigative power in s.14(1)(d) as authorized by a court order, </w:t>
      </w:r>
      <w:r w:rsidR="00B01062" w:rsidRPr="00BC695A">
        <w:rPr>
          <w:u w:val="single"/>
          <w:lang w:val="en-US"/>
        </w:rPr>
        <w:t>should not be compromised</w:t>
      </w:r>
      <w:r w:rsidR="00B01062" w:rsidRPr="00923878">
        <w:rPr>
          <w:lang w:val="en-US"/>
        </w:rPr>
        <w:t xml:space="preserve">. </w:t>
      </w:r>
      <w:r w:rsidR="008A2878">
        <w:rPr>
          <w:rFonts w:eastAsia="PMingLiU"/>
          <w:lang w:val="en-US" w:eastAsia="zh-TW"/>
        </w:rPr>
        <w:t xml:space="preserve"> </w:t>
      </w:r>
      <w:r w:rsidR="00B01062" w:rsidRPr="00923878">
        <w:rPr>
          <w:lang w:val="en-US"/>
        </w:rPr>
        <w:t xml:space="preserve">Consistent with this intent, the scope of the court's discretion is circumscribed. </w:t>
      </w:r>
      <w:r w:rsidR="008A2878">
        <w:rPr>
          <w:lang w:val="en-US"/>
        </w:rPr>
        <w:t xml:space="preserve"> </w:t>
      </w:r>
      <w:r w:rsidR="00B01062" w:rsidRPr="00923878">
        <w:rPr>
          <w:u w:val="single"/>
          <w:lang w:val="en-US"/>
        </w:rPr>
        <w:t xml:space="preserve">Where the statutory criteria are satisfied, the test for the exercise of the discretion </w:t>
      </w:r>
      <w:r w:rsidR="00B01062" w:rsidRPr="00923878">
        <w:rPr>
          <w:u w:val="single"/>
          <w:lang w:val="en-US"/>
        </w:rPr>
        <w:lastRenderedPageBreak/>
        <w:t>nevertheless to refuse an order is whether compliance with the s.14(1)(d) notice would be oppressive to the subject</w:t>
      </w:r>
      <w:r w:rsidR="00B01062" w:rsidRPr="00923878">
        <w:rPr>
          <w:lang w:val="en-US"/>
        </w:rPr>
        <w:t xml:space="preserve">. </w:t>
      </w:r>
      <w:r w:rsidR="008A2878">
        <w:rPr>
          <w:lang w:val="en-US"/>
        </w:rPr>
        <w:t xml:space="preserve"> </w:t>
      </w:r>
      <w:r w:rsidR="00B01062" w:rsidRPr="00923878">
        <w:rPr>
          <w:lang w:val="en-US"/>
        </w:rPr>
        <w:t xml:space="preserve">That the proper test is one of oppression is not disputed by </w:t>
      </w:r>
      <w:proofErr w:type="spellStart"/>
      <w:r w:rsidR="00B01062" w:rsidRPr="00923878">
        <w:rPr>
          <w:lang w:val="en-US"/>
        </w:rPr>
        <w:t>Mr</w:t>
      </w:r>
      <w:proofErr w:type="spellEnd"/>
      <w:r w:rsidR="00B01062" w:rsidRPr="00923878">
        <w:rPr>
          <w:lang w:val="en-US"/>
        </w:rPr>
        <w:t xml:space="preserve"> McCoy SC for the appellant. </w:t>
      </w:r>
      <w:r w:rsidR="008A2878">
        <w:rPr>
          <w:lang w:val="en-US"/>
        </w:rPr>
        <w:t xml:space="preserve"> </w:t>
      </w:r>
      <w:r w:rsidR="00B01062" w:rsidRPr="00923878">
        <w:rPr>
          <w:lang w:val="en-US"/>
        </w:rPr>
        <w:t xml:space="preserve">See </w:t>
      </w:r>
      <w:r w:rsidR="00B01062" w:rsidRPr="00923878">
        <w:rPr>
          <w:i/>
          <w:lang w:val="en-US"/>
        </w:rPr>
        <w:t xml:space="preserve">Chan Cheung Yuk Lin &amp; Another v </w:t>
      </w:r>
      <w:proofErr w:type="spellStart"/>
      <w:r w:rsidR="00B01062" w:rsidRPr="00923878">
        <w:rPr>
          <w:i/>
          <w:lang w:val="en-US"/>
        </w:rPr>
        <w:t>Harknett</w:t>
      </w:r>
      <w:proofErr w:type="spellEnd"/>
      <w:r w:rsidR="00B01062" w:rsidRPr="00923878">
        <w:rPr>
          <w:lang w:val="en-US"/>
        </w:rPr>
        <w:t xml:space="preserve"> [1978] HKLR 123 at p.</w:t>
      </w:r>
      <w:r w:rsidR="009A4324">
        <w:rPr>
          <w:lang w:val="en-US"/>
        </w:rPr>
        <w:t>126 where this test was used.”</w:t>
      </w:r>
    </w:p>
    <w:p w:rsidR="00B01062" w:rsidRPr="008A2878" w:rsidRDefault="00B01062" w:rsidP="009A4324">
      <w:pPr>
        <w:pStyle w:val="Quotation"/>
        <w:jc w:val="right"/>
        <w:rPr>
          <w:rFonts w:eastAsia="PMingLiU"/>
          <w:lang w:val="en-US" w:eastAsia="zh-TW"/>
        </w:rPr>
      </w:pPr>
      <w:r w:rsidRPr="00923878">
        <w:rPr>
          <w:lang w:val="en-US"/>
        </w:rPr>
        <w:t>(Emphasis supplied)</w:t>
      </w:r>
    </w:p>
    <w:p w:rsidR="008D7BDC" w:rsidRDefault="00030255" w:rsidP="00BC695A">
      <w:pPr>
        <w:pStyle w:val="Final"/>
        <w:rPr>
          <w:lang w:val="en-US"/>
        </w:rPr>
      </w:pPr>
      <w:r>
        <w:rPr>
          <w:lang w:val="en-US"/>
        </w:rPr>
        <w:t xml:space="preserve">Again, in the context of the POBO regime, </w:t>
      </w:r>
      <w:r w:rsidR="00A53EBE" w:rsidRPr="00A53EBE">
        <w:rPr>
          <w:lang w:val="en-US"/>
        </w:rPr>
        <w:t xml:space="preserve">apart from the ground of “oppression”, </w:t>
      </w:r>
      <w:r w:rsidR="008D7BDC">
        <w:rPr>
          <w:lang w:val="en-US"/>
        </w:rPr>
        <w:t xml:space="preserve">the court may discharge the </w:t>
      </w:r>
      <w:r w:rsidR="007B37E3" w:rsidRPr="007B37E3">
        <w:rPr>
          <w:lang w:val="en-US"/>
        </w:rPr>
        <w:t xml:space="preserve">s14(1)(d) notice </w:t>
      </w:r>
      <w:r w:rsidR="008D7BDC" w:rsidRPr="00181DF2">
        <w:rPr>
          <w:i/>
          <w:lang w:val="en-US"/>
        </w:rPr>
        <w:t>ex</w:t>
      </w:r>
      <w:r w:rsidR="00616276" w:rsidRPr="00181DF2">
        <w:rPr>
          <w:i/>
          <w:lang w:val="en-US"/>
        </w:rPr>
        <w:t> </w:t>
      </w:r>
      <w:r w:rsidR="008D7BDC" w:rsidRPr="00181DF2">
        <w:rPr>
          <w:i/>
          <w:lang w:val="en-US"/>
        </w:rPr>
        <w:t>parte</w:t>
      </w:r>
      <w:r w:rsidR="008D7BDC">
        <w:rPr>
          <w:lang w:val="en-US"/>
        </w:rPr>
        <w:t xml:space="preserve"> order on the ground that, having regard to the proper interpretation of the provision, the order is invalid as it goes beyond what is contemplated by the statue.  Further, </w:t>
      </w:r>
      <w:r w:rsidR="007B37E3">
        <w:rPr>
          <w:lang w:val="en-US"/>
        </w:rPr>
        <w:t>the statutory n</w:t>
      </w:r>
      <w:r w:rsidR="007B37E3" w:rsidRPr="007B37E3">
        <w:rPr>
          <w:lang w:val="en-US"/>
        </w:rPr>
        <w:t xml:space="preserve">otice </w:t>
      </w:r>
      <w:r w:rsidR="008D7BDC">
        <w:rPr>
          <w:lang w:val="en-US"/>
        </w:rPr>
        <w:t>may be discharged on the ground of fraud which would involve the proof of bad faith.  However, it has been stressed that the cases in which this could properly be alleged would be rare</w:t>
      </w:r>
      <w:r w:rsidR="008D7BDC">
        <w:rPr>
          <w:rStyle w:val="FootnoteReference"/>
          <w:lang w:val="en-US"/>
        </w:rPr>
        <w:footnoteReference w:id="24"/>
      </w:r>
      <w:r w:rsidR="008D7BDC">
        <w:rPr>
          <w:lang w:val="en-US"/>
        </w:rPr>
        <w:t xml:space="preserve">.  </w:t>
      </w:r>
    </w:p>
    <w:p w:rsidR="007E7FAA" w:rsidRPr="00B426FE" w:rsidRDefault="00B01062" w:rsidP="001D5229">
      <w:pPr>
        <w:pStyle w:val="Final"/>
        <w:rPr>
          <w:lang w:val="en-US"/>
        </w:rPr>
      </w:pPr>
      <w:r>
        <w:rPr>
          <w:lang w:val="en-US"/>
        </w:rPr>
        <w:t xml:space="preserve">In my judgment, </w:t>
      </w:r>
      <w:r w:rsidR="008D7BDC">
        <w:rPr>
          <w:lang w:val="en-US"/>
        </w:rPr>
        <w:t xml:space="preserve">what Li CJ says in </w:t>
      </w:r>
      <w:r w:rsidR="008D7BDC" w:rsidRPr="00661853">
        <w:rPr>
          <w:i/>
          <w:lang w:val="en-US"/>
        </w:rPr>
        <w:t>P’s</w:t>
      </w:r>
      <w:r w:rsidR="008D7BDC">
        <w:rPr>
          <w:lang w:val="en-US"/>
        </w:rPr>
        <w:t xml:space="preserve"> case </w:t>
      </w:r>
      <w:r w:rsidR="001D5229">
        <w:rPr>
          <w:lang w:val="en-US"/>
        </w:rPr>
        <w:t>about not compromising</w:t>
      </w:r>
      <w:r w:rsidR="001D5229" w:rsidRPr="001D5229">
        <w:t xml:space="preserve"> </w:t>
      </w:r>
      <w:r w:rsidR="001D5229" w:rsidRPr="001D5229">
        <w:rPr>
          <w:lang w:val="en-US"/>
        </w:rPr>
        <w:t>the integrity and effectiveness of the investigation</w:t>
      </w:r>
      <w:r w:rsidR="001D5229">
        <w:rPr>
          <w:lang w:val="en-US"/>
        </w:rPr>
        <w:t xml:space="preserve"> </w:t>
      </w:r>
      <w:r>
        <w:rPr>
          <w:lang w:val="en-US"/>
        </w:rPr>
        <w:t>applies equally, if not with greater force,</w:t>
      </w:r>
      <w:r w:rsidR="007A3B8D">
        <w:rPr>
          <w:lang w:val="en-US"/>
        </w:rPr>
        <w:t xml:space="preserve"> </w:t>
      </w:r>
      <w:r w:rsidR="008D7BDC">
        <w:rPr>
          <w:lang w:val="en-US"/>
        </w:rPr>
        <w:t xml:space="preserve">to a PO issued under </w:t>
      </w:r>
      <w:proofErr w:type="spellStart"/>
      <w:r w:rsidR="008D7BDC">
        <w:rPr>
          <w:lang w:val="en-US"/>
        </w:rPr>
        <w:t>Sch</w:t>
      </w:r>
      <w:proofErr w:type="spellEnd"/>
      <w:r w:rsidR="008D7BDC">
        <w:rPr>
          <w:lang w:val="en-US"/>
        </w:rPr>
        <w:t xml:space="preserve"> 7</w:t>
      </w:r>
      <w:r w:rsidR="00CB1338">
        <w:rPr>
          <w:lang w:val="en-US"/>
        </w:rPr>
        <w:t xml:space="preserve">.  This is </w:t>
      </w:r>
      <w:r w:rsidR="007A3B8D">
        <w:rPr>
          <w:lang w:val="en-US"/>
        </w:rPr>
        <w:t xml:space="preserve">because of </w:t>
      </w:r>
      <w:r w:rsidR="00CB1338">
        <w:rPr>
          <w:lang w:val="en-US"/>
        </w:rPr>
        <w:t xml:space="preserve">the </w:t>
      </w:r>
      <w:r w:rsidR="007A3B8D">
        <w:rPr>
          <w:lang w:val="en-US"/>
        </w:rPr>
        <w:t xml:space="preserve">utmost importance of national security as explained in </w:t>
      </w:r>
      <w:r w:rsidRPr="00E80181">
        <w:rPr>
          <w:i/>
          <w:lang w:val="en-US"/>
        </w:rPr>
        <w:t>HKSAR v Lai</w:t>
      </w:r>
      <w:r w:rsidR="00875924">
        <w:rPr>
          <w:i/>
          <w:lang w:val="en-US"/>
        </w:rPr>
        <w:t> </w:t>
      </w:r>
      <w:r w:rsidRPr="00E80181">
        <w:rPr>
          <w:i/>
          <w:lang w:val="en-US"/>
        </w:rPr>
        <w:t>Chee</w:t>
      </w:r>
      <w:r w:rsidR="00875924">
        <w:rPr>
          <w:i/>
          <w:lang w:val="en-US"/>
        </w:rPr>
        <w:t> </w:t>
      </w:r>
      <w:r w:rsidRPr="00E80181">
        <w:rPr>
          <w:i/>
          <w:lang w:val="en-US"/>
        </w:rPr>
        <w:t>Ying</w:t>
      </w:r>
      <w:r w:rsidRPr="00E80181">
        <w:rPr>
          <w:rStyle w:val="FootnoteReference"/>
          <w:lang w:val="en-US"/>
        </w:rPr>
        <w:footnoteReference w:id="25"/>
      </w:r>
      <w:r>
        <w:rPr>
          <w:lang w:val="en-US"/>
        </w:rPr>
        <w:t xml:space="preserve">. </w:t>
      </w:r>
      <w:r w:rsidR="007A3B8D">
        <w:rPr>
          <w:lang w:val="en-US"/>
        </w:rPr>
        <w:t xml:space="preserve"> </w:t>
      </w:r>
    </w:p>
    <w:p w:rsidR="00AB02A6" w:rsidRDefault="00E501A2" w:rsidP="00467F79">
      <w:pPr>
        <w:pStyle w:val="Final"/>
        <w:rPr>
          <w:lang w:val="en-US"/>
        </w:rPr>
      </w:pPr>
      <w:r>
        <w:rPr>
          <w:lang w:val="en-US"/>
        </w:rPr>
        <w:t>Secondly</w:t>
      </w:r>
      <w:r w:rsidR="00DF463A">
        <w:rPr>
          <w:lang w:val="en-US"/>
        </w:rPr>
        <w:t xml:space="preserve">, it has also been held in </w:t>
      </w:r>
      <w:r w:rsidR="00DF463A" w:rsidRPr="00DF463A">
        <w:rPr>
          <w:i/>
          <w:lang w:val="en-US"/>
        </w:rPr>
        <w:t>P v Commissioner of the</w:t>
      </w:r>
      <w:r w:rsidR="00616276">
        <w:rPr>
          <w:i/>
          <w:lang w:val="en-US"/>
        </w:rPr>
        <w:t> </w:t>
      </w:r>
      <w:r w:rsidR="00DF463A" w:rsidRPr="00DF463A">
        <w:rPr>
          <w:i/>
          <w:lang w:val="en-US"/>
        </w:rPr>
        <w:t>ICAC</w:t>
      </w:r>
      <w:r w:rsidR="00DF463A">
        <w:rPr>
          <w:lang w:val="en-US"/>
        </w:rPr>
        <w:t xml:space="preserve"> that an application for variation should not be entertained when it relates to the substance of the investigation, as it may run the risk of compromising the integrity and effectiveness of the investigation</w:t>
      </w:r>
      <w:r w:rsidR="00DF463A">
        <w:rPr>
          <w:rStyle w:val="FootnoteReference"/>
          <w:lang w:val="en-US"/>
        </w:rPr>
        <w:footnoteReference w:id="26"/>
      </w:r>
      <w:r w:rsidR="00DF463A" w:rsidRPr="00DF463A">
        <w:rPr>
          <w:lang w:val="en-US"/>
        </w:rPr>
        <w:t>:</w:t>
      </w:r>
    </w:p>
    <w:p w:rsidR="009E29CA" w:rsidRDefault="00A14A04" w:rsidP="009A4324">
      <w:pPr>
        <w:pStyle w:val="NormalWeb"/>
        <w:shd w:val="clear" w:color="auto" w:fill="FFFFFF"/>
        <w:tabs>
          <w:tab w:val="left" w:pos="2160"/>
        </w:tabs>
        <w:spacing w:before="240" w:beforeAutospacing="0" w:after="0" w:afterAutospacing="0"/>
        <w:ind w:left="1440" w:right="941"/>
        <w:jc w:val="both"/>
        <w:rPr>
          <w:color w:val="212121"/>
        </w:rPr>
      </w:pPr>
      <w:r>
        <w:rPr>
          <w:rStyle w:val="case-para-label"/>
          <w:color w:val="212121"/>
        </w:rPr>
        <w:t>“</w:t>
      </w:r>
      <w:r w:rsidR="00427A59">
        <w:rPr>
          <w:rStyle w:val="case-para-label"/>
          <w:color w:val="212121"/>
        </w:rPr>
        <w:t>45.</w:t>
      </w:r>
      <w:r w:rsidR="00C03283">
        <w:rPr>
          <w:rStyle w:val="case-para-label"/>
          <w:color w:val="212121"/>
        </w:rPr>
        <w:tab/>
      </w:r>
      <w:r w:rsidR="009E29CA" w:rsidRPr="00C03283">
        <w:rPr>
          <w:color w:val="212121"/>
          <w:u w:val="single"/>
        </w:rPr>
        <w:t>As has been pointed out, the clear statutory intent is that the integrity and effectiveness of the investigation</w:t>
      </w:r>
      <w:r w:rsidR="009E29CA" w:rsidRPr="00A14A04">
        <w:rPr>
          <w:color w:val="212121"/>
        </w:rPr>
        <w:t xml:space="preserve">, which is sought to be advanced by the use of the special investigative power in s.14(1)(d) as judicially authorized, </w:t>
      </w:r>
      <w:r w:rsidR="009E29CA" w:rsidRPr="009D51E5">
        <w:rPr>
          <w:color w:val="212121"/>
          <w:u w:val="single"/>
        </w:rPr>
        <w:t xml:space="preserve">should not be compromised. </w:t>
      </w:r>
      <w:r w:rsidR="009E29CA" w:rsidRPr="00C03283">
        <w:rPr>
          <w:color w:val="212121"/>
          <w:u w:val="single"/>
        </w:rPr>
        <w:t xml:space="preserve">That being so, under the scheme, the court </w:t>
      </w:r>
      <w:r w:rsidR="009E29CA" w:rsidRPr="00C03283">
        <w:rPr>
          <w:color w:val="212121"/>
          <w:u w:val="single"/>
        </w:rPr>
        <w:lastRenderedPageBreak/>
        <w:t>cannot entertain an application by the subject to discharge or vary it on the ground that the first two statutory criteria are not satisfied</w:t>
      </w:r>
      <w:r w:rsidR="009E29CA" w:rsidRPr="00A14A04">
        <w:rPr>
          <w:color w:val="212121"/>
        </w:rPr>
        <w:t xml:space="preserve">. </w:t>
      </w:r>
      <w:r w:rsidR="0006085F">
        <w:rPr>
          <w:color w:val="212121"/>
        </w:rPr>
        <w:t xml:space="preserve"> </w:t>
      </w:r>
      <w:r w:rsidR="009E29CA" w:rsidRPr="00A14A04">
        <w:rPr>
          <w:color w:val="212121"/>
        </w:rPr>
        <w:t>This is fairly accepted by Mr McCoy SC for the appellant.</w:t>
      </w:r>
    </w:p>
    <w:p w:rsidR="009A4324" w:rsidRDefault="00427A59" w:rsidP="009A4324">
      <w:pPr>
        <w:pStyle w:val="NormalWeb"/>
        <w:shd w:val="clear" w:color="auto" w:fill="FFFFFF"/>
        <w:tabs>
          <w:tab w:val="left" w:pos="2160"/>
        </w:tabs>
        <w:spacing w:before="240" w:beforeAutospacing="0" w:after="0" w:afterAutospacing="0"/>
        <w:ind w:left="1440" w:right="941"/>
        <w:jc w:val="both"/>
        <w:rPr>
          <w:color w:val="212121"/>
        </w:rPr>
      </w:pPr>
      <w:r>
        <w:rPr>
          <w:color w:val="212121"/>
        </w:rPr>
        <w:t>46.</w:t>
      </w:r>
      <w:r w:rsidR="00C03283">
        <w:rPr>
          <w:color w:val="212121"/>
        </w:rPr>
        <w:tab/>
      </w:r>
      <w:r w:rsidR="00A14A04" w:rsidRPr="00A14A04">
        <w:rPr>
          <w:color w:val="212121"/>
        </w:rPr>
        <w:t xml:space="preserve">The rationale for this is clear. </w:t>
      </w:r>
      <w:r w:rsidR="0006085F">
        <w:rPr>
          <w:color w:val="212121"/>
        </w:rPr>
        <w:t xml:space="preserve"> </w:t>
      </w:r>
      <w:r w:rsidR="00A14A04" w:rsidRPr="00C03283">
        <w:rPr>
          <w:color w:val="212121"/>
          <w:u w:val="single"/>
        </w:rPr>
        <w:t>These two criteria relate to the substance of the investigation</w:t>
      </w:r>
      <w:r w:rsidR="00A14A04" w:rsidRPr="00A14A04">
        <w:rPr>
          <w:color w:val="212121"/>
        </w:rPr>
        <w:t xml:space="preserve">. </w:t>
      </w:r>
      <w:r w:rsidR="0006085F">
        <w:rPr>
          <w:color w:val="212121"/>
        </w:rPr>
        <w:t xml:space="preserve"> </w:t>
      </w:r>
      <w:r w:rsidR="00A14A04" w:rsidRPr="00A14A04">
        <w:rPr>
          <w:color w:val="212121"/>
        </w:rPr>
        <w:t xml:space="preserve">The court has to be satisfied that there are reasonable grounds for suspecting that: (1) an offence under the POBO has been committed; (2) the information to be sought from the subject is likely to be relevant to the investigation or proceedings. </w:t>
      </w:r>
      <w:r w:rsidR="0006085F">
        <w:rPr>
          <w:color w:val="212121"/>
        </w:rPr>
        <w:t xml:space="preserve"> </w:t>
      </w:r>
      <w:r w:rsidR="00A14A04" w:rsidRPr="00C03283">
        <w:rPr>
          <w:color w:val="212121"/>
          <w:u w:val="single"/>
        </w:rPr>
        <w:t>If it were open to the subject to apply on the ground that the court should not be satisfied that there are reasonable grounds for suspecting (1) and/or (2), there would be a serious risk of jeopardising the investigation</w:t>
      </w:r>
      <w:r w:rsidR="00A14A04" w:rsidRPr="00A14A04">
        <w:rPr>
          <w:color w:val="212121"/>
        </w:rPr>
        <w:t xml:space="preserve">. </w:t>
      </w:r>
      <w:r w:rsidR="0006085F">
        <w:rPr>
          <w:color w:val="212121"/>
        </w:rPr>
        <w:t xml:space="preserve"> </w:t>
      </w:r>
      <w:r w:rsidR="00A14A04" w:rsidRPr="00A14A04">
        <w:rPr>
          <w:color w:val="212121"/>
        </w:rPr>
        <w:t xml:space="preserve">The investigation would be dragged down by a contest at the investigatory stage as to whether the relatively low threshold of the first two criteria have been met. </w:t>
      </w:r>
      <w:r w:rsidR="0006085F">
        <w:rPr>
          <w:color w:val="212121"/>
        </w:rPr>
        <w:t xml:space="preserve"> </w:t>
      </w:r>
      <w:r w:rsidR="00A14A04" w:rsidRPr="00A14A04">
        <w:rPr>
          <w:color w:val="212121"/>
        </w:rPr>
        <w:t>This could not have been the legislative intent.</w:t>
      </w:r>
      <w:r w:rsidR="00A14A04">
        <w:rPr>
          <w:color w:val="212121"/>
        </w:rPr>
        <w:t>”</w:t>
      </w:r>
      <w:r w:rsidR="00C007B5">
        <w:rPr>
          <w:color w:val="212121"/>
        </w:rPr>
        <w:t xml:space="preserve"> </w:t>
      </w:r>
    </w:p>
    <w:p w:rsidR="00CB1338" w:rsidRPr="00B426FE" w:rsidRDefault="00C007B5" w:rsidP="009A4324">
      <w:pPr>
        <w:pStyle w:val="NormalWeb"/>
        <w:shd w:val="clear" w:color="auto" w:fill="FFFFFF"/>
        <w:tabs>
          <w:tab w:val="left" w:pos="2160"/>
        </w:tabs>
        <w:spacing w:before="240" w:beforeAutospacing="0" w:after="0" w:afterAutospacing="0"/>
        <w:ind w:left="1440" w:right="941"/>
        <w:jc w:val="right"/>
        <w:rPr>
          <w:color w:val="212121"/>
        </w:rPr>
      </w:pPr>
      <w:r>
        <w:rPr>
          <w:color w:val="212121"/>
        </w:rPr>
        <w:t>(Emphasis supplied)</w:t>
      </w:r>
    </w:p>
    <w:p w:rsidR="00C007B5" w:rsidRPr="00BC695A" w:rsidRDefault="00587638" w:rsidP="004311AC">
      <w:pPr>
        <w:pStyle w:val="Final"/>
        <w:rPr>
          <w:lang w:val="en-US"/>
        </w:rPr>
      </w:pPr>
      <w:r>
        <w:t>In my judgment, t</w:t>
      </w:r>
      <w:r w:rsidR="00C007B5">
        <w:t>he above</w:t>
      </w:r>
      <w:r w:rsidR="00163C3F">
        <w:t xml:space="preserve"> quoted</w:t>
      </w:r>
      <w:r w:rsidR="00C007B5">
        <w:t xml:space="preserve"> passage</w:t>
      </w:r>
      <w:r w:rsidR="00A53EBE">
        <w:t>s are</w:t>
      </w:r>
      <w:r>
        <w:t xml:space="preserve"> directly </w:t>
      </w:r>
      <w:r w:rsidR="00C007B5">
        <w:t xml:space="preserve">applicable to </w:t>
      </w:r>
      <w:r w:rsidR="00C03283">
        <w:t>s3(4)(</w:t>
      </w:r>
      <w:r w:rsidR="00C007B5">
        <w:t>c)(</w:t>
      </w:r>
      <w:proofErr w:type="spellStart"/>
      <w:r w:rsidR="00C007B5">
        <w:t>i</w:t>
      </w:r>
      <w:proofErr w:type="spellEnd"/>
      <w:r w:rsidR="00C007B5">
        <w:t xml:space="preserve">), </w:t>
      </w:r>
      <w:proofErr w:type="spellStart"/>
      <w:r w:rsidR="00C007B5">
        <w:t>Sch</w:t>
      </w:r>
      <w:proofErr w:type="spellEnd"/>
      <w:r w:rsidR="00C007B5">
        <w:t xml:space="preserve"> 7</w:t>
      </w:r>
      <w:r w:rsidR="00A65680">
        <w:t xml:space="preserve"> which is similar </w:t>
      </w:r>
      <w:r w:rsidR="00C007B5">
        <w:t>in terms</w:t>
      </w:r>
      <w:r w:rsidR="006007D5">
        <w:t xml:space="preserve"> and purpose</w:t>
      </w:r>
      <w:r w:rsidR="00C007B5">
        <w:t xml:space="preserve"> </w:t>
      </w:r>
      <w:r w:rsidR="00A65680">
        <w:t>to s14(1</w:t>
      </w:r>
      <w:proofErr w:type="gramStart"/>
      <w:r w:rsidR="00A65680">
        <w:t>B)(</w:t>
      </w:r>
      <w:proofErr w:type="gramEnd"/>
      <w:r w:rsidR="00A65680">
        <w:t xml:space="preserve">b) of the POBO, </w:t>
      </w:r>
      <w:r w:rsidR="00C007B5">
        <w:t>both of</w:t>
      </w:r>
      <w:r w:rsidR="00AB6B8C">
        <w:t xml:space="preserve"> them</w:t>
      </w:r>
      <w:r w:rsidR="00764641">
        <w:t xml:space="preserve"> </w:t>
      </w:r>
      <w:r w:rsidR="00C007B5">
        <w:t xml:space="preserve">concern the </w:t>
      </w:r>
      <w:r w:rsidR="00AB6B8C">
        <w:t xml:space="preserve">potential </w:t>
      </w:r>
      <w:r w:rsidR="00C007B5">
        <w:t xml:space="preserve">relevancy of the </w:t>
      </w:r>
      <w:r w:rsidR="00AB6B8C">
        <w:t xml:space="preserve">material </w:t>
      </w:r>
      <w:r>
        <w:t xml:space="preserve">to the investigation </w:t>
      </w:r>
      <w:r w:rsidR="00C007B5">
        <w:t>sought by the law enforcement agency</w:t>
      </w:r>
      <w:r w:rsidR="00A65680">
        <w:t xml:space="preserve">.  </w:t>
      </w:r>
      <w:r w:rsidR="00F4574B">
        <w:t>The same can be said about s3(4)(d)(</w:t>
      </w:r>
      <w:proofErr w:type="spellStart"/>
      <w:r w:rsidR="00F4574B">
        <w:t>i</w:t>
      </w:r>
      <w:proofErr w:type="spellEnd"/>
      <w:r w:rsidR="00F4574B">
        <w:t xml:space="preserve">), </w:t>
      </w:r>
      <w:proofErr w:type="spellStart"/>
      <w:r w:rsidR="00F4574B">
        <w:t>Sch</w:t>
      </w:r>
      <w:proofErr w:type="spellEnd"/>
      <w:r w:rsidR="00F4574B">
        <w:t xml:space="preserve"> 7 which is about the potential utility of the </w:t>
      </w:r>
      <w:r w:rsidR="00AB6B8C">
        <w:t>material</w:t>
      </w:r>
      <w:r w:rsidR="00F4574B">
        <w:t xml:space="preserve"> sought.  </w:t>
      </w:r>
      <w:r w:rsidR="00C007B5">
        <w:t xml:space="preserve">In this regard, </w:t>
      </w:r>
      <w:r w:rsidR="00DF3ADC" w:rsidRPr="00BC695A">
        <w:rPr>
          <w:lang w:val="en-US"/>
        </w:rPr>
        <w:t xml:space="preserve">I agree with the submission of </w:t>
      </w:r>
      <w:proofErr w:type="spellStart"/>
      <w:r w:rsidR="00DF3ADC" w:rsidRPr="00BC695A">
        <w:rPr>
          <w:lang w:val="en-US"/>
        </w:rPr>
        <w:t>Ms</w:t>
      </w:r>
      <w:proofErr w:type="spellEnd"/>
      <w:r w:rsidR="00DF3ADC" w:rsidRPr="00BC695A">
        <w:rPr>
          <w:lang w:val="en-US"/>
        </w:rPr>
        <w:t xml:space="preserve"> Cheung that </w:t>
      </w:r>
      <w:r w:rsidR="00AB6B8C">
        <w:rPr>
          <w:lang w:val="en-US"/>
        </w:rPr>
        <w:t>at</w:t>
      </w:r>
      <w:r w:rsidR="001D5229" w:rsidRPr="00BC695A">
        <w:rPr>
          <w:lang w:val="en-US"/>
        </w:rPr>
        <w:t xml:space="preserve"> the investigation stage </w:t>
      </w:r>
      <w:r w:rsidR="00DF3ADC" w:rsidRPr="00BC695A">
        <w:rPr>
          <w:lang w:val="en-US"/>
        </w:rPr>
        <w:t xml:space="preserve">some latitude has to be given to the Police </w:t>
      </w:r>
      <w:r w:rsidR="00764641">
        <w:rPr>
          <w:lang w:val="en-US"/>
        </w:rPr>
        <w:t xml:space="preserve">and due weight should be given to them </w:t>
      </w:r>
      <w:r w:rsidR="00DF3ADC" w:rsidRPr="00BC695A">
        <w:rPr>
          <w:lang w:val="en-US"/>
        </w:rPr>
        <w:t xml:space="preserve">as to what </w:t>
      </w:r>
      <w:r w:rsidR="00572D5E" w:rsidRPr="00BC695A">
        <w:rPr>
          <w:lang w:val="en-US"/>
        </w:rPr>
        <w:t xml:space="preserve">is likely to </w:t>
      </w:r>
      <w:r w:rsidR="0006085F" w:rsidRPr="00BC695A">
        <w:rPr>
          <w:rFonts w:eastAsia="PMingLiU"/>
          <w:lang w:val="en-US" w:eastAsia="zh-HK"/>
        </w:rPr>
        <w:t>be</w:t>
      </w:r>
      <w:r w:rsidR="00572D5E" w:rsidRPr="00BC695A">
        <w:rPr>
          <w:lang w:val="en-US"/>
        </w:rPr>
        <w:t xml:space="preserve"> relevant</w:t>
      </w:r>
      <w:r w:rsidR="00B71C5B" w:rsidRPr="00BC695A">
        <w:rPr>
          <w:lang w:val="en-US"/>
        </w:rPr>
        <w:t xml:space="preserve"> </w:t>
      </w:r>
      <w:r w:rsidR="00AB6B8C">
        <w:rPr>
          <w:lang w:val="en-US"/>
        </w:rPr>
        <w:t>or</w:t>
      </w:r>
      <w:r w:rsidR="00F4574B" w:rsidRPr="00BC695A">
        <w:rPr>
          <w:lang w:val="en-US"/>
        </w:rPr>
        <w:t xml:space="preserve"> useful, both of </w:t>
      </w:r>
      <w:r w:rsidR="00AB6B8C">
        <w:rPr>
          <w:lang w:val="en-US"/>
        </w:rPr>
        <w:t xml:space="preserve">them pertaining to </w:t>
      </w:r>
      <w:r w:rsidR="00B71C5B" w:rsidRPr="00BC695A">
        <w:rPr>
          <w:lang w:val="en-US"/>
        </w:rPr>
        <w:t>the substance of the investigation</w:t>
      </w:r>
      <w:r w:rsidR="00DF3ADC" w:rsidRPr="00BC695A">
        <w:rPr>
          <w:lang w:val="en-US"/>
        </w:rPr>
        <w:t xml:space="preserve">.  </w:t>
      </w:r>
      <w:r w:rsidR="00AB6B8C">
        <w:rPr>
          <w:lang w:val="en-US"/>
        </w:rPr>
        <w:t>Besides, t</w:t>
      </w:r>
      <w:r w:rsidR="00783C80" w:rsidRPr="00BC695A">
        <w:rPr>
          <w:lang w:val="en-US"/>
        </w:rPr>
        <w:t xml:space="preserve">he court should not impede on existing criminal investigation </w:t>
      </w:r>
      <w:r w:rsidR="005E7270" w:rsidRPr="00BC695A">
        <w:rPr>
          <w:lang w:val="en-US"/>
        </w:rPr>
        <w:t xml:space="preserve">and should not be required to </w:t>
      </w:r>
      <w:r w:rsidR="0006085F" w:rsidRPr="00BC695A">
        <w:rPr>
          <w:lang w:val="en-US"/>
        </w:rPr>
        <w:t xml:space="preserve">carry </w:t>
      </w:r>
      <w:r w:rsidR="00783C80" w:rsidRPr="00BC695A">
        <w:rPr>
          <w:lang w:val="en-US"/>
        </w:rPr>
        <w:t xml:space="preserve">out the impossible task of determining </w:t>
      </w:r>
      <w:r w:rsidR="006B14E5" w:rsidRPr="00BC695A">
        <w:rPr>
          <w:lang w:val="en-US"/>
        </w:rPr>
        <w:t>prematurely what</w:t>
      </w:r>
      <w:r w:rsidR="00783C80" w:rsidRPr="00BC695A">
        <w:rPr>
          <w:lang w:val="en-US"/>
        </w:rPr>
        <w:t xml:space="preserve"> is relevant </w:t>
      </w:r>
      <w:r w:rsidR="00F4574B" w:rsidRPr="00BC695A">
        <w:rPr>
          <w:lang w:val="en-US"/>
        </w:rPr>
        <w:t xml:space="preserve">or useful </w:t>
      </w:r>
      <w:r w:rsidR="00783C80" w:rsidRPr="00BC695A">
        <w:rPr>
          <w:lang w:val="en-US"/>
        </w:rPr>
        <w:t xml:space="preserve">to the investigation.   </w:t>
      </w:r>
      <w:r w:rsidR="00C007B5" w:rsidRPr="00BC695A">
        <w:rPr>
          <w:lang w:val="en-US"/>
        </w:rPr>
        <w:t>A</w:t>
      </w:r>
      <w:r w:rsidR="00783C80" w:rsidRPr="00BC695A">
        <w:rPr>
          <w:lang w:val="en-US"/>
        </w:rPr>
        <w:t>s to this, a</w:t>
      </w:r>
      <w:r w:rsidR="00DF3ADC" w:rsidRPr="00BC695A">
        <w:rPr>
          <w:lang w:val="en-US"/>
        </w:rPr>
        <w:t>n analogy c</w:t>
      </w:r>
      <w:r w:rsidR="00783C80" w:rsidRPr="00BC695A">
        <w:rPr>
          <w:lang w:val="en-US"/>
        </w:rPr>
        <w:t xml:space="preserve">ould </w:t>
      </w:r>
      <w:r w:rsidR="00DF3ADC" w:rsidRPr="00BC695A">
        <w:rPr>
          <w:lang w:val="en-US"/>
        </w:rPr>
        <w:t>be drawn</w:t>
      </w:r>
      <w:r w:rsidR="0006085F" w:rsidRPr="00BC695A">
        <w:rPr>
          <w:lang w:val="en-US"/>
        </w:rPr>
        <w:t xml:space="preserve"> between</w:t>
      </w:r>
      <w:r w:rsidR="00DF3ADC" w:rsidRPr="00BC695A">
        <w:rPr>
          <w:lang w:val="en-US"/>
        </w:rPr>
        <w:t xml:space="preserve"> a PO and a search warrant: </w:t>
      </w:r>
      <w:r w:rsidR="00DF3ADC" w:rsidRPr="00BC695A">
        <w:rPr>
          <w:i/>
          <w:lang w:val="en-US"/>
        </w:rPr>
        <w:t>Apply Daily Ltd v Commissioner of the ICAC (No 2)</w:t>
      </w:r>
      <w:r w:rsidR="00DF3ADC">
        <w:rPr>
          <w:rStyle w:val="FootnoteReference"/>
          <w:i/>
          <w:lang w:val="en-US"/>
        </w:rPr>
        <w:footnoteReference w:id="27"/>
      </w:r>
      <w:r w:rsidR="00DF3ADC" w:rsidRPr="00BC695A">
        <w:rPr>
          <w:lang w:val="en-US"/>
        </w:rPr>
        <w:t xml:space="preserve">; and </w:t>
      </w:r>
      <w:r w:rsidR="00DF3ADC" w:rsidRPr="00BC695A">
        <w:rPr>
          <w:i/>
          <w:lang w:val="en-US"/>
        </w:rPr>
        <w:t>Lee</w:t>
      </w:r>
      <w:r w:rsidR="00875924" w:rsidRPr="00BC695A">
        <w:rPr>
          <w:i/>
          <w:lang w:val="en-US"/>
        </w:rPr>
        <w:t> </w:t>
      </w:r>
      <w:r w:rsidR="00DF3ADC" w:rsidRPr="00BC695A">
        <w:rPr>
          <w:i/>
          <w:lang w:val="en-US"/>
        </w:rPr>
        <w:t>Chu</w:t>
      </w:r>
      <w:r w:rsidR="00875924" w:rsidRPr="00BC695A">
        <w:rPr>
          <w:i/>
          <w:lang w:val="en-US"/>
        </w:rPr>
        <w:t> </w:t>
      </w:r>
      <w:r w:rsidR="00DF3ADC" w:rsidRPr="00BC695A">
        <w:rPr>
          <w:i/>
          <w:lang w:val="en-US"/>
        </w:rPr>
        <w:t xml:space="preserve">Ming Martin &amp; </w:t>
      </w:r>
      <w:proofErr w:type="spellStart"/>
      <w:r w:rsidR="00DF3ADC" w:rsidRPr="00BC695A">
        <w:rPr>
          <w:i/>
          <w:lang w:val="en-US"/>
        </w:rPr>
        <w:t>Ors</w:t>
      </w:r>
      <w:proofErr w:type="spellEnd"/>
      <w:r w:rsidR="00DF3ADC" w:rsidRPr="00BC695A">
        <w:rPr>
          <w:i/>
          <w:lang w:val="en-US"/>
        </w:rPr>
        <w:t xml:space="preserve"> v A Permanent Magistrate, Eastern Magistracy &amp; Anor</w:t>
      </w:r>
      <w:r w:rsidR="00DF3ADC" w:rsidRPr="008579D8">
        <w:rPr>
          <w:rStyle w:val="FootnoteReference"/>
          <w:lang w:val="en-US"/>
        </w:rPr>
        <w:footnoteReference w:id="28"/>
      </w:r>
      <w:r w:rsidR="00DF3ADC" w:rsidRPr="00BC695A">
        <w:rPr>
          <w:lang w:val="en-US"/>
        </w:rPr>
        <w:t>.</w:t>
      </w:r>
      <w:r w:rsidR="00C007B5" w:rsidRPr="00BC695A">
        <w:rPr>
          <w:lang w:val="en-US"/>
        </w:rPr>
        <w:t xml:space="preserve"> </w:t>
      </w:r>
      <w:r w:rsidR="00F4574B" w:rsidRPr="00BC695A">
        <w:rPr>
          <w:lang w:val="en-US"/>
        </w:rPr>
        <w:t xml:space="preserve"> </w:t>
      </w:r>
      <w:r w:rsidR="00764641" w:rsidRPr="00BC695A">
        <w:rPr>
          <w:lang w:val="en-US"/>
        </w:rPr>
        <w:lastRenderedPageBreak/>
        <w:t xml:space="preserve">That, of course, is not to say that the court </w:t>
      </w:r>
      <w:r w:rsidR="00C65EB9" w:rsidRPr="00BC695A">
        <w:rPr>
          <w:lang w:val="en-US"/>
        </w:rPr>
        <w:t>would proceed</w:t>
      </w:r>
      <w:r w:rsidR="00F4574B" w:rsidRPr="00BC695A">
        <w:rPr>
          <w:lang w:val="en-US"/>
        </w:rPr>
        <w:t xml:space="preserve"> on the basis of a bare assertion by a police officer even in cases</w:t>
      </w:r>
      <w:r w:rsidR="00764641" w:rsidRPr="00BC695A">
        <w:rPr>
          <w:lang w:val="en-US"/>
        </w:rPr>
        <w:t xml:space="preserve"> </w:t>
      </w:r>
      <w:r w:rsidR="00F4574B" w:rsidRPr="00BC695A">
        <w:rPr>
          <w:lang w:val="en-US"/>
        </w:rPr>
        <w:t>involving national security</w:t>
      </w:r>
      <w:r w:rsidR="00764641">
        <w:rPr>
          <w:lang w:val="en-US"/>
        </w:rPr>
        <w:t xml:space="preserve">.  As emphasized above, a judge has personally to be satisfied that he statutory requirements as to assess conditions in s3(4), </w:t>
      </w:r>
      <w:proofErr w:type="spellStart"/>
      <w:r w:rsidR="00764641">
        <w:rPr>
          <w:lang w:val="en-US"/>
        </w:rPr>
        <w:t>Sch</w:t>
      </w:r>
      <w:proofErr w:type="spellEnd"/>
      <w:r w:rsidR="00764641">
        <w:rPr>
          <w:lang w:val="en-US"/>
        </w:rPr>
        <w:t xml:space="preserve"> 7 are met: </w:t>
      </w:r>
      <w:r w:rsidR="00F4574B" w:rsidRPr="00BC695A">
        <w:rPr>
          <w:lang w:val="en-US"/>
        </w:rPr>
        <w:t xml:space="preserve"> </w:t>
      </w:r>
      <w:r w:rsidR="00764641" w:rsidRPr="00BC695A">
        <w:rPr>
          <w:i/>
          <w:lang w:val="en-US"/>
        </w:rPr>
        <w:t>R v Central Criminal Court, ex p Bright</w:t>
      </w:r>
      <w:r w:rsidR="00764641">
        <w:rPr>
          <w:rStyle w:val="FootnoteReference"/>
          <w:i/>
          <w:lang w:val="en-US"/>
        </w:rPr>
        <w:footnoteReference w:id="29"/>
      </w:r>
      <w:r w:rsidR="00764641">
        <w:rPr>
          <w:lang w:val="en-US"/>
        </w:rPr>
        <w:t>.</w:t>
      </w:r>
    </w:p>
    <w:p w:rsidR="00281719" w:rsidRDefault="008015F2" w:rsidP="00467F79">
      <w:pPr>
        <w:pStyle w:val="Final"/>
      </w:pPr>
      <w:r>
        <w:t>As</w:t>
      </w:r>
      <w:r w:rsidR="00281719">
        <w:t xml:space="preserve"> Mr Pang </w:t>
      </w:r>
      <w:r w:rsidR="007B37E3">
        <w:t xml:space="preserve">fairly </w:t>
      </w:r>
      <w:r w:rsidR="00281719">
        <w:t xml:space="preserve">accepts during the course of his submission, the Applicants are not in a position to mount a meaningful challenge to the POs on the ground of relevance, as they do not have the sight of the affirmation evidence filed by the Respondent at the </w:t>
      </w:r>
      <w:r w:rsidR="00281719" w:rsidRPr="00BC695A">
        <w:rPr>
          <w:i/>
        </w:rPr>
        <w:t>ex parte</w:t>
      </w:r>
      <w:r w:rsidR="00281719">
        <w:t xml:space="preserve"> stage. </w:t>
      </w:r>
    </w:p>
    <w:p w:rsidR="00A65680" w:rsidRDefault="00163C3F" w:rsidP="00467F79">
      <w:pPr>
        <w:pStyle w:val="Final"/>
      </w:pPr>
      <w:r>
        <w:t xml:space="preserve">Based on the above, </w:t>
      </w:r>
      <w:r w:rsidR="00C007B5">
        <w:t>I come to the conclusion that</w:t>
      </w:r>
      <w:r w:rsidR="00C007B5" w:rsidRPr="00C007B5">
        <w:t xml:space="preserve">, </w:t>
      </w:r>
      <w:r w:rsidR="00C007B5">
        <w:t>as a matter of principle</w:t>
      </w:r>
      <w:r w:rsidR="008579D8">
        <w:t>,</w:t>
      </w:r>
      <w:r w:rsidR="00C007B5">
        <w:t xml:space="preserve"> the court</w:t>
      </w:r>
      <w:r w:rsidR="006007D5">
        <w:t xml:space="preserve"> </w:t>
      </w:r>
      <w:r w:rsidR="00AB6B8C">
        <w:t>generally</w:t>
      </w:r>
      <w:r w:rsidR="00AB6B8C" w:rsidRPr="00C007B5">
        <w:t xml:space="preserve"> </w:t>
      </w:r>
      <w:r w:rsidR="00C007B5" w:rsidRPr="00C007B5">
        <w:t xml:space="preserve">should not entertain an application or </w:t>
      </w:r>
      <w:r w:rsidR="008579D8">
        <w:t>invitation</w:t>
      </w:r>
      <w:r w:rsidR="008579D8" w:rsidRPr="00C007B5">
        <w:t xml:space="preserve"> </w:t>
      </w:r>
      <w:r w:rsidR="00C007B5" w:rsidRPr="00C007B5">
        <w:t xml:space="preserve">to </w:t>
      </w:r>
      <w:r w:rsidR="001D5229">
        <w:t xml:space="preserve">discharge or </w:t>
      </w:r>
      <w:r w:rsidR="00C007B5" w:rsidRPr="00C007B5">
        <w:t>vary POs on the ground of relevance</w:t>
      </w:r>
      <w:r w:rsidR="00AB6B8C">
        <w:t xml:space="preserve"> or utility</w:t>
      </w:r>
      <w:r w:rsidR="00281719">
        <w:t xml:space="preserve">, when there </w:t>
      </w:r>
      <w:r w:rsidR="007B37E3">
        <w:t xml:space="preserve">has </w:t>
      </w:r>
      <w:r w:rsidR="00281719">
        <w:t xml:space="preserve">already </w:t>
      </w:r>
      <w:r w:rsidR="007B37E3">
        <w:t xml:space="preserve">been </w:t>
      </w:r>
      <w:r w:rsidR="00281719">
        <w:t>a decision</w:t>
      </w:r>
      <w:r w:rsidR="00041877">
        <w:t xml:space="preserve"> by the court on th</w:t>
      </w:r>
      <w:r w:rsidR="00AB6B8C">
        <w:t>ose</w:t>
      </w:r>
      <w:r w:rsidR="00041877">
        <w:t xml:space="preserve"> </w:t>
      </w:r>
      <w:r w:rsidR="00281719">
        <w:t xml:space="preserve">at the </w:t>
      </w:r>
      <w:r w:rsidR="00281719" w:rsidRPr="00BC695A">
        <w:rPr>
          <w:i/>
        </w:rPr>
        <w:t>ex parte</w:t>
      </w:r>
      <w:r w:rsidR="00281719">
        <w:t xml:space="preserve"> stage</w:t>
      </w:r>
      <w:r w:rsidR="00C007B5" w:rsidRPr="00C007B5">
        <w:t xml:space="preserve">.  </w:t>
      </w:r>
    </w:p>
    <w:p w:rsidR="002B2462" w:rsidRPr="00B426FE" w:rsidRDefault="00CF6AC1" w:rsidP="00B426FE">
      <w:pPr>
        <w:pStyle w:val="H-1"/>
        <w:spacing w:before="360" w:line="360" w:lineRule="auto"/>
        <w:rPr>
          <w:lang w:val="en-US"/>
        </w:rPr>
      </w:pPr>
      <w:r w:rsidRPr="005B34E5">
        <w:rPr>
          <w:lang w:val="en-US"/>
        </w:rPr>
        <w:t xml:space="preserve">Public </w:t>
      </w:r>
      <w:r w:rsidR="00CB1338" w:rsidRPr="005B34E5">
        <w:rPr>
          <w:lang w:val="en-US"/>
        </w:rPr>
        <w:t>interest</w:t>
      </w:r>
    </w:p>
    <w:p w:rsidR="00D9779B" w:rsidRPr="00B426FE" w:rsidRDefault="00CB1338" w:rsidP="00467F79">
      <w:pPr>
        <w:pStyle w:val="Final"/>
        <w:rPr>
          <w:lang w:val="en-US"/>
        </w:rPr>
      </w:pPr>
      <w:r>
        <w:t xml:space="preserve">As regards the </w:t>
      </w:r>
      <w:r w:rsidR="00D9779B">
        <w:t>Applicants</w:t>
      </w:r>
      <w:r>
        <w:t>’</w:t>
      </w:r>
      <w:r w:rsidR="00D9779B">
        <w:t xml:space="preserve"> invit</w:t>
      </w:r>
      <w:r>
        <w:t xml:space="preserve">ation to </w:t>
      </w:r>
      <w:r w:rsidR="00D9779B">
        <w:t xml:space="preserve">this court to reconsider the </w:t>
      </w:r>
      <w:r w:rsidR="002B2462">
        <w:t xml:space="preserve">balance </w:t>
      </w:r>
      <w:r w:rsidR="00AB6B8C">
        <w:t xml:space="preserve">of public interest </w:t>
      </w:r>
      <w:r w:rsidR="00D9779B">
        <w:t xml:space="preserve">under s3(4)(d), </w:t>
      </w:r>
      <w:proofErr w:type="spellStart"/>
      <w:r w:rsidR="00D9779B">
        <w:t>Sch</w:t>
      </w:r>
      <w:proofErr w:type="spellEnd"/>
      <w:r w:rsidR="00D9779B">
        <w:t xml:space="preserve"> 7</w:t>
      </w:r>
      <w:r>
        <w:t>, t</w:t>
      </w:r>
      <w:r w:rsidR="002B2462">
        <w:t xml:space="preserve">he </w:t>
      </w:r>
      <w:r>
        <w:t xml:space="preserve">relevant </w:t>
      </w:r>
      <w:r w:rsidR="002B2462">
        <w:t>countervailing interests are: (1)</w:t>
      </w:r>
      <w:r w:rsidR="00875924">
        <w:t> </w:t>
      </w:r>
      <w:r w:rsidR="002B2462">
        <w:t>the potential utility of the Personal</w:t>
      </w:r>
      <w:r w:rsidR="000D63ED">
        <w:t xml:space="preserve"> </w:t>
      </w:r>
      <w:r w:rsidR="008579D8">
        <w:t>Data</w:t>
      </w:r>
      <w:r w:rsidR="00D9779B">
        <w:rPr>
          <w:rFonts w:hint="eastAsia"/>
        </w:rPr>
        <w:t xml:space="preserve">; </w:t>
      </w:r>
      <w:r w:rsidR="002B2462">
        <w:rPr>
          <w:lang w:val="en-US"/>
        </w:rPr>
        <w:t>and (2)</w:t>
      </w:r>
      <w:r w:rsidR="00875924">
        <w:rPr>
          <w:lang w:val="en-US"/>
        </w:rPr>
        <w:t> </w:t>
      </w:r>
      <w:r w:rsidR="002B2462">
        <w:rPr>
          <w:lang w:val="en-US"/>
        </w:rPr>
        <w:t>the privacy right of the recipients and the correspond</w:t>
      </w:r>
      <w:r w:rsidR="00D9779B">
        <w:rPr>
          <w:lang w:val="en-US"/>
        </w:rPr>
        <w:t xml:space="preserve">ing </w:t>
      </w:r>
      <w:r w:rsidR="00AB6B8C">
        <w:rPr>
          <w:lang w:val="en-US"/>
        </w:rPr>
        <w:t xml:space="preserve">common law </w:t>
      </w:r>
      <w:r w:rsidR="002B2462">
        <w:rPr>
          <w:lang w:val="en-US"/>
        </w:rPr>
        <w:t>duty of confiden</w:t>
      </w:r>
      <w:r w:rsidR="00AB6B8C">
        <w:rPr>
          <w:lang w:val="en-US"/>
        </w:rPr>
        <w:t>tiality</w:t>
      </w:r>
      <w:r w:rsidR="002B2462">
        <w:rPr>
          <w:lang w:val="en-US"/>
        </w:rPr>
        <w:t xml:space="preserve"> on the Applicants.  </w:t>
      </w:r>
      <w:r w:rsidR="00AB6B8C">
        <w:rPr>
          <w:lang w:val="en-US"/>
        </w:rPr>
        <w:t>More specifically, t</w:t>
      </w:r>
      <w:r w:rsidR="00D9779B">
        <w:rPr>
          <w:lang w:val="en-US"/>
        </w:rPr>
        <w:t>he Court’s attention is drawn to the fact that the Disputed Documents include supporting documents showing hospital charges and treatment</w:t>
      </w:r>
      <w:r>
        <w:rPr>
          <w:lang w:val="en-US"/>
        </w:rPr>
        <w:t xml:space="preserve"> information of the recipients concerned.</w:t>
      </w:r>
      <w:r w:rsidR="00D9779B">
        <w:rPr>
          <w:lang w:val="en-US"/>
        </w:rPr>
        <w:t xml:space="preserve">  </w:t>
      </w:r>
    </w:p>
    <w:p w:rsidR="0065674D" w:rsidRPr="00B426FE" w:rsidRDefault="00FE1159" w:rsidP="00E94EF8">
      <w:pPr>
        <w:pStyle w:val="Final"/>
        <w:rPr>
          <w:lang w:val="en-US"/>
        </w:rPr>
      </w:pPr>
      <w:r w:rsidRPr="00AF7BB4">
        <w:rPr>
          <w:rFonts w:eastAsia="PMingLiU"/>
          <w:lang w:val="en-US" w:eastAsia="zh-TW"/>
        </w:rPr>
        <w:lastRenderedPageBreak/>
        <w:t xml:space="preserve">Notwithstanding my judgment above that a PO should not be subject to challenge </w:t>
      </w:r>
      <w:r w:rsidR="00EB3107">
        <w:rPr>
          <w:rFonts w:eastAsia="PMingLiU"/>
          <w:lang w:val="en-US" w:eastAsia="zh-TW"/>
        </w:rPr>
        <w:t xml:space="preserve">on </w:t>
      </w:r>
      <w:r w:rsidRPr="00AF7BB4">
        <w:rPr>
          <w:rFonts w:eastAsia="PMingLiU"/>
          <w:lang w:val="en-US" w:eastAsia="zh-TW"/>
        </w:rPr>
        <w:t>grounds r</w:t>
      </w:r>
      <w:r w:rsidR="00446C2D" w:rsidRPr="00AF7BB4">
        <w:rPr>
          <w:rFonts w:eastAsia="PMingLiU"/>
          <w:lang w:val="en-US" w:eastAsia="zh-TW"/>
        </w:rPr>
        <w:t>elating solely to the substance</w:t>
      </w:r>
      <w:r w:rsidRPr="00AF7BB4">
        <w:rPr>
          <w:rFonts w:eastAsia="PMingLiU"/>
          <w:lang w:val="en-US" w:eastAsia="zh-TW"/>
        </w:rPr>
        <w:t xml:space="preserve"> of the investigation, in fulfillment of the court’s role </w:t>
      </w:r>
      <w:r w:rsidR="00BC39FB" w:rsidRPr="00AF7BB4">
        <w:rPr>
          <w:rFonts w:eastAsia="PMingLiU"/>
          <w:lang w:val="en-US" w:eastAsia="zh-TW"/>
        </w:rPr>
        <w:t xml:space="preserve">as the </w:t>
      </w:r>
      <w:r w:rsidR="00F66677" w:rsidRPr="00AF7BB4">
        <w:rPr>
          <w:rFonts w:eastAsia="PMingLiU"/>
          <w:lang w:val="en-US" w:eastAsia="zh-TW"/>
        </w:rPr>
        <w:t>fin</w:t>
      </w:r>
      <w:r w:rsidR="00BC39FB" w:rsidRPr="00AF7BB4">
        <w:rPr>
          <w:rFonts w:eastAsia="PMingLiU"/>
          <w:lang w:val="en-US" w:eastAsia="zh-TW"/>
        </w:rPr>
        <w:t>al safeguard against abuse</w:t>
      </w:r>
      <w:r w:rsidRPr="00AF7BB4">
        <w:rPr>
          <w:rFonts w:eastAsia="PMingLiU"/>
          <w:lang w:val="en-US" w:eastAsia="zh-TW"/>
        </w:rPr>
        <w:t xml:space="preserve"> and </w:t>
      </w:r>
      <w:r w:rsidR="00F66677" w:rsidRPr="00AF7BB4">
        <w:rPr>
          <w:rFonts w:eastAsia="PMingLiU"/>
          <w:lang w:val="en-US" w:eastAsia="zh-HK"/>
        </w:rPr>
        <w:t>oppression</w:t>
      </w:r>
      <w:r w:rsidRPr="00AF7BB4">
        <w:rPr>
          <w:rFonts w:eastAsia="PMingLiU"/>
          <w:lang w:val="en-US" w:eastAsia="zh-TW"/>
        </w:rPr>
        <w:t xml:space="preserve">, it is permissible for the </w:t>
      </w:r>
      <w:r w:rsidR="004C2D7B" w:rsidRPr="00AF7BB4">
        <w:rPr>
          <w:lang w:val="en-US"/>
        </w:rPr>
        <w:t>court</w:t>
      </w:r>
      <w:r w:rsidRPr="00AF7BB4">
        <w:rPr>
          <w:lang w:val="en-US"/>
        </w:rPr>
        <w:t xml:space="preserve"> to</w:t>
      </w:r>
      <w:r w:rsidR="004C2D7B" w:rsidRPr="00AF7BB4">
        <w:rPr>
          <w:lang w:val="en-US"/>
        </w:rPr>
        <w:t xml:space="preserve"> re-conduct</w:t>
      </w:r>
      <w:r w:rsidR="004C2D7B">
        <w:rPr>
          <w:lang w:val="en-US"/>
        </w:rPr>
        <w:t xml:space="preserve"> the balancing exercise under s3(4)(d) when </w:t>
      </w:r>
      <w:r w:rsidR="00E94EF8">
        <w:rPr>
          <w:lang w:val="en-US"/>
        </w:rPr>
        <w:t xml:space="preserve">facing with </w:t>
      </w:r>
      <w:r w:rsidR="004C2D7B">
        <w:rPr>
          <w:lang w:val="en-US"/>
        </w:rPr>
        <w:t xml:space="preserve">an application for discharge or variation.  This is because at the </w:t>
      </w:r>
      <w:r w:rsidR="004C2D7B" w:rsidRPr="00BC695A">
        <w:rPr>
          <w:i/>
          <w:lang w:val="en-US"/>
        </w:rPr>
        <w:t>ex parte</w:t>
      </w:r>
      <w:r w:rsidR="00D30329">
        <w:rPr>
          <w:lang w:val="en-US"/>
        </w:rPr>
        <w:t xml:space="preserve"> stage, it is </w:t>
      </w:r>
      <w:r w:rsidR="004C2D7B">
        <w:rPr>
          <w:lang w:val="en-US"/>
        </w:rPr>
        <w:t>likely that the police would</w:t>
      </w:r>
      <w:r w:rsidR="008C2DB5">
        <w:rPr>
          <w:lang w:val="en-US"/>
        </w:rPr>
        <w:t xml:space="preserve"> not</w:t>
      </w:r>
      <w:r w:rsidR="00D30329">
        <w:rPr>
          <w:lang w:val="en-US"/>
        </w:rPr>
        <w:t xml:space="preserve"> have much </w:t>
      </w:r>
      <w:r w:rsidR="008C2DB5">
        <w:rPr>
          <w:lang w:val="en-US"/>
        </w:rPr>
        <w:t xml:space="preserve">information to provide the court with </w:t>
      </w:r>
      <w:r w:rsidR="004C2D7B">
        <w:rPr>
          <w:lang w:val="en-US"/>
        </w:rPr>
        <w:t xml:space="preserve">on s3(4)(d)(ii).  </w:t>
      </w:r>
      <w:r w:rsidR="008C2DB5">
        <w:rPr>
          <w:lang w:val="en-US"/>
        </w:rPr>
        <w:t>On the other hand, s</w:t>
      </w:r>
      <w:r w:rsidR="004C2D7B">
        <w:rPr>
          <w:lang w:val="en-US"/>
        </w:rPr>
        <w:t xml:space="preserve">uch information is more likely to </w:t>
      </w:r>
      <w:r w:rsidR="00D30329">
        <w:rPr>
          <w:lang w:val="en-US"/>
        </w:rPr>
        <w:t xml:space="preserve">be available </w:t>
      </w:r>
      <w:r w:rsidR="004C2D7B">
        <w:rPr>
          <w:lang w:val="en-US"/>
        </w:rPr>
        <w:t>from the person who is the subject of the PO</w:t>
      </w:r>
      <w:r w:rsidR="00E94EF8">
        <w:rPr>
          <w:lang w:val="en-US"/>
        </w:rPr>
        <w:t xml:space="preserve"> </w:t>
      </w:r>
      <w:r w:rsidR="00771783">
        <w:rPr>
          <w:lang w:val="en-US"/>
        </w:rPr>
        <w:t xml:space="preserve">when there is </w:t>
      </w:r>
      <w:r w:rsidR="00E94EF8">
        <w:rPr>
          <w:lang w:val="en-US"/>
        </w:rPr>
        <w:t>an application for discharge or variation</w:t>
      </w:r>
      <w:r w:rsidR="004C2D7B">
        <w:rPr>
          <w:lang w:val="en-US"/>
        </w:rPr>
        <w:t xml:space="preserve">.  </w:t>
      </w:r>
      <w:r>
        <w:rPr>
          <w:lang w:val="en-US"/>
        </w:rPr>
        <w:t xml:space="preserve">Although the POBO does not have a </w:t>
      </w:r>
      <w:r w:rsidR="000B328A">
        <w:rPr>
          <w:lang w:val="en-US"/>
        </w:rPr>
        <w:t>provision</w:t>
      </w:r>
      <w:r>
        <w:rPr>
          <w:lang w:val="en-US"/>
        </w:rPr>
        <w:t xml:space="preserve"> similar to s3(4)(d)(ii) as an access requirement, t</w:t>
      </w:r>
      <w:r w:rsidR="005B57C9" w:rsidRPr="005B57C9">
        <w:rPr>
          <w:lang w:val="en-US"/>
        </w:rPr>
        <w:t xml:space="preserve">he situation is not </w:t>
      </w:r>
      <w:r>
        <w:rPr>
          <w:lang w:val="en-US"/>
        </w:rPr>
        <w:t>unlike a</w:t>
      </w:r>
      <w:r w:rsidR="008C2DB5">
        <w:rPr>
          <w:lang w:val="en-US"/>
        </w:rPr>
        <w:t xml:space="preserve"> </w:t>
      </w:r>
      <w:r w:rsidR="00E94EF8">
        <w:rPr>
          <w:lang w:val="en-US"/>
        </w:rPr>
        <w:t>challeng</w:t>
      </w:r>
      <w:r w:rsidR="008C2DB5">
        <w:rPr>
          <w:lang w:val="en-US"/>
        </w:rPr>
        <w:t>e</w:t>
      </w:r>
      <w:r>
        <w:rPr>
          <w:lang w:val="en-US"/>
        </w:rPr>
        <w:t xml:space="preserve"> to</w:t>
      </w:r>
      <w:r w:rsidR="00E94EF8">
        <w:rPr>
          <w:lang w:val="en-US"/>
        </w:rPr>
        <w:t xml:space="preserve"> a </w:t>
      </w:r>
      <w:r w:rsidR="005B57C9">
        <w:rPr>
          <w:lang w:val="en-US"/>
        </w:rPr>
        <w:t xml:space="preserve">s14(1)(d) notice </w:t>
      </w:r>
      <w:r w:rsidR="00E94EF8">
        <w:rPr>
          <w:lang w:val="en-US"/>
        </w:rPr>
        <w:t xml:space="preserve">on the ground of lack of access </w:t>
      </w:r>
      <w:r w:rsidR="000B328A">
        <w:rPr>
          <w:lang w:val="en-US"/>
        </w:rPr>
        <w:t>(the third</w:t>
      </w:r>
      <w:r>
        <w:rPr>
          <w:lang w:val="en-US"/>
        </w:rPr>
        <w:t xml:space="preserve"> statutory criterion)</w:t>
      </w:r>
      <w:r w:rsidR="005B57C9" w:rsidRPr="005B57C9">
        <w:rPr>
          <w:lang w:val="en-US"/>
        </w:rPr>
        <w:t xml:space="preserve">.  </w:t>
      </w:r>
      <w:r w:rsidR="005B57C9">
        <w:rPr>
          <w:lang w:val="en-US"/>
        </w:rPr>
        <w:t xml:space="preserve">In </w:t>
      </w:r>
      <w:r w:rsidR="005B57C9" w:rsidRPr="00BC695A">
        <w:rPr>
          <w:i/>
          <w:lang w:val="en-US"/>
        </w:rPr>
        <w:t>P v Commissioner of Independent Commission Against Corruption</w:t>
      </w:r>
      <w:r w:rsidR="005B57C9">
        <w:rPr>
          <w:rStyle w:val="FootnoteReference"/>
          <w:lang w:val="en-US"/>
        </w:rPr>
        <w:footnoteReference w:id="30"/>
      </w:r>
      <w:r w:rsidR="005B57C9">
        <w:rPr>
          <w:lang w:val="en-US"/>
        </w:rPr>
        <w:t xml:space="preserve"> </w:t>
      </w:r>
      <w:r w:rsidR="008C2DB5">
        <w:rPr>
          <w:lang w:val="en-US"/>
        </w:rPr>
        <w:t xml:space="preserve">, Li CJ says </w:t>
      </w:r>
      <w:r>
        <w:rPr>
          <w:lang w:val="en-US"/>
        </w:rPr>
        <w:t>that in which case</w:t>
      </w:r>
      <w:r w:rsidR="00E94EF8">
        <w:rPr>
          <w:lang w:val="en-US"/>
        </w:rPr>
        <w:t xml:space="preserve"> </w:t>
      </w:r>
      <w:r w:rsidR="00E94EF8" w:rsidRPr="00E94EF8">
        <w:rPr>
          <w:lang w:val="en-US"/>
        </w:rPr>
        <w:t>it is important for the court</w:t>
      </w:r>
      <w:r w:rsidR="004311AC">
        <w:rPr>
          <w:lang w:val="en-US"/>
        </w:rPr>
        <w:t xml:space="preserve"> to deal with the ground in way </w:t>
      </w:r>
      <w:r w:rsidR="00E94EF8" w:rsidRPr="00E94EF8">
        <w:rPr>
          <w:lang w:val="en-US"/>
        </w:rPr>
        <w:t xml:space="preserve">which does not affect the integrity and effectiveness of the investigation.  </w:t>
      </w:r>
      <w:r w:rsidR="00E94EF8">
        <w:rPr>
          <w:lang w:val="en-US"/>
        </w:rPr>
        <w:t xml:space="preserve"> T</w:t>
      </w:r>
      <w:r w:rsidR="005B57C9">
        <w:rPr>
          <w:lang w:val="en-US"/>
        </w:rPr>
        <w:t xml:space="preserve">he court should not conduct a trial with cross-examination and should decide the matter on the basis of the affidavit evidence, including that adduced by the subject.  In my </w:t>
      </w:r>
      <w:r w:rsidR="004311AC">
        <w:rPr>
          <w:lang w:val="en-US"/>
        </w:rPr>
        <w:t>judgment</w:t>
      </w:r>
      <w:r w:rsidR="005B57C9">
        <w:rPr>
          <w:lang w:val="en-US"/>
        </w:rPr>
        <w:t xml:space="preserve">, </w:t>
      </w:r>
      <w:r w:rsidR="004311AC">
        <w:rPr>
          <w:lang w:val="en-US"/>
        </w:rPr>
        <w:t xml:space="preserve">a similar </w:t>
      </w:r>
      <w:r w:rsidR="005B57C9">
        <w:rPr>
          <w:lang w:val="en-US"/>
        </w:rPr>
        <w:t xml:space="preserve">mechanism should be adopted for the purpose of the </w:t>
      </w:r>
      <w:proofErr w:type="spellStart"/>
      <w:r w:rsidR="005B57C9">
        <w:rPr>
          <w:lang w:val="en-US"/>
        </w:rPr>
        <w:t>Sch</w:t>
      </w:r>
      <w:proofErr w:type="spellEnd"/>
      <w:r w:rsidR="005B57C9">
        <w:rPr>
          <w:lang w:val="en-US"/>
        </w:rPr>
        <w:t xml:space="preserve"> 7 regime.  </w:t>
      </w:r>
      <w:r w:rsidR="00DD72FB">
        <w:rPr>
          <w:lang w:val="en-US"/>
        </w:rPr>
        <w:t xml:space="preserve">The task of the court then is </w:t>
      </w:r>
      <w:r w:rsidR="00771783">
        <w:rPr>
          <w:lang w:val="en-US"/>
        </w:rPr>
        <w:t xml:space="preserve">again </w:t>
      </w:r>
      <w:r w:rsidR="00DD72FB">
        <w:rPr>
          <w:lang w:val="en-US"/>
        </w:rPr>
        <w:t xml:space="preserve">to perform an objective assessment </w:t>
      </w:r>
      <w:r w:rsidR="00771783">
        <w:rPr>
          <w:lang w:val="en-US"/>
        </w:rPr>
        <w:t xml:space="preserve">of the requirement of s3(4)(d), taking into account </w:t>
      </w:r>
      <w:r w:rsidR="00CF2D5C">
        <w:rPr>
          <w:lang w:val="en-US"/>
        </w:rPr>
        <w:t xml:space="preserve">also </w:t>
      </w:r>
      <w:r w:rsidR="00DD72FB">
        <w:rPr>
          <w:lang w:val="en-US"/>
        </w:rPr>
        <w:t xml:space="preserve">the </w:t>
      </w:r>
      <w:r w:rsidR="00771783">
        <w:rPr>
          <w:lang w:val="en-US"/>
        </w:rPr>
        <w:t xml:space="preserve">affirmation evidence filed by the subject. </w:t>
      </w:r>
      <w:r w:rsidR="00CF2D5C">
        <w:rPr>
          <w:lang w:val="en-US"/>
        </w:rPr>
        <w:t xml:space="preserve"> This, however, </w:t>
      </w:r>
      <w:r w:rsidR="00D30329">
        <w:rPr>
          <w:lang w:val="en-US"/>
        </w:rPr>
        <w:t xml:space="preserve">does not involve the application of a burden of proof: </w:t>
      </w:r>
      <w:proofErr w:type="spellStart"/>
      <w:r w:rsidR="00D30329">
        <w:rPr>
          <w:lang w:val="en-US"/>
        </w:rPr>
        <w:t>cf</w:t>
      </w:r>
      <w:proofErr w:type="spellEnd"/>
      <w:r w:rsidR="00D30329">
        <w:rPr>
          <w:lang w:val="en-US"/>
        </w:rPr>
        <w:t xml:space="preserve"> </w:t>
      </w:r>
      <w:r w:rsidR="00D30329" w:rsidRPr="00BC695A">
        <w:rPr>
          <w:i/>
          <w:lang w:val="en-US"/>
        </w:rPr>
        <w:t>HKSAR v Lai Chee Ying</w:t>
      </w:r>
      <w:r w:rsidR="00D30329">
        <w:rPr>
          <w:rStyle w:val="FootnoteReference"/>
          <w:i/>
          <w:lang w:val="en-US"/>
        </w:rPr>
        <w:footnoteReference w:id="31"/>
      </w:r>
      <w:r w:rsidR="00D30329">
        <w:rPr>
          <w:lang w:val="en-US"/>
        </w:rPr>
        <w:t>.</w:t>
      </w:r>
      <w:r w:rsidR="00DD72FB">
        <w:rPr>
          <w:lang w:val="en-US"/>
        </w:rPr>
        <w:t xml:space="preserve">  </w:t>
      </w:r>
      <w:r w:rsidR="00CF2D5C">
        <w:rPr>
          <w:lang w:val="en-US"/>
        </w:rPr>
        <w:t>In my view, p</w:t>
      </w:r>
      <w:r w:rsidR="004311AC">
        <w:rPr>
          <w:lang w:val="en-US"/>
        </w:rPr>
        <w:t>ending resolution of the application, the be</w:t>
      </w:r>
      <w:r w:rsidR="00CF2D5C">
        <w:rPr>
          <w:lang w:val="en-US"/>
        </w:rPr>
        <w:t>tter</w:t>
      </w:r>
      <w:r w:rsidR="004311AC">
        <w:rPr>
          <w:lang w:val="en-US"/>
        </w:rPr>
        <w:t xml:space="preserve"> practice is to have the documents in disputed sealed in the presence of the </w:t>
      </w:r>
      <w:r w:rsidR="00CF2D5C">
        <w:rPr>
          <w:lang w:val="en-US"/>
        </w:rPr>
        <w:t xml:space="preserve">representatives of each </w:t>
      </w:r>
      <w:r w:rsidR="004311AC">
        <w:rPr>
          <w:lang w:val="en-US"/>
        </w:rPr>
        <w:t>part</w:t>
      </w:r>
      <w:r w:rsidR="00CF2D5C">
        <w:rPr>
          <w:lang w:val="en-US"/>
        </w:rPr>
        <w:t>y</w:t>
      </w:r>
      <w:r w:rsidR="004311AC">
        <w:rPr>
          <w:lang w:val="en-US"/>
        </w:rPr>
        <w:t xml:space="preserve"> and </w:t>
      </w:r>
      <w:r w:rsidR="00CF2D5C">
        <w:rPr>
          <w:lang w:val="en-US"/>
        </w:rPr>
        <w:t xml:space="preserve">then </w:t>
      </w:r>
      <w:r w:rsidR="004311AC">
        <w:rPr>
          <w:lang w:val="en-US"/>
        </w:rPr>
        <w:t xml:space="preserve">handed to the Police, like what has happened in the present case. </w:t>
      </w:r>
    </w:p>
    <w:p w:rsidR="00DD72FB" w:rsidRDefault="004311AC" w:rsidP="00467F79">
      <w:pPr>
        <w:pStyle w:val="Final"/>
        <w:rPr>
          <w:lang w:val="en-US"/>
        </w:rPr>
      </w:pPr>
      <w:r>
        <w:rPr>
          <w:lang w:val="en-US"/>
        </w:rPr>
        <w:lastRenderedPageBreak/>
        <w:t>In the present case, having</w:t>
      </w:r>
      <w:r w:rsidR="00FE1159">
        <w:rPr>
          <w:lang w:val="en-US"/>
        </w:rPr>
        <w:t xml:space="preserve"> taken into account</w:t>
      </w:r>
      <w:r>
        <w:rPr>
          <w:lang w:val="en-US"/>
        </w:rPr>
        <w:t xml:space="preserve"> the affirmations of the 3</w:t>
      </w:r>
      <w:r w:rsidRPr="00BC695A">
        <w:rPr>
          <w:vertAlign w:val="superscript"/>
          <w:lang w:val="en-US"/>
        </w:rPr>
        <w:t>rd</w:t>
      </w:r>
      <w:r>
        <w:rPr>
          <w:lang w:val="en-US"/>
        </w:rPr>
        <w:t xml:space="preserve"> Applicant</w:t>
      </w:r>
      <w:r>
        <w:rPr>
          <w:rStyle w:val="FootnoteReference"/>
          <w:lang w:val="en-US"/>
        </w:rPr>
        <w:footnoteReference w:id="32"/>
      </w:r>
      <w:r>
        <w:rPr>
          <w:lang w:val="en-US"/>
        </w:rPr>
        <w:t xml:space="preserve">, </w:t>
      </w:r>
      <w:r w:rsidR="00DD72FB">
        <w:rPr>
          <w:lang w:val="en-US"/>
        </w:rPr>
        <w:t xml:space="preserve">I come to the conclusion that the present application for redaction has no merits.  My reasons are as follows. </w:t>
      </w:r>
    </w:p>
    <w:p w:rsidR="00E501A2" w:rsidRPr="00B426FE" w:rsidRDefault="00E501A2" w:rsidP="00467F79">
      <w:pPr>
        <w:pStyle w:val="Final"/>
        <w:rPr>
          <w:lang w:val="en-US"/>
        </w:rPr>
      </w:pPr>
      <w:r>
        <w:rPr>
          <w:lang w:val="en-US"/>
        </w:rPr>
        <w:t>The first thing to note is that t</w:t>
      </w:r>
      <w:r w:rsidRPr="003843CA">
        <w:rPr>
          <w:lang w:val="en-US"/>
        </w:rPr>
        <w:t>he fact that the Applicants might breach their</w:t>
      </w:r>
      <w:r w:rsidRPr="003843CA">
        <w:rPr>
          <w:rFonts w:hint="eastAsia"/>
          <w:lang w:val="en-US"/>
        </w:rPr>
        <w:t xml:space="preserve"> </w:t>
      </w:r>
      <w:r w:rsidRPr="003843CA">
        <w:rPr>
          <w:lang w:val="en-US"/>
        </w:rPr>
        <w:t>“Assurance” of confidentiality is in itself not sufficient to excuse them from compl</w:t>
      </w:r>
      <w:r>
        <w:rPr>
          <w:lang w:val="en-US"/>
        </w:rPr>
        <w:t>iance</w:t>
      </w:r>
      <w:r w:rsidRPr="003843CA">
        <w:rPr>
          <w:lang w:val="en-US"/>
        </w:rPr>
        <w:t>:  s3(11)</w:t>
      </w:r>
      <w:r w:rsidR="0065674D">
        <w:rPr>
          <w:lang w:val="en-US"/>
        </w:rPr>
        <w:t>(b)</w:t>
      </w:r>
      <w:r>
        <w:rPr>
          <w:rStyle w:val="FootnoteReference"/>
          <w:lang w:val="en-US"/>
        </w:rPr>
        <w:footnoteReference w:id="33"/>
      </w:r>
      <w:r w:rsidRPr="003843CA">
        <w:rPr>
          <w:lang w:val="en-US"/>
        </w:rPr>
        <w:t xml:space="preserve">, </w:t>
      </w:r>
      <w:proofErr w:type="spellStart"/>
      <w:r w:rsidRPr="003843CA">
        <w:rPr>
          <w:lang w:val="en-US"/>
        </w:rPr>
        <w:t>Sch</w:t>
      </w:r>
      <w:proofErr w:type="spellEnd"/>
      <w:r w:rsidRPr="003843CA">
        <w:rPr>
          <w:lang w:val="en-US"/>
        </w:rPr>
        <w:t xml:space="preserve"> 7.  </w:t>
      </w:r>
    </w:p>
    <w:p w:rsidR="00CB1338" w:rsidRPr="00B426FE" w:rsidRDefault="00E501A2" w:rsidP="00467F79">
      <w:pPr>
        <w:pStyle w:val="Final"/>
        <w:rPr>
          <w:lang w:val="en-US"/>
        </w:rPr>
      </w:pPr>
      <w:r>
        <w:rPr>
          <w:lang w:val="en-US"/>
        </w:rPr>
        <w:t xml:space="preserve">Secondly, with respect, </w:t>
      </w:r>
      <w:proofErr w:type="spellStart"/>
      <w:r w:rsidRPr="003843CA">
        <w:rPr>
          <w:lang w:val="en-US"/>
        </w:rPr>
        <w:t>Ms</w:t>
      </w:r>
      <w:proofErr w:type="spellEnd"/>
      <w:r w:rsidRPr="003843CA">
        <w:rPr>
          <w:lang w:val="en-US"/>
        </w:rPr>
        <w:t xml:space="preserve"> Cheung makes a valid poi</w:t>
      </w:r>
      <w:r>
        <w:rPr>
          <w:lang w:val="en-US"/>
        </w:rPr>
        <w:t xml:space="preserve">nt that it is self-evident that a </w:t>
      </w:r>
      <w:r w:rsidRPr="003843CA">
        <w:rPr>
          <w:lang w:val="en-US"/>
        </w:rPr>
        <w:t>PO</w:t>
      </w:r>
      <w:r>
        <w:rPr>
          <w:lang w:val="en-US"/>
        </w:rPr>
        <w:t>, by its very design,</w:t>
      </w:r>
      <w:r w:rsidRPr="003843CA">
        <w:rPr>
          <w:lang w:val="en-US"/>
        </w:rPr>
        <w:t xml:space="preserve"> </w:t>
      </w:r>
      <w:r>
        <w:rPr>
          <w:lang w:val="en-US"/>
        </w:rPr>
        <w:t xml:space="preserve">would </w:t>
      </w:r>
      <w:r w:rsidRPr="003843CA">
        <w:rPr>
          <w:lang w:val="en-US"/>
        </w:rPr>
        <w:t>involve seeking information from parties other than their o</w:t>
      </w:r>
      <w:r>
        <w:rPr>
          <w:lang w:val="en-US"/>
        </w:rPr>
        <w:t xml:space="preserve">wners and without their consent.  This </w:t>
      </w:r>
      <w:r w:rsidRPr="003843CA">
        <w:rPr>
          <w:lang w:val="en-US"/>
        </w:rPr>
        <w:t>would</w:t>
      </w:r>
      <w:r>
        <w:rPr>
          <w:lang w:val="en-US"/>
        </w:rPr>
        <w:t>,</w:t>
      </w:r>
      <w:r w:rsidRPr="003843CA">
        <w:rPr>
          <w:lang w:val="en-US"/>
        </w:rPr>
        <w:t xml:space="preserve"> in many (if not all) instances</w:t>
      </w:r>
      <w:r>
        <w:rPr>
          <w:lang w:val="en-US"/>
        </w:rPr>
        <w:t>,</w:t>
      </w:r>
      <w:r w:rsidRPr="003843CA">
        <w:rPr>
          <w:lang w:val="en-US"/>
        </w:rPr>
        <w:t xml:space="preserve"> cut across confidentiality and privacy</w:t>
      </w:r>
      <w:r>
        <w:rPr>
          <w:lang w:val="en-US"/>
        </w:rPr>
        <w:t xml:space="preserve">.  A common example is information of bank account holders and bank transactions in that the existence of banker/customer confidentiality could not exempt a bank from complying with a PO: </w:t>
      </w:r>
      <w:r w:rsidRPr="007E7FAA">
        <w:rPr>
          <w:i/>
          <w:lang w:val="en-US"/>
        </w:rPr>
        <w:t>R v Leicester Crown Court, ex parte Director of Public Prosecutions</w:t>
      </w:r>
      <w:r w:rsidRPr="002B57C0">
        <w:rPr>
          <w:vertAlign w:val="superscript"/>
          <w:lang w:val="en-US"/>
        </w:rPr>
        <w:footnoteReference w:id="34"/>
      </w:r>
      <w:r w:rsidRPr="007E7FAA">
        <w:rPr>
          <w:lang w:val="en-US"/>
        </w:rPr>
        <w:t xml:space="preserve">; and </w:t>
      </w:r>
      <w:r w:rsidRPr="007E7FAA">
        <w:rPr>
          <w:i/>
          <w:lang w:val="en-US"/>
        </w:rPr>
        <w:t xml:space="preserve">Barclays Bank </w:t>
      </w:r>
      <w:r w:rsidR="00446C11">
        <w:rPr>
          <w:i/>
          <w:lang w:val="en-US"/>
        </w:rPr>
        <w:t>p</w:t>
      </w:r>
      <w:r w:rsidRPr="007E7FAA">
        <w:rPr>
          <w:i/>
          <w:lang w:val="en-US"/>
        </w:rPr>
        <w:t>lc v Taylor</w:t>
      </w:r>
      <w:r w:rsidRPr="002B57C0">
        <w:rPr>
          <w:vertAlign w:val="superscript"/>
          <w:lang w:val="en-US"/>
        </w:rPr>
        <w:footnoteReference w:id="35"/>
      </w:r>
      <w:r w:rsidRPr="003843CA">
        <w:rPr>
          <w:lang w:val="en-US"/>
        </w:rPr>
        <w:t xml:space="preserve">.  </w:t>
      </w:r>
      <w:r>
        <w:rPr>
          <w:lang w:val="en-US"/>
        </w:rPr>
        <w:t>T</w:t>
      </w:r>
      <w:r w:rsidRPr="003843CA">
        <w:rPr>
          <w:lang w:val="en-US"/>
        </w:rPr>
        <w:t>h</w:t>
      </w:r>
      <w:r>
        <w:rPr>
          <w:lang w:val="en-US"/>
        </w:rPr>
        <w:t>is coercive feature</w:t>
      </w:r>
      <w:r w:rsidR="002B57C0">
        <w:rPr>
          <w:lang w:val="en-US"/>
        </w:rPr>
        <w:t xml:space="preserve"> is</w:t>
      </w:r>
      <w:r>
        <w:rPr>
          <w:lang w:val="en-US"/>
        </w:rPr>
        <w:t xml:space="preserve"> not unique to the IR regime and is common to </w:t>
      </w:r>
      <w:r w:rsidRPr="003843CA">
        <w:rPr>
          <w:lang w:val="en-US"/>
        </w:rPr>
        <w:t xml:space="preserve">other </w:t>
      </w:r>
      <w:r>
        <w:rPr>
          <w:lang w:val="en-US"/>
        </w:rPr>
        <w:t xml:space="preserve">similar </w:t>
      </w:r>
      <w:r w:rsidR="00CB1338">
        <w:rPr>
          <w:lang w:val="en-US"/>
        </w:rPr>
        <w:t xml:space="preserve">statutory </w:t>
      </w:r>
      <w:r w:rsidRPr="003843CA">
        <w:rPr>
          <w:lang w:val="en-US"/>
        </w:rPr>
        <w:t>regimes</w:t>
      </w:r>
      <w:r>
        <w:rPr>
          <w:lang w:val="en-US"/>
        </w:rPr>
        <w:t xml:space="preserve">: see the </w:t>
      </w:r>
      <w:r w:rsidRPr="003843CA">
        <w:rPr>
          <w:lang w:val="en-US"/>
        </w:rPr>
        <w:t xml:space="preserve">Drug Trafficking (Recovery of Proceeds) Ordinance, Cap 405, at s20(9)(b); </w:t>
      </w:r>
      <w:r>
        <w:rPr>
          <w:lang w:val="en-US"/>
        </w:rPr>
        <w:t xml:space="preserve">the </w:t>
      </w:r>
      <w:r w:rsidRPr="003843CA">
        <w:rPr>
          <w:lang w:val="en-US"/>
        </w:rPr>
        <w:t>Organized and Serious Crimes Ordinance, Cap 455, at s4(</w:t>
      </w:r>
      <w:proofErr w:type="gramStart"/>
      <w:r w:rsidRPr="003843CA">
        <w:rPr>
          <w:lang w:val="en-US"/>
        </w:rPr>
        <w:t>12)(</w:t>
      </w:r>
      <w:proofErr w:type="gramEnd"/>
      <w:r w:rsidRPr="003843CA">
        <w:rPr>
          <w:lang w:val="en-US"/>
        </w:rPr>
        <w:t xml:space="preserve">b); and </w:t>
      </w:r>
      <w:r>
        <w:rPr>
          <w:lang w:val="en-US"/>
        </w:rPr>
        <w:t xml:space="preserve">the </w:t>
      </w:r>
      <w:r w:rsidRPr="003843CA">
        <w:rPr>
          <w:lang w:val="en-US"/>
        </w:rPr>
        <w:t>Prevention of Bribery Ordinance, Cap 201, at s14(4)</w:t>
      </w:r>
      <w:r w:rsidR="00F41FDE">
        <w:rPr>
          <w:lang w:val="en-US"/>
        </w:rPr>
        <w:t xml:space="preserve">.  In case a PO might be obtained pursuant to a number of separate statutes, the investigating authority could choose whichever provision most conveniently suited its purpose, provided only that an application meets the conditions precedent </w:t>
      </w:r>
      <w:r w:rsidR="00F41FDE">
        <w:rPr>
          <w:lang w:val="en-US"/>
        </w:rPr>
        <w:lastRenderedPageBreak/>
        <w:t>prescribed by that statute</w:t>
      </w:r>
      <w:r w:rsidR="003753F4">
        <w:rPr>
          <w:lang w:val="en-US"/>
        </w:rPr>
        <w:t xml:space="preserve">: </w:t>
      </w:r>
      <w:r w:rsidR="003753F4" w:rsidRPr="00BC695A">
        <w:rPr>
          <w:i/>
          <w:lang w:val="en-US"/>
        </w:rPr>
        <w:t xml:space="preserve">Philip KH Wong, Kennedy YH Wong &amp; Co v Commissioner of </w:t>
      </w:r>
      <w:r w:rsidR="00446C11">
        <w:rPr>
          <w:i/>
          <w:lang w:val="en-US"/>
        </w:rPr>
        <w:t xml:space="preserve">the </w:t>
      </w:r>
      <w:r w:rsidR="003753F4" w:rsidRPr="00BC695A">
        <w:rPr>
          <w:i/>
          <w:lang w:val="en-US"/>
        </w:rPr>
        <w:t>Independent Commission Against Corruption</w:t>
      </w:r>
      <w:r w:rsidR="003753F4">
        <w:rPr>
          <w:rStyle w:val="FootnoteReference"/>
          <w:i/>
          <w:lang w:val="en-US"/>
        </w:rPr>
        <w:footnoteReference w:id="36"/>
      </w:r>
      <w:r w:rsidR="003753F4">
        <w:rPr>
          <w:lang w:val="en-US"/>
        </w:rPr>
        <w:t>.</w:t>
      </w:r>
    </w:p>
    <w:p w:rsidR="00CB1338" w:rsidRPr="00B426FE" w:rsidRDefault="00D9779B" w:rsidP="00467F79">
      <w:pPr>
        <w:pStyle w:val="Final"/>
        <w:rPr>
          <w:lang w:val="en-HK"/>
        </w:rPr>
      </w:pPr>
      <w:r>
        <w:rPr>
          <w:lang w:val="en-HK"/>
        </w:rPr>
        <w:t xml:space="preserve">Thirdly, </w:t>
      </w:r>
      <w:r w:rsidR="000B1453">
        <w:rPr>
          <w:lang w:val="en-HK"/>
        </w:rPr>
        <w:t>as pointed out by Ms</w:t>
      </w:r>
      <w:r w:rsidR="00AC4016">
        <w:rPr>
          <w:lang w:val="en-HK"/>
        </w:rPr>
        <w:t> </w:t>
      </w:r>
      <w:r w:rsidR="000B1453">
        <w:rPr>
          <w:lang w:val="en-HK"/>
        </w:rPr>
        <w:t>Cheung,</w:t>
      </w:r>
      <w:r w:rsidR="00B44AB1" w:rsidRPr="00B44AB1">
        <w:t xml:space="preserve"> </w:t>
      </w:r>
      <w:r w:rsidR="00B44AB1" w:rsidRPr="00B44AB1">
        <w:rPr>
          <w:lang w:val="en-HK"/>
        </w:rPr>
        <w:t xml:space="preserve">it has long been recognized that </w:t>
      </w:r>
      <w:r w:rsidR="00B44AB1">
        <w:rPr>
          <w:lang w:val="en-HK"/>
        </w:rPr>
        <w:t xml:space="preserve">the equitable </w:t>
      </w:r>
      <w:r w:rsidR="00B44AB1" w:rsidRPr="00B44AB1">
        <w:rPr>
          <w:lang w:val="en-HK"/>
        </w:rPr>
        <w:t xml:space="preserve">duty of confidence does not extend so as to bar the disclosure to investigatory/ regulatory authorities of matters that is the province of those authorities to investigate: </w:t>
      </w:r>
      <w:r w:rsidR="00B44AB1" w:rsidRPr="00B44AB1">
        <w:rPr>
          <w:i/>
          <w:lang w:val="en-HK"/>
        </w:rPr>
        <w:t>Re a company's application</w:t>
      </w:r>
      <w:r w:rsidR="00B44AB1">
        <w:rPr>
          <w:rStyle w:val="FootnoteReference"/>
          <w:i/>
          <w:lang w:val="en-HK"/>
        </w:rPr>
        <w:footnoteReference w:id="37"/>
      </w:r>
      <w:r w:rsidR="00B44AB1">
        <w:rPr>
          <w:lang w:val="en-HK"/>
        </w:rPr>
        <w:t>.  As regards the Personal Data (Privacy) Ordinance, Cap 486, c</w:t>
      </w:r>
      <w:r w:rsidR="00B44AB1" w:rsidRPr="00B44AB1">
        <w:rPr>
          <w:lang w:val="en-HK"/>
        </w:rPr>
        <w:t>ompliance with DPP 3 is exempted where</w:t>
      </w:r>
      <w:r w:rsidR="00B44AB1">
        <w:rPr>
          <w:lang w:val="en-HK"/>
        </w:rPr>
        <w:t xml:space="preserve"> the</w:t>
      </w:r>
      <w:r w:rsidR="00B44AB1" w:rsidRPr="00B44AB1">
        <w:rPr>
          <w:lang w:val="en-HK"/>
        </w:rPr>
        <w:t xml:space="preserve"> use of the personal data is for the prevention and detection of crime</w:t>
      </w:r>
      <w:r w:rsidR="00B44AB1">
        <w:rPr>
          <w:rStyle w:val="FootnoteReference"/>
          <w:lang w:val="en-HK"/>
        </w:rPr>
        <w:footnoteReference w:id="38"/>
      </w:r>
      <w:r w:rsidR="00B44AB1" w:rsidRPr="00B44AB1">
        <w:rPr>
          <w:lang w:val="en-HK"/>
        </w:rPr>
        <w:t xml:space="preserve"> or where the use is by an order of a court</w:t>
      </w:r>
      <w:r w:rsidR="00B44AB1">
        <w:rPr>
          <w:rStyle w:val="FootnoteReference"/>
          <w:lang w:val="en-HK"/>
        </w:rPr>
        <w:footnoteReference w:id="39"/>
      </w:r>
      <w:r w:rsidR="00B44AB1" w:rsidRPr="00B44AB1">
        <w:rPr>
          <w:lang w:val="en-HK"/>
        </w:rPr>
        <w:t>.</w:t>
      </w:r>
    </w:p>
    <w:p w:rsidR="00CB1338" w:rsidRPr="00B426FE" w:rsidRDefault="00B44AB1" w:rsidP="00467F79">
      <w:pPr>
        <w:pStyle w:val="Final"/>
        <w:rPr>
          <w:lang w:val="en-US"/>
        </w:rPr>
      </w:pPr>
      <w:r>
        <w:rPr>
          <w:lang w:val="en-HK"/>
        </w:rPr>
        <w:t xml:space="preserve">Moreover, </w:t>
      </w:r>
      <w:r w:rsidR="00E501A2" w:rsidRPr="00E501A2">
        <w:rPr>
          <w:lang w:val="en-HK"/>
        </w:rPr>
        <w:t>there has already been a wealth of local case authorities justifying POs and other intrusive</w:t>
      </w:r>
      <w:r w:rsidR="00631134">
        <w:rPr>
          <w:lang w:val="en-HK"/>
        </w:rPr>
        <w:t>ly</w:t>
      </w:r>
      <w:r w:rsidR="00E501A2" w:rsidRPr="00E501A2">
        <w:rPr>
          <w:lang w:val="en-HK"/>
        </w:rPr>
        <w:t xml:space="preserve"> coercive disclosure regimes as “remedies in the armamentarium of the law”.  </w:t>
      </w:r>
      <w:r>
        <w:rPr>
          <w:lang w:val="en-HK"/>
        </w:rPr>
        <w:t xml:space="preserve">The courts have </w:t>
      </w:r>
      <w:r w:rsidR="00E501A2" w:rsidRPr="00E501A2">
        <w:rPr>
          <w:lang w:val="en-HK"/>
        </w:rPr>
        <w:t xml:space="preserve">consistently held that the public interests in having serious crimes (such as corruption) detected and prosecuted outweigh a suspect’s right to privacy: </w:t>
      </w:r>
      <w:r w:rsidR="00E501A2" w:rsidRPr="00E501A2">
        <w:rPr>
          <w:i/>
          <w:lang w:val="en-HK"/>
        </w:rPr>
        <w:t>P v Commissioner of the ICAC</w:t>
      </w:r>
      <w:r w:rsidR="00E501A2" w:rsidRPr="00631134">
        <w:rPr>
          <w:vertAlign w:val="superscript"/>
          <w:lang w:val="en-HK"/>
        </w:rPr>
        <w:footnoteReference w:id="40"/>
      </w:r>
      <w:r w:rsidR="00E501A2" w:rsidRPr="00E501A2">
        <w:rPr>
          <w:lang w:val="en-HK"/>
        </w:rPr>
        <w:t xml:space="preserve">.  See also </w:t>
      </w:r>
      <w:r w:rsidR="00E501A2" w:rsidRPr="00E501A2">
        <w:rPr>
          <w:i/>
          <w:lang w:val="en-HK"/>
        </w:rPr>
        <w:t>HKSAR v Wong Kwok Hung</w:t>
      </w:r>
      <w:r w:rsidR="00E501A2" w:rsidRPr="00E501A2">
        <w:rPr>
          <w:vertAlign w:val="superscript"/>
          <w:lang w:val="en-HK"/>
        </w:rPr>
        <w:footnoteReference w:id="41"/>
      </w:r>
      <w:r w:rsidR="00E501A2" w:rsidRPr="00E501A2">
        <w:rPr>
          <w:lang w:val="en-HK"/>
        </w:rPr>
        <w:t xml:space="preserve">; and </w:t>
      </w:r>
      <w:r w:rsidR="00E501A2" w:rsidRPr="00E501A2">
        <w:rPr>
          <w:i/>
          <w:lang w:val="en-HK"/>
        </w:rPr>
        <w:t xml:space="preserve">HKSAR v Chan </w:t>
      </w:r>
      <w:proofErr w:type="spellStart"/>
      <w:r w:rsidR="00E501A2" w:rsidRPr="00E501A2">
        <w:rPr>
          <w:i/>
          <w:lang w:val="en-HK"/>
        </w:rPr>
        <w:t>Kau</w:t>
      </w:r>
      <w:proofErr w:type="spellEnd"/>
      <w:r w:rsidR="00E501A2" w:rsidRPr="00E501A2">
        <w:rPr>
          <w:i/>
          <w:lang w:val="en-HK"/>
        </w:rPr>
        <w:t xml:space="preserve"> Tai</w:t>
      </w:r>
      <w:r w:rsidR="00E501A2" w:rsidRPr="00E501A2">
        <w:rPr>
          <w:vertAlign w:val="superscript"/>
          <w:lang w:val="en-HK"/>
        </w:rPr>
        <w:footnoteReference w:id="42"/>
      </w:r>
      <w:r w:rsidR="00E501A2" w:rsidRPr="00E501A2">
        <w:rPr>
          <w:lang w:val="en-HK"/>
        </w:rPr>
        <w:t xml:space="preserve">.  These case authorities must apply, </w:t>
      </w:r>
      <w:r w:rsidR="00E501A2" w:rsidRPr="00E501A2">
        <w:rPr>
          <w:i/>
          <w:lang w:val="en-HK"/>
        </w:rPr>
        <w:t>a</w:t>
      </w:r>
      <w:r w:rsidR="00AC4016">
        <w:rPr>
          <w:i/>
          <w:lang w:val="en-HK"/>
        </w:rPr>
        <w:t> </w:t>
      </w:r>
      <w:r w:rsidR="00E501A2" w:rsidRPr="00E501A2">
        <w:rPr>
          <w:i/>
          <w:lang w:val="en-HK"/>
        </w:rPr>
        <w:t>fortiori</w:t>
      </w:r>
      <w:r w:rsidR="00E501A2" w:rsidRPr="00E501A2">
        <w:rPr>
          <w:lang w:val="en-HK"/>
        </w:rPr>
        <w:t>, to conducts endangering national security which strike at the foundation of the “One Country, Two Systems” upon which the very exi</w:t>
      </w:r>
      <w:r w:rsidR="00D9779B">
        <w:rPr>
          <w:lang w:val="en-HK"/>
        </w:rPr>
        <w:t>s</w:t>
      </w:r>
      <w:r w:rsidR="00E501A2" w:rsidRPr="00E501A2">
        <w:rPr>
          <w:lang w:val="en-HK"/>
        </w:rPr>
        <w:t xml:space="preserve">tence and stability of Hong Kong as a Special Administrative Region depends: </w:t>
      </w:r>
      <w:r w:rsidR="00E501A2" w:rsidRPr="00E501A2">
        <w:rPr>
          <w:i/>
          <w:lang w:val="en-HK"/>
        </w:rPr>
        <w:t xml:space="preserve">Next Digital Limited &amp; </w:t>
      </w:r>
      <w:proofErr w:type="spellStart"/>
      <w:r w:rsidR="00E501A2" w:rsidRPr="00E501A2">
        <w:rPr>
          <w:i/>
          <w:lang w:val="en-HK"/>
        </w:rPr>
        <w:t>Ors</w:t>
      </w:r>
      <w:proofErr w:type="spellEnd"/>
      <w:r w:rsidR="00E501A2" w:rsidRPr="00E501A2">
        <w:rPr>
          <w:i/>
          <w:lang w:val="en-HK"/>
        </w:rPr>
        <w:t xml:space="preserve"> v Commissioner of Police</w:t>
      </w:r>
      <w:r w:rsidR="00E501A2" w:rsidRPr="00E501A2">
        <w:rPr>
          <w:vertAlign w:val="superscript"/>
          <w:lang w:val="en-HK"/>
        </w:rPr>
        <w:footnoteReference w:id="43"/>
      </w:r>
      <w:r w:rsidR="00E501A2" w:rsidRPr="00E501A2">
        <w:rPr>
          <w:lang w:val="en-HK"/>
        </w:rPr>
        <w:t>.</w:t>
      </w:r>
    </w:p>
    <w:p w:rsidR="0067307C" w:rsidRPr="00B426FE" w:rsidRDefault="00657841" w:rsidP="00467F79">
      <w:pPr>
        <w:pStyle w:val="Final"/>
        <w:rPr>
          <w:lang w:val="en-US"/>
        </w:rPr>
      </w:pPr>
      <w:r>
        <w:rPr>
          <w:lang w:val="en-US"/>
        </w:rPr>
        <w:lastRenderedPageBreak/>
        <w:t xml:space="preserve">Fourthly, it </w:t>
      </w:r>
      <w:r w:rsidR="00F41FDE">
        <w:rPr>
          <w:lang w:val="en-US"/>
        </w:rPr>
        <w:t xml:space="preserve">would </w:t>
      </w:r>
      <w:r>
        <w:rPr>
          <w:lang w:val="en-US"/>
        </w:rPr>
        <w:t xml:space="preserve">not </w:t>
      </w:r>
      <w:r w:rsidR="00BC695A">
        <w:rPr>
          <w:lang w:val="en-US"/>
        </w:rPr>
        <w:t xml:space="preserve">be </w:t>
      </w:r>
      <w:r>
        <w:rPr>
          <w:lang w:val="en-US"/>
        </w:rPr>
        <w:t xml:space="preserve">possible to re-conduct the public interest balance without </w:t>
      </w:r>
      <w:r w:rsidR="00E53985">
        <w:rPr>
          <w:lang w:val="en-US"/>
        </w:rPr>
        <w:t xml:space="preserve">having </w:t>
      </w:r>
      <w:r>
        <w:rPr>
          <w:lang w:val="en-US"/>
        </w:rPr>
        <w:t xml:space="preserve">regard to </w:t>
      </w:r>
      <w:r w:rsidRPr="00657841">
        <w:rPr>
          <w:lang w:val="en-US"/>
        </w:rPr>
        <w:t xml:space="preserve">the </w:t>
      </w:r>
      <w:r>
        <w:rPr>
          <w:lang w:val="en-US"/>
        </w:rPr>
        <w:t>purpose of the investigation.  As aforesaid, the purpose of the</w:t>
      </w:r>
      <w:r w:rsidR="00F41FDE">
        <w:rPr>
          <w:lang w:val="en-US"/>
        </w:rPr>
        <w:t xml:space="preserve"> present</w:t>
      </w:r>
      <w:r>
        <w:rPr>
          <w:lang w:val="en-US"/>
        </w:rPr>
        <w:t xml:space="preserve"> investigation is to look at the fund flow and </w:t>
      </w:r>
      <w:r w:rsidR="0067307C">
        <w:rPr>
          <w:lang w:val="en-US"/>
        </w:rPr>
        <w:t>to see if the payments were genuine and for legitimate purposes</w:t>
      </w:r>
      <w:r>
        <w:rPr>
          <w:lang w:val="en-US"/>
        </w:rPr>
        <w:t xml:space="preserve">.  </w:t>
      </w:r>
      <w:r w:rsidR="00243509">
        <w:rPr>
          <w:lang w:val="en-US"/>
        </w:rPr>
        <w:t xml:space="preserve">In this light, the </w:t>
      </w:r>
      <w:r w:rsidR="0067307C">
        <w:rPr>
          <w:lang w:val="en-US"/>
        </w:rPr>
        <w:t xml:space="preserve">Personal </w:t>
      </w:r>
      <w:r w:rsidR="00631134" w:rsidRPr="000D63ED">
        <w:rPr>
          <w:rFonts w:eastAsia="PMingLiU"/>
          <w:lang w:val="en-US" w:eastAsia="zh-HK"/>
        </w:rPr>
        <w:t>Data</w:t>
      </w:r>
      <w:r w:rsidR="0067307C">
        <w:rPr>
          <w:lang w:val="en-US"/>
        </w:rPr>
        <w:t xml:space="preserve"> contained in the </w:t>
      </w:r>
      <w:r w:rsidR="00243509">
        <w:rPr>
          <w:lang w:val="en-US"/>
        </w:rPr>
        <w:t xml:space="preserve">Disputed Documents </w:t>
      </w:r>
      <w:r w:rsidR="0067307C">
        <w:rPr>
          <w:lang w:val="en-US"/>
        </w:rPr>
        <w:t>a</w:t>
      </w:r>
      <w:r w:rsidR="00243509">
        <w:rPr>
          <w:lang w:val="en-US"/>
        </w:rPr>
        <w:t xml:space="preserve">re plainly relevant.  </w:t>
      </w:r>
      <w:r w:rsidR="0067307C">
        <w:rPr>
          <w:lang w:val="en-US"/>
        </w:rPr>
        <w:t>Besides</w:t>
      </w:r>
      <w:r w:rsidR="00243509">
        <w:rPr>
          <w:lang w:val="en-US"/>
        </w:rPr>
        <w:t>, the proposed redaction</w:t>
      </w:r>
      <w:r w:rsidR="0067307C">
        <w:rPr>
          <w:rStyle w:val="FootnoteReference"/>
          <w:lang w:val="en-US"/>
        </w:rPr>
        <w:footnoteReference w:id="44"/>
      </w:r>
      <w:r w:rsidR="00243509">
        <w:rPr>
          <w:lang w:val="en-US"/>
        </w:rPr>
        <w:t xml:space="preserve"> would not serve any meaningful purpose, as the Police is likely to be able to obtain the full personal particulars of the pe</w:t>
      </w:r>
      <w:r w:rsidR="0067307C">
        <w:rPr>
          <w:lang w:val="en-US"/>
        </w:rPr>
        <w:t>rsons</w:t>
      </w:r>
      <w:r w:rsidR="00243509">
        <w:rPr>
          <w:lang w:val="en-US"/>
        </w:rPr>
        <w:t xml:space="preserve"> concerned from other sources, </w:t>
      </w:r>
      <w:proofErr w:type="spellStart"/>
      <w:r w:rsidR="00243509">
        <w:rPr>
          <w:lang w:val="en-US"/>
        </w:rPr>
        <w:t>eg</w:t>
      </w:r>
      <w:proofErr w:type="spellEnd"/>
      <w:r w:rsidR="00243509">
        <w:rPr>
          <w:lang w:val="en-US"/>
        </w:rPr>
        <w:t>, the bank or the hospital.</w:t>
      </w:r>
      <w:r w:rsidR="00616276">
        <w:rPr>
          <w:lang w:val="en-US"/>
        </w:rPr>
        <w:t xml:space="preserve">  </w:t>
      </w:r>
    </w:p>
    <w:p w:rsidR="00B44AB1" w:rsidRPr="000B328A" w:rsidRDefault="0067307C" w:rsidP="000B328A">
      <w:pPr>
        <w:pStyle w:val="Final"/>
        <w:rPr>
          <w:lang w:val="en-US"/>
        </w:rPr>
      </w:pPr>
      <w:r>
        <w:rPr>
          <w:lang w:val="en-US"/>
        </w:rPr>
        <w:t>Fifthly, there are</w:t>
      </w:r>
      <w:r w:rsidR="008A485A">
        <w:rPr>
          <w:lang w:val="en-US"/>
        </w:rPr>
        <w:t xml:space="preserve"> no basis to worry</w:t>
      </w:r>
      <w:r w:rsidR="00F82C21">
        <w:rPr>
          <w:lang w:val="en-US"/>
        </w:rPr>
        <w:t xml:space="preserve"> </w:t>
      </w:r>
      <w:r>
        <w:rPr>
          <w:lang w:val="en-US"/>
        </w:rPr>
        <w:t>that the Personal Data, once produced</w:t>
      </w:r>
      <w:r w:rsidR="008A485A">
        <w:rPr>
          <w:lang w:val="en-US"/>
        </w:rPr>
        <w:t xml:space="preserve"> to the Police</w:t>
      </w:r>
      <w:r>
        <w:rPr>
          <w:lang w:val="en-US"/>
        </w:rPr>
        <w:t xml:space="preserve">, would be </w:t>
      </w:r>
      <w:r w:rsidR="00F82C21">
        <w:rPr>
          <w:lang w:val="en-US"/>
        </w:rPr>
        <w:t xml:space="preserve">made </w:t>
      </w:r>
      <w:r>
        <w:rPr>
          <w:lang w:val="en-US"/>
        </w:rPr>
        <w:t xml:space="preserve">available to the public.  </w:t>
      </w:r>
      <w:r w:rsidR="00F82C21">
        <w:rPr>
          <w:lang w:val="en-US"/>
        </w:rPr>
        <w:t>To the contrary, s4</w:t>
      </w:r>
      <w:r w:rsidR="00F82C21">
        <w:rPr>
          <w:rStyle w:val="FootnoteReference"/>
          <w:lang w:val="en-US"/>
        </w:rPr>
        <w:footnoteReference w:id="45"/>
      </w:r>
      <w:r w:rsidR="000A0CB5">
        <w:rPr>
          <w:lang w:val="en-US"/>
        </w:rPr>
        <w:t>,</w:t>
      </w:r>
      <w:r w:rsidR="00F82C21">
        <w:rPr>
          <w:lang w:val="en-US"/>
        </w:rPr>
        <w:t xml:space="preserve"> </w:t>
      </w:r>
      <w:proofErr w:type="spellStart"/>
      <w:r w:rsidR="00F82C21">
        <w:rPr>
          <w:lang w:val="en-US"/>
        </w:rPr>
        <w:t>Sch</w:t>
      </w:r>
      <w:proofErr w:type="spellEnd"/>
      <w:r w:rsidR="00F82C21">
        <w:rPr>
          <w:lang w:val="en-US"/>
        </w:rPr>
        <w:t xml:space="preserve"> 7 contains provisions which restrict</w:t>
      </w:r>
      <w:r w:rsidR="008A485A">
        <w:rPr>
          <w:lang w:val="en-US"/>
        </w:rPr>
        <w:t xml:space="preserve"> di</w:t>
      </w:r>
      <w:r w:rsidR="00F82C21">
        <w:rPr>
          <w:lang w:val="en-US"/>
        </w:rPr>
        <w:t>ss</w:t>
      </w:r>
      <w:r w:rsidR="008A485A">
        <w:rPr>
          <w:lang w:val="en-US"/>
        </w:rPr>
        <w:t>e</w:t>
      </w:r>
      <w:r w:rsidR="00F82C21">
        <w:rPr>
          <w:lang w:val="en-US"/>
        </w:rPr>
        <w:t xml:space="preserve">mination of information obtained </w:t>
      </w:r>
      <w:r w:rsidR="0065674D">
        <w:rPr>
          <w:lang w:val="en-US"/>
        </w:rPr>
        <w:t xml:space="preserve">by the Police under </w:t>
      </w:r>
      <w:r w:rsidR="00F82C21">
        <w:rPr>
          <w:lang w:val="en-US"/>
        </w:rPr>
        <w:t xml:space="preserve">s2 and s3.  </w:t>
      </w:r>
      <w:r w:rsidR="00C26893">
        <w:rPr>
          <w:lang w:val="en-US"/>
        </w:rPr>
        <w:t xml:space="preserve">The case of </w:t>
      </w:r>
      <w:r w:rsidRPr="00F82C21">
        <w:rPr>
          <w:i/>
          <w:lang w:val="en-US"/>
        </w:rPr>
        <w:t>Junior Police Officers’ Asso</w:t>
      </w:r>
      <w:r w:rsidR="00F82C21" w:rsidRPr="00F82C21">
        <w:rPr>
          <w:i/>
          <w:lang w:val="en-US"/>
        </w:rPr>
        <w:t>c</w:t>
      </w:r>
      <w:r w:rsidRPr="00F82C21">
        <w:rPr>
          <w:i/>
          <w:lang w:val="en-US"/>
        </w:rPr>
        <w:t xml:space="preserve">iation of Hong Kong </w:t>
      </w:r>
      <w:r w:rsidR="00F82C21" w:rsidRPr="00F82C21">
        <w:rPr>
          <w:i/>
          <w:lang w:val="en-US"/>
        </w:rPr>
        <w:t>Police F</w:t>
      </w:r>
      <w:r w:rsidRPr="00F82C21">
        <w:rPr>
          <w:i/>
          <w:lang w:val="en-US"/>
        </w:rPr>
        <w:t>orce</w:t>
      </w:r>
      <w:r w:rsidR="00446C11">
        <w:rPr>
          <w:i/>
          <w:lang w:val="en-US"/>
        </w:rPr>
        <w:t xml:space="preserve"> &amp; Anor</w:t>
      </w:r>
      <w:r w:rsidRPr="00F82C21">
        <w:rPr>
          <w:i/>
          <w:lang w:val="en-US"/>
        </w:rPr>
        <w:t xml:space="preserve"> v Electoral Affairs Commission (No 2)</w:t>
      </w:r>
      <w:r w:rsidR="00F82C21" w:rsidRPr="00F82C21">
        <w:rPr>
          <w:rStyle w:val="FootnoteReference"/>
          <w:lang w:val="en-US"/>
        </w:rPr>
        <w:footnoteReference w:id="46"/>
      </w:r>
      <w:r w:rsidR="00C26893">
        <w:rPr>
          <w:i/>
          <w:lang w:val="en-US"/>
        </w:rPr>
        <w:t>,</w:t>
      </w:r>
      <w:r w:rsidR="00C26893">
        <w:rPr>
          <w:lang w:val="en-US"/>
        </w:rPr>
        <w:t xml:space="preserve"> which is about a systemic challenge to a legislative scheme </w:t>
      </w:r>
      <w:r w:rsidR="008A485A">
        <w:rPr>
          <w:lang w:val="en-US"/>
        </w:rPr>
        <w:t>whe</w:t>
      </w:r>
      <w:r w:rsidR="00F41FDE">
        <w:rPr>
          <w:lang w:val="en-US"/>
        </w:rPr>
        <w:t>re</w:t>
      </w:r>
      <w:r w:rsidR="008A485A">
        <w:rPr>
          <w:lang w:val="en-US"/>
        </w:rPr>
        <w:t xml:space="preserve"> there was no discretion </w:t>
      </w:r>
      <w:r w:rsidR="00F41FDE">
        <w:rPr>
          <w:lang w:val="en-US"/>
        </w:rPr>
        <w:t xml:space="preserve">at all not to make the personal information in question open to public inspection </w:t>
      </w:r>
      <w:r w:rsidR="00C26893">
        <w:rPr>
          <w:lang w:val="en-US"/>
        </w:rPr>
        <w:t xml:space="preserve">and </w:t>
      </w:r>
      <w:r w:rsidR="00C26893">
        <w:rPr>
          <w:lang w:val="en-US"/>
        </w:rPr>
        <w:lastRenderedPageBreak/>
        <w:t>is based on a factual setting</w:t>
      </w:r>
      <w:r w:rsidR="008A485A">
        <w:rPr>
          <w:lang w:val="en-US"/>
        </w:rPr>
        <w:t xml:space="preserve"> not relating to </w:t>
      </w:r>
      <w:r w:rsidR="00F41FDE">
        <w:rPr>
          <w:lang w:val="en-US"/>
        </w:rPr>
        <w:t xml:space="preserve">an </w:t>
      </w:r>
      <w:r w:rsidR="008A485A">
        <w:rPr>
          <w:lang w:val="en-US"/>
        </w:rPr>
        <w:t>investigation</w:t>
      </w:r>
      <w:r w:rsidR="00C26893">
        <w:rPr>
          <w:lang w:val="en-US"/>
        </w:rPr>
        <w:t xml:space="preserve">, is of no assistance to the Applicants. </w:t>
      </w:r>
      <w:r w:rsidR="00616276">
        <w:rPr>
          <w:lang w:val="en-US"/>
        </w:rPr>
        <w:t xml:space="preserve"> </w:t>
      </w:r>
    </w:p>
    <w:p w:rsidR="00CB1338" w:rsidRPr="00B426FE" w:rsidRDefault="00CB1338" w:rsidP="00467F79">
      <w:pPr>
        <w:pStyle w:val="Final"/>
        <w:rPr>
          <w:lang w:val="en-US"/>
        </w:rPr>
      </w:pPr>
      <w:r>
        <w:rPr>
          <w:lang w:val="en-US"/>
        </w:rPr>
        <w:t xml:space="preserve">Lastly, apart from the “Assurance”, the Applicants have not shown </w:t>
      </w:r>
      <w:r w:rsidR="00E877A3">
        <w:rPr>
          <w:lang w:val="en-US"/>
        </w:rPr>
        <w:t xml:space="preserve">that there would be any difficulties for them to comply with the </w:t>
      </w:r>
      <w:proofErr w:type="spellStart"/>
      <w:r w:rsidR="00E877A3">
        <w:rPr>
          <w:lang w:val="en-US"/>
        </w:rPr>
        <w:t>POs.</w:t>
      </w:r>
      <w:proofErr w:type="spellEnd"/>
      <w:r w:rsidR="00E877A3">
        <w:rPr>
          <w:lang w:val="en-US"/>
        </w:rPr>
        <w:t xml:space="preserve">  In fact, as aforesaid</w:t>
      </w:r>
      <w:r w:rsidR="000A0CB5">
        <w:rPr>
          <w:lang w:val="en-US"/>
        </w:rPr>
        <w:t>,</w:t>
      </w:r>
      <w:r w:rsidR="00E877A3">
        <w:rPr>
          <w:lang w:val="en-US"/>
        </w:rPr>
        <w:t xml:space="preserve"> the </w:t>
      </w:r>
      <w:proofErr w:type="spellStart"/>
      <w:r w:rsidR="00E877A3">
        <w:rPr>
          <w:lang w:val="en-US"/>
        </w:rPr>
        <w:t>unredacted</w:t>
      </w:r>
      <w:proofErr w:type="spellEnd"/>
      <w:r w:rsidR="00E877A3">
        <w:rPr>
          <w:lang w:val="en-US"/>
        </w:rPr>
        <w:t xml:space="preserve"> version of the Disputed Documents have been produced to the Police and sealed.</w:t>
      </w:r>
    </w:p>
    <w:p w:rsidR="00E877A3" w:rsidRPr="00B426FE" w:rsidRDefault="00B44AB1" w:rsidP="00467F79">
      <w:pPr>
        <w:pStyle w:val="Final"/>
        <w:rPr>
          <w:lang w:val="en-US"/>
        </w:rPr>
      </w:pPr>
      <w:r>
        <w:rPr>
          <w:lang w:val="en-US"/>
        </w:rPr>
        <w:t>Therefore, the balance</w:t>
      </w:r>
      <w:r w:rsidR="00E877A3">
        <w:rPr>
          <w:lang w:val="en-US"/>
        </w:rPr>
        <w:t xml:space="preserve"> of public interest clear</w:t>
      </w:r>
      <w:r w:rsidR="000A0CB5">
        <w:rPr>
          <w:lang w:val="en-US"/>
        </w:rPr>
        <w:t>ly</w:t>
      </w:r>
      <w:r>
        <w:rPr>
          <w:lang w:val="en-US"/>
        </w:rPr>
        <w:t xml:space="preserve"> ti</w:t>
      </w:r>
      <w:r w:rsidR="00E877A3">
        <w:rPr>
          <w:lang w:val="en-US"/>
        </w:rPr>
        <w:t>lt</w:t>
      </w:r>
      <w:r>
        <w:rPr>
          <w:lang w:val="en-US"/>
        </w:rPr>
        <w:t xml:space="preserve">s in </w:t>
      </w:r>
      <w:proofErr w:type="spellStart"/>
      <w:r>
        <w:rPr>
          <w:lang w:val="en-US"/>
        </w:rPr>
        <w:t>favour</w:t>
      </w:r>
      <w:proofErr w:type="spellEnd"/>
      <w:r>
        <w:rPr>
          <w:lang w:val="en-US"/>
        </w:rPr>
        <w:t xml:space="preserve"> of production. </w:t>
      </w:r>
    </w:p>
    <w:p w:rsidR="008A485A" w:rsidRDefault="00CB1338" w:rsidP="00B426FE">
      <w:pPr>
        <w:pStyle w:val="H-1"/>
        <w:spacing w:before="360" w:line="360" w:lineRule="auto"/>
        <w:rPr>
          <w:lang w:val="en-US"/>
        </w:rPr>
      </w:pPr>
      <w:r>
        <w:rPr>
          <w:lang w:val="en-US"/>
        </w:rPr>
        <w:t>Conclusion</w:t>
      </w:r>
    </w:p>
    <w:p w:rsidR="008A485A" w:rsidRDefault="00B44AB1" w:rsidP="00467F79">
      <w:pPr>
        <w:pStyle w:val="Final"/>
        <w:rPr>
          <w:lang w:val="en-US"/>
        </w:rPr>
      </w:pPr>
      <w:r>
        <w:rPr>
          <w:lang w:val="en-US"/>
        </w:rPr>
        <w:t xml:space="preserve">Based on all of the above, I dismiss the Variation Summons.  </w:t>
      </w:r>
      <w:r w:rsidR="000A0CB5" w:rsidRPr="000D63ED">
        <w:rPr>
          <w:rFonts w:eastAsia="PMingLiU"/>
          <w:lang w:val="en-US" w:eastAsia="zh-TW"/>
        </w:rPr>
        <w:t>As a</w:t>
      </w:r>
      <w:r w:rsidR="000A0CB5">
        <w:rPr>
          <w:rFonts w:ascii="PMingLiU" w:eastAsia="PMingLiU" w:hAnsi="PMingLiU"/>
          <w:lang w:val="en-US" w:eastAsia="zh-TW"/>
        </w:rPr>
        <w:t xml:space="preserve"> </w:t>
      </w:r>
      <w:r>
        <w:rPr>
          <w:lang w:val="en-US"/>
        </w:rPr>
        <w:t xml:space="preserve">result, it </w:t>
      </w:r>
      <w:r w:rsidR="00E877A3">
        <w:rPr>
          <w:lang w:val="en-US"/>
        </w:rPr>
        <w:t xml:space="preserve">would be </w:t>
      </w:r>
      <w:r>
        <w:rPr>
          <w:lang w:val="en-US"/>
        </w:rPr>
        <w:t>unnecessary to deal with the Time Summons</w:t>
      </w:r>
      <w:r w:rsidR="00841FD2">
        <w:rPr>
          <w:lang w:val="en-US"/>
        </w:rPr>
        <w:t xml:space="preserve"> which is also dismissed.</w:t>
      </w:r>
    </w:p>
    <w:p w:rsidR="009802CB" w:rsidRPr="00BB4958" w:rsidRDefault="009802CB" w:rsidP="00B426FE">
      <w:pPr>
        <w:pStyle w:val="H-1"/>
        <w:spacing w:before="360" w:line="360" w:lineRule="auto"/>
        <w:rPr>
          <w:i w:val="0"/>
          <w:u w:val="single"/>
        </w:rPr>
      </w:pPr>
      <w:r w:rsidRPr="00BB4958">
        <w:rPr>
          <w:i w:val="0"/>
          <w:u w:val="single"/>
        </w:rPr>
        <w:t>Costs</w:t>
      </w:r>
    </w:p>
    <w:p w:rsidR="000B28B8" w:rsidRDefault="0004220C" w:rsidP="00467F79">
      <w:pPr>
        <w:pStyle w:val="Final"/>
      </w:pPr>
      <w:r>
        <w:t xml:space="preserve">The general rule is that </w:t>
      </w:r>
      <w:r w:rsidR="00616276">
        <w:t xml:space="preserve">costs should follow the event. </w:t>
      </w:r>
      <w:r>
        <w:t xml:space="preserve"> </w:t>
      </w:r>
      <w:r w:rsidR="00E877A3">
        <w:t xml:space="preserve">I have </w:t>
      </w:r>
      <w:r w:rsidR="00566E27">
        <w:t>taken into</w:t>
      </w:r>
      <w:r w:rsidR="00101A86">
        <w:t xml:space="preserve"> account</w:t>
      </w:r>
      <w:r w:rsidR="00566E27">
        <w:t xml:space="preserve"> the fact the Applicants are not acting for their self-interest</w:t>
      </w:r>
      <w:r w:rsidR="00101A86">
        <w:t>,</w:t>
      </w:r>
      <w:r w:rsidR="00566E27">
        <w:t xml:space="preserve"> but the interest of other people </w:t>
      </w:r>
      <w:r w:rsidR="000B28B8">
        <w:t xml:space="preserve">to </w:t>
      </w:r>
      <w:r w:rsidR="00566E27">
        <w:t>whom the Applicants feel responsibl</w:t>
      </w:r>
      <w:r w:rsidR="000B28B8">
        <w:t xml:space="preserve">e.  </w:t>
      </w:r>
      <w:r w:rsidR="001231FC">
        <w:t>H</w:t>
      </w:r>
      <w:r w:rsidR="000B28B8">
        <w:t xml:space="preserve">owever, as discussed above, the Applicants’ application for variation clearly lacks merits.  </w:t>
      </w:r>
    </w:p>
    <w:p w:rsidR="000B28B8" w:rsidRDefault="000B28B8" w:rsidP="000B328A">
      <w:pPr>
        <w:pStyle w:val="Final"/>
      </w:pPr>
      <w:r>
        <w:t>H</w:t>
      </w:r>
      <w:r w:rsidR="001231FC">
        <w:t>aving regard to all the circumstances, i</w:t>
      </w:r>
      <w:r w:rsidR="009802CB">
        <w:t xml:space="preserve">n the exercise of my discretion as to costs, I make an order </w:t>
      </w:r>
      <w:r w:rsidR="009802CB" w:rsidRPr="009802CB">
        <w:rPr>
          <w:i/>
        </w:rPr>
        <w:t>nisi</w:t>
      </w:r>
      <w:r w:rsidR="009802CB">
        <w:t xml:space="preserve"> that</w:t>
      </w:r>
      <w:r>
        <w:t>: (1)</w:t>
      </w:r>
      <w:r w:rsidR="00C23522">
        <w:t> </w:t>
      </w:r>
      <w:r>
        <w:t>the Respondent shall have the costs of the Variation Summons, to be taxed if not agreed; and (2)</w:t>
      </w:r>
      <w:r w:rsidR="00C23522">
        <w:t> </w:t>
      </w:r>
      <w:r>
        <w:t xml:space="preserve">there be no order as to costs as regards the Time Summons.  </w:t>
      </w:r>
      <w:r w:rsidR="00F34295">
        <w:t xml:space="preserve"> </w:t>
      </w:r>
      <w:r w:rsidR="000B328A">
        <w:br w:type="page"/>
      </w:r>
    </w:p>
    <w:p w:rsidR="000B28B8" w:rsidRPr="00B14688" w:rsidRDefault="000B28B8" w:rsidP="00467F79">
      <w:pPr>
        <w:pStyle w:val="Final"/>
      </w:pPr>
      <w:r>
        <w:lastRenderedPageBreak/>
        <w:t xml:space="preserve">It remains for me to thank counsel for their assistance. </w:t>
      </w:r>
    </w:p>
    <w:p w:rsidR="009802CB" w:rsidRDefault="009802CB" w:rsidP="005B34E5">
      <w:pPr>
        <w:spacing w:line="360" w:lineRule="auto"/>
        <w:rPr>
          <w:szCs w:val="28"/>
        </w:rPr>
      </w:pPr>
    </w:p>
    <w:p w:rsidR="000B328A" w:rsidRDefault="000B328A" w:rsidP="005B34E5">
      <w:pPr>
        <w:spacing w:line="360" w:lineRule="auto"/>
        <w:rPr>
          <w:szCs w:val="28"/>
        </w:rPr>
      </w:pPr>
    </w:p>
    <w:p w:rsidR="000B328A" w:rsidRDefault="000B328A" w:rsidP="005B34E5">
      <w:pPr>
        <w:spacing w:line="360" w:lineRule="auto"/>
        <w:rPr>
          <w:szCs w:val="28"/>
        </w:rPr>
      </w:pPr>
    </w:p>
    <w:p w:rsidR="00DC73FD" w:rsidRPr="00DC03A7" w:rsidRDefault="00DC73FD" w:rsidP="00DC73FD">
      <w:pPr>
        <w:spacing w:after="300" w:line="360" w:lineRule="auto"/>
        <w:rPr>
          <w:szCs w:val="28"/>
        </w:rPr>
      </w:pPr>
    </w:p>
    <w:p w:rsidR="00CD5885" w:rsidRDefault="00B14688" w:rsidP="005B34E5">
      <w:pPr>
        <w:tabs>
          <w:tab w:val="left" w:pos="5760"/>
        </w:tabs>
        <w:spacing w:line="360" w:lineRule="auto"/>
        <w:rPr>
          <w:szCs w:val="28"/>
        </w:rPr>
      </w:pPr>
      <w:r>
        <w:rPr>
          <w:szCs w:val="28"/>
        </w:rPr>
        <w:tab/>
      </w:r>
      <w:r w:rsidR="00DA03AC">
        <w:rPr>
          <w:szCs w:val="28"/>
        </w:rPr>
        <w:t>(</w:t>
      </w:r>
      <w:r w:rsidR="00CD5885">
        <w:rPr>
          <w:szCs w:val="28"/>
        </w:rPr>
        <w:t>Alex Lee</w:t>
      </w:r>
      <w:r w:rsidR="00DA03AC">
        <w:rPr>
          <w:szCs w:val="28"/>
        </w:rPr>
        <w:t>)</w:t>
      </w:r>
    </w:p>
    <w:p w:rsidR="00CD5885" w:rsidRDefault="00CD5885" w:rsidP="005B34E5">
      <w:pPr>
        <w:spacing w:line="360" w:lineRule="auto"/>
        <w:rPr>
          <w:szCs w:val="28"/>
        </w:rPr>
      </w:pPr>
      <w:r>
        <w:rPr>
          <w:szCs w:val="28"/>
        </w:rPr>
        <w:tab/>
      </w:r>
      <w:r>
        <w:rPr>
          <w:szCs w:val="28"/>
        </w:rPr>
        <w:tab/>
      </w:r>
      <w:r>
        <w:rPr>
          <w:szCs w:val="28"/>
        </w:rPr>
        <w:tab/>
      </w:r>
      <w:r>
        <w:rPr>
          <w:szCs w:val="28"/>
        </w:rPr>
        <w:tab/>
      </w:r>
      <w:r>
        <w:rPr>
          <w:szCs w:val="28"/>
        </w:rPr>
        <w:tab/>
      </w:r>
      <w:r>
        <w:rPr>
          <w:szCs w:val="28"/>
        </w:rPr>
        <w:tab/>
        <w:t>Judge of the Court of First Instance</w:t>
      </w:r>
    </w:p>
    <w:p w:rsidR="00DC73FD" w:rsidRDefault="00DC73FD" w:rsidP="00DC73FD">
      <w:pPr>
        <w:spacing w:line="360" w:lineRule="auto"/>
        <w:rPr>
          <w:szCs w:val="28"/>
        </w:rPr>
      </w:pPr>
    </w:p>
    <w:p w:rsidR="00F31731" w:rsidRPr="00CD5885" w:rsidRDefault="00CD5885" w:rsidP="005B34E5">
      <w:pPr>
        <w:spacing w:line="360" w:lineRule="auto"/>
        <w:ind w:left="426" w:hanging="426"/>
        <w:rPr>
          <w:szCs w:val="28"/>
        </w:rPr>
      </w:pPr>
      <w:r>
        <w:rPr>
          <w:szCs w:val="28"/>
        </w:rPr>
        <w:t xml:space="preserve">Mr </w:t>
      </w:r>
      <w:r w:rsidR="003C4C68">
        <w:rPr>
          <w:szCs w:val="28"/>
        </w:rPr>
        <w:t>Robert Pang</w:t>
      </w:r>
      <w:r w:rsidR="00B830FA">
        <w:rPr>
          <w:szCs w:val="28"/>
        </w:rPr>
        <w:t xml:space="preserve"> SC</w:t>
      </w:r>
      <w:r w:rsidR="00661853">
        <w:rPr>
          <w:szCs w:val="28"/>
        </w:rPr>
        <w:t>,</w:t>
      </w:r>
      <w:r w:rsidR="00B830FA">
        <w:rPr>
          <w:szCs w:val="28"/>
        </w:rPr>
        <w:t xml:space="preserve"> </w:t>
      </w:r>
      <w:r w:rsidR="00E54F87">
        <w:rPr>
          <w:szCs w:val="28"/>
        </w:rPr>
        <w:t>instructed by</w:t>
      </w:r>
      <w:r>
        <w:rPr>
          <w:szCs w:val="28"/>
        </w:rPr>
        <w:t xml:space="preserve"> </w:t>
      </w:r>
      <w:proofErr w:type="spellStart"/>
      <w:r w:rsidR="003C4C68">
        <w:rPr>
          <w:szCs w:val="28"/>
        </w:rPr>
        <w:t>Ho</w:t>
      </w:r>
      <w:proofErr w:type="spellEnd"/>
      <w:r w:rsidR="003C4C68">
        <w:rPr>
          <w:szCs w:val="28"/>
        </w:rPr>
        <w:t xml:space="preserve">, </w:t>
      </w:r>
      <w:proofErr w:type="spellStart"/>
      <w:r w:rsidR="003C4C68">
        <w:rPr>
          <w:szCs w:val="28"/>
        </w:rPr>
        <w:t>Tse</w:t>
      </w:r>
      <w:proofErr w:type="spellEnd"/>
      <w:r w:rsidR="003C4C68">
        <w:rPr>
          <w:szCs w:val="28"/>
        </w:rPr>
        <w:t xml:space="preserve"> </w:t>
      </w:r>
      <w:proofErr w:type="spellStart"/>
      <w:r w:rsidR="003C4C68">
        <w:rPr>
          <w:szCs w:val="28"/>
        </w:rPr>
        <w:t>Wai</w:t>
      </w:r>
      <w:proofErr w:type="spellEnd"/>
      <w:r w:rsidR="003C4C68">
        <w:rPr>
          <w:szCs w:val="28"/>
        </w:rPr>
        <w:t xml:space="preserve"> &amp; Partners,</w:t>
      </w:r>
      <w:r w:rsidR="00FE5D25">
        <w:rPr>
          <w:szCs w:val="28"/>
        </w:rPr>
        <w:t xml:space="preserve"> </w:t>
      </w:r>
      <w:r>
        <w:rPr>
          <w:szCs w:val="28"/>
        </w:rPr>
        <w:t xml:space="preserve">for the </w:t>
      </w:r>
      <w:r w:rsidR="007C2FD5">
        <w:rPr>
          <w:szCs w:val="28"/>
        </w:rPr>
        <w:t>Applicant</w:t>
      </w:r>
      <w:r w:rsidR="00BB38AA">
        <w:rPr>
          <w:szCs w:val="28"/>
        </w:rPr>
        <w:t>s</w:t>
      </w:r>
      <w:r w:rsidR="00F31731" w:rsidRPr="00F31731">
        <w:rPr>
          <w:lang w:val="en-US"/>
        </w:rPr>
        <w:t xml:space="preserve"> </w:t>
      </w:r>
    </w:p>
    <w:p w:rsidR="00394676" w:rsidRPr="00DC73FD" w:rsidRDefault="001F70B8" w:rsidP="00DC73FD">
      <w:pPr>
        <w:spacing w:line="360" w:lineRule="auto"/>
        <w:ind w:left="426" w:hanging="426"/>
        <w:rPr>
          <w:szCs w:val="28"/>
        </w:rPr>
      </w:pPr>
      <w:r>
        <w:rPr>
          <w:szCs w:val="28"/>
        </w:rPr>
        <w:t>M</w:t>
      </w:r>
      <w:r w:rsidR="00B830FA">
        <w:rPr>
          <w:szCs w:val="28"/>
        </w:rPr>
        <w:t xml:space="preserve">s Leona Cheung, Principal Government Counsel </w:t>
      </w:r>
      <w:r w:rsidR="00DA03AC">
        <w:rPr>
          <w:szCs w:val="28"/>
        </w:rPr>
        <w:t>(</w:t>
      </w:r>
      <w:r w:rsidR="00B830FA">
        <w:rPr>
          <w:szCs w:val="28"/>
        </w:rPr>
        <w:t>Ag</w:t>
      </w:r>
      <w:r w:rsidR="00DA03AC">
        <w:rPr>
          <w:szCs w:val="28"/>
        </w:rPr>
        <w:t>)</w:t>
      </w:r>
      <w:r w:rsidR="00B830FA">
        <w:rPr>
          <w:szCs w:val="28"/>
        </w:rPr>
        <w:t xml:space="preserve"> and </w:t>
      </w:r>
      <w:r w:rsidR="001B566B">
        <w:rPr>
          <w:szCs w:val="28"/>
        </w:rPr>
        <w:t>M</w:t>
      </w:r>
      <w:r w:rsidR="003C4C68">
        <w:rPr>
          <w:szCs w:val="28"/>
        </w:rPr>
        <w:t xml:space="preserve">r Alexander Tang, </w:t>
      </w:r>
      <w:r w:rsidR="00303010">
        <w:rPr>
          <w:rFonts w:eastAsia="PMingLiU"/>
          <w:szCs w:val="28"/>
          <w:lang w:eastAsia="zh-HK"/>
        </w:rPr>
        <w:t>instructed by Department of Justice</w:t>
      </w:r>
      <w:r w:rsidR="00303010">
        <w:rPr>
          <w:szCs w:val="28"/>
        </w:rPr>
        <w:t>,</w:t>
      </w:r>
      <w:r w:rsidR="00B830FA">
        <w:rPr>
          <w:szCs w:val="28"/>
        </w:rPr>
        <w:t xml:space="preserve"> for </w:t>
      </w:r>
      <w:r>
        <w:rPr>
          <w:szCs w:val="28"/>
        </w:rPr>
        <w:t xml:space="preserve">the </w:t>
      </w:r>
      <w:r w:rsidR="007C2FD5">
        <w:rPr>
          <w:szCs w:val="28"/>
        </w:rPr>
        <w:t>Respondent</w:t>
      </w:r>
    </w:p>
    <w:sectPr w:rsidR="00394676" w:rsidRPr="00DC73FD" w:rsidSect="00DA0ABA">
      <w:headerReference w:type="default" r:id="rId10"/>
      <w:type w:val="continuous"/>
      <w:pgSz w:w="11906" w:h="16838" w:code="9"/>
      <w:pgMar w:top="1440" w:right="1797" w:bottom="1440" w:left="1797"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A3B" w:rsidRDefault="00661A3B">
      <w:r>
        <w:separator/>
      </w:r>
    </w:p>
  </w:endnote>
  <w:endnote w:type="continuationSeparator" w:id="0">
    <w:p w:rsidR="00661A3B" w:rsidRDefault="0066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1AC" w:rsidRPr="00512A59" w:rsidRDefault="004311AC" w:rsidP="009956F5">
    <w:pPr>
      <w:pStyle w:val="Footer"/>
      <w:jc w:val="center"/>
    </w:pPr>
  </w:p>
  <w:p w:rsidR="004311AC" w:rsidRDefault="004311AC" w:rsidP="009956F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A3B" w:rsidRDefault="00661A3B">
      <w:r>
        <w:separator/>
      </w:r>
    </w:p>
  </w:footnote>
  <w:footnote w:type="continuationSeparator" w:id="0">
    <w:p w:rsidR="00661A3B" w:rsidRDefault="00661A3B">
      <w:r>
        <w:continuationSeparator/>
      </w:r>
    </w:p>
  </w:footnote>
  <w:footnote w:id="1">
    <w:p w:rsidR="004311AC" w:rsidRPr="00AB5ECA" w:rsidRDefault="004311AC">
      <w:pPr>
        <w:pStyle w:val="FootnoteText"/>
        <w:rPr>
          <w:lang w:val="en-US"/>
        </w:rPr>
      </w:pPr>
      <w:r>
        <w:rPr>
          <w:rStyle w:val="FootnoteReference"/>
        </w:rPr>
        <w:footnoteRef/>
      </w:r>
      <w:r>
        <w:t xml:space="preserve"> Both of which dated 7.10.2021.  </w:t>
      </w:r>
    </w:p>
  </w:footnote>
  <w:footnote w:id="2">
    <w:p w:rsidR="004311AC" w:rsidRPr="0017482B" w:rsidRDefault="004311AC">
      <w:pPr>
        <w:pStyle w:val="FootnoteText"/>
        <w:rPr>
          <w:lang w:val="en-US"/>
        </w:rPr>
      </w:pPr>
      <w:r>
        <w:rPr>
          <w:rStyle w:val="FootnoteReference"/>
        </w:rPr>
        <w:footnoteRef/>
      </w:r>
      <w:r>
        <w:t xml:space="preserve"> </w:t>
      </w:r>
      <w:r>
        <w:rPr>
          <w:lang w:val="en-US"/>
        </w:rPr>
        <w:t>[A/1]</w:t>
      </w:r>
    </w:p>
  </w:footnote>
  <w:footnote w:id="3">
    <w:p w:rsidR="004311AC" w:rsidRPr="0017482B" w:rsidRDefault="004311AC">
      <w:pPr>
        <w:pStyle w:val="FootnoteText"/>
      </w:pPr>
      <w:r>
        <w:rPr>
          <w:rStyle w:val="FootnoteReference"/>
        </w:rPr>
        <w:footnoteRef/>
      </w:r>
      <w:r>
        <w:t xml:space="preserve"> [A/2]</w:t>
      </w:r>
    </w:p>
  </w:footnote>
  <w:footnote w:id="4">
    <w:p w:rsidR="004311AC" w:rsidRPr="00334CF9" w:rsidRDefault="004311AC">
      <w:pPr>
        <w:pStyle w:val="FootnoteText"/>
        <w:rPr>
          <w:lang w:val="en-US"/>
        </w:rPr>
      </w:pPr>
      <w:r>
        <w:rPr>
          <w:rStyle w:val="FootnoteReference"/>
        </w:rPr>
        <w:footnoteRef/>
      </w:r>
      <w:r>
        <w:t xml:space="preserve"> </w:t>
      </w:r>
      <w:r>
        <w:rPr>
          <w:lang w:val="en-US"/>
        </w:rPr>
        <w:t>[A/3]</w:t>
      </w:r>
    </w:p>
  </w:footnote>
  <w:footnote w:id="5">
    <w:p w:rsidR="004311AC" w:rsidRDefault="004311AC">
      <w:pPr>
        <w:pStyle w:val="FootnoteText"/>
      </w:pPr>
      <w:r>
        <w:rPr>
          <w:rStyle w:val="FootnoteReference"/>
        </w:rPr>
        <w:footnoteRef/>
      </w:r>
      <w:r>
        <w:t xml:space="preserve"> </w:t>
      </w:r>
      <w:r>
        <w:rPr>
          <w:rFonts w:hint="eastAsia"/>
        </w:rPr>
        <w:t>2</w:t>
      </w:r>
      <w:r w:rsidRPr="00714B7A">
        <w:rPr>
          <w:vertAlign w:val="superscript"/>
        </w:rPr>
        <w:t>nd</w:t>
      </w:r>
      <w:r>
        <w:t xml:space="preserve"> Affidavit of A3 (dated 26.10.2021), at [7]. </w:t>
      </w:r>
    </w:p>
  </w:footnote>
  <w:footnote w:id="6">
    <w:p w:rsidR="004311AC" w:rsidRDefault="004311AC">
      <w:pPr>
        <w:pStyle w:val="FootnoteText"/>
      </w:pPr>
      <w:r>
        <w:rPr>
          <w:rStyle w:val="FootnoteReference"/>
        </w:rPr>
        <w:footnoteRef/>
      </w:r>
      <w:r>
        <w:t xml:space="preserve"> </w:t>
      </w:r>
      <w:r>
        <w:rPr>
          <w:rFonts w:hint="eastAsia"/>
        </w:rPr>
        <w:t>I</w:t>
      </w:r>
      <w:r>
        <w:t>bid, at [10].</w:t>
      </w:r>
    </w:p>
  </w:footnote>
  <w:footnote w:id="7">
    <w:p w:rsidR="004311AC" w:rsidRDefault="004311AC" w:rsidP="009A4324">
      <w:pPr>
        <w:pStyle w:val="FootnoteText"/>
        <w:tabs>
          <w:tab w:val="clear" w:pos="360"/>
          <w:tab w:val="left" w:pos="142"/>
        </w:tabs>
        <w:ind w:left="142" w:hanging="142"/>
      </w:pPr>
      <w:r>
        <w:rPr>
          <w:rStyle w:val="FootnoteReference"/>
        </w:rPr>
        <w:footnoteRef/>
      </w:r>
      <w:r>
        <w:t xml:space="preserve"> BOR 14: </w:t>
      </w:r>
      <w:r w:rsidRPr="001A31D5">
        <w:t>“No one shall be subjected to arbitrary or unlawful interference with his privacy, family, home or correspondence, nor to unlawful attacks on his honour and reputation.”</w:t>
      </w:r>
    </w:p>
  </w:footnote>
  <w:footnote w:id="8">
    <w:p w:rsidR="004311AC" w:rsidRDefault="004311AC" w:rsidP="009A4324">
      <w:pPr>
        <w:pStyle w:val="FootnoteText"/>
        <w:tabs>
          <w:tab w:val="clear" w:pos="360"/>
          <w:tab w:val="left" w:pos="142"/>
        </w:tabs>
        <w:ind w:left="142" w:hanging="142"/>
      </w:pPr>
      <w:r>
        <w:rPr>
          <w:rStyle w:val="FootnoteReference"/>
        </w:rPr>
        <w:footnoteRef/>
      </w:r>
      <w:r>
        <w:t xml:space="preserve"> Section 4, PD(P)O: “A data user shall not do an act, or engage in a practice, that contravenes a data protection principle unless the act or practice, as the case may be, is required or permitted under this Ordinance.”  </w:t>
      </w:r>
      <w:r>
        <w:tab/>
      </w:r>
    </w:p>
  </w:footnote>
  <w:footnote w:id="9">
    <w:p w:rsidR="004311AC" w:rsidRDefault="004311AC" w:rsidP="009A4324">
      <w:pPr>
        <w:pStyle w:val="FootnoteText"/>
        <w:tabs>
          <w:tab w:val="clear" w:pos="360"/>
          <w:tab w:val="left" w:pos="142"/>
        </w:tabs>
        <w:ind w:left="142" w:hanging="142"/>
      </w:pPr>
      <w:r>
        <w:rPr>
          <w:rStyle w:val="FootnoteReference"/>
        </w:rPr>
        <w:footnoteRef/>
      </w:r>
      <w:r>
        <w:t xml:space="preserve"> </w:t>
      </w:r>
      <w:r w:rsidRPr="001A31D5">
        <w:t>Sch</w:t>
      </w:r>
      <w:r>
        <w:t xml:space="preserve">1, </w:t>
      </w:r>
      <w:r w:rsidRPr="001A31D5">
        <w:t>s3</w:t>
      </w:r>
      <w:r>
        <w:t>(</w:t>
      </w:r>
      <w:r w:rsidRPr="001A31D5">
        <w:t>1</w:t>
      </w:r>
      <w:r>
        <w:t>), PD(P)O: “P</w:t>
      </w:r>
      <w:r w:rsidRPr="001A31D5">
        <w:t>ersonal data shall not, without the prescribed consent of the data subject, be used for a new purpose</w:t>
      </w:r>
      <w:r>
        <w:t>.”</w:t>
      </w:r>
    </w:p>
  </w:footnote>
  <w:footnote w:id="10">
    <w:p w:rsidR="004311AC" w:rsidRDefault="004311AC" w:rsidP="009A4324">
      <w:pPr>
        <w:pStyle w:val="FootnoteText"/>
        <w:tabs>
          <w:tab w:val="clear" w:pos="360"/>
          <w:tab w:val="left" w:pos="142"/>
        </w:tabs>
        <w:ind w:left="142" w:hanging="142"/>
      </w:pPr>
      <w:r>
        <w:rPr>
          <w:rStyle w:val="FootnoteReference"/>
        </w:rPr>
        <w:footnoteRef/>
      </w:r>
      <w:r>
        <w:t xml:space="preserve"> </w:t>
      </w:r>
      <w:r w:rsidRPr="008B7839">
        <w:t>[2021] 3 HKLRD 300</w:t>
      </w:r>
      <w:r>
        <w:t>, at [39].</w:t>
      </w:r>
    </w:p>
  </w:footnote>
  <w:footnote w:id="11">
    <w:p w:rsidR="004311AC" w:rsidRDefault="004311AC" w:rsidP="006D5306">
      <w:pPr>
        <w:pStyle w:val="FootnoteText"/>
        <w:tabs>
          <w:tab w:val="clear" w:pos="360"/>
        </w:tabs>
        <w:rPr>
          <w:lang w:val="en-US"/>
        </w:rPr>
      </w:pPr>
      <w:r>
        <w:rPr>
          <w:rStyle w:val="FootnoteReference"/>
        </w:rPr>
        <w:footnoteRef/>
      </w:r>
      <w:r>
        <w:t xml:space="preserve"> </w:t>
      </w:r>
      <w:r>
        <w:rPr>
          <w:lang w:val="en-US"/>
        </w:rPr>
        <w:t>BL 30</w:t>
      </w:r>
      <w:r>
        <w:rPr>
          <w:rFonts w:hint="eastAsia"/>
          <w:lang w:val="en-US"/>
        </w:rPr>
        <w:t xml:space="preserve">: </w:t>
      </w:r>
    </w:p>
    <w:p w:rsidR="004311AC" w:rsidRPr="00BC695A" w:rsidRDefault="004311AC" w:rsidP="006D5306">
      <w:pPr>
        <w:pStyle w:val="FootnoteText"/>
        <w:tabs>
          <w:tab w:val="clear" w:pos="360"/>
        </w:tabs>
        <w:ind w:firstLine="0"/>
        <w:rPr>
          <w:lang w:val="en-US"/>
        </w:rPr>
      </w:pPr>
      <w:r>
        <w:rPr>
          <w:lang w:val="en-US"/>
        </w:rPr>
        <w:t>“</w:t>
      </w:r>
      <w:r w:rsidRPr="006D5306">
        <w:rPr>
          <w:lang w:val="en-US"/>
        </w:rPr>
        <w:t>The freedom and privacy of communication of Hong Kong residents shall be protected by law. No department or individual may, on any grounds, infringe upon the freedom and privacy of communication of residents except that the relevant authorities may inspect communication in accordance with legal procedures to meet the needs of public security or of investigation into criminal offences.</w:t>
      </w:r>
      <w:r>
        <w:rPr>
          <w:lang w:val="en-US"/>
        </w:rPr>
        <w:t>”</w:t>
      </w:r>
    </w:p>
  </w:footnote>
  <w:footnote w:id="12">
    <w:p w:rsidR="004311AC" w:rsidRPr="00BC695A" w:rsidRDefault="004311AC">
      <w:pPr>
        <w:pStyle w:val="FootnoteText"/>
        <w:rPr>
          <w:lang w:val="en-US"/>
        </w:rPr>
      </w:pPr>
      <w:r>
        <w:rPr>
          <w:rStyle w:val="FootnoteReference"/>
        </w:rPr>
        <w:footnoteRef/>
      </w:r>
      <w:r>
        <w:t xml:space="preserve"> </w:t>
      </w:r>
      <w:r>
        <w:rPr>
          <w:lang w:val="en-US"/>
        </w:rPr>
        <w:t>[2016] 2 HKLRD 1372</w:t>
      </w:r>
    </w:p>
  </w:footnote>
  <w:footnote w:id="13">
    <w:p w:rsidR="004311AC" w:rsidRPr="009A4324" w:rsidRDefault="004311AC" w:rsidP="00D748FC">
      <w:pPr>
        <w:pStyle w:val="FootnoteText"/>
        <w:rPr>
          <w:b/>
          <w:bCs/>
          <w:lang w:val="en-US"/>
        </w:rPr>
      </w:pPr>
      <w:r>
        <w:rPr>
          <w:rStyle w:val="FootnoteReference"/>
        </w:rPr>
        <w:footnoteRef/>
      </w:r>
      <w:r>
        <w:t xml:space="preserve"> </w:t>
      </w:r>
      <w:r w:rsidRPr="00720A37">
        <w:rPr>
          <w:b/>
          <w:bCs/>
          <w:lang w:val="en-US"/>
        </w:rPr>
        <w:t>3.</w:t>
      </w:r>
      <w:r>
        <w:rPr>
          <w:b/>
          <w:bCs/>
          <w:lang w:val="en-US"/>
        </w:rPr>
        <w:t xml:space="preserve">  </w:t>
      </w:r>
      <w:r w:rsidRPr="00720A37">
        <w:rPr>
          <w:b/>
          <w:bCs/>
          <w:lang w:val="en-US"/>
        </w:rPr>
        <w:t>Order to make material available</w:t>
      </w:r>
    </w:p>
    <w:p w:rsidR="004311AC" w:rsidRDefault="004311AC" w:rsidP="00D748FC">
      <w:pPr>
        <w:pStyle w:val="FootnoteText"/>
        <w:ind w:firstLine="0"/>
      </w:pPr>
      <w:r>
        <w:t>(4)</w:t>
      </w:r>
      <w:r>
        <w:tab/>
        <w:t>The conditions referred to in subsection (2) are—</w:t>
      </w:r>
    </w:p>
    <w:p w:rsidR="004311AC" w:rsidRDefault="004311AC" w:rsidP="00D748FC">
      <w:pPr>
        <w:pStyle w:val="FootnoteText"/>
        <w:tabs>
          <w:tab w:val="clear" w:pos="360"/>
        </w:tabs>
        <w:ind w:left="1080"/>
      </w:pPr>
      <w:r>
        <w:t>(a)</w:t>
      </w:r>
      <w:r>
        <w:tab/>
        <w:t>where the investigation is into an offence endangering national security, that there are reasonable grounds for suspecting that the offence endangering national security has been committed;</w:t>
      </w:r>
    </w:p>
    <w:p w:rsidR="004311AC" w:rsidRDefault="004311AC" w:rsidP="00D748FC">
      <w:pPr>
        <w:pStyle w:val="FootnoteText"/>
        <w:tabs>
          <w:tab w:val="clear" w:pos="360"/>
        </w:tabs>
        <w:ind w:left="1080"/>
      </w:pPr>
      <w:r>
        <w:t>(b)</w:t>
      </w:r>
      <w:r>
        <w:tab/>
        <w:t>where the investigation is into a person’s proceeds of an offence endangering national security—</w:t>
      </w:r>
    </w:p>
    <w:p w:rsidR="004311AC" w:rsidRDefault="004311AC" w:rsidP="00D748FC">
      <w:pPr>
        <w:pStyle w:val="FootnoteText"/>
        <w:tabs>
          <w:tab w:val="clear" w:pos="360"/>
          <w:tab w:val="left" w:pos="1440"/>
        </w:tabs>
        <w:ind w:left="1440"/>
      </w:pPr>
      <w:r>
        <w:t>(</w:t>
      </w:r>
      <w:proofErr w:type="spellStart"/>
      <w:r>
        <w:t>i</w:t>
      </w:r>
      <w:proofErr w:type="spellEnd"/>
      <w:r>
        <w:t>)</w:t>
      </w:r>
      <w:r>
        <w:tab/>
        <w:t>that the person has committed an offence endangering national security, or that there are reasonable grounds for suspecting that the person has committed an offence endangering national security; and</w:t>
      </w:r>
    </w:p>
    <w:p w:rsidR="004311AC" w:rsidRDefault="004311AC" w:rsidP="00D748FC">
      <w:pPr>
        <w:pStyle w:val="FootnoteText"/>
        <w:tabs>
          <w:tab w:val="clear" w:pos="360"/>
          <w:tab w:val="left" w:pos="1440"/>
        </w:tabs>
        <w:ind w:left="1440"/>
      </w:pPr>
      <w:r>
        <w:t>(ii)</w:t>
      </w:r>
      <w:r>
        <w:tab/>
        <w:t>that there are reasonable grounds for suspecting that the person has benefited from an offence endangering national security;</w:t>
      </w:r>
    </w:p>
    <w:p w:rsidR="004311AC" w:rsidRDefault="004311AC" w:rsidP="00D748FC">
      <w:pPr>
        <w:pStyle w:val="FootnoteText"/>
        <w:tabs>
          <w:tab w:val="clear" w:pos="360"/>
          <w:tab w:val="left" w:pos="1080"/>
        </w:tabs>
        <w:ind w:left="1080"/>
      </w:pPr>
      <w:r>
        <w:t>(c)</w:t>
      </w:r>
      <w:r>
        <w:tab/>
        <w:t>that there are reasonable grounds for believing that the material to which the application relates—</w:t>
      </w:r>
    </w:p>
    <w:p w:rsidR="004311AC" w:rsidRDefault="004311AC" w:rsidP="00D748FC">
      <w:pPr>
        <w:pStyle w:val="FootnoteText"/>
        <w:tabs>
          <w:tab w:val="clear" w:pos="360"/>
        </w:tabs>
        <w:ind w:left="1440"/>
      </w:pPr>
      <w:r>
        <w:t>(</w:t>
      </w:r>
      <w:proofErr w:type="spellStart"/>
      <w:r>
        <w:t>i</w:t>
      </w:r>
      <w:proofErr w:type="spellEnd"/>
      <w:r>
        <w:t>)</w:t>
      </w:r>
      <w:r>
        <w:tab/>
        <w:t>is likely to be relevant to the investigation for the purpose of which the application is made; and</w:t>
      </w:r>
    </w:p>
    <w:p w:rsidR="004311AC" w:rsidRDefault="004311AC" w:rsidP="00D748FC">
      <w:pPr>
        <w:pStyle w:val="FootnoteText"/>
        <w:tabs>
          <w:tab w:val="clear" w:pos="360"/>
        </w:tabs>
        <w:ind w:left="1440"/>
      </w:pPr>
      <w:r>
        <w:t>(ii)</w:t>
      </w:r>
      <w:r>
        <w:tab/>
        <w:t>does not consist of or include items subject to legal professional privilege;</w:t>
      </w:r>
    </w:p>
    <w:p w:rsidR="004311AC" w:rsidRDefault="004311AC" w:rsidP="00D748FC">
      <w:pPr>
        <w:pStyle w:val="FootnoteText"/>
        <w:tabs>
          <w:tab w:val="clear" w:pos="360"/>
          <w:tab w:val="left" w:pos="1080"/>
        </w:tabs>
        <w:ind w:left="1080"/>
      </w:pPr>
      <w:r>
        <w:t>(d)</w:t>
      </w:r>
      <w:r>
        <w:tab/>
        <w:t>that there are reasonable grounds for believing that it is in the public interest that the material should be produced or that access to it should be given, having regard to—</w:t>
      </w:r>
    </w:p>
    <w:p w:rsidR="004311AC" w:rsidRDefault="004311AC" w:rsidP="00D748FC">
      <w:pPr>
        <w:pStyle w:val="FootnoteText"/>
        <w:tabs>
          <w:tab w:val="clear" w:pos="360"/>
          <w:tab w:val="left" w:pos="1440"/>
        </w:tabs>
        <w:ind w:left="1440"/>
      </w:pPr>
      <w:r>
        <w:t>(</w:t>
      </w:r>
      <w:proofErr w:type="spellStart"/>
      <w:r>
        <w:t>i</w:t>
      </w:r>
      <w:proofErr w:type="spellEnd"/>
      <w:r>
        <w:t>)</w:t>
      </w:r>
      <w:r>
        <w:tab/>
        <w:t>the benefit likely to accrue to the investigation if the material is obtained; and</w:t>
      </w:r>
    </w:p>
    <w:p w:rsidR="004311AC" w:rsidRDefault="004311AC" w:rsidP="00D748FC">
      <w:pPr>
        <w:pStyle w:val="FootnoteText"/>
        <w:tabs>
          <w:tab w:val="clear" w:pos="360"/>
          <w:tab w:val="left" w:pos="1440"/>
        </w:tabs>
        <w:ind w:left="1440"/>
      </w:pPr>
      <w:r>
        <w:t>(ii)</w:t>
      </w:r>
      <w:r>
        <w:tab/>
        <w:t>the circumstances under which the person in possession or control of the material holds or controls it, as the case may be.</w:t>
      </w:r>
    </w:p>
  </w:footnote>
  <w:footnote w:id="14">
    <w:p w:rsidR="004311AC" w:rsidRPr="002623E5" w:rsidRDefault="004311AC" w:rsidP="00782616">
      <w:pPr>
        <w:pStyle w:val="FootnoteText"/>
        <w:rPr>
          <w:lang w:val="en-US"/>
        </w:rPr>
      </w:pPr>
      <w:r>
        <w:rPr>
          <w:rStyle w:val="FootnoteReference"/>
        </w:rPr>
        <w:footnoteRef/>
      </w:r>
      <w:r>
        <w:t xml:space="preserve"> </w:t>
      </w:r>
      <w:r>
        <w:rPr>
          <w:lang w:val="en-US"/>
        </w:rPr>
        <w:t>[2001] 1 WLR 662, 678H (Judge LJ)</w:t>
      </w:r>
    </w:p>
  </w:footnote>
  <w:footnote w:id="15">
    <w:p w:rsidR="004311AC" w:rsidRPr="00BC695A" w:rsidRDefault="004311AC">
      <w:pPr>
        <w:pStyle w:val="FootnoteText"/>
        <w:rPr>
          <w:lang w:val="en-US"/>
        </w:rPr>
      </w:pPr>
      <w:r>
        <w:rPr>
          <w:rStyle w:val="FootnoteReference"/>
        </w:rPr>
        <w:footnoteRef/>
      </w:r>
      <w:r>
        <w:t xml:space="preserve"> Supra, at [41]</w:t>
      </w:r>
    </w:p>
  </w:footnote>
  <w:footnote w:id="16">
    <w:p w:rsidR="004311AC" w:rsidRDefault="004311AC" w:rsidP="00AF471E">
      <w:pPr>
        <w:pStyle w:val="FootnoteText"/>
      </w:pPr>
      <w:r>
        <w:rPr>
          <w:rStyle w:val="FootnoteReference"/>
        </w:rPr>
        <w:footnoteRef/>
      </w:r>
      <w:r>
        <w:t xml:space="preserve"> </w:t>
      </w:r>
      <w:r>
        <w:rPr>
          <w:rFonts w:hint="eastAsia"/>
        </w:rPr>
        <w:t>S</w:t>
      </w:r>
      <w:r>
        <w:t xml:space="preserve">ee, </w:t>
      </w:r>
      <w:proofErr w:type="spellStart"/>
      <w:r>
        <w:t>eg</w:t>
      </w:r>
      <w:proofErr w:type="spellEnd"/>
      <w:r>
        <w:t>, [A/3/8]</w:t>
      </w:r>
    </w:p>
  </w:footnote>
  <w:footnote w:id="17">
    <w:p w:rsidR="004311AC" w:rsidRDefault="004311AC">
      <w:pPr>
        <w:pStyle w:val="FootnoteText"/>
      </w:pPr>
      <w:r>
        <w:rPr>
          <w:rStyle w:val="FootnoteReference"/>
        </w:rPr>
        <w:footnoteRef/>
      </w:r>
      <w:r>
        <w:t xml:space="preserve"> </w:t>
      </w:r>
      <w:r>
        <w:rPr>
          <w:rFonts w:hint="eastAsia"/>
        </w:rPr>
        <w:t>[</w:t>
      </w:r>
      <w:r>
        <w:t>1970] AC 942</w:t>
      </w:r>
    </w:p>
  </w:footnote>
  <w:footnote w:id="18">
    <w:p w:rsidR="004311AC" w:rsidRDefault="004311AC" w:rsidP="009626A3">
      <w:pPr>
        <w:pStyle w:val="FootnoteText"/>
      </w:pPr>
      <w:r>
        <w:rPr>
          <w:rStyle w:val="FootnoteReference"/>
        </w:rPr>
        <w:footnoteRef/>
      </w:r>
      <w:r>
        <w:t xml:space="preserve"> (2007) 10 HKCFAR 293</w:t>
      </w:r>
    </w:p>
  </w:footnote>
  <w:footnote w:id="19">
    <w:p w:rsidR="0094198A" w:rsidRDefault="0094198A">
      <w:pPr>
        <w:pStyle w:val="FootnoteText"/>
      </w:pPr>
      <w:r>
        <w:rPr>
          <w:rStyle w:val="FootnoteReference"/>
        </w:rPr>
        <w:footnoteRef/>
      </w:r>
      <w:r>
        <w:t xml:space="preserve"> </w:t>
      </w:r>
      <w:r>
        <w:rPr>
          <w:rFonts w:hint="eastAsia"/>
        </w:rPr>
        <w:t>(</w:t>
      </w:r>
      <w:r>
        <w:t>2019</w:t>
      </w:r>
      <w:r>
        <w:rPr>
          <w:rFonts w:hint="eastAsia"/>
        </w:rPr>
        <w:t>)</w:t>
      </w:r>
      <w:r>
        <w:t xml:space="preserve"> 22 HKCFAR 446</w:t>
      </w:r>
    </w:p>
  </w:footnote>
  <w:footnote w:id="20">
    <w:p w:rsidR="001C4DC2" w:rsidRDefault="001C4DC2" w:rsidP="001C4DC2">
      <w:pPr>
        <w:pStyle w:val="FootnoteText"/>
      </w:pPr>
      <w:r>
        <w:rPr>
          <w:rStyle w:val="FootnoteReference"/>
        </w:rPr>
        <w:footnoteRef/>
      </w:r>
      <w:r>
        <w:t xml:space="preserve"> </w:t>
      </w:r>
      <w:r>
        <w:rPr>
          <w:rFonts w:hint="eastAsia"/>
        </w:rPr>
        <w:t>(</w:t>
      </w:r>
      <w:r>
        <w:t>1943) 3 DLR 441</w:t>
      </w:r>
    </w:p>
  </w:footnote>
  <w:footnote w:id="21">
    <w:p w:rsidR="001C4DC2" w:rsidRDefault="001C4DC2" w:rsidP="001C4DC2">
      <w:pPr>
        <w:pStyle w:val="FootnoteText"/>
      </w:pPr>
      <w:r>
        <w:rPr>
          <w:rStyle w:val="FootnoteReference"/>
        </w:rPr>
        <w:footnoteRef/>
      </w:r>
      <w:r>
        <w:t xml:space="preserve"> </w:t>
      </w:r>
      <w:r>
        <w:rPr>
          <w:rFonts w:hint="eastAsia"/>
        </w:rPr>
        <w:t>(</w:t>
      </w:r>
      <w:r>
        <w:t>1980) 30 ACTR 19</w:t>
      </w:r>
    </w:p>
  </w:footnote>
  <w:footnote w:id="22">
    <w:p w:rsidR="004311AC" w:rsidRDefault="004311AC">
      <w:pPr>
        <w:pStyle w:val="FootnoteText"/>
      </w:pPr>
      <w:r>
        <w:rPr>
          <w:rStyle w:val="FootnoteReference"/>
        </w:rPr>
        <w:footnoteRef/>
      </w:r>
      <w:r>
        <w:t xml:space="preserve"> Submissions of the Applicants, at [15].</w:t>
      </w:r>
    </w:p>
  </w:footnote>
  <w:footnote w:id="23">
    <w:p w:rsidR="004311AC" w:rsidRDefault="004311AC" w:rsidP="00B01062">
      <w:pPr>
        <w:pStyle w:val="FootnoteText"/>
      </w:pPr>
      <w:r>
        <w:rPr>
          <w:rStyle w:val="FootnoteReference"/>
        </w:rPr>
        <w:footnoteRef/>
      </w:r>
      <w:r>
        <w:t xml:space="preserve"> </w:t>
      </w:r>
      <w:r>
        <w:rPr>
          <w:rFonts w:hint="eastAsia"/>
        </w:rPr>
        <w:t>S</w:t>
      </w:r>
      <w:r>
        <w:t>upra, at [29].</w:t>
      </w:r>
    </w:p>
  </w:footnote>
  <w:footnote w:id="24">
    <w:p w:rsidR="004311AC" w:rsidRPr="008D7BDC" w:rsidRDefault="004311AC">
      <w:pPr>
        <w:pStyle w:val="FootnoteText"/>
        <w:rPr>
          <w:lang w:val="en-US"/>
        </w:rPr>
      </w:pPr>
      <w:r>
        <w:rPr>
          <w:rStyle w:val="FootnoteReference"/>
        </w:rPr>
        <w:footnoteRef/>
      </w:r>
      <w:r>
        <w:t xml:space="preserve"> </w:t>
      </w:r>
      <w:r>
        <w:rPr>
          <w:lang w:val="en-US"/>
        </w:rPr>
        <w:t>Supra, at [44]</w:t>
      </w:r>
    </w:p>
  </w:footnote>
  <w:footnote w:id="25">
    <w:p w:rsidR="004311AC" w:rsidRDefault="004311AC" w:rsidP="00B01062">
      <w:pPr>
        <w:pStyle w:val="FootnoteText"/>
      </w:pPr>
      <w:r>
        <w:rPr>
          <w:rStyle w:val="FootnoteReference"/>
        </w:rPr>
        <w:footnoteRef/>
      </w:r>
      <w:r>
        <w:t xml:space="preserve"> (2021) 24 HKCFAR 33, at [12].</w:t>
      </w:r>
    </w:p>
  </w:footnote>
  <w:footnote w:id="26">
    <w:p w:rsidR="004311AC" w:rsidRDefault="004311AC">
      <w:pPr>
        <w:pStyle w:val="FootnoteText"/>
      </w:pPr>
      <w:r>
        <w:rPr>
          <w:rStyle w:val="FootnoteReference"/>
        </w:rPr>
        <w:footnoteRef/>
      </w:r>
      <w:r>
        <w:t xml:space="preserve"> </w:t>
      </w:r>
      <w:r>
        <w:rPr>
          <w:rFonts w:hint="eastAsia"/>
        </w:rPr>
        <w:t>S</w:t>
      </w:r>
      <w:r>
        <w:t>upra, at [</w:t>
      </w:r>
      <w:r w:rsidR="00446C11">
        <w:t>45]</w:t>
      </w:r>
      <w:proofErr w:type="gramStart"/>
      <w:r w:rsidR="00446C11">
        <w:t>-[</w:t>
      </w:r>
      <w:proofErr w:type="gramEnd"/>
      <w:r w:rsidR="00446C11">
        <w:t>46]</w:t>
      </w:r>
    </w:p>
  </w:footnote>
  <w:footnote w:id="27">
    <w:p w:rsidR="004311AC" w:rsidRDefault="004311AC" w:rsidP="00DF3ADC">
      <w:pPr>
        <w:pStyle w:val="FootnoteText"/>
      </w:pPr>
      <w:r>
        <w:rPr>
          <w:rStyle w:val="FootnoteReference"/>
        </w:rPr>
        <w:footnoteRef/>
      </w:r>
      <w:r>
        <w:t xml:space="preserve"> </w:t>
      </w:r>
      <w:r>
        <w:rPr>
          <w:rFonts w:hint="eastAsia"/>
        </w:rPr>
        <w:t>[</w:t>
      </w:r>
      <w:r>
        <w:t>2000] 1 HKLD 647, at 680G-H.</w:t>
      </w:r>
    </w:p>
  </w:footnote>
  <w:footnote w:id="28">
    <w:p w:rsidR="004311AC" w:rsidRDefault="004311AC" w:rsidP="00DF3ADC">
      <w:pPr>
        <w:pStyle w:val="FootnoteText"/>
      </w:pPr>
      <w:r>
        <w:rPr>
          <w:rStyle w:val="FootnoteReference"/>
        </w:rPr>
        <w:footnoteRef/>
      </w:r>
      <w:r>
        <w:t xml:space="preserve"> </w:t>
      </w:r>
      <w:r>
        <w:rPr>
          <w:rFonts w:hint="eastAsia"/>
        </w:rPr>
        <w:t>[</w:t>
      </w:r>
      <w:r>
        <w:t>2020] 5 HKC 292, at [126].</w:t>
      </w:r>
    </w:p>
  </w:footnote>
  <w:footnote w:id="29">
    <w:p w:rsidR="004311AC" w:rsidRPr="00BC695A" w:rsidRDefault="004311AC">
      <w:pPr>
        <w:pStyle w:val="FootnoteText"/>
      </w:pPr>
      <w:r>
        <w:rPr>
          <w:rStyle w:val="FootnoteReference"/>
        </w:rPr>
        <w:footnoteRef/>
      </w:r>
      <w:r>
        <w:t xml:space="preserve"> Supra, at 673A, 677D-E.</w:t>
      </w:r>
    </w:p>
  </w:footnote>
  <w:footnote w:id="30">
    <w:p w:rsidR="004311AC" w:rsidRPr="00BC695A" w:rsidRDefault="004311AC">
      <w:pPr>
        <w:pStyle w:val="FootnoteText"/>
      </w:pPr>
      <w:r>
        <w:rPr>
          <w:rStyle w:val="FootnoteReference"/>
        </w:rPr>
        <w:footnoteRef/>
      </w:r>
      <w:r>
        <w:t xml:space="preserve"> Supra, at [46]</w:t>
      </w:r>
      <w:proofErr w:type="gramStart"/>
      <w:r>
        <w:t>-[</w:t>
      </w:r>
      <w:proofErr w:type="gramEnd"/>
      <w:r>
        <w:t>47].</w:t>
      </w:r>
    </w:p>
  </w:footnote>
  <w:footnote w:id="31">
    <w:p w:rsidR="00D30329" w:rsidRPr="00BC695A" w:rsidRDefault="00D30329">
      <w:pPr>
        <w:pStyle w:val="FootnoteText"/>
        <w:rPr>
          <w:lang w:val="en-US"/>
        </w:rPr>
      </w:pPr>
      <w:r>
        <w:rPr>
          <w:rStyle w:val="FootnoteReference"/>
        </w:rPr>
        <w:footnoteRef/>
      </w:r>
      <w:r>
        <w:t xml:space="preserve"> </w:t>
      </w:r>
      <w:r>
        <w:rPr>
          <w:lang w:val="en-US"/>
        </w:rPr>
        <w:t>Supra, at [66]</w:t>
      </w:r>
      <w:proofErr w:type="gramStart"/>
      <w:r>
        <w:rPr>
          <w:lang w:val="en-US"/>
        </w:rPr>
        <w:t>-[</w:t>
      </w:r>
      <w:proofErr w:type="gramEnd"/>
      <w:r>
        <w:rPr>
          <w:lang w:val="en-US"/>
        </w:rPr>
        <w:t>67].</w:t>
      </w:r>
    </w:p>
  </w:footnote>
  <w:footnote w:id="32">
    <w:p w:rsidR="004311AC" w:rsidRPr="00BC695A" w:rsidRDefault="004311AC">
      <w:pPr>
        <w:pStyle w:val="FootnoteText"/>
      </w:pPr>
      <w:r>
        <w:rPr>
          <w:rStyle w:val="FootnoteReference"/>
        </w:rPr>
        <w:footnoteRef/>
      </w:r>
      <w:r>
        <w:t xml:space="preserve"> Date</w:t>
      </w:r>
      <w:r w:rsidR="00DD72FB">
        <w:t>d 7.10.2021 and 26.10.2021.</w:t>
      </w:r>
    </w:p>
  </w:footnote>
  <w:footnote w:id="33">
    <w:p w:rsidR="004311AC" w:rsidRDefault="004311AC" w:rsidP="009A4324">
      <w:pPr>
        <w:pStyle w:val="FootnoteText"/>
        <w:tabs>
          <w:tab w:val="clear" w:pos="360"/>
        </w:tabs>
        <w:ind w:left="709" w:hanging="709"/>
      </w:pPr>
      <w:r>
        <w:rPr>
          <w:rStyle w:val="FootnoteReference"/>
        </w:rPr>
        <w:footnoteRef/>
      </w:r>
      <w:r>
        <w:t xml:space="preserve"> (11) A person is not excused from producing any material in relation to which an order under   subsection (2) is made on the ground that to do so—</w:t>
      </w:r>
    </w:p>
    <w:p w:rsidR="004311AC" w:rsidRDefault="004311AC" w:rsidP="00E501A2">
      <w:pPr>
        <w:pStyle w:val="FootnoteText"/>
        <w:tabs>
          <w:tab w:val="clear" w:pos="360"/>
          <w:tab w:val="left" w:pos="1080"/>
        </w:tabs>
        <w:ind w:left="1080"/>
      </w:pPr>
      <w:r>
        <w:t>(a)</w:t>
      </w:r>
      <w:r>
        <w:tab/>
        <w:t>might tend to incriminate the person; or</w:t>
      </w:r>
    </w:p>
    <w:p w:rsidR="004311AC" w:rsidRDefault="004311AC" w:rsidP="00E501A2">
      <w:pPr>
        <w:pStyle w:val="FootnoteText"/>
        <w:tabs>
          <w:tab w:val="clear" w:pos="360"/>
          <w:tab w:val="left" w:pos="1080"/>
        </w:tabs>
        <w:ind w:left="1080"/>
      </w:pPr>
      <w:r>
        <w:t>(b)</w:t>
      </w:r>
      <w:r>
        <w:tab/>
        <w:t>would breach an obligation as to secrecy or another restriction on the disclosure of information or material imposed by statute or otherwise.</w:t>
      </w:r>
    </w:p>
  </w:footnote>
  <w:footnote w:id="34">
    <w:p w:rsidR="004311AC" w:rsidRDefault="004311AC" w:rsidP="00E501A2">
      <w:pPr>
        <w:pStyle w:val="FootnoteText"/>
      </w:pPr>
      <w:r>
        <w:rPr>
          <w:rStyle w:val="FootnoteReference"/>
        </w:rPr>
        <w:footnoteRef/>
      </w:r>
      <w:r>
        <w:t xml:space="preserve"> </w:t>
      </w:r>
      <w:r w:rsidRPr="003843CA">
        <w:t>[1987] 1 WLR 1371</w:t>
      </w:r>
      <w:r>
        <w:t>,</w:t>
      </w:r>
      <w:r w:rsidRPr="003843CA">
        <w:t xml:space="preserve"> at 1373H-1374C</w:t>
      </w:r>
    </w:p>
  </w:footnote>
  <w:footnote w:id="35">
    <w:p w:rsidR="004311AC" w:rsidRDefault="004311AC" w:rsidP="00E501A2">
      <w:pPr>
        <w:pStyle w:val="FootnoteText"/>
      </w:pPr>
      <w:r>
        <w:rPr>
          <w:rStyle w:val="FootnoteReference"/>
        </w:rPr>
        <w:footnoteRef/>
      </w:r>
      <w:r>
        <w:t xml:space="preserve"> </w:t>
      </w:r>
      <w:r w:rsidRPr="003843CA">
        <w:t>[1989] 1 WLR 1066</w:t>
      </w:r>
    </w:p>
  </w:footnote>
  <w:footnote w:id="36">
    <w:p w:rsidR="003753F4" w:rsidRPr="00BC695A" w:rsidRDefault="003753F4">
      <w:pPr>
        <w:pStyle w:val="FootnoteText"/>
        <w:rPr>
          <w:lang w:val="en-US"/>
        </w:rPr>
      </w:pPr>
      <w:r>
        <w:rPr>
          <w:rStyle w:val="FootnoteReference"/>
        </w:rPr>
        <w:footnoteRef/>
      </w:r>
      <w:r>
        <w:t xml:space="preserve"> </w:t>
      </w:r>
      <w:r>
        <w:rPr>
          <w:lang w:val="en-US"/>
        </w:rPr>
        <w:t>[200</w:t>
      </w:r>
      <w:r w:rsidR="00F41FDE">
        <w:rPr>
          <w:lang w:val="en-US"/>
        </w:rPr>
        <w:t>8</w:t>
      </w:r>
      <w:r>
        <w:rPr>
          <w:lang w:val="en-US"/>
        </w:rPr>
        <w:t xml:space="preserve">] </w:t>
      </w:r>
      <w:r w:rsidR="00F41FDE">
        <w:rPr>
          <w:lang w:val="en-US"/>
        </w:rPr>
        <w:t>3</w:t>
      </w:r>
      <w:r>
        <w:rPr>
          <w:lang w:val="en-US"/>
        </w:rPr>
        <w:t xml:space="preserve"> HKLRD </w:t>
      </w:r>
      <w:r w:rsidR="00F41FDE">
        <w:rPr>
          <w:lang w:val="en-US"/>
        </w:rPr>
        <w:t>565</w:t>
      </w:r>
    </w:p>
  </w:footnote>
  <w:footnote w:id="37">
    <w:p w:rsidR="004311AC" w:rsidRPr="00B44AB1" w:rsidRDefault="004311AC">
      <w:pPr>
        <w:pStyle w:val="FootnoteText"/>
        <w:rPr>
          <w:lang w:val="en-US"/>
        </w:rPr>
      </w:pPr>
      <w:r>
        <w:rPr>
          <w:rStyle w:val="FootnoteReference"/>
        </w:rPr>
        <w:footnoteRef/>
      </w:r>
      <w:r>
        <w:t xml:space="preserve"> </w:t>
      </w:r>
      <w:r w:rsidRPr="00B44AB1">
        <w:t xml:space="preserve">[1989] </w:t>
      </w:r>
      <w:proofErr w:type="spellStart"/>
      <w:r w:rsidRPr="00B44AB1">
        <w:t>Ch</w:t>
      </w:r>
      <w:proofErr w:type="spellEnd"/>
      <w:r>
        <w:t xml:space="preserve"> 477, </w:t>
      </w:r>
      <w:r w:rsidRPr="00B44AB1">
        <w:t>at 484A-B</w:t>
      </w:r>
      <w:r>
        <w:t>.</w:t>
      </w:r>
    </w:p>
  </w:footnote>
  <w:footnote w:id="38">
    <w:p w:rsidR="004311AC" w:rsidRPr="00B44AB1" w:rsidRDefault="004311AC">
      <w:pPr>
        <w:pStyle w:val="FootnoteText"/>
      </w:pPr>
      <w:r>
        <w:rPr>
          <w:rStyle w:val="FootnoteReference"/>
        </w:rPr>
        <w:footnoteRef/>
      </w:r>
      <w:r>
        <w:t xml:space="preserve"> See s58(2), PD(P)O.</w:t>
      </w:r>
    </w:p>
  </w:footnote>
  <w:footnote w:id="39">
    <w:p w:rsidR="004311AC" w:rsidRPr="00B44AB1" w:rsidRDefault="004311AC">
      <w:pPr>
        <w:pStyle w:val="FootnoteText"/>
      </w:pPr>
      <w:r>
        <w:rPr>
          <w:rStyle w:val="FootnoteReference"/>
        </w:rPr>
        <w:footnoteRef/>
      </w:r>
      <w:r>
        <w:t xml:space="preserve"> Ibid, s60B(a).</w:t>
      </w:r>
    </w:p>
  </w:footnote>
  <w:footnote w:id="40">
    <w:p w:rsidR="004311AC" w:rsidRDefault="004311AC" w:rsidP="00E501A2">
      <w:pPr>
        <w:pStyle w:val="FootnoteText"/>
      </w:pPr>
      <w:r>
        <w:rPr>
          <w:rStyle w:val="FootnoteReference"/>
        </w:rPr>
        <w:footnoteRef/>
      </w:r>
      <w:r>
        <w:t xml:space="preserve"> </w:t>
      </w:r>
      <w:r>
        <w:rPr>
          <w:rFonts w:hint="eastAsia"/>
        </w:rPr>
        <w:t>(</w:t>
      </w:r>
      <w:r>
        <w:t>2007) 10 HKCFAR 293, at [74].</w:t>
      </w:r>
    </w:p>
  </w:footnote>
  <w:footnote w:id="41">
    <w:p w:rsidR="004311AC" w:rsidRDefault="004311AC" w:rsidP="00E501A2">
      <w:pPr>
        <w:pStyle w:val="FootnoteText"/>
      </w:pPr>
      <w:r>
        <w:rPr>
          <w:rStyle w:val="FootnoteReference"/>
        </w:rPr>
        <w:footnoteRef/>
      </w:r>
      <w:r>
        <w:t xml:space="preserve"> [2007] 2 HKLRD 621, at [67]</w:t>
      </w:r>
      <w:proofErr w:type="gramStart"/>
      <w:r>
        <w:t>-[</w:t>
      </w:r>
      <w:proofErr w:type="gramEnd"/>
      <w:r>
        <w:t>68].</w:t>
      </w:r>
    </w:p>
  </w:footnote>
  <w:footnote w:id="42">
    <w:p w:rsidR="004311AC" w:rsidRDefault="004311AC" w:rsidP="00E501A2">
      <w:pPr>
        <w:pStyle w:val="FootnoteText"/>
      </w:pPr>
      <w:r>
        <w:rPr>
          <w:rStyle w:val="FootnoteReference"/>
        </w:rPr>
        <w:footnoteRef/>
      </w:r>
      <w:r>
        <w:t xml:space="preserve"> </w:t>
      </w:r>
      <w:r>
        <w:rPr>
          <w:rFonts w:hint="eastAsia"/>
        </w:rPr>
        <w:t>[</w:t>
      </w:r>
      <w:r>
        <w:t>2006] 1 HKLRD 400, [116].</w:t>
      </w:r>
    </w:p>
  </w:footnote>
  <w:footnote w:id="43">
    <w:p w:rsidR="004311AC" w:rsidRDefault="004311AC" w:rsidP="00E501A2">
      <w:pPr>
        <w:pStyle w:val="FootnoteText"/>
      </w:pPr>
      <w:r>
        <w:rPr>
          <w:rStyle w:val="FootnoteReference"/>
        </w:rPr>
        <w:footnoteRef/>
      </w:r>
      <w:r>
        <w:t xml:space="preserve"> </w:t>
      </w:r>
      <w:r>
        <w:rPr>
          <w:rFonts w:hint="eastAsia"/>
        </w:rPr>
        <w:t>[</w:t>
      </w:r>
      <w:r>
        <w:t>2021] 5 HKC 411, at [40].</w:t>
      </w:r>
    </w:p>
  </w:footnote>
  <w:footnote w:id="44">
    <w:p w:rsidR="004311AC" w:rsidRPr="0067307C" w:rsidRDefault="004311AC">
      <w:pPr>
        <w:pStyle w:val="FootnoteText"/>
        <w:rPr>
          <w:lang w:val="en-US"/>
        </w:rPr>
      </w:pPr>
      <w:r>
        <w:rPr>
          <w:rStyle w:val="FootnoteReference"/>
        </w:rPr>
        <w:footnoteRef/>
      </w:r>
      <w:r>
        <w:t xml:space="preserve"> </w:t>
      </w:r>
      <w:r>
        <w:rPr>
          <w:lang w:val="en-US"/>
        </w:rPr>
        <w:t>Examples can be seen at [B/5/19-30].</w:t>
      </w:r>
    </w:p>
  </w:footnote>
  <w:footnote w:id="45">
    <w:p w:rsidR="004311AC" w:rsidRPr="00F82C21" w:rsidRDefault="004311AC" w:rsidP="00F82C21">
      <w:pPr>
        <w:pStyle w:val="FootnoteText"/>
        <w:rPr>
          <w:b/>
          <w:bCs/>
          <w:lang w:val="en-US"/>
        </w:rPr>
      </w:pPr>
      <w:r>
        <w:rPr>
          <w:rStyle w:val="FootnoteReference"/>
        </w:rPr>
        <w:footnoteRef/>
      </w:r>
      <w:r>
        <w:t xml:space="preserve"> </w:t>
      </w:r>
      <w:r w:rsidRPr="00F82C21">
        <w:rPr>
          <w:b/>
          <w:bCs/>
          <w:lang w:val="en-US"/>
        </w:rPr>
        <w:t>4.</w:t>
      </w:r>
      <w:r>
        <w:rPr>
          <w:b/>
          <w:bCs/>
          <w:lang w:val="en-US"/>
        </w:rPr>
        <w:t xml:space="preserve"> </w:t>
      </w:r>
      <w:r w:rsidRPr="00F82C21">
        <w:rPr>
          <w:b/>
          <w:bCs/>
          <w:lang w:val="en-US"/>
        </w:rPr>
        <w:t>Disclosure of information obtained under section 2 or 3 of this Schedule</w:t>
      </w:r>
    </w:p>
    <w:p w:rsidR="004311AC" w:rsidRPr="00F82C21" w:rsidRDefault="004311AC" w:rsidP="007721CD">
      <w:pPr>
        <w:pStyle w:val="FootnoteText"/>
        <w:rPr>
          <w:lang w:val="en-US"/>
        </w:rPr>
      </w:pPr>
      <w:r w:rsidRPr="00F82C21">
        <w:rPr>
          <w:lang w:val="en-US"/>
        </w:rPr>
        <w:t>(1)</w:t>
      </w:r>
      <w:r>
        <w:rPr>
          <w:lang w:val="en-US"/>
        </w:rPr>
        <w:t xml:space="preserve"> </w:t>
      </w:r>
      <w:r>
        <w:rPr>
          <w:lang w:val="en-US"/>
        </w:rPr>
        <w:tab/>
      </w:r>
      <w:r w:rsidRPr="00F82C21">
        <w:rPr>
          <w:lang w:val="en-US"/>
        </w:rPr>
        <w:t>Where any information subject to an obligation of secrecy under the Inland Revenue Ordinance (Cap. 112) has been obtained from the Commissioner of Inland Revenue or any officer of the Inland Revenue Department under or by virtue of section 2 or 3 of this Schedule, that information may be disclosed by any authorized officer to the Secretary for Justice for the purposes of—</w:t>
      </w:r>
    </w:p>
    <w:p w:rsidR="004311AC" w:rsidRPr="00F82C21" w:rsidRDefault="004311AC" w:rsidP="007721CD">
      <w:pPr>
        <w:pStyle w:val="FootnoteText"/>
        <w:tabs>
          <w:tab w:val="clear" w:pos="360"/>
          <w:tab w:val="left" w:pos="720"/>
        </w:tabs>
        <w:ind w:left="720"/>
        <w:rPr>
          <w:lang w:val="en-US"/>
        </w:rPr>
      </w:pPr>
      <w:r w:rsidRPr="00F82C21">
        <w:rPr>
          <w:lang w:val="en-US"/>
        </w:rPr>
        <w:t>(a)</w:t>
      </w:r>
      <w:r>
        <w:rPr>
          <w:lang w:val="en-US"/>
        </w:rPr>
        <w:t xml:space="preserve"> </w:t>
      </w:r>
      <w:r>
        <w:rPr>
          <w:lang w:val="en-US"/>
        </w:rPr>
        <w:tab/>
      </w:r>
      <w:r w:rsidRPr="00F82C21">
        <w:rPr>
          <w:lang w:val="en-US"/>
        </w:rPr>
        <w:t>any prosecution of an offence endangering national security;</w:t>
      </w:r>
    </w:p>
    <w:p w:rsidR="004311AC" w:rsidRPr="00F82C21" w:rsidRDefault="004311AC" w:rsidP="007721CD">
      <w:pPr>
        <w:pStyle w:val="FootnoteText"/>
        <w:tabs>
          <w:tab w:val="clear" w:pos="360"/>
          <w:tab w:val="left" w:pos="720"/>
        </w:tabs>
        <w:ind w:left="720"/>
        <w:rPr>
          <w:lang w:val="en-US"/>
        </w:rPr>
      </w:pPr>
      <w:r w:rsidRPr="00F82C21">
        <w:rPr>
          <w:lang w:val="en-US"/>
        </w:rPr>
        <w:t>(b)</w:t>
      </w:r>
      <w:r>
        <w:rPr>
          <w:lang w:val="en-US"/>
        </w:rPr>
        <w:t xml:space="preserve"> </w:t>
      </w:r>
      <w:r>
        <w:rPr>
          <w:lang w:val="en-US"/>
        </w:rPr>
        <w:tab/>
      </w:r>
      <w:r w:rsidRPr="00F82C21">
        <w:rPr>
          <w:lang w:val="en-US"/>
        </w:rPr>
        <w:t>an application for a confiscation order under section 9 of Schedule 3 or an application for a forfeiture order under section 13 of Schedule 3; or</w:t>
      </w:r>
    </w:p>
    <w:p w:rsidR="004311AC" w:rsidRPr="00F82C21" w:rsidRDefault="004311AC" w:rsidP="007721CD">
      <w:pPr>
        <w:pStyle w:val="FootnoteText"/>
        <w:tabs>
          <w:tab w:val="clear" w:pos="360"/>
          <w:tab w:val="left" w:pos="720"/>
        </w:tabs>
        <w:ind w:left="720"/>
        <w:rPr>
          <w:lang w:val="en-US"/>
        </w:rPr>
      </w:pPr>
      <w:r w:rsidRPr="00F82C21">
        <w:rPr>
          <w:lang w:val="en-US"/>
        </w:rPr>
        <w:t>(c)</w:t>
      </w:r>
      <w:r>
        <w:rPr>
          <w:lang w:val="en-US"/>
        </w:rPr>
        <w:t xml:space="preserve"> </w:t>
      </w:r>
      <w:r>
        <w:rPr>
          <w:lang w:val="en-US"/>
        </w:rPr>
        <w:tab/>
      </w:r>
      <w:r w:rsidRPr="00F82C21">
        <w:rPr>
          <w:lang w:val="en-US"/>
        </w:rPr>
        <w:t>an application for a restraint order or charging order under section 6 of Schedule 3,</w:t>
      </w:r>
    </w:p>
    <w:p w:rsidR="004311AC" w:rsidRPr="00F82C21" w:rsidRDefault="004311AC" w:rsidP="009A4324">
      <w:pPr>
        <w:pStyle w:val="FootnoteText"/>
        <w:tabs>
          <w:tab w:val="clear" w:pos="360"/>
          <w:tab w:val="left" w:pos="1080"/>
        </w:tabs>
        <w:ind w:left="709"/>
        <w:rPr>
          <w:lang w:val="en-US"/>
        </w:rPr>
      </w:pPr>
      <w:r>
        <w:rPr>
          <w:lang w:val="en-US"/>
        </w:rPr>
        <w:tab/>
      </w:r>
      <w:r w:rsidRPr="00F82C21">
        <w:rPr>
          <w:lang w:val="en-US"/>
        </w:rPr>
        <w:t>but may not otherwise be disclosed.</w:t>
      </w:r>
    </w:p>
    <w:p w:rsidR="004311AC" w:rsidRPr="00F82C21" w:rsidRDefault="004311AC" w:rsidP="00F82C21">
      <w:pPr>
        <w:pStyle w:val="FootnoteText"/>
        <w:rPr>
          <w:lang w:val="en-US"/>
        </w:rPr>
      </w:pPr>
      <w:r w:rsidRPr="00F82C21">
        <w:rPr>
          <w:lang w:val="en-US"/>
        </w:rPr>
        <w:t>(2)</w:t>
      </w:r>
      <w:r>
        <w:rPr>
          <w:lang w:val="en-US"/>
        </w:rPr>
        <w:t xml:space="preserve"> </w:t>
      </w:r>
      <w:r>
        <w:rPr>
          <w:lang w:val="en-US"/>
        </w:rPr>
        <w:tab/>
      </w:r>
      <w:r w:rsidRPr="00F82C21">
        <w:rPr>
          <w:lang w:val="en-US"/>
        </w:rPr>
        <w:t>Subject to subsection (1), information obtained by any person under or by virtue of section 2 or 3 of this Schedule may be disclosed by any authorized officer—</w:t>
      </w:r>
    </w:p>
    <w:p w:rsidR="004311AC" w:rsidRPr="00F82C21" w:rsidRDefault="004311AC" w:rsidP="007721CD">
      <w:pPr>
        <w:pStyle w:val="FootnoteText"/>
        <w:tabs>
          <w:tab w:val="clear" w:pos="360"/>
          <w:tab w:val="left" w:pos="720"/>
        </w:tabs>
        <w:ind w:left="720"/>
        <w:rPr>
          <w:lang w:val="en-US"/>
        </w:rPr>
      </w:pPr>
      <w:r w:rsidRPr="00F82C21">
        <w:rPr>
          <w:lang w:val="en-US"/>
        </w:rPr>
        <w:t>(a)</w:t>
      </w:r>
      <w:r>
        <w:rPr>
          <w:lang w:val="en-US"/>
        </w:rPr>
        <w:t xml:space="preserve"> </w:t>
      </w:r>
      <w:r>
        <w:rPr>
          <w:lang w:val="en-US"/>
        </w:rPr>
        <w:tab/>
      </w:r>
      <w:r w:rsidRPr="00F82C21">
        <w:rPr>
          <w:lang w:val="en-US"/>
        </w:rPr>
        <w:t>to the Department of Justice and the Hong Kong Police Force; and</w:t>
      </w:r>
    </w:p>
    <w:p w:rsidR="004311AC" w:rsidRPr="00F82C21" w:rsidRDefault="004311AC" w:rsidP="007721CD">
      <w:pPr>
        <w:pStyle w:val="FootnoteText"/>
        <w:tabs>
          <w:tab w:val="clear" w:pos="360"/>
          <w:tab w:val="left" w:pos="720"/>
        </w:tabs>
        <w:ind w:left="720"/>
        <w:rPr>
          <w:lang w:val="en-US"/>
        </w:rPr>
      </w:pPr>
      <w:r w:rsidRPr="00F82C21">
        <w:rPr>
          <w:lang w:val="en-US"/>
        </w:rPr>
        <w:t>(b)</w:t>
      </w:r>
      <w:r>
        <w:rPr>
          <w:lang w:val="en-US"/>
        </w:rPr>
        <w:t xml:space="preserve"> </w:t>
      </w:r>
      <w:r>
        <w:rPr>
          <w:lang w:val="en-US"/>
        </w:rPr>
        <w:tab/>
      </w:r>
      <w:r w:rsidRPr="00F82C21">
        <w:rPr>
          <w:lang w:val="en-US"/>
        </w:rPr>
        <w:t>where the information appears to the Secretary for Justice to be likely to assist any corresponding person or body to discharge its functions—to that person or body.</w:t>
      </w:r>
    </w:p>
    <w:p w:rsidR="004311AC" w:rsidRPr="00F82C21" w:rsidRDefault="004311AC" w:rsidP="00F82C21">
      <w:pPr>
        <w:pStyle w:val="FootnoteText"/>
        <w:rPr>
          <w:lang w:val="en-US"/>
        </w:rPr>
      </w:pPr>
      <w:r w:rsidRPr="00F82C21">
        <w:rPr>
          <w:lang w:val="en-US"/>
        </w:rPr>
        <w:t>(3)</w:t>
      </w:r>
      <w:r>
        <w:rPr>
          <w:lang w:val="en-US"/>
        </w:rPr>
        <w:t xml:space="preserve"> </w:t>
      </w:r>
      <w:r>
        <w:rPr>
          <w:lang w:val="en-US"/>
        </w:rPr>
        <w:tab/>
      </w:r>
      <w:r w:rsidRPr="00F82C21">
        <w:rPr>
          <w:lang w:val="en-US"/>
        </w:rPr>
        <w:t>Subsection (2) is without prejudice to any other right to disclose information obtained under or by virtue of section 2 or 3 of this Schedule that may exist apart from subsection (2).</w:t>
      </w:r>
    </w:p>
    <w:p w:rsidR="004311AC" w:rsidRPr="00F82C21" w:rsidRDefault="004311AC">
      <w:pPr>
        <w:pStyle w:val="FootnoteText"/>
        <w:rPr>
          <w:lang w:val="en-US"/>
        </w:rPr>
      </w:pPr>
      <w:r>
        <w:rPr>
          <w:lang w:val="en-US"/>
        </w:rPr>
        <w:t>…</w:t>
      </w:r>
    </w:p>
  </w:footnote>
  <w:footnote w:id="46">
    <w:p w:rsidR="004311AC" w:rsidRPr="00F82C21" w:rsidRDefault="004311AC">
      <w:pPr>
        <w:pStyle w:val="FootnoteText"/>
        <w:rPr>
          <w:lang w:val="en-US"/>
        </w:rPr>
      </w:pPr>
      <w:r>
        <w:rPr>
          <w:rStyle w:val="FootnoteReference"/>
        </w:rPr>
        <w:footnoteRef/>
      </w:r>
      <w:r>
        <w:t xml:space="preserve"> [2020] 3 HKLRD 39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1AC" w:rsidRDefault="004311AC" w:rsidP="00FF7FCE">
    <w:pPr>
      <w:pStyle w:val="Header"/>
      <w:snapToGrid w:val="0"/>
      <w:spacing w:line="240" w:lineRule="auto"/>
      <w:ind w:firstLine="1440"/>
      <w:jc w:val="center"/>
    </w:pPr>
    <w:r w:rsidRPr="00E71FF3">
      <w:rPr>
        <w:noProof/>
        <w:sz w:val="20"/>
        <w:lang w:val="en-US"/>
      </w:rPr>
      <mc:AlternateContent>
        <mc:Choice Requires="wps">
          <w:drawing>
            <wp:anchor distT="0" distB="0" distL="114300" distR="114300" simplePos="0" relativeHeight="251656192" behindDoc="0" locked="0" layoutInCell="1" allowOverlap="1">
              <wp:simplePos x="0" y="0"/>
              <wp:positionH relativeFrom="column">
                <wp:posOffset>-818515</wp:posOffset>
              </wp:positionH>
              <wp:positionV relativeFrom="paragraph">
                <wp:posOffset>155575</wp:posOffset>
              </wp:positionV>
              <wp:extent cx="342900" cy="994410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4311AC" w:rsidRDefault="004311AC">
                          <w:pPr>
                            <w:rPr>
                              <w:b/>
                              <w:sz w:val="20"/>
                            </w:rPr>
                          </w:pPr>
                          <w:r>
                            <w:rPr>
                              <w:rFonts w:hint="eastAsia"/>
                              <w:b/>
                              <w:sz w:val="20"/>
                            </w:rPr>
                            <w:t>A</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B</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C</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2"/>
                            <w:rPr>
                              <w:sz w:val="16"/>
                            </w:rPr>
                          </w:pPr>
                          <w:r>
                            <w:rPr>
                              <w:rFonts w:hint="eastAsia"/>
                            </w:rPr>
                            <w:t>D</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E</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F</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G</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H</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I</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J</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K</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L</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M</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N</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O</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P</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Q</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R</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S</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T</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U</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4.45pt;margin-top:12.25pt;width:27pt;height:7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hfNAIAADk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" stroked="f">
              <v:textbox>
                <w:txbxContent>
                  <w:p w:rsidR="004311AC" w:rsidRDefault="004311AC">
                    <w:pPr>
                      <w:rPr>
                        <w:b/>
                        <w:sz w:val="20"/>
                      </w:rPr>
                    </w:pPr>
                    <w:r>
                      <w:rPr>
                        <w:rFonts w:hint="eastAsia"/>
                        <w:b/>
                        <w:sz w:val="20"/>
                      </w:rPr>
                      <w:t>A</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B</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C</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2"/>
                      <w:rPr>
                        <w:sz w:val="16"/>
                      </w:rPr>
                    </w:pPr>
                    <w:r>
                      <w:rPr>
                        <w:rFonts w:hint="eastAsia"/>
                      </w:rPr>
                      <w:t>D</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E</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F</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G</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H</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I</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J</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K</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L</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M</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N</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O</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P</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Q</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R</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S</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T</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U</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3"/>
                      <w:jc w:val="left"/>
                    </w:pPr>
                    <w:r>
                      <w:rPr>
                        <w:rFonts w:hint="eastAsia"/>
                      </w:rPr>
                      <w:t>V</w:t>
                    </w:r>
                  </w:p>
                </w:txbxContent>
              </v:textbox>
            </v:shape>
          </w:pict>
        </mc:Fallback>
      </mc:AlternateContent>
    </w:r>
    <w:r w:rsidRPr="00E71FF3">
      <w:rPr>
        <w:noProof/>
        <w:sz w:val="20"/>
        <w:lang w:val="en-US"/>
      </w:rPr>
      <mc:AlternateContent>
        <mc:Choice Requires="wps">
          <w:drawing>
            <wp:anchor distT="0" distB="0" distL="114300" distR="114300" simplePos="0" relativeHeight="251657216" behindDoc="0" locked="0" layoutInCell="1" allowOverlap="1">
              <wp:simplePos x="0" y="0"/>
              <wp:positionH relativeFrom="column">
                <wp:posOffset>5922645</wp:posOffset>
              </wp:positionH>
              <wp:positionV relativeFrom="paragraph">
                <wp:posOffset>155575</wp:posOffset>
              </wp:positionV>
              <wp:extent cx="414020" cy="100584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4311AC" w:rsidRDefault="004311AC">
                          <w:pPr>
                            <w:rPr>
                              <w:b/>
                              <w:sz w:val="20"/>
                            </w:rPr>
                          </w:pPr>
                          <w:r>
                            <w:rPr>
                              <w:rFonts w:hint="eastAsia"/>
                              <w:b/>
                              <w:sz w:val="20"/>
                            </w:rPr>
                            <w:t>A</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B</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C</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2"/>
                            <w:rPr>
                              <w:sz w:val="16"/>
                            </w:rPr>
                          </w:pPr>
                          <w:r>
                            <w:rPr>
                              <w:rFonts w:hint="eastAsia"/>
                            </w:rPr>
                            <w:t>D</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E</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F</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G</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H</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I</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J</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K</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L</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M</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N</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O</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P</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Q</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R</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S</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T</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U</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66.35pt;margin-top:12.25pt;width:32.6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" stroked="f">
              <v:textbox>
                <w:txbxContent>
                  <w:p w:rsidR="004311AC" w:rsidRDefault="004311AC">
                    <w:pPr>
                      <w:rPr>
                        <w:b/>
                        <w:sz w:val="20"/>
                      </w:rPr>
                    </w:pPr>
                    <w:r>
                      <w:rPr>
                        <w:rFonts w:hint="eastAsia"/>
                        <w:b/>
                        <w:sz w:val="20"/>
                      </w:rPr>
                      <w:t>A</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B</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C</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2"/>
                      <w:rPr>
                        <w:sz w:val="16"/>
                      </w:rPr>
                    </w:pPr>
                    <w:r>
                      <w:rPr>
                        <w:rFonts w:hint="eastAsia"/>
                      </w:rPr>
                      <w:t>D</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E</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F</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G</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H</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I</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J</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K</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L</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M</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N</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O</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P</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Q</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R</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S</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T</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U</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1AC" w:rsidRDefault="004311AC">
    <w:pPr>
      <w:pStyle w:val="Header"/>
      <w:ind w:firstLine="1440"/>
      <w:rPr>
        <w:rStyle w:val="PageNumber"/>
        <w:rFonts w:eastAsia="宋体"/>
      </w:rPr>
    </w:pPr>
    <w:r w:rsidRPr="00E71FF3">
      <w:rPr>
        <w:noProof/>
        <w:sz w:val="20"/>
        <w:lang w:val="en-US"/>
      </w:rPr>
      <mc:AlternateContent>
        <mc:Choice Requires="wps">
          <w:drawing>
            <wp:anchor distT="0" distB="0" distL="114300" distR="114300" simplePos="0" relativeHeight="251659264" behindDoc="0" locked="0" layoutInCell="1" allowOverlap="1">
              <wp:simplePos x="0" y="0"/>
              <wp:positionH relativeFrom="column">
                <wp:posOffset>5922645</wp:posOffset>
              </wp:positionH>
              <wp:positionV relativeFrom="paragraph">
                <wp:posOffset>155575</wp:posOffset>
              </wp:positionV>
              <wp:extent cx="414020" cy="1005840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4311AC" w:rsidRDefault="004311AC">
                          <w:pPr>
                            <w:rPr>
                              <w:b/>
                              <w:sz w:val="20"/>
                            </w:rPr>
                          </w:pPr>
                          <w:r>
                            <w:rPr>
                              <w:rFonts w:hint="eastAsia"/>
                              <w:b/>
                              <w:sz w:val="20"/>
                            </w:rPr>
                            <w:t>A</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B</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C</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2"/>
                            <w:rPr>
                              <w:sz w:val="16"/>
                            </w:rPr>
                          </w:pPr>
                          <w:r>
                            <w:rPr>
                              <w:rFonts w:hint="eastAsia"/>
                            </w:rPr>
                            <w:t>D</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E</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F</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G</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H</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I</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J</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K</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L</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M</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N</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O</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P</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Q</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R</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S</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T</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U</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left:0;text-align:left;margin-left:466.3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" stroked="f">
              <v:textbox>
                <w:txbxContent>
                  <w:p w:rsidR="004311AC" w:rsidRDefault="004311AC">
                    <w:pPr>
                      <w:rPr>
                        <w:b/>
                        <w:sz w:val="20"/>
                      </w:rPr>
                    </w:pPr>
                    <w:r>
                      <w:rPr>
                        <w:rFonts w:hint="eastAsia"/>
                        <w:b/>
                        <w:sz w:val="20"/>
                      </w:rPr>
                      <w:t>A</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B</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C</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2"/>
                      <w:rPr>
                        <w:sz w:val="16"/>
                      </w:rPr>
                    </w:pPr>
                    <w:r>
                      <w:rPr>
                        <w:rFonts w:hint="eastAsia"/>
                      </w:rPr>
                      <w:t>D</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E</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F</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G</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H</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I</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J</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K</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L</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M</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N</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O</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P</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Q</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R</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S</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T</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U</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3"/>
                      <w:jc w:val="left"/>
                    </w:pPr>
                    <w:r>
                      <w:rPr>
                        <w:rFonts w:hint="eastAsia"/>
                      </w:rPr>
                      <w:t>V</w:t>
                    </w:r>
                  </w:p>
                </w:txbxContent>
              </v:textbox>
            </v:shape>
          </w:pict>
        </mc:Fallback>
      </mc:AlternateContent>
    </w:r>
    <w:r w:rsidRPr="00E71FF3">
      <w:rPr>
        <w:noProof/>
        <w:sz w:val="20"/>
        <w:lang w:val="en-US"/>
      </w:rPr>
      <mc:AlternateContent>
        <mc:Choice Requires="wps">
          <w:drawing>
            <wp:anchor distT="0" distB="0" distL="114300" distR="114300" simplePos="0" relativeHeight="251658240" behindDoc="0" locked="0" layoutInCell="1" allowOverlap="1">
              <wp:simplePos x="0" y="0"/>
              <wp:positionH relativeFrom="column">
                <wp:posOffset>-813435</wp:posOffset>
              </wp:positionH>
              <wp:positionV relativeFrom="paragraph">
                <wp:posOffset>178435</wp:posOffset>
              </wp:positionV>
              <wp:extent cx="342900" cy="99441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4311AC" w:rsidRDefault="004311AC">
                          <w:pPr>
                            <w:rPr>
                              <w:b/>
                              <w:sz w:val="20"/>
                            </w:rPr>
                          </w:pPr>
                          <w:r>
                            <w:rPr>
                              <w:rFonts w:hint="eastAsia"/>
                              <w:b/>
                              <w:sz w:val="20"/>
                            </w:rPr>
                            <w:t>A</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B</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C</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2"/>
                            <w:rPr>
                              <w:sz w:val="16"/>
                            </w:rPr>
                          </w:pPr>
                          <w:r>
                            <w:rPr>
                              <w:rFonts w:hint="eastAsia"/>
                            </w:rPr>
                            <w:t>D</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E</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F</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G</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H</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I</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J</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K</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L</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M</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N</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O</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P</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Q</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R</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S</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T</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U</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64.05pt;margin-top:14.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" stroked="f">
              <v:textbox>
                <w:txbxContent>
                  <w:p w:rsidR="004311AC" w:rsidRDefault="004311AC">
                    <w:pPr>
                      <w:rPr>
                        <w:b/>
                        <w:sz w:val="20"/>
                      </w:rPr>
                    </w:pPr>
                    <w:r>
                      <w:rPr>
                        <w:rFonts w:hint="eastAsia"/>
                        <w:b/>
                        <w:sz w:val="20"/>
                      </w:rPr>
                      <w:t>A</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B</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C</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2"/>
                      <w:rPr>
                        <w:sz w:val="16"/>
                      </w:rPr>
                    </w:pPr>
                    <w:r>
                      <w:rPr>
                        <w:rFonts w:hint="eastAsia"/>
                      </w:rPr>
                      <w:t>D</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E</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20"/>
                      </w:rPr>
                    </w:pPr>
                    <w:r>
                      <w:rPr>
                        <w:rFonts w:hint="eastAsia"/>
                        <w:b/>
                        <w:sz w:val="20"/>
                      </w:rPr>
                      <w:t>F</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G</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H</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I</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J</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K</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L</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M</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N</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O</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P</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Q</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R</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S</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T</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rPr>
                        <w:b/>
                        <w:sz w:val="16"/>
                      </w:rPr>
                    </w:pPr>
                    <w:r>
                      <w:rPr>
                        <w:rFonts w:hint="eastAsia"/>
                        <w:b/>
                        <w:sz w:val="20"/>
                      </w:rPr>
                      <w:t>U</w:t>
                    </w:r>
                  </w:p>
                  <w:p w:rsidR="004311AC" w:rsidRDefault="004311AC">
                    <w:pPr>
                      <w:rPr>
                        <w:b/>
                        <w:sz w:val="10"/>
                      </w:rPr>
                    </w:pPr>
                  </w:p>
                  <w:p w:rsidR="004311AC" w:rsidRDefault="004311AC">
                    <w:pPr>
                      <w:rPr>
                        <w:b/>
                        <w:sz w:val="16"/>
                      </w:rPr>
                    </w:pPr>
                  </w:p>
                  <w:p w:rsidR="004311AC" w:rsidRDefault="004311AC">
                    <w:pPr>
                      <w:rPr>
                        <w:b/>
                        <w:sz w:val="16"/>
                      </w:rPr>
                    </w:pPr>
                  </w:p>
                  <w:p w:rsidR="004311AC" w:rsidRDefault="004311AC">
                    <w:pPr>
                      <w:pStyle w:val="Heading3"/>
                      <w:jc w:val="left"/>
                    </w:pPr>
                    <w:r>
                      <w:rPr>
                        <w:rFonts w:hint="eastAsia"/>
                      </w:rPr>
                      <w:t>V</w:t>
                    </w:r>
                  </w:p>
                </w:txbxContent>
              </v:textbox>
            </v:shape>
          </w:pict>
        </mc:Fallback>
      </mc:AlternateContent>
    </w:r>
    <w:r>
      <w:rPr>
        <w:rFonts w:hint="eastAsia"/>
      </w:rPr>
      <w:tab/>
      <w:t xml:space="preserve">- </w:t>
    </w:r>
    <w:r>
      <w:rPr>
        <w:rStyle w:val="PageNumber"/>
      </w:rPr>
      <w:fldChar w:fldCharType="begin"/>
    </w:r>
    <w:r>
      <w:rPr>
        <w:rStyle w:val="PageNumber"/>
      </w:rPr>
      <w:instrText xml:space="preserve"> PAGE </w:instrText>
    </w:r>
    <w:r>
      <w:rPr>
        <w:rStyle w:val="PageNumber"/>
      </w:rPr>
      <w:fldChar w:fldCharType="separate"/>
    </w:r>
    <w:r w:rsidR="00216968">
      <w:rPr>
        <w:rStyle w:val="PageNumber"/>
        <w:noProof/>
      </w:rPr>
      <w:t>2</w:t>
    </w:r>
    <w:r>
      <w:rPr>
        <w:rStyle w:val="PageNumber"/>
      </w:rPr>
      <w:fldChar w:fldCharType="end"/>
    </w:r>
    <w:r>
      <w:rPr>
        <w:rStyle w:val="PageNumbe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A646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DEFE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22E67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FA10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389A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06B1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0E41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4CF3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188D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56E6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34B48"/>
    <w:multiLevelType w:val="hybridMultilevel"/>
    <w:tmpl w:val="1C28A9A2"/>
    <w:lvl w:ilvl="0" w:tplc="BA16635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6DE2A47"/>
    <w:multiLevelType w:val="hybridMultilevel"/>
    <w:tmpl w:val="C8F28320"/>
    <w:lvl w:ilvl="0" w:tplc="23A4C1F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D40749C"/>
    <w:multiLevelType w:val="hybridMultilevel"/>
    <w:tmpl w:val="91BC6724"/>
    <w:lvl w:ilvl="0" w:tplc="6B02AA08">
      <w:start w:val="1"/>
      <w:numFmt w:val="decimal"/>
      <w:pStyle w:val="Final"/>
      <w:lvlText w:val="%1."/>
      <w:lvlJc w:val="left"/>
      <w:pPr>
        <w:ind w:left="720" w:hanging="360"/>
      </w:pPr>
      <w:rPr>
        <w:rFonts w:ascii="Times New Roman" w:eastAsia="宋体" w:hAnsi="Times New Roman" w:cs="Times New Roman"/>
      </w:rPr>
    </w:lvl>
    <w:lvl w:ilvl="1" w:tplc="096A7542">
      <w:start w:val="1"/>
      <w:numFmt w:val="lowerLetter"/>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673146"/>
    <w:multiLevelType w:val="hybridMultilevel"/>
    <w:tmpl w:val="F8CC6D88"/>
    <w:lvl w:ilvl="0" w:tplc="3F70FF3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CD96EF3"/>
    <w:multiLevelType w:val="hybridMultilevel"/>
    <w:tmpl w:val="1DB884A2"/>
    <w:lvl w:ilvl="0" w:tplc="E7ECF83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469AB"/>
    <w:multiLevelType w:val="singleLevel"/>
    <w:tmpl w:val="94F8866A"/>
    <w:lvl w:ilvl="0">
      <w:start w:val="1"/>
      <w:numFmt w:val="decimal"/>
      <w:pStyle w:val="para"/>
      <w:lvlText w:val="%1."/>
      <w:lvlJc w:val="left"/>
      <w:pPr>
        <w:tabs>
          <w:tab w:val="num" w:pos="360"/>
        </w:tabs>
        <w:ind w:left="0" w:firstLine="0"/>
      </w:pPr>
      <w:rPr>
        <w:rFonts w:hint="eastAsia"/>
      </w:rPr>
    </w:lvl>
  </w:abstractNum>
  <w:abstractNum w:abstractNumId="16" w15:restartNumberingAfterBreak="0">
    <w:nsid w:val="334D5118"/>
    <w:multiLevelType w:val="hybridMultilevel"/>
    <w:tmpl w:val="61D0D982"/>
    <w:lvl w:ilvl="0" w:tplc="6DFA6E26">
      <w:start w:val="1"/>
      <w:numFmt w:val="decimal"/>
      <w:lvlText w:val="(%1)"/>
      <w:lvlJc w:val="left"/>
      <w:pPr>
        <w:ind w:left="1440" w:hanging="360"/>
      </w:pPr>
      <w:rPr>
        <w:rFonts w:ascii="Times New Roman" w:eastAsia="PMingLiU"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421FE4"/>
    <w:multiLevelType w:val="hybridMultilevel"/>
    <w:tmpl w:val="61D0D982"/>
    <w:lvl w:ilvl="0" w:tplc="6DFA6E26">
      <w:start w:val="1"/>
      <w:numFmt w:val="decimal"/>
      <w:lvlText w:val="(%1)"/>
      <w:lvlJc w:val="left"/>
      <w:pPr>
        <w:ind w:left="1440" w:hanging="360"/>
      </w:pPr>
      <w:rPr>
        <w:rFonts w:ascii="Times New Roman" w:eastAsia="PMingLiU"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C7698F"/>
    <w:multiLevelType w:val="hybridMultilevel"/>
    <w:tmpl w:val="A3CC47EE"/>
    <w:lvl w:ilvl="0" w:tplc="096A7542">
      <w:start w:val="1"/>
      <w:numFmt w:val="lowerLetter"/>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096DB5"/>
    <w:multiLevelType w:val="hybridMultilevel"/>
    <w:tmpl w:val="5A503D6A"/>
    <w:lvl w:ilvl="0" w:tplc="01EAEF10">
      <w:start w:val="1"/>
      <w:numFmt w:val="decimal"/>
      <w:lvlText w:val="%1."/>
      <w:lvlJc w:val="left"/>
      <w:pPr>
        <w:tabs>
          <w:tab w:val="num" w:pos="720"/>
        </w:tabs>
        <w:ind w:left="567" w:hanging="567"/>
      </w:pPr>
      <w:rPr>
        <w:rFonts w:hint="default"/>
      </w:rPr>
    </w:lvl>
    <w:lvl w:ilvl="1" w:tplc="EE3C1D9C">
      <w:start w:val="1"/>
      <w:numFmt w:val="decimal"/>
      <w:lvlText w:val="(%2)"/>
      <w:lvlJc w:val="left"/>
      <w:pPr>
        <w:ind w:left="1134" w:hanging="567"/>
      </w:pPr>
      <w:rPr>
        <w:rFonts w:hint="default"/>
        <w:b w:val="0"/>
        <w:bCs w:val="0"/>
      </w:rPr>
    </w:lvl>
    <w:lvl w:ilvl="2" w:tplc="10E2E960">
      <w:start w:val="1"/>
      <w:numFmt w:val="lowerLetter"/>
      <w:lvlText w:val="(%3)"/>
      <w:lvlJc w:val="left"/>
      <w:pPr>
        <w:ind w:left="1701" w:hanging="567"/>
      </w:pPr>
      <w:rPr>
        <w:rFonts w:hint="default"/>
      </w:rPr>
    </w:lvl>
    <w:lvl w:ilvl="3" w:tplc="F006BA62">
      <w:start w:val="1"/>
      <w:numFmt w:val="decimal"/>
      <w:lvlText w:val="(%4)"/>
      <w:lvlJc w:val="left"/>
      <w:pPr>
        <w:ind w:left="2520" w:hanging="360"/>
      </w:pPr>
      <w:rPr>
        <w:rFonts w:hint="default"/>
        <w:b w:val="0"/>
        <w:bCs w:val="0"/>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1565387"/>
    <w:multiLevelType w:val="hybridMultilevel"/>
    <w:tmpl w:val="B79EDD44"/>
    <w:lvl w:ilvl="0" w:tplc="0D96AE58">
      <w:start w:val="1"/>
      <w:numFmt w:val="decimal"/>
      <w:lvlText w:val="%1."/>
      <w:lvlJc w:val="left"/>
      <w:pPr>
        <w:ind w:left="720" w:hanging="360"/>
      </w:pPr>
      <w:rPr>
        <w:rFonts w:hint="default"/>
        <w:b w:val="0"/>
        <w:bCs w:val="0"/>
      </w:rPr>
    </w:lvl>
    <w:lvl w:ilvl="1" w:tplc="2DB4BACA">
      <w:start w:val="1"/>
      <w:numFmt w:val="decimal"/>
      <w:lvlText w:val="(%2)"/>
      <w:lvlJc w:val="left"/>
      <w:pPr>
        <w:ind w:left="1440" w:hanging="360"/>
      </w:pPr>
      <w:rPr>
        <w:rFonts w:hint="default"/>
        <w:b w:val="0"/>
        <w:sz w:val="24"/>
        <w:szCs w:val="24"/>
      </w:rPr>
    </w:lvl>
    <w:lvl w:ilvl="2" w:tplc="A762F1A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7A3D30"/>
    <w:multiLevelType w:val="multilevel"/>
    <w:tmpl w:val="6BAE937C"/>
    <w:lvl w:ilvl="0">
      <w:start w:val="1"/>
      <w:numFmt w:val="decimal"/>
      <w:lvlText w:val="%1."/>
      <w:lvlJc w:val="left"/>
      <w:pPr>
        <w:ind w:left="851" w:hanging="851"/>
      </w:pPr>
      <w:rPr>
        <w:rFonts w:hint="default"/>
        <w:b w:val="0"/>
        <w:i w:val="0"/>
        <w:sz w:val="28"/>
        <w:szCs w:val="28"/>
        <w:lang w:val="en-HK"/>
      </w:rPr>
    </w:lvl>
    <w:lvl w:ilvl="1">
      <w:start w:val="1"/>
      <w:numFmt w:val="decimal"/>
      <w:lvlText w:val="(%2)"/>
      <w:lvlJc w:val="left"/>
      <w:pPr>
        <w:ind w:left="1701" w:hanging="850"/>
      </w:pPr>
      <w:rPr>
        <w:rFonts w:ascii="Times New Roman" w:eastAsia="Times New Roman" w:hAnsi="Times New Roman" w:cs="Times New Roman" w:hint="default"/>
        <w:b w:val="0"/>
        <w:i w:val="0"/>
        <w:sz w:val="28"/>
        <w:szCs w:val="28"/>
        <w:lang w:val="en-US"/>
      </w:rPr>
    </w:lvl>
    <w:lvl w:ilvl="2">
      <w:start w:val="1"/>
      <w:numFmt w:val="lowerRoman"/>
      <w:lvlText w:val="(%3)"/>
      <w:lvlJc w:val="left"/>
      <w:pPr>
        <w:ind w:left="2552" w:hanging="851"/>
      </w:pPr>
      <w:rPr>
        <w:rFonts w:hint="default"/>
        <w:b w:val="0"/>
        <w:bCs w:val="0"/>
      </w:rPr>
    </w:lvl>
    <w:lvl w:ilvl="3">
      <w:start w:val="1"/>
      <w:numFmt w:val="upperRoman"/>
      <w:lvlText w:val="(%4)"/>
      <w:lvlJc w:val="left"/>
      <w:pPr>
        <w:ind w:left="3402" w:hanging="850"/>
      </w:pPr>
      <w:rPr>
        <w:rFonts w:hint="default"/>
      </w:rPr>
    </w:lvl>
    <w:lvl w:ilvl="4">
      <w:start w:val="1"/>
      <w:numFmt w:val="lowerLetter"/>
      <w:lvlText w:val="%5."/>
      <w:lvlJc w:val="left"/>
      <w:pPr>
        <w:ind w:left="4253" w:hanging="851"/>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b w:val="0"/>
        <w:bCs/>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6131678"/>
    <w:multiLevelType w:val="hybridMultilevel"/>
    <w:tmpl w:val="3950000A"/>
    <w:lvl w:ilvl="0" w:tplc="1D48BF7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6C6523F"/>
    <w:multiLevelType w:val="hybridMultilevel"/>
    <w:tmpl w:val="8BD83E4E"/>
    <w:lvl w:ilvl="0" w:tplc="BB9A9458">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D72E4"/>
    <w:multiLevelType w:val="hybridMultilevel"/>
    <w:tmpl w:val="D674A61A"/>
    <w:lvl w:ilvl="0" w:tplc="90082CC2">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F0799"/>
    <w:multiLevelType w:val="hybridMultilevel"/>
    <w:tmpl w:val="D23A773C"/>
    <w:lvl w:ilvl="0" w:tplc="1D48BF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DB4E24"/>
    <w:multiLevelType w:val="hybridMultilevel"/>
    <w:tmpl w:val="6E509092"/>
    <w:lvl w:ilvl="0" w:tplc="B0F6411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D6681B"/>
    <w:multiLevelType w:val="hybridMultilevel"/>
    <w:tmpl w:val="FD88EFFC"/>
    <w:lvl w:ilvl="0" w:tplc="D0B410A6">
      <w:start w:val="2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4069A"/>
    <w:multiLevelType w:val="hybridMultilevel"/>
    <w:tmpl w:val="D4DEE316"/>
    <w:lvl w:ilvl="0" w:tplc="F1E44B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7377F5"/>
    <w:multiLevelType w:val="hybridMultilevel"/>
    <w:tmpl w:val="5D78361A"/>
    <w:lvl w:ilvl="0" w:tplc="0144C630">
      <w:start w:val="1"/>
      <w:numFmt w:val="bullet"/>
      <w:pStyle w:val="Hangingen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20B85"/>
    <w:multiLevelType w:val="hybridMultilevel"/>
    <w:tmpl w:val="F150535E"/>
    <w:lvl w:ilvl="0" w:tplc="4F363D0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E8D59E7"/>
    <w:multiLevelType w:val="hybridMultilevel"/>
    <w:tmpl w:val="4198FA6E"/>
    <w:lvl w:ilvl="0" w:tplc="46741EC8">
      <w:start w:val="1"/>
      <w:numFmt w:val="lowerRoman"/>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5"/>
  </w:num>
  <w:num w:numId="2">
    <w:abstractNumId w:val="29"/>
  </w:num>
  <w:num w:numId="3">
    <w:abstractNumId w:val="26"/>
  </w:num>
  <w:num w:numId="4">
    <w:abstractNumId w:val="30"/>
  </w:num>
  <w:num w:numId="5">
    <w:abstractNumId w:val="10"/>
  </w:num>
  <w:num w:numId="6">
    <w:abstractNumId w:val="14"/>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1"/>
  </w:num>
  <w:num w:numId="20">
    <w:abstractNumId w:val="16"/>
  </w:num>
  <w:num w:numId="21">
    <w:abstractNumId w:val="28"/>
  </w:num>
  <w:num w:numId="22">
    <w:abstractNumId w:val="12"/>
  </w:num>
  <w:num w:numId="23">
    <w:abstractNumId w:val="21"/>
  </w:num>
  <w:num w:numId="24">
    <w:abstractNumId w:val="19"/>
  </w:num>
  <w:num w:numId="25">
    <w:abstractNumId w:val="25"/>
  </w:num>
  <w:num w:numId="26">
    <w:abstractNumId w:val="12"/>
    <w:lvlOverride w:ilvl="0">
      <w:startOverride w:val="1"/>
    </w:lvlOverride>
    <w:lvlOverride w:ilvl="1">
      <w:startOverride w:val="9"/>
    </w:lvlOverride>
  </w:num>
  <w:num w:numId="27">
    <w:abstractNumId w:val="23"/>
  </w:num>
  <w:num w:numId="28">
    <w:abstractNumId w:val="12"/>
    <w:lvlOverride w:ilvl="0">
      <w:startOverride w:val="25"/>
    </w:lvlOverride>
  </w:num>
  <w:num w:numId="29">
    <w:abstractNumId w:val="27"/>
  </w:num>
  <w:num w:numId="30">
    <w:abstractNumId w:val="18"/>
  </w:num>
  <w:num w:numId="31">
    <w:abstractNumId w:val="22"/>
  </w:num>
  <w:num w:numId="32">
    <w:abstractNumId w:val="24"/>
  </w:num>
  <w:num w:numId="33">
    <w:abstractNumId w:val="13"/>
  </w:num>
  <w:num w:numId="34">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0"/>
  <w:activeWritingStyle w:appName="MSWord" w:lang="zh-CN" w:vendorID="64" w:dllVersion="131077" w:nlCheck="1" w:checkStyle="1"/>
  <w:activeWritingStyle w:appName="MSWord" w:lang="en-HK" w:vendorID="64" w:dllVersion="131078" w:nlCheck="1" w:checkStyle="0"/>
  <w:activeWritingStyle w:appName="MSWord" w:lang="zh-TW" w:vendorID="64" w:dllVersion="131077" w:nlCheck="1" w:checkStyle="1"/>
  <w:proofState w:spelling="clean" w:grammar="clean"/>
  <w:attachedTemplate r:id="rId1"/>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956C59E-CE83-44EC-872D-88C67BFB1EF3}"/>
    <w:docVar w:name="dgnword-eventsink" w:val="633958093376"/>
  </w:docVars>
  <w:rsids>
    <w:rsidRoot w:val="00B30ED9"/>
    <w:rsid w:val="00000431"/>
    <w:rsid w:val="000006A9"/>
    <w:rsid w:val="00001FEB"/>
    <w:rsid w:val="00002708"/>
    <w:rsid w:val="00002D3C"/>
    <w:rsid w:val="00003992"/>
    <w:rsid w:val="000047C0"/>
    <w:rsid w:val="00006C14"/>
    <w:rsid w:val="000072D9"/>
    <w:rsid w:val="00007A96"/>
    <w:rsid w:val="00007F99"/>
    <w:rsid w:val="00010E90"/>
    <w:rsid w:val="00010F2C"/>
    <w:rsid w:val="000115DF"/>
    <w:rsid w:val="000118D4"/>
    <w:rsid w:val="00012FC1"/>
    <w:rsid w:val="0001323C"/>
    <w:rsid w:val="00013C69"/>
    <w:rsid w:val="00014F4E"/>
    <w:rsid w:val="0001533D"/>
    <w:rsid w:val="000155F7"/>
    <w:rsid w:val="00015728"/>
    <w:rsid w:val="00015F5E"/>
    <w:rsid w:val="000205D9"/>
    <w:rsid w:val="0002063D"/>
    <w:rsid w:val="000208D2"/>
    <w:rsid w:val="0002111E"/>
    <w:rsid w:val="00021C55"/>
    <w:rsid w:val="0002271B"/>
    <w:rsid w:val="000229C6"/>
    <w:rsid w:val="00022EDA"/>
    <w:rsid w:val="000232B5"/>
    <w:rsid w:val="000246C6"/>
    <w:rsid w:val="00024910"/>
    <w:rsid w:val="000262DD"/>
    <w:rsid w:val="0002659B"/>
    <w:rsid w:val="000266B2"/>
    <w:rsid w:val="00027163"/>
    <w:rsid w:val="00027197"/>
    <w:rsid w:val="0002719C"/>
    <w:rsid w:val="000274B5"/>
    <w:rsid w:val="00027DC5"/>
    <w:rsid w:val="0003003F"/>
    <w:rsid w:val="00030255"/>
    <w:rsid w:val="00030B02"/>
    <w:rsid w:val="00030D6D"/>
    <w:rsid w:val="000316D5"/>
    <w:rsid w:val="000321E3"/>
    <w:rsid w:val="0003235E"/>
    <w:rsid w:val="000326B8"/>
    <w:rsid w:val="00033FED"/>
    <w:rsid w:val="00034282"/>
    <w:rsid w:val="00037308"/>
    <w:rsid w:val="0003740B"/>
    <w:rsid w:val="00037664"/>
    <w:rsid w:val="00037CF5"/>
    <w:rsid w:val="000404CF"/>
    <w:rsid w:val="00040C8A"/>
    <w:rsid w:val="00041877"/>
    <w:rsid w:val="0004220C"/>
    <w:rsid w:val="000429FB"/>
    <w:rsid w:val="00042CA4"/>
    <w:rsid w:val="000434CF"/>
    <w:rsid w:val="000436E3"/>
    <w:rsid w:val="000439F4"/>
    <w:rsid w:val="00043C1E"/>
    <w:rsid w:val="00046954"/>
    <w:rsid w:val="00047BFF"/>
    <w:rsid w:val="00050C1D"/>
    <w:rsid w:val="0005135C"/>
    <w:rsid w:val="00053898"/>
    <w:rsid w:val="00053BC1"/>
    <w:rsid w:val="00054F3C"/>
    <w:rsid w:val="00055145"/>
    <w:rsid w:val="00055681"/>
    <w:rsid w:val="000559AC"/>
    <w:rsid w:val="0006085F"/>
    <w:rsid w:val="0006113B"/>
    <w:rsid w:val="00061AF1"/>
    <w:rsid w:val="000632C9"/>
    <w:rsid w:val="00065940"/>
    <w:rsid w:val="00066119"/>
    <w:rsid w:val="00066D2C"/>
    <w:rsid w:val="00066E83"/>
    <w:rsid w:val="00067441"/>
    <w:rsid w:val="00067850"/>
    <w:rsid w:val="00067EC1"/>
    <w:rsid w:val="000702F1"/>
    <w:rsid w:val="00070456"/>
    <w:rsid w:val="00071D12"/>
    <w:rsid w:val="00072728"/>
    <w:rsid w:val="00073D0A"/>
    <w:rsid w:val="0007526A"/>
    <w:rsid w:val="0007573D"/>
    <w:rsid w:val="000804D0"/>
    <w:rsid w:val="000809BF"/>
    <w:rsid w:val="000809EC"/>
    <w:rsid w:val="00081410"/>
    <w:rsid w:val="0008199A"/>
    <w:rsid w:val="00081B33"/>
    <w:rsid w:val="00081D22"/>
    <w:rsid w:val="000830AA"/>
    <w:rsid w:val="0008348C"/>
    <w:rsid w:val="00084054"/>
    <w:rsid w:val="00085215"/>
    <w:rsid w:val="00085700"/>
    <w:rsid w:val="00086A5F"/>
    <w:rsid w:val="000912C5"/>
    <w:rsid w:val="00091792"/>
    <w:rsid w:val="000925F8"/>
    <w:rsid w:val="000932C3"/>
    <w:rsid w:val="00093521"/>
    <w:rsid w:val="00093800"/>
    <w:rsid w:val="0009402C"/>
    <w:rsid w:val="00094C6F"/>
    <w:rsid w:val="00097669"/>
    <w:rsid w:val="00097CA8"/>
    <w:rsid w:val="000A0B50"/>
    <w:rsid w:val="000A0CB5"/>
    <w:rsid w:val="000A21BA"/>
    <w:rsid w:val="000A247B"/>
    <w:rsid w:val="000A2597"/>
    <w:rsid w:val="000A25BD"/>
    <w:rsid w:val="000A2BA7"/>
    <w:rsid w:val="000A30A1"/>
    <w:rsid w:val="000A3FEB"/>
    <w:rsid w:val="000A4063"/>
    <w:rsid w:val="000A4BD2"/>
    <w:rsid w:val="000A63B6"/>
    <w:rsid w:val="000A652D"/>
    <w:rsid w:val="000A6551"/>
    <w:rsid w:val="000A71C3"/>
    <w:rsid w:val="000A7539"/>
    <w:rsid w:val="000A78CD"/>
    <w:rsid w:val="000A7DE8"/>
    <w:rsid w:val="000B072F"/>
    <w:rsid w:val="000B0B11"/>
    <w:rsid w:val="000B0D3D"/>
    <w:rsid w:val="000B0F18"/>
    <w:rsid w:val="000B1453"/>
    <w:rsid w:val="000B15A2"/>
    <w:rsid w:val="000B162F"/>
    <w:rsid w:val="000B28B8"/>
    <w:rsid w:val="000B3087"/>
    <w:rsid w:val="000B328A"/>
    <w:rsid w:val="000B3B19"/>
    <w:rsid w:val="000B3B31"/>
    <w:rsid w:val="000B3C7C"/>
    <w:rsid w:val="000B6083"/>
    <w:rsid w:val="000B6557"/>
    <w:rsid w:val="000B790D"/>
    <w:rsid w:val="000B7D6B"/>
    <w:rsid w:val="000C0283"/>
    <w:rsid w:val="000C2506"/>
    <w:rsid w:val="000C3C69"/>
    <w:rsid w:val="000C6529"/>
    <w:rsid w:val="000C7910"/>
    <w:rsid w:val="000C7E1D"/>
    <w:rsid w:val="000D0B7E"/>
    <w:rsid w:val="000D0D40"/>
    <w:rsid w:val="000D2D5C"/>
    <w:rsid w:val="000D3049"/>
    <w:rsid w:val="000D37B1"/>
    <w:rsid w:val="000D3F44"/>
    <w:rsid w:val="000D488A"/>
    <w:rsid w:val="000D5141"/>
    <w:rsid w:val="000D5C1C"/>
    <w:rsid w:val="000D6121"/>
    <w:rsid w:val="000D63ED"/>
    <w:rsid w:val="000D68A9"/>
    <w:rsid w:val="000D7140"/>
    <w:rsid w:val="000D7D00"/>
    <w:rsid w:val="000E04EF"/>
    <w:rsid w:val="000E0B2D"/>
    <w:rsid w:val="000E1680"/>
    <w:rsid w:val="000E1A2F"/>
    <w:rsid w:val="000E2228"/>
    <w:rsid w:val="000E295B"/>
    <w:rsid w:val="000E398C"/>
    <w:rsid w:val="000E3F20"/>
    <w:rsid w:val="000E4067"/>
    <w:rsid w:val="000E58E0"/>
    <w:rsid w:val="000E61AC"/>
    <w:rsid w:val="000E7324"/>
    <w:rsid w:val="000E7B6B"/>
    <w:rsid w:val="000F04C0"/>
    <w:rsid w:val="000F0649"/>
    <w:rsid w:val="000F274D"/>
    <w:rsid w:val="000F2D05"/>
    <w:rsid w:val="000F367E"/>
    <w:rsid w:val="000F36C4"/>
    <w:rsid w:val="000F4832"/>
    <w:rsid w:val="000F61A9"/>
    <w:rsid w:val="000F65EB"/>
    <w:rsid w:val="000F6CD0"/>
    <w:rsid w:val="000F6CE0"/>
    <w:rsid w:val="000F7187"/>
    <w:rsid w:val="00100435"/>
    <w:rsid w:val="00100594"/>
    <w:rsid w:val="0010098D"/>
    <w:rsid w:val="001017FF"/>
    <w:rsid w:val="00101A86"/>
    <w:rsid w:val="0010218D"/>
    <w:rsid w:val="00102CCF"/>
    <w:rsid w:val="00102E21"/>
    <w:rsid w:val="00104AD8"/>
    <w:rsid w:val="00104CE7"/>
    <w:rsid w:val="001055D7"/>
    <w:rsid w:val="00105B85"/>
    <w:rsid w:val="00105BFD"/>
    <w:rsid w:val="001075C2"/>
    <w:rsid w:val="00107ADE"/>
    <w:rsid w:val="00110733"/>
    <w:rsid w:val="0011090E"/>
    <w:rsid w:val="00111656"/>
    <w:rsid w:val="00111F03"/>
    <w:rsid w:val="00112678"/>
    <w:rsid w:val="00112C26"/>
    <w:rsid w:val="001143F9"/>
    <w:rsid w:val="0011453F"/>
    <w:rsid w:val="00117BF3"/>
    <w:rsid w:val="00121204"/>
    <w:rsid w:val="00121A80"/>
    <w:rsid w:val="00122D8A"/>
    <w:rsid w:val="00122F98"/>
    <w:rsid w:val="00123033"/>
    <w:rsid w:val="001231FC"/>
    <w:rsid w:val="00123FBA"/>
    <w:rsid w:val="001245B9"/>
    <w:rsid w:val="00124BE8"/>
    <w:rsid w:val="00125583"/>
    <w:rsid w:val="0012645A"/>
    <w:rsid w:val="00126ECF"/>
    <w:rsid w:val="0012751E"/>
    <w:rsid w:val="00130AF9"/>
    <w:rsid w:val="00132D2E"/>
    <w:rsid w:val="00132F29"/>
    <w:rsid w:val="001340F0"/>
    <w:rsid w:val="001342DA"/>
    <w:rsid w:val="00134627"/>
    <w:rsid w:val="0013469B"/>
    <w:rsid w:val="001347E6"/>
    <w:rsid w:val="00134A9A"/>
    <w:rsid w:val="00135428"/>
    <w:rsid w:val="00135974"/>
    <w:rsid w:val="00136002"/>
    <w:rsid w:val="00136D37"/>
    <w:rsid w:val="001378B4"/>
    <w:rsid w:val="0014058A"/>
    <w:rsid w:val="00140B6E"/>
    <w:rsid w:val="00140D82"/>
    <w:rsid w:val="00141BD4"/>
    <w:rsid w:val="00141CC6"/>
    <w:rsid w:val="001423EB"/>
    <w:rsid w:val="0014297B"/>
    <w:rsid w:val="00142FF4"/>
    <w:rsid w:val="00143961"/>
    <w:rsid w:val="00144247"/>
    <w:rsid w:val="00145D68"/>
    <w:rsid w:val="00146CD3"/>
    <w:rsid w:val="0014776A"/>
    <w:rsid w:val="0015119C"/>
    <w:rsid w:val="00151B7F"/>
    <w:rsid w:val="00152056"/>
    <w:rsid w:val="00153198"/>
    <w:rsid w:val="001533AC"/>
    <w:rsid w:val="00153BFF"/>
    <w:rsid w:val="00153CA8"/>
    <w:rsid w:val="001550E8"/>
    <w:rsid w:val="00155460"/>
    <w:rsid w:val="00155673"/>
    <w:rsid w:val="00155BEE"/>
    <w:rsid w:val="0015635C"/>
    <w:rsid w:val="00156B13"/>
    <w:rsid w:val="00157C06"/>
    <w:rsid w:val="00157E2C"/>
    <w:rsid w:val="00160016"/>
    <w:rsid w:val="00160980"/>
    <w:rsid w:val="00161475"/>
    <w:rsid w:val="001618A3"/>
    <w:rsid w:val="00161B48"/>
    <w:rsid w:val="00162410"/>
    <w:rsid w:val="001625BB"/>
    <w:rsid w:val="00163C3F"/>
    <w:rsid w:val="00163F69"/>
    <w:rsid w:val="001654D0"/>
    <w:rsid w:val="001656F8"/>
    <w:rsid w:val="00166A10"/>
    <w:rsid w:val="00166E02"/>
    <w:rsid w:val="00167002"/>
    <w:rsid w:val="00167B4E"/>
    <w:rsid w:val="00170376"/>
    <w:rsid w:val="00170FB0"/>
    <w:rsid w:val="0017114F"/>
    <w:rsid w:val="00172069"/>
    <w:rsid w:val="00173452"/>
    <w:rsid w:val="0017429B"/>
    <w:rsid w:val="00174657"/>
    <w:rsid w:val="0017482B"/>
    <w:rsid w:val="001748CE"/>
    <w:rsid w:val="00174AAD"/>
    <w:rsid w:val="00176217"/>
    <w:rsid w:val="00176839"/>
    <w:rsid w:val="001772B0"/>
    <w:rsid w:val="00177919"/>
    <w:rsid w:val="0018032B"/>
    <w:rsid w:val="00180799"/>
    <w:rsid w:val="00180D9E"/>
    <w:rsid w:val="0018144A"/>
    <w:rsid w:val="0018183E"/>
    <w:rsid w:val="00181DF2"/>
    <w:rsid w:val="0018324A"/>
    <w:rsid w:val="00183923"/>
    <w:rsid w:val="00184175"/>
    <w:rsid w:val="00185296"/>
    <w:rsid w:val="001865A3"/>
    <w:rsid w:val="00186C86"/>
    <w:rsid w:val="001874E5"/>
    <w:rsid w:val="00187B8B"/>
    <w:rsid w:val="00187DAB"/>
    <w:rsid w:val="00190046"/>
    <w:rsid w:val="0019017C"/>
    <w:rsid w:val="00191D80"/>
    <w:rsid w:val="001925BF"/>
    <w:rsid w:val="00192697"/>
    <w:rsid w:val="001932BA"/>
    <w:rsid w:val="00193A6A"/>
    <w:rsid w:val="00193B24"/>
    <w:rsid w:val="001949EA"/>
    <w:rsid w:val="00194BC4"/>
    <w:rsid w:val="00195392"/>
    <w:rsid w:val="0019566A"/>
    <w:rsid w:val="001977C4"/>
    <w:rsid w:val="001A064E"/>
    <w:rsid w:val="001A1549"/>
    <w:rsid w:val="001A1813"/>
    <w:rsid w:val="001A2358"/>
    <w:rsid w:val="001A31D5"/>
    <w:rsid w:val="001A3A50"/>
    <w:rsid w:val="001A3F02"/>
    <w:rsid w:val="001A462C"/>
    <w:rsid w:val="001A473B"/>
    <w:rsid w:val="001A6624"/>
    <w:rsid w:val="001A6728"/>
    <w:rsid w:val="001A6956"/>
    <w:rsid w:val="001A69D3"/>
    <w:rsid w:val="001A7D6D"/>
    <w:rsid w:val="001A7D92"/>
    <w:rsid w:val="001A7FE6"/>
    <w:rsid w:val="001B096D"/>
    <w:rsid w:val="001B0AE2"/>
    <w:rsid w:val="001B0DF7"/>
    <w:rsid w:val="001B1ED8"/>
    <w:rsid w:val="001B27CE"/>
    <w:rsid w:val="001B29E9"/>
    <w:rsid w:val="001B2ECC"/>
    <w:rsid w:val="001B32F6"/>
    <w:rsid w:val="001B4456"/>
    <w:rsid w:val="001B4F49"/>
    <w:rsid w:val="001B566B"/>
    <w:rsid w:val="001B6A33"/>
    <w:rsid w:val="001B6B1C"/>
    <w:rsid w:val="001B7311"/>
    <w:rsid w:val="001B7DE0"/>
    <w:rsid w:val="001C1BB6"/>
    <w:rsid w:val="001C2C30"/>
    <w:rsid w:val="001C2EB8"/>
    <w:rsid w:val="001C303E"/>
    <w:rsid w:val="001C3AD0"/>
    <w:rsid w:val="001C3BFB"/>
    <w:rsid w:val="001C4DC2"/>
    <w:rsid w:val="001C4FE9"/>
    <w:rsid w:val="001C547C"/>
    <w:rsid w:val="001C63FC"/>
    <w:rsid w:val="001D00CE"/>
    <w:rsid w:val="001D096F"/>
    <w:rsid w:val="001D09F9"/>
    <w:rsid w:val="001D09FA"/>
    <w:rsid w:val="001D1A41"/>
    <w:rsid w:val="001D29A6"/>
    <w:rsid w:val="001D332C"/>
    <w:rsid w:val="001D399B"/>
    <w:rsid w:val="001D4283"/>
    <w:rsid w:val="001D49C2"/>
    <w:rsid w:val="001D51A2"/>
    <w:rsid w:val="001D5229"/>
    <w:rsid w:val="001D5260"/>
    <w:rsid w:val="001D5A67"/>
    <w:rsid w:val="001E1B5C"/>
    <w:rsid w:val="001E1C8D"/>
    <w:rsid w:val="001E2B6D"/>
    <w:rsid w:val="001E392C"/>
    <w:rsid w:val="001E3E5C"/>
    <w:rsid w:val="001E410C"/>
    <w:rsid w:val="001E4915"/>
    <w:rsid w:val="001E4BC6"/>
    <w:rsid w:val="001E506C"/>
    <w:rsid w:val="001E50C8"/>
    <w:rsid w:val="001E67DB"/>
    <w:rsid w:val="001E70BB"/>
    <w:rsid w:val="001E76D3"/>
    <w:rsid w:val="001E77EB"/>
    <w:rsid w:val="001E7B18"/>
    <w:rsid w:val="001E7BE6"/>
    <w:rsid w:val="001F00EA"/>
    <w:rsid w:val="001F012F"/>
    <w:rsid w:val="001F01B7"/>
    <w:rsid w:val="001F0690"/>
    <w:rsid w:val="001F0FEF"/>
    <w:rsid w:val="001F134F"/>
    <w:rsid w:val="001F1415"/>
    <w:rsid w:val="001F1BBB"/>
    <w:rsid w:val="001F2191"/>
    <w:rsid w:val="001F2B79"/>
    <w:rsid w:val="001F307F"/>
    <w:rsid w:val="001F35B2"/>
    <w:rsid w:val="001F5837"/>
    <w:rsid w:val="001F5DD2"/>
    <w:rsid w:val="001F6549"/>
    <w:rsid w:val="001F6C29"/>
    <w:rsid w:val="001F6C54"/>
    <w:rsid w:val="001F70B8"/>
    <w:rsid w:val="001F7B61"/>
    <w:rsid w:val="00201146"/>
    <w:rsid w:val="002025A0"/>
    <w:rsid w:val="00202C01"/>
    <w:rsid w:val="00204D95"/>
    <w:rsid w:val="00206EDF"/>
    <w:rsid w:val="002070B5"/>
    <w:rsid w:val="0021058A"/>
    <w:rsid w:val="002110C9"/>
    <w:rsid w:val="0021175B"/>
    <w:rsid w:val="002117E4"/>
    <w:rsid w:val="00212230"/>
    <w:rsid w:val="00212412"/>
    <w:rsid w:val="00212581"/>
    <w:rsid w:val="002134A2"/>
    <w:rsid w:val="002142B4"/>
    <w:rsid w:val="00214442"/>
    <w:rsid w:val="00216968"/>
    <w:rsid w:val="00216E95"/>
    <w:rsid w:val="00216F21"/>
    <w:rsid w:val="00217235"/>
    <w:rsid w:val="002172F1"/>
    <w:rsid w:val="0021787F"/>
    <w:rsid w:val="002178F9"/>
    <w:rsid w:val="0022011C"/>
    <w:rsid w:val="00220D8F"/>
    <w:rsid w:val="002229F1"/>
    <w:rsid w:val="00222E62"/>
    <w:rsid w:val="002230A1"/>
    <w:rsid w:val="00224E46"/>
    <w:rsid w:val="00224EB0"/>
    <w:rsid w:val="00225708"/>
    <w:rsid w:val="002258EB"/>
    <w:rsid w:val="00226617"/>
    <w:rsid w:val="00226769"/>
    <w:rsid w:val="00226E03"/>
    <w:rsid w:val="00227399"/>
    <w:rsid w:val="00230D16"/>
    <w:rsid w:val="00230DE1"/>
    <w:rsid w:val="0023179D"/>
    <w:rsid w:val="00232689"/>
    <w:rsid w:val="00232A38"/>
    <w:rsid w:val="00232A7D"/>
    <w:rsid w:val="00233874"/>
    <w:rsid w:val="00233B05"/>
    <w:rsid w:val="00233E87"/>
    <w:rsid w:val="00234682"/>
    <w:rsid w:val="00234E0A"/>
    <w:rsid w:val="00235993"/>
    <w:rsid w:val="002364DC"/>
    <w:rsid w:val="0023692A"/>
    <w:rsid w:val="00236B06"/>
    <w:rsid w:val="00236FC7"/>
    <w:rsid w:val="0023717F"/>
    <w:rsid w:val="00237754"/>
    <w:rsid w:val="00243400"/>
    <w:rsid w:val="00243509"/>
    <w:rsid w:val="00243530"/>
    <w:rsid w:val="00243FCA"/>
    <w:rsid w:val="00245155"/>
    <w:rsid w:val="00246438"/>
    <w:rsid w:val="0025111C"/>
    <w:rsid w:val="00251CE2"/>
    <w:rsid w:val="002522E6"/>
    <w:rsid w:val="00253D0F"/>
    <w:rsid w:val="00255DA9"/>
    <w:rsid w:val="00257675"/>
    <w:rsid w:val="0025779E"/>
    <w:rsid w:val="00261010"/>
    <w:rsid w:val="002625F5"/>
    <w:rsid w:val="00262B41"/>
    <w:rsid w:val="00263163"/>
    <w:rsid w:val="00263515"/>
    <w:rsid w:val="002641D2"/>
    <w:rsid w:val="0026471B"/>
    <w:rsid w:val="0026528B"/>
    <w:rsid w:val="0026586B"/>
    <w:rsid w:val="00266536"/>
    <w:rsid w:val="00266769"/>
    <w:rsid w:val="002715F1"/>
    <w:rsid w:val="00271909"/>
    <w:rsid w:val="0027320A"/>
    <w:rsid w:val="0027448C"/>
    <w:rsid w:val="00274764"/>
    <w:rsid w:val="00274F7E"/>
    <w:rsid w:val="002777EC"/>
    <w:rsid w:val="0027791D"/>
    <w:rsid w:val="00280566"/>
    <w:rsid w:val="0028129D"/>
    <w:rsid w:val="00281719"/>
    <w:rsid w:val="00281F66"/>
    <w:rsid w:val="002821C3"/>
    <w:rsid w:val="002835F0"/>
    <w:rsid w:val="002838DD"/>
    <w:rsid w:val="00283993"/>
    <w:rsid w:val="0028461B"/>
    <w:rsid w:val="00284B95"/>
    <w:rsid w:val="00286D37"/>
    <w:rsid w:val="00286F3F"/>
    <w:rsid w:val="0028745F"/>
    <w:rsid w:val="0028757E"/>
    <w:rsid w:val="0028783C"/>
    <w:rsid w:val="002878BE"/>
    <w:rsid w:val="00287C19"/>
    <w:rsid w:val="00290208"/>
    <w:rsid w:val="00292040"/>
    <w:rsid w:val="0029300C"/>
    <w:rsid w:val="002948AE"/>
    <w:rsid w:val="002949E8"/>
    <w:rsid w:val="00294C73"/>
    <w:rsid w:val="0029531B"/>
    <w:rsid w:val="0029555A"/>
    <w:rsid w:val="002962B1"/>
    <w:rsid w:val="00296D5B"/>
    <w:rsid w:val="002A00ED"/>
    <w:rsid w:val="002A0674"/>
    <w:rsid w:val="002A0DC2"/>
    <w:rsid w:val="002A136B"/>
    <w:rsid w:val="002A2193"/>
    <w:rsid w:val="002A2343"/>
    <w:rsid w:val="002A26C5"/>
    <w:rsid w:val="002A317E"/>
    <w:rsid w:val="002A322B"/>
    <w:rsid w:val="002A38D1"/>
    <w:rsid w:val="002A399E"/>
    <w:rsid w:val="002A43BA"/>
    <w:rsid w:val="002A4603"/>
    <w:rsid w:val="002A461F"/>
    <w:rsid w:val="002A58AF"/>
    <w:rsid w:val="002A60E2"/>
    <w:rsid w:val="002A676D"/>
    <w:rsid w:val="002A71EC"/>
    <w:rsid w:val="002A738D"/>
    <w:rsid w:val="002B1649"/>
    <w:rsid w:val="002B2462"/>
    <w:rsid w:val="002B2D9C"/>
    <w:rsid w:val="002B3530"/>
    <w:rsid w:val="002B4B25"/>
    <w:rsid w:val="002B57C0"/>
    <w:rsid w:val="002B619A"/>
    <w:rsid w:val="002B675A"/>
    <w:rsid w:val="002B69E3"/>
    <w:rsid w:val="002B7949"/>
    <w:rsid w:val="002C1044"/>
    <w:rsid w:val="002C1B83"/>
    <w:rsid w:val="002C27BD"/>
    <w:rsid w:val="002C2BE2"/>
    <w:rsid w:val="002C370E"/>
    <w:rsid w:val="002C42AD"/>
    <w:rsid w:val="002C4384"/>
    <w:rsid w:val="002C45EC"/>
    <w:rsid w:val="002C5F55"/>
    <w:rsid w:val="002C62EB"/>
    <w:rsid w:val="002C7175"/>
    <w:rsid w:val="002C724D"/>
    <w:rsid w:val="002D06B3"/>
    <w:rsid w:val="002D07F1"/>
    <w:rsid w:val="002D0A46"/>
    <w:rsid w:val="002D0E4A"/>
    <w:rsid w:val="002D14F6"/>
    <w:rsid w:val="002D1844"/>
    <w:rsid w:val="002D19F3"/>
    <w:rsid w:val="002D2A48"/>
    <w:rsid w:val="002D2A67"/>
    <w:rsid w:val="002D30B1"/>
    <w:rsid w:val="002D3466"/>
    <w:rsid w:val="002D35E1"/>
    <w:rsid w:val="002D3726"/>
    <w:rsid w:val="002D45F5"/>
    <w:rsid w:val="002D4608"/>
    <w:rsid w:val="002D4EE5"/>
    <w:rsid w:val="002D55D1"/>
    <w:rsid w:val="002D5B08"/>
    <w:rsid w:val="002D68BA"/>
    <w:rsid w:val="002D735E"/>
    <w:rsid w:val="002D7FD4"/>
    <w:rsid w:val="002E05C5"/>
    <w:rsid w:val="002E06E3"/>
    <w:rsid w:val="002E1738"/>
    <w:rsid w:val="002E18D0"/>
    <w:rsid w:val="002E1ADB"/>
    <w:rsid w:val="002E249E"/>
    <w:rsid w:val="002E2CA5"/>
    <w:rsid w:val="002E2DA5"/>
    <w:rsid w:val="002E30FE"/>
    <w:rsid w:val="002E502E"/>
    <w:rsid w:val="002E6AF7"/>
    <w:rsid w:val="002F06C0"/>
    <w:rsid w:val="002F21EE"/>
    <w:rsid w:val="002F2AC8"/>
    <w:rsid w:val="002F36A2"/>
    <w:rsid w:val="002F3728"/>
    <w:rsid w:val="002F3CB7"/>
    <w:rsid w:val="002F460A"/>
    <w:rsid w:val="002F47A7"/>
    <w:rsid w:val="002F4927"/>
    <w:rsid w:val="002F53BD"/>
    <w:rsid w:val="002F5700"/>
    <w:rsid w:val="002F5DB0"/>
    <w:rsid w:val="002F68C0"/>
    <w:rsid w:val="002F71A9"/>
    <w:rsid w:val="002F71CD"/>
    <w:rsid w:val="002F7F97"/>
    <w:rsid w:val="00301242"/>
    <w:rsid w:val="00301498"/>
    <w:rsid w:val="00302C25"/>
    <w:rsid w:val="00303010"/>
    <w:rsid w:val="003032F3"/>
    <w:rsid w:val="00303CA4"/>
    <w:rsid w:val="0030479D"/>
    <w:rsid w:val="003051B9"/>
    <w:rsid w:val="00305704"/>
    <w:rsid w:val="00305D2A"/>
    <w:rsid w:val="003060C0"/>
    <w:rsid w:val="0030672B"/>
    <w:rsid w:val="00306BB1"/>
    <w:rsid w:val="0030761C"/>
    <w:rsid w:val="0031063D"/>
    <w:rsid w:val="0031092D"/>
    <w:rsid w:val="00310A08"/>
    <w:rsid w:val="00310BFE"/>
    <w:rsid w:val="0031275B"/>
    <w:rsid w:val="00313CAB"/>
    <w:rsid w:val="0031507D"/>
    <w:rsid w:val="00316B82"/>
    <w:rsid w:val="0031700B"/>
    <w:rsid w:val="0031758A"/>
    <w:rsid w:val="003179D9"/>
    <w:rsid w:val="00317D86"/>
    <w:rsid w:val="00320332"/>
    <w:rsid w:val="00322409"/>
    <w:rsid w:val="0032313C"/>
    <w:rsid w:val="003256B6"/>
    <w:rsid w:val="00326A00"/>
    <w:rsid w:val="0032768D"/>
    <w:rsid w:val="003276F0"/>
    <w:rsid w:val="00330603"/>
    <w:rsid w:val="0033125F"/>
    <w:rsid w:val="00331701"/>
    <w:rsid w:val="00331E51"/>
    <w:rsid w:val="00332D01"/>
    <w:rsid w:val="00333D44"/>
    <w:rsid w:val="00334CF9"/>
    <w:rsid w:val="00336818"/>
    <w:rsid w:val="00337AF8"/>
    <w:rsid w:val="00340069"/>
    <w:rsid w:val="0034113B"/>
    <w:rsid w:val="00342618"/>
    <w:rsid w:val="00343383"/>
    <w:rsid w:val="00343500"/>
    <w:rsid w:val="0034406E"/>
    <w:rsid w:val="003449D8"/>
    <w:rsid w:val="00344D50"/>
    <w:rsid w:val="00345481"/>
    <w:rsid w:val="00345EE7"/>
    <w:rsid w:val="00346A6D"/>
    <w:rsid w:val="00346B72"/>
    <w:rsid w:val="00351EA3"/>
    <w:rsid w:val="00353696"/>
    <w:rsid w:val="003538FA"/>
    <w:rsid w:val="0035407D"/>
    <w:rsid w:val="00355A33"/>
    <w:rsid w:val="003560B7"/>
    <w:rsid w:val="00356866"/>
    <w:rsid w:val="00356F3E"/>
    <w:rsid w:val="003572C0"/>
    <w:rsid w:val="00361EB8"/>
    <w:rsid w:val="00361F63"/>
    <w:rsid w:val="003622B4"/>
    <w:rsid w:val="00362473"/>
    <w:rsid w:val="0036283F"/>
    <w:rsid w:val="003639D8"/>
    <w:rsid w:val="00363E16"/>
    <w:rsid w:val="003642E5"/>
    <w:rsid w:val="0036435D"/>
    <w:rsid w:val="00364B19"/>
    <w:rsid w:val="00367FCB"/>
    <w:rsid w:val="00370A2E"/>
    <w:rsid w:val="00371754"/>
    <w:rsid w:val="00371B5E"/>
    <w:rsid w:val="00371CC2"/>
    <w:rsid w:val="003724F8"/>
    <w:rsid w:val="00372626"/>
    <w:rsid w:val="00373026"/>
    <w:rsid w:val="00373F88"/>
    <w:rsid w:val="00374807"/>
    <w:rsid w:val="00374D51"/>
    <w:rsid w:val="003753F4"/>
    <w:rsid w:val="00375B14"/>
    <w:rsid w:val="00375D6E"/>
    <w:rsid w:val="003775F6"/>
    <w:rsid w:val="00377D38"/>
    <w:rsid w:val="00380043"/>
    <w:rsid w:val="00380CD4"/>
    <w:rsid w:val="00381456"/>
    <w:rsid w:val="003814D4"/>
    <w:rsid w:val="00381A87"/>
    <w:rsid w:val="00381E04"/>
    <w:rsid w:val="003838C3"/>
    <w:rsid w:val="00383E8A"/>
    <w:rsid w:val="00383F51"/>
    <w:rsid w:val="003843CA"/>
    <w:rsid w:val="00385152"/>
    <w:rsid w:val="00385AFA"/>
    <w:rsid w:val="0038696B"/>
    <w:rsid w:val="00387CB0"/>
    <w:rsid w:val="0039072B"/>
    <w:rsid w:val="00392566"/>
    <w:rsid w:val="003931B1"/>
    <w:rsid w:val="00394676"/>
    <w:rsid w:val="00394BAE"/>
    <w:rsid w:val="00395549"/>
    <w:rsid w:val="00396469"/>
    <w:rsid w:val="00396A9C"/>
    <w:rsid w:val="003A07F3"/>
    <w:rsid w:val="003A0963"/>
    <w:rsid w:val="003A2647"/>
    <w:rsid w:val="003A2772"/>
    <w:rsid w:val="003A322B"/>
    <w:rsid w:val="003A3424"/>
    <w:rsid w:val="003A45B7"/>
    <w:rsid w:val="003A4762"/>
    <w:rsid w:val="003A5A95"/>
    <w:rsid w:val="003A5BBF"/>
    <w:rsid w:val="003A5F08"/>
    <w:rsid w:val="003A5F54"/>
    <w:rsid w:val="003A6CD9"/>
    <w:rsid w:val="003A6F8B"/>
    <w:rsid w:val="003B0321"/>
    <w:rsid w:val="003B1390"/>
    <w:rsid w:val="003B1DD6"/>
    <w:rsid w:val="003B3174"/>
    <w:rsid w:val="003B3FB3"/>
    <w:rsid w:val="003B4294"/>
    <w:rsid w:val="003B4647"/>
    <w:rsid w:val="003B4BB6"/>
    <w:rsid w:val="003B5341"/>
    <w:rsid w:val="003B5857"/>
    <w:rsid w:val="003B5A99"/>
    <w:rsid w:val="003B6A70"/>
    <w:rsid w:val="003B6FDA"/>
    <w:rsid w:val="003B7003"/>
    <w:rsid w:val="003C00CB"/>
    <w:rsid w:val="003C037E"/>
    <w:rsid w:val="003C1575"/>
    <w:rsid w:val="003C2BFE"/>
    <w:rsid w:val="003C3AA9"/>
    <w:rsid w:val="003C4197"/>
    <w:rsid w:val="003C4B4F"/>
    <w:rsid w:val="003C4C68"/>
    <w:rsid w:val="003C61FE"/>
    <w:rsid w:val="003C7BEC"/>
    <w:rsid w:val="003D06B3"/>
    <w:rsid w:val="003D09E0"/>
    <w:rsid w:val="003D3CA0"/>
    <w:rsid w:val="003D3CEF"/>
    <w:rsid w:val="003D5CF5"/>
    <w:rsid w:val="003D5D97"/>
    <w:rsid w:val="003D63BB"/>
    <w:rsid w:val="003D6E0F"/>
    <w:rsid w:val="003D7AF5"/>
    <w:rsid w:val="003E075D"/>
    <w:rsid w:val="003E082D"/>
    <w:rsid w:val="003E0D65"/>
    <w:rsid w:val="003E11A0"/>
    <w:rsid w:val="003E1683"/>
    <w:rsid w:val="003E2E0D"/>
    <w:rsid w:val="003E3417"/>
    <w:rsid w:val="003E3885"/>
    <w:rsid w:val="003E38B4"/>
    <w:rsid w:val="003E3CAA"/>
    <w:rsid w:val="003E42A4"/>
    <w:rsid w:val="003E534E"/>
    <w:rsid w:val="003E5D05"/>
    <w:rsid w:val="003E5FB4"/>
    <w:rsid w:val="003E67FC"/>
    <w:rsid w:val="003F081C"/>
    <w:rsid w:val="003F0C40"/>
    <w:rsid w:val="003F1114"/>
    <w:rsid w:val="003F15B6"/>
    <w:rsid w:val="003F1C09"/>
    <w:rsid w:val="003F4A0D"/>
    <w:rsid w:val="003F72F7"/>
    <w:rsid w:val="003F735E"/>
    <w:rsid w:val="003F7517"/>
    <w:rsid w:val="003F7CFF"/>
    <w:rsid w:val="003F7D04"/>
    <w:rsid w:val="00400A02"/>
    <w:rsid w:val="00401950"/>
    <w:rsid w:val="00401E5E"/>
    <w:rsid w:val="00402259"/>
    <w:rsid w:val="00402BCF"/>
    <w:rsid w:val="00403021"/>
    <w:rsid w:val="00403D76"/>
    <w:rsid w:val="00404C6B"/>
    <w:rsid w:val="00404F06"/>
    <w:rsid w:val="00404F9C"/>
    <w:rsid w:val="004050BA"/>
    <w:rsid w:val="00406565"/>
    <w:rsid w:val="00407794"/>
    <w:rsid w:val="00410FA2"/>
    <w:rsid w:val="00411798"/>
    <w:rsid w:val="00412CA8"/>
    <w:rsid w:val="0041325F"/>
    <w:rsid w:val="00413440"/>
    <w:rsid w:val="00413BBC"/>
    <w:rsid w:val="004148B3"/>
    <w:rsid w:val="004150AB"/>
    <w:rsid w:val="00415A36"/>
    <w:rsid w:val="00415B57"/>
    <w:rsid w:val="00416758"/>
    <w:rsid w:val="00417B47"/>
    <w:rsid w:val="00417F75"/>
    <w:rsid w:val="00422896"/>
    <w:rsid w:val="004229DC"/>
    <w:rsid w:val="00423BF8"/>
    <w:rsid w:val="00423C6A"/>
    <w:rsid w:val="00423F52"/>
    <w:rsid w:val="004244DE"/>
    <w:rsid w:val="00424AA0"/>
    <w:rsid w:val="00425D19"/>
    <w:rsid w:val="00427531"/>
    <w:rsid w:val="00427A59"/>
    <w:rsid w:val="00427FC2"/>
    <w:rsid w:val="00430AF6"/>
    <w:rsid w:val="004311AC"/>
    <w:rsid w:val="004311D3"/>
    <w:rsid w:val="004318E4"/>
    <w:rsid w:val="00431C94"/>
    <w:rsid w:val="00431DD8"/>
    <w:rsid w:val="004325E5"/>
    <w:rsid w:val="00433205"/>
    <w:rsid w:val="00433AAB"/>
    <w:rsid w:val="00434A2F"/>
    <w:rsid w:val="0043501A"/>
    <w:rsid w:val="004357ED"/>
    <w:rsid w:val="004359DF"/>
    <w:rsid w:val="0043676C"/>
    <w:rsid w:val="004370CF"/>
    <w:rsid w:val="00437213"/>
    <w:rsid w:val="0043796A"/>
    <w:rsid w:val="00437B2A"/>
    <w:rsid w:val="00437F57"/>
    <w:rsid w:val="00440749"/>
    <w:rsid w:val="00440CCB"/>
    <w:rsid w:val="0044341D"/>
    <w:rsid w:val="004440AA"/>
    <w:rsid w:val="00444BD8"/>
    <w:rsid w:val="00444DDE"/>
    <w:rsid w:val="0044578C"/>
    <w:rsid w:val="00445CCD"/>
    <w:rsid w:val="004467D7"/>
    <w:rsid w:val="00446C11"/>
    <w:rsid w:val="00446C2D"/>
    <w:rsid w:val="0045011B"/>
    <w:rsid w:val="004504B8"/>
    <w:rsid w:val="00450512"/>
    <w:rsid w:val="00450561"/>
    <w:rsid w:val="00450CB5"/>
    <w:rsid w:val="00451719"/>
    <w:rsid w:val="004530C0"/>
    <w:rsid w:val="004544BA"/>
    <w:rsid w:val="004547EC"/>
    <w:rsid w:val="00454C32"/>
    <w:rsid w:val="00456102"/>
    <w:rsid w:val="004569F4"/>
    <w:rsid w:val="00460A4A"/>
    <w:rsid w:val="00461719"/>
    <w:rsid w:val="00461D62"/>
    <w:rsid w:val="00461FD6"/>
    <w:rsid w:val="00462675"/>
    <w:rsid w:val="004636FB"/>
    <w:rsid w:val="0046405E"/>
    <w:rsid w:val="00465A2D"/>
    <w:rsid w:val="0046755B"/>
    <w:rsid w:val="0046762F"/>
    <w:rsid w:val="00467950"/>
    <w:rsid w:val="00467F79"/>
    <w:rsid w:val="00470271"/>
    <w:rsid w:val="0047165F"/>
    <w:rsid w:val="0047198C"/>
    <w:rsid w:val="00471C06"/>
    <w:rsid w:val="00471C07"/>
    <w:rsid w:val="00472794"/>
    <w:rsid w:val="00473A3E"/>
    <w:rsid w:val="00473D9A"/>
    <w:rsid w:val="0047424C"/>
    <w:rsid w:val="00475535"/>
    <w:rsid w:val="004755D9"/>
    <w:rsid w:val="00477A18"/>
    <w:rsid w:val="00480006"/>
    <w:rsid w:val="004810F0"/>
    <w:rsid w:val="00481A50"/>
    <w:rsid w:val="00482B62"/>
    <w:rsid w:val="00482DBE"/>
    <w:rsid w:val="00483539"/>
    <w:rsid w:val="00484E05"/>
    <w:rsid w:val="00484ED5"/>
    <w:rsid w:val="00485C0A"/>
    <w:rsid w:val="00485CE8"/>
    <w:rsid w:val="004876F0"/>
    <w:rsid w:val="00487D9F"/>
    <w:rsid w:val="004908D3"/>
    <w:rsid w:val="0049236F"/>
    <w:rsid w:val="004925F6"/>
    <w:rsid w:val="00492C71"/>
    <w:rsid w:val="00492DF0"/>
    <w:rsid w:val="00492DFD"/>
    <w:rsid w:val="004930FA"/>
    <w:rsid w:val="00493197"/>
    <w:rsid w:val="00495C3C"/>
    <w:rsid w:val="004961B3"/>
    <w:rsid w:val="00496900"/>
    <w:rsid w:val="004973C5"/>
    <w:rsid w:val="004977E9"/>
    <w:rsid w:val="0049783E"/>
    <w:rsid w:val="00497D96"/>
    <w:rsid w:val="004A05B4"/>
    <w:rsid w:val="004A06DB"/>
    <w:rsid w:val="004A19E3"/>
    <w:rsid w:val="004A1BE5"/>
    <w:rsid w:val="004A1E5D"/>
    <w:rsid w:val="004A2561"/>
    <w:rsid w:val="004A2726"/>
    <w:rsid w:val="004A2B87"/>
    <w:rsid w:val="004A37EF"/>
    <w:rsid w:val="004A5827"/>
    <w:rsid w:val="004A632E"/>
    <w:rsid w:val="004B1A9D"/>
    <w:rsid w:val="004B2019"/>
    <w:rsid w:val="004B3051"/>
    <w:rsid w:val="004B374C"/>
    <w:rsid w:val="004B4521"/>
    <w:rsid w:val="004B5366"/>
    <w:rsid w:val="004B6267"/>
    <w:rsid w:val="004B6451"/>
    <w:rsid w:val="004B672B"/>
    <w:rsid w:val="004B6ABA"/>
    <w:rsid w:val="004C0251"/>
    <w:rsid w:val="004C075A"/>
    <w:rsid w:val="004C08F5"/>
    <w:rsid w:val="004C11A4"/>
    <w:rsid w:val="004C2579"/>
    <w:rsid w:val="004C2D7B"/>
    <w:rsid w:val="004C2F23"/>
    <w:rsid w:val="004C31B9"/>
    <w:rsid w:val="004C3D37"/>
    <w:rsid w:val="004C5BDD"/>
    <w:rsid w:val="004C6D4E"/>
    <w:rsid w:val="004C71BE"/>
    <w:rsid w:val="004C7999"/>
    <w:rsid w:val="004D097E"/>
    <w:rsid w:val="004D0ACF"/>
    <w:rsid w:val="004D1205"/>
    <w:rsid w:val="004D1F2F"/>
    <w:rsid w:val="004D2AB4"/>
    <w:rsid w:val="004D2B96"/>
    <w:rsid w:val="004D35ED"/>
    <w:rsid w:val="004D41A1"/>
    <w:rsid w:val="004D58E5"/>
    <w:rsid w:val="004D5EF3"/>
    <w:rsid w:val="004D5F07"/>
    <w:rsid w:val="004D77DD"/>
    <w:rsid w:val="004D7BE8"/>
    <w:rsid w:val="004E09CD"/>
    <w:rsid w:val="004E125D"/>
    <w:rsid w:val="004E16D0"/>
    <w:rsid w:val="004E1B8C"/>
    <w:rsid w:val="004E273B"/>
    <w:rsid w:val="004E2F94"/>
    <w:rsid w:val="004E3BB3"/>
    <w:rsid w:val="004E6144"/>
    <w:rsid w:val="004E717C"/>
    <w:rsid w:val="004F0028"/>
    <w:rsid w:val="004F041F"/>
    <w:rsid w:val="004F088A"/>
    <w:rsid w:val="004F10A2"/>
    <w:rsid w:val="004F17F2"/>
    <w:rsid w:val="004F33EC"/>
    <w:rsid w:val="004F3561"/>
    <w:rsid w:val="004F3BBC"/>
    <w:rsid w:val="004F3E8E"/>
    <w:rsid w:val="004F4215"/>
    <w:rsid w:val="004F4A08"/>
    <w:rsid w:val="004F5100"/>
    <w:rsid w:val="004F5871"/>
    <w:rsid w:val="004F5F40"/>
    <w:rsid w:val="004F7232"/>
    <w:rsid w:val="004F753C"/>
    <w:rsid w:val="00500E0F"/>
    <w:rsid w:val="0050220A"/>
    <w:rsid w:val="00502798"/>
    <w:rsid w:val="00503094"/>
    <w:rsid w:val="0050461A"/>
    <w:rsid w:val="005046DB"/>
    <w:rsid w:val="005057FF"/>
    <w:rsid w:val="00505D39"/>
    <w:rsid w:val="00506A85"/>
    <w:rsid w:val="00507D02"/>
    <w:rsid w:val="005109BA"/>
    <w:rsid w:val="005110D0"/>
    <w:rsid w:val="005113B4"/>
    <w:rsid w:val="00512A9D"/>
    <w:rsid w:val="0051331C"/>
    <w:rsid w:val="005136BC"/>
    <w:rsid w:val="00513B4D"/>
    <w:rsid w:val="00514936"/>
    <w:rsid w:val="0051505A"/>
    <w:rsid w:val="0051595C"/>
    <w:rsid w:val="00515EE2"/>
    <w:rsid w:val="005167AC"/>
    <w:rsid w:val="00520353"/>
    <w:rsid w:val="00520802"/>
    <w:rsid w:val="00522699"/>
    <w:rsid w:val="00522F33"/>
    <w:rsid w:val="00525882"/>
    <w:rsid w:val="005261AB"/>
    <w:rsid w:val="00526B66"/>
    <w:rsid w:val="005308B2"/>
    <w:rsid w:val="00530E77"/>
    <w:rsid w:val="00530F13"/>
    <w:rsid w:val="00531C00"/>
    <w:rsid w:val="00532889"/>
    <w:rsid w:val="00532C5A"/>
    <w:rsid w:val="005334F9"/>
    <w:rsid w:val="00533EB1"/>
    <w:rsid w:val="00534909"/>
    <w:rsid w:val="00535A99"/>
    <w:rsid w:val="00536C17"/>
    <w:rsid w:val="00537C0C"/>
    <w:rsid w:val="0054016E"/>
    <w:rsid w:val="005404BE"/>
    <w:rsid w:val="00540904"/>
    <w:rsid w:val="00540A25"/>
    <w:rsid w:val="00541636"/>
    <w:rsid w:val="005441A1"/>
    <w:rsid w:val="005443C1"/>
    <w:rsid w:val="0054552C"/>
    <w:rsid w:val="00547B9A"/>
    <w:rsid w:val="00550474"/>
    <w:rsid w:val="00550630"/>
    <w:rsid w:val="00550F63"/>
    <w:rsid w:val="005516A5"/>
    <w:rsid w:val="00552464"/>
    <w:rsid w:val="0055295A"/>
    <w:rsid w:val="0055327C"/>
    <w:rsid w:val="00553613"/>
    <w:rsid w:val="00554664"/>
    <w:rsid w:val="005548D6"/>
    <w:rsid w:val="00555E67"/>
    <w:rsid w:val="00562785"/>
    <w:rsid w:val="005631FC"/>
    <w:rsid w:val="0056495D"/>
    <w:rsid w:val="00564CBD"/>
    <w:rsid w:val="00565500"/>
    <w:rsid w:val="005655CB"/>
    <w:rsid w:val="00565AF0"/>
    <w:rsid w:val="005667C3"/>
    <w:rsid w:val="00566E27"/>
    <w:rsid w:val="00566EC3"/>
    <w:rsid w:val="005678CA"/>
    <w:rsid w:val="005701A4"/>
    <w:rsid w:val="005705F5"/>
    <w:rsid w:val="005715CC"/>
    <w:rsid w:val="005716AD"/>
    <w:rsid w:val="00571913"/>
    <w:rsid w:val="00572D5E"/>
    <w:rsid w:val="00574A50"/>
    <w:rsid w:val="00574CA3"/>
    <w:rsid w:val="005761C1"/>
    <w:rsid w:val="00576B48"/>
    <w:rsid w:val="00576CA8"/>
    <w:rsid w:val="00577368"/>
    <w:rsid w:val="00577AE6"/>
    <w:rsid w:val="00580231"/>
    <w:rsid w:val="0058073E"/>
    <w:rsid w:val="00580C88"/>
    <w:rsid w:val="00580FDF"/>
    <w:rsid w:val="005816B5"/>
    <w:rsid w:val="00581AB9"/>
    <w:rsid w:val="00581E60"/>
    <w:rsid w:val="005820EB"/>
    <w:rsid w:val="00585069"/>
    <w:rsid w:val="00585073"/>
    <w:rsid w:val="00585FA9"/>
    <w:rsid w:val="00586D07"/>
    <w:rsid w:val="00586EB0"/>
    <w:rsid w:val="005871B1"/>
    <w:rsid w:val="00587638"/>
    <w:rsid w:val="005908DA"/>
    <w:rsid w:val="0059304C"/>
    <w:rsid w:val="005937DE"/>
    <w:rsid w:val="00593A04"/>
    <w:rsid w:val="00595648"/>
    <w:rsid w:val="005958FF"/>
    <w:rsid w:val="00596A03"/>
    <w:rsid w:val="00597A9F"/>
    <w:rsid w:val="005A0EE4"/>
    <w:rsid w:val="005A105C"/>
    <w:rsid w:val="005A13A5"/>
    <w:rsid w:val="005A1EB5"/>
    <w:rsid w:val="005A1FB1"/>
    <w:rsid w:val="005A2E97"/>
    <w:rsid w:val="005A4306"/>
    <w:rsid w:val="005A4DEF"/>
    <w:rsid w:val="005A4ECB"/>
    <w:rsid w:val="005B250E"/>
    <w:rsid w:val="005B2DE8"/>
    <w:rsid w:val="005B2F3D"/>
    <w:rsid w:val="005B3416"/>
    <w:rsid w:val="005B34E5"/>
    <w:rsid w:val="005B46FD"/>
    <w:rsid w:val="005B57C9"/>
    <w:rsid w:val="005B5AC1"/>
    <w:rsid w:val="005B6AAD"/>
    <w:rsid w:val="005B6D55"/>
    <w:rsid w:val="005C087C"/>
    <w:rsid w:val="005C2DB3"/>
    <w:rsid w:val="005C2F61"/>
    <w:rsid w:val="005C3534"/>
    <w:rsid w:val="005C3714"/>
    <w:rsid w:val="005C3A61"/>
    <w:rsid w:val="005C589E"/>
    <w:rsid w:val="005C6764"/>
    <w:rsid w:val="005D0366"/>
    <w:rsid w:val="005D1A66"/>
    <w:rsid w:val="005D33C9"/>
    <w:rsid w:val="005D33F9"/>
    <w:rsid w:val="005D3656"/>
    <w:rsid w:val="005D45A2"/>
    <w:rsid w:val="005D4A24"/>
    <w:rsid w:val="005D4B17"/>
    <w:rsid w:val="005D520E"/>
    <w:rsid w:val="005D61F2"/>
    <w:rsid w:val="005D6B61"/>
    <w:rsid w:val="005D722E"/>
    <w:rsid w:val="005D7530"/>
    <w:rsid w:val="005D75C9"/>
    <w:rsid w:val="005E0F33"/>
    <w:rsid w:val="005E1B04"/>
    <w:rsid w:val="005E1E90"/>
    <w:rsid w:val="005E23C0"/>
    <w:rsid w:val="005E2F0F"/>
    <w:rsid w:val="005E332F"/>
    <w:rsid w:val="005E3D80"/>
    <w:rsid w:val="005E5235"/>
    <w:rsid w:val="005E535D"/>
    <w:rsid w:val="005E5560"/>
    <w:rsid w:val="005E58DF"/>
    <w:rsid w:val="005E7270"/>
    <w:rsid w:val="005E7707"/>
    <w:rsid w:val="005E79E4"/>
    <w:rsid w:val="005F0EDD"/>
    <w:rsid w:val="005F19E1"/>
    <w:rsid w:val="005F1DE4"/>
    <w:rsid w:val="005F1E05"/>
    <w:rsid w:val="005F3C45"/>
    <w:rsid w:val="005F7C5D"/>
    <w:rsid w:val="005F7C9B"/>
    <w:rsid w:val="006007D5"/>
    <w:rsid w:val="00603654"/>
    <w:rsid w:val="006037C1"/>
    <w:rsid w:val="00603B3E"/>
    <w:rsid w:val="00604534"/>
    <w:rsid w:val="00605C31"/>
    <w:rsid w:val="00605C4C"/>
    <w:rsid w:val="00605F52"/>
    <w:rsid w:val="00606A12"/>
    <w:rsid w:val="00607453"/>
    <w:rsid w:val="00607570"/>
    <w:rsid w:val="0061015E"/>
    <w:rsid w:val="006111EB"/>
    <w:rsid w:val="00611402"/>
    <w:rsid w:val="00612823"/>
    <w:rsid w:val="00612847"/>
    <w:rsid w:val="00612B4B"/>
    <w:rsid w:val="00613A0B"/>
    <w:rsid w:val="0061494C"/>
    <w:rsid w:val="00615C32"/>
    <w:rsid w:val="00616276"/>
    <w:rsid w:val="00616380"/>
    <w:rsid w:val="006176D5"/>
    <w:rsid w:val="00617AEC"/>
    <w:rsid w:val="00621A83"/>
    <w:rsid w:val="00621DDD"/>
    <w:rsid w:val="00621F16"/>
    <w:rsid w:val="00622179"/>
    <w:rsid w:val="00622944"/>
    <w:rsid w:val="0062297C"/>
    <w:rsid w:val="00622C59"/>
    <w:rsid w:val="006251D1"/>
    <w:rsid w:val="00625D09"/>
    <w:rsid w:val="0062641D"/>
    <w:rsid w:val="00626BED"/>
    <w:rsid w:val="00626DC1"/>
    <w:rsid w:val="00627292"/>
    <w:rsid w:val="00627F02"/>
    <w:rsid w:val="006303CD"/>
    <w:rsid w:val="00630469"/>
    <w:rsid w:val="006308A6"/>
    <w:rsid w:val="00630ACD"/>
    <w:rsid w:val="00630DF8"/>
    <w:rsid w:val="00631134"/>
    <w:rsid w:val="00631286"/>
    <w:rsid w:val="00631F03"/>
    <w:rsid w:val="00632515"/>
    <w:rsid w:val="00632E35"/>
    <w:rsid w:val="00633088"/>
    <w:rsid w:val="00633924"/>
    <w:rsid w:val="00633DB6"/>
    <w:rsid w:val="0063452F"/>
    <w:rsid w:val="0063496A"/>
    <w:rsid w:val="00634C59"/>
    <w:rsid w:val="00635796"/>
    <w:rsid w:val="0063657C"/>
    <w:rsid w:val="00636CDC"/>
    <w:rsid w:val="006371B5"/>
    <w:rsid w:val="00640521"/>
    <w:rsid w:val="00640D45"/>
    <w:rsid w:val="00640F7E"/>
    <w:rsid w:val="006419FF"/>
    <w:rsid w:val="00642D17"/>
    <w:rsid w:val="00644343"/>
    <w:rsid w:val="00645491"/>
    <w:rsid w:val="006457F2"/>
    <w:rsid w:val="00645CC7"/>
    <w:rsid w:val="00645F91"/>
    <w:rsid w:val="00646377"/>
    <w:rsid w:val="0064686B"/>
    <w:rsid w:val="006470B6"/>
    <w:rsid w:val="00650F63"/>
    <w:rsid w:val="00651341"/>
    <w:rsid w:val="00652529"/>
    <w:rsid w:val="006525C0"/>
    <w:rsid w:val="00654E39"/>
    <w:rsid w:val="0065674D"/>
    <w:rsid w:val="00656792"/>
    <w:rsid w:val="00657841"/>
    <w:rsid w:val="006603EE"/>
    <w:rsid w:val="00660A27"/>
    <w:rsid w:val="006616F6"/>
    <w:rsid w:val="00661853"/>
    <w:rsid w:val="00661A3B"/>
    <w:rsid w:val="0066436A"/>
    <w:rsid w:val="0066483B"/>
    <w:rsid w:val="00665B9B"/>
    <w:rsid w:val="0066682A"/>
    <w:rsid w:val="00667D07"/>
    <w:rsid w:val="00667FCE"/>
    <w:rsid w:val="00670022"/>
    <w:rsid w:val="006704B5"/>
    <w:rsid w:val="00670F8F"/>
    <w:rsid w:val="00671330"/>
    <w:rsid w:val="006716B3"/>
    <w:rsid w:val="00671A4B"/>
    <w:rsid w:val="00671A65"/>
    <w:rsid w:val="00671E10"/>
    <w:rsid w:val="00671EBA"/>
    <w:rsid w:val="0067307C"/>
    <w:rsid w:val="00673455"/>
    <w:rsid w:val="0067367B"/>
    <w:rsid w:val="00673CD4"/>
    <w:rsid w:val="00674197"/>
    <w:rsid w:val="00675445"/>
    <w:rsid w:val="006758A2"/>
    <w:rsid w:val="00675D78"/>
    <w:rsid w:val="00675D8D"/>
    <w:rsid w:val="00675DCF"/>
    <w:rsid w:val="006771D8"/>
    <w:rsid w:val="00677AFE"/>
    <w:rsid w:val="00680116"/>
    <w:rsid w:val="00680ED2"/>
    <w:rsid w:val="00681434"/>
    <w:rsid w:val="0068191C"/>
    <w:rsid w:val="006831D2"/>
    <w:rsid w:val="00683436"/>
    <w:rsid w:val="00683F51"/>
    <w:rsid w:val="006842BC"/>
    <w:rsid w:val="006843EC"/>
    <w:rsid w:val="006843F0"/>
    <w:rsid w:val="0068487B"/>
    <w:rsid w:val="0068495A"/>
    <w:rsid w:val="00686D95"/>
    <w:rsid w:val="0069018A"/>
    <w:rsid w:val="0069022B"/>
    <w:rsid w:val="006908D3"/>
    <w:rsid w:val="00690DB5"/>
    <w:rsid w:val="00690E5C"/>
    <w:rsid w:val="00690F50"/>
    <w:rsid w:val="00691AA8"/>
    <w:rsid w:val="00691B51"/>
    <w:rsid w:val="00691E56"/>
    <w:rsid w:val="00692C84"/>
    <w:rsid w:val="00692D60"/>
    <w:rsid w:val="00692E5A"/>
    <w:rsid w:val="00693022"/>
    <w:rsid w:val="00693761"/>
    <w:rsid w:val="00693848"/>
    <w:rsid w:val="006939A0"/>
    <w:rsid w:val="006949BE"/>
    <w:rsid w:val="006949C5"/>
    <w:rsid w:val="0069640F"/>
    <w:rsid w:val="00696FAC"/>
    <w:rsid w:val="00697E6D"/>
    <w:rsid w:val="006A004D"/>
    <w:rsid w:val="006A04A1"/>
    <w:rsid w:val="006A0AF1"/>
    <w:rsid w:val="006A1A88"/>
    <w:rsid w:val="006A2083"/>
    <w:rsid w:val="006A2426"/>
    <w:rsid w:val="006A245A"/>
    <w:rsid w:val="006A446C"/>
    <w:rsid w:val="006A44CC"/>
    <w:rsid w:val="006A58A8"/>
    <w:rsid w:val="006A60CA"/>
    <w:rsid w:val="006A733E"/>
    <w:rsid w:val="006A7741"/>
    <w:rsid w:val="006B0EF9"/>
    <w:rsid w:val="006B11D0"/>
    <w:rsid w:val="006B14E5"/>
    <w:rsid w:val="006B20D2"/>
    <w:rsid w:val="006B246D"/>
    <w:rsid w:val="006B26F1"/>
    <w:rsid w:val="006B3BE2"/>
    <w:rsid w:val="006B470C"/>
    <w:rsid w:val="006B54F4"/>
    <w:rsid w:val="006B5761"/>
    <w:rsid w:val="006B656A"/>
    <w:rsid w:val="006B712D"/>
    <w:rsid w:val="006B7881"/>
    <w:rsid w:val="006C0A70"/>
    <w:rsid w:val="006C188B"/>
    <w:rsid w:val="006C1FA8"/>
    <w:rsid w:val="006C20D4"/>
    <w:rsid w:val="006C27E1"/>
    <w:rsid w:val="006C2B15"/>
    <w:rsid w:val="006C39BF"/>
    <w:rsid w:val="006C3F8C"/>
    <w:rsid w:val="006C41F7"/>
    <w:rsid w:val="006C4213"/>
    <w:rsid w:val="006C441F"/>
    <w:rsid w:val="006C4948"/>
    <w:rsid w:val="006C4A60"/>
    <w:rsid w:val="006C56A8"/>
    <w:rsid w:val="006C5709"/>
    <w:rsid w:val="006C59B2"/>
    <w:rsid w:val="006C655D"/>
    <w:rsid w:val="006C6730"/>
    <w:rsid w:val="006C68A4"/>
    <w:rsid w:val="006C6E4B"/>
    <w:rsid w:val="006C75A2"/>
    <w:rsid w:val="006C76BA"/>
    <w:rsid w:val="006C7ABB"/>
    <w:rsid w:val="006D0003"/>
    <w:rsid w:val="006D0893"/>
    <w:rsid w:val="006D09CE"/>
    <w:rsid w:val="006D1D0B"/>
    <w:rsid w:val="006D2152"/>
    <w:rsid w:val="006D28B7"/>
    <w:rsid w:val="006D2B2B"/>
    <w:rsid w:val="006D4178"/>
    <w:rsid w:val="006D45EF"/>
    <w:rsid w:val="006D5306"/>
    <w:rsid w:val="006D5A5C"/>
    <w:rsid w:val="006D5BBA"/>
    <w:rsid w:val="006D6700"/>
    <w:rsid w:val="006D7A3F"/>
    <w:rsid w:val="006E1B5B"/>
    <w:rsid w:val="006E201E"/>
    <w:rsid w:val="006E22BB"/>
    <w:rsid w:val="006E27BF"/>
    <w:rsid w:val="006E2DE0"/>
    <w:rsid w:val="006E346C"/>
    <w:rsid w:val="006E3908"/>
    <w:rsid w:val="006E3A2F"/>
    <w:rsid w:val="006E60DD"/>
    <w:rsid w:val="006E6549"/>
    <w:rsid w:val="006E7D1B"/>
    <w:rsid w:val="006F022D"/>
    <w:rsid w:val="006F02C5"/>
    <w:rsid w:val="006F0C78"/>
    <w:rsid w:val="006F1CA4"/>
    <w:rsid w:val="006F2456"/>
    <w:rsid w:val="006F3003"/>
    <w:rsid w:val="006F32EA"/>
    <w:rsid w:val="006F3725"/>
    <w:rsid w:val="006F3E3C"/>
    <w:rsid w:val="006F5C43"/>
    <w:rsid w:val="006F6D9D"/>
    <w:rsid w:val="006F70D6"/>
    <w:rsid w:val="00701066"/>
    <w:rsid w:val="0070174C"/>
    <w:rsid w:val="00702C8F"/>
    <w:rsid w:val="00703F23"/>
    <w:rsid w:val="007044AF"/>
    <w:rsid w:val="00704824"/>
    <w:rsid w:val="00704E53"/>
    <w:rsid w:val="007059A7"/>
    <w:rsid w:val="00705DA7"/>
    <w:rsid w:val="00705DB5"/>
    <w:rsid w:val="00706432"/>
    <w:rsid w:val="00706633"/>
    <w:rsid w:val="00710925"/>
    <w:rsid w:val="0071191D"/>
    <w:rsid w:val="00711C83"/>
    <w:rsid w:val="0071231E"/>
    <w:rsid w:val="007125EA"/>
    <w:rsid w:val="0071291D"/>
    <w:rsid w:val="00712B3A"/>
    <w:rsid w:val="00712BC8"/>
    <w:rsid w:val="00712BD4"/>
    <w:rsid w:val="007133E4"/>
    <w:rsid w:val="00714048"/>
    <w:rsid w:val="00714074"/>
    <w:rsid w:val="00714B7A"/>
    <w:rsid w:val="0071520B"/>
    <w:rsid w:val="00715339"/>
    <w:rsid w:val="00715835"/>
    <w:rsid w:val="00720A37"/>
    <w:rsid w:val="00720F41"/>
    <w:rsid w:val="007216C2"/>
    <w:rsid w:val="00721A29"/>
    <w:rsid w:val="00721AB1"/>
    <w:rsid w:val="00722D7C"/>
    <w:rsid w:val="00722F14"/>
    <w:rsid w:val="0072390A"/>
    <w:rsid w:val="00723AEF"/>
    <w:rsid w:val="00723B87"/>
    <w:rsid w:val="00725178"/>
    <w:rsid w:val="00725E1B"/>
    <w:rsid w:val="007263F6"/>
    <w:rsid w:val="00726D6F"/>
    <w:rsid w:val="00727271"/>
    <w:rsid w:val="007274E4"/>
    <w:rsid w:val="007275F4"/>
    <w:rsid w:val="00730546"/>
    <w:rsid w:val="00730A26"/>
    <w:rsid w:val="00730D3C"/>
    <w:rsid w:val="00730EA8"/>
    <w:rsid w:val="007314B9"/>
    <w:rsid w:val="00731BD6"/>
    <w:rsid w:val="00731F4B"/>
    <w:rsid w:val="00732014"/>
    <w:rsid w:val="00732CC3"/>
    <w:rsid w:val="00733282"/>
    <w:rsid w:val="007336DD"/>
    <w:rsid w:val="00733846"/>
    <w:rsid w:val="00733D83"/>
    <w:rsid w:val="00734383"/>
    <w:rsid w:val="00734776"/>
    <w:rsid w:val="00735D11"/>
    <w:rsid w:val="00736441"/>
    <w:rsid w:val="00736F94"/>
    <w:rsid w:val="007377CD"/>
    <w:rsid w:val="00740ABE"/>
    <w:rsid w:val="00740F20"/>
    <w:rsid w:val="00741EB3"/>
    <w:rsid w:val="00742ABB"/>
    <w:rsid w:val="00743225"/>
    <w:rsid w:val="007435C5"/>
    <w:rsid w:val="00744737"/>
    <w:rsid w:val="00744EF9"/>
    <w:rsid w:val="007473E8"/>
    <w:rsid w:val="00747536"/>
    <w:rsid w:val="00747A21"/>
    <w:rsid w:val="00750311"/>
    <w:rsid w:val="00750A9C"/>
    <w:rsid w:val="00750D17"/>
    <w:rsid w:val="0075182A"/>
    <w:rsid w:val="00752367"/>
    <w:rsid w:val="007534C4"/>
    <w:rsid w:val="007550A0"/>
    <w:rsid w:val="0075558A"/>
    <w:rsid w:val="00755FA8"/>
    <w:rsid w:val="00756A10"/>
    <w:rsid w:val="00757801"/>
    <w:rsid w:val="00760BC0"/>
    <w:rsid w:val="007615CC"/>
    <w:rsid w:val="00761869"/>
    <w:rsid w:val="00761DD2"/>
    <w:rsid w:val="00762185"/>
    <w:rsid w:val="00762524"/>
    <w:rsid w:val="00763567"/>
    <w:rsid w:val="00763703"/>
    <w:rsid w:val="00764641"/>
    <w:rsid w:val="00764F9D"/>
    <w:rsid w:val="0076673C"/>
    <w:rsid w:val="007673B4"/>
    <w:rsid w:val="007673F4"/>
    <w:rsid w:val="0076776B"/>
    <w:rsid w:val="00767B77"/>
    <w:rsid w:val="00771310"/>
    <w:rsid w:val="00771783"/>
    <w:rsid w:val="007721CD"/>
    <w:rsid w:val="00772A3A"/>
    <w:rsid w:val="00775C74"/>
    <w:rsid w:val="007775EA"/>
    <w:rsid w:val="00777800"/>
    <w:rsid w:val="00777E74"/>
    <w:rsid w:val="00780325"/>
    <w:rsid w:val="007808CD"/>
    <w:rsid w:val="00780B52"/>
    <w:rsid w:val="00781486"/>
    <w:rsid w:val="007820BC"/>
    <w:rsid w:val="007822EB"/>
    <w:rsid w:val="007823EF"/>
    <w:rsid w:val="00782616"/>
    <w:rsid w:val="0078302B"/>
    <w:rsid w:val="00783C80"/>
    <w:rsid w:val="00783D87"/>
    <w:rsid w:val="00784016"/>
    <w:rsid w:val="00784CF6"/>
    <w:rsid w:val="00784E23"/>
    <w:rsid w:val="00784EA3"/>
    <w:rsid w:val="00785B0B"/>
    <w:rsid w:val="00786F2E"/>
    <w:rsid w:val="00786F5C"/>
    <w:rsid w:val="007871EE"/>
    <w:rsid w:val="00790854"/>
    <w:rsid w:val="0079093A"/>
    <w:rsid w:val="00790E94"/>
    <w:rsid w:val="007913AF"/>
    <w:rsid w:val="007924F6"/>
    <w:rsid w:val="00792EA8"/>
    <w:rsid w:val="007935BE"/>
    <w:rsid w:val="00794354"/>
    <w:rsid w:val="00795409"/>
    <w:rsid w:val="0079596A"/>
    <w:rsid w:val="00795AEA"/>
    <w:rsid w:val="00796DEC"/>
    <w:rsid w:val="007A045D"/>
    <w:rsid w:val="007A1D18"/>
    <w:rsid w:val="007A3554"/>
    <w:rsid w:val="007A3633"/>
    <w:rsid w:val="007A3B8D"/>
    <w:rsid w:val="007A460E"/>
    <w:rsid w:val="007A46A0"/>
    <w:rsid w:val="007A4935"/>
    <w:rsid w:val="007A747A"/>
    <w:rsid w:val="007A7F3E"/>
    <w:rsid w:val="007B051E"/>
    <w:rsid w:val="007B0630"/>
    <w:rsid w:val="007B0E17"/>
    <w:rsid w:val="007B26B0"/>
    <w:rsid w:val="007B29F9"/>
    <w:rsid w:val="007B3090"/>
    <w:rsid w:val="007B37E3"/>
    <w:rsid w:val="007B3C48"/>
    <w:rsid w:val="007B407E"/>
    <w:rsid w:val="007B48F1"/>
    <w:rsid w:val="007B5281"/>
    <w:rsid w:val="007B5498"/>
    <w:rsid w:val="007B67C3"/>
    <w:rsid w:val="007C0364"/>
    <w:rsid w:val="007C0CBB"/>
    <w:rsid w:val="007C0EEF"/>
    <w:rsid w:val="007C1809"/>
    <w:rsid w:val="007C2FD5"/>
    <w:rsid w:val="007C35F2"/>
    <w:rsid w:val="007C385B"/>
    <w:rsid w:val="007C40C6"/>
    <w:rsid w:val="007C4922"/>
    <w:rsid w:val="007C51CB"/>
    <w:rsid w:val="007C5E75"/>
    <w:rsid w:val="007C64B7"/>
    <w:rsid w:val="007C7945"/>
    <w:rsid w:val="007D05AD"/>
    <w:rsid w:val="007D0C88"/>
    <w:rsid w:val="007D230C"/>
    <w:rsid w:val="007D2A3D"/>
    <w:rsid w:val="007D2BD6"/>
    <w:rsid w:val="007D3386"/>
    <w:rsid w:val="007D3854"/>
    <w:rsid w:val="007D4354"/>
    <w:rsid w:val="007D45B4"/>
    <w:rsid w:val="007D4667"/>
    <w:rsid w:val="007D6041"/>
    <w:rsid w:val="007D6363"/>
    <w:rsid w:val="007D69EA"/>
    <w:rsid w:val="007D790C"/>
    <w:rsid w:val="007E1154"/>
    <w:rsid w:val="007E323E"/>
    <w:rsid w:val="007E35B9"/>
    <w:rsid w:val="007E4879"/>
    <w:rsid w:val="007E4CB0"/>
    <w:rsid w:val="007E60E2"/>
    <w:rsid w:val="007E6844"/>
    <w:rsid w:val="007E755F"/>
    <w:rsid w:val="007E7FAA"/>
    <w:rsid w:val="007F16A6"/>
    <w:rsid w:val="007F1B1D"/>
    <w:rsid w:val="007F73EF"/>
    <w:rsid w:val="007F7774"/>
    <w:rsid w:val="007F7CC4"/>
    <w:rsid w:val="008015F2"/>
    <w:rsid w:val="008029DC"/>
    <w:rsid w:val="00803482"/>
    <w:rsid w:val="008037E9"/>
    <w:rsid w:val="00803F5D"/>
    <w:rsid w:val="0080472C"/>
    <w:rsid w:val="008057B3"/>
    <w:rsid w:val="0080589A"/>
    <w:rsid w:val="0080642F"/>
    <w:rsid w:val="00806741"/>
    <w:rsid w:val="008073BA"/>
    <w:rsid w:val="00810094"/>
    <w:rsid w:val="0081073B"/>
    <w:rsid w:val="00810DBC"/>
    <w:rsid w:val="00810F87"/>
    <w:rsid w:val="00812398"/>
    <w:rsid w:val="00812C11"/>
    <w:rsid w:val="00812D31"/>
    <w:rsid w:val="008145E2"/>
    <w:rsid w:val="008146E2"/>
    <w:rsid w:val="00815895"/>
    <w:rsid w:val="008212DF"/>
    <w:rsid w:val="00821392"/>
    <w:rsid w:val="008215B3"/>
    <w:rsid w:val="008224DF"/>
    <w:rsid w:val="008243C8"/>
    <w:rsid w:val="00825ABD"/>
    <w:rsid w:val="008262FC"/>
    <w:rsid w:val="008267BB"/>
    <w:rsid w:val="00826A2C"/>
    <w:rsid w:val="008273F5"/>
    <w:rsid w:val="00830FCD"/>
    <w:rsid w:val="00831A52"/>
    <w:rsid w:val="0083264E"/>
    <w:rsid w:val="00832955"/>
    <w:rsid w:val="0083369B"/>
    <w:rsid w:val="008344A7"/>
    <w:rsid w:val="00834B24"/>
    <w:rsid w:val="00834F2F"/>
    <w:rsid w:val="008372A1"/>
    <w:rsid w:val="00837B06"/>
    <w:rsid w:val="00840FDE"/>
    <w:rsid w:val="00841434"/>
    <w:rsid w:val="00841FD2"/>
    <w:rsid w:val="00842F57"/>
    <w:rsid w:val="0084323C"/>
    <w:rsid w:val="00843728"/>
    <w:rsid w:val="00843CC6"/>
    <w:rsid w:val="00843DB9"/>
    <w:rsid w:val="00844839"/>
    <w:rsid w:val="00844A72"/>
    <w:rsid w:val="00844E73"/>
    <w:rsid w:val="00844F6B"/>
    <w:rsid w:val="00844FC2"/>
    <w:rsid w:val="00845D9E"/>
    <w:rsid w:val="00846030"/>
    <w:rsid w:val="008467AB"/>
    <w:rsid w:val="0084760D"/>
    <w:rsid w:val="00847936"/>
    <w:rsid w:val="00847A7C"/>
    <w:rsid w:val="00851227"/>
    <w:rsid w:val="008512D7"/>
    <w:rsid w:val="00851416"/>
    <w:rsid w:val="00853009"/>
    <w:rsid w:val="00853368"/>
    <w:rsid w:val="0085378C"/>
    <w:rsid w:val="00855D79"/>
    <w:rsid w:val="00856793"/>
    <w:rsid w:val="008576EF"/>
    <w:rsid w:val="008579D8"/>
    <w:rsid w:val="00860B2B"/>
    <w:rsid w:val="00860BEC"/>
    <w:rsid w:val="00860F71"/>
    <w:rsid w:val="00861C5E"/>
    <w:rsid w:val="008639B2"/>
    <w:rsid w:val="008653F7"/>
    <w:rsid w:val="0086546C"/>
    <w:rsid w:val="00866032"/>
    <w:rsid w:val="00866CF1"/>
    <w:rsid w:val="00867649"/>
    <w:rsid w:val="00867BF9"/>
    <w:rsid w:val="00867F14"/>
    <w:rsid w:val="00870698"/>
    <w:rsid w:val="008708A1"/>
    <w:rsid w:val="00870D5E"/>
    <w:rsid w:val="00872E03"/>
    <w:rsid w:val="0087428D"/>
    <w:rsid w:val="008746D0"/>
    <w:rsid w:val="00874C50"/>
    <w:rsid w:val="0087538F"/>
    <w:rsid w:val="0087585E"/>
    <w:rsid w:val="00875924"/>
    <w:rsid w:val="00875DE3"/>
    <w:rsid w:val="00876156"/>
    <w:rsid w:val="00876854"/>
    <w:rsid w:val="00876D32"/>
    <w:rsid w:val="0087709A"/>
    <w:rsid w:val="00877C18"/>
    <w:rsid w:val="0088078B"/>
    <w:rsid w:val="008807C0"/>
    <w:rsid w:val="00880E50"/>
    <w:rsid w:val="008816DA"/>
    <w:rsid w:val="00881C80"/>
    <w:rsid w:val="00882484"/>
    <w:rsid w:val="00882BE8"/>
    <w:rsid w:val="00883FD0"/>
    <w:rsid w:val="00884702"/>
    <w:rsid w:val="00885587"/>
    <w:rsid w:val="00885837"/>
    <w:rsid w:val="00885B1E"/>
    <w:rsid w:val="0088671A"/>
    <w:rsid w:val="008867A9"/>
    <w:rsid w:val="00886F5E"/>
    <w:rsid w:val="00887878"/>
    <w:rsid w:val="008878EB"/>
    <w:rsid w:val="00887D09"/>
    <w:rsid w:val="00887E8E"/>
    <w:rsid w:val="008913D1"/>
    <w:rsid w:val="00891B03"/>
    <w:rsid w:val="008923B0"/>
    <w:rsid w:val="008925A1"/>
    <w:rsid w:val="00892E7E"/>
    <w:rsid w:val="00893CE9"/>
    <w:rsid w:val="00893F1E"/>
    <w:rsid w:val="0089421D"/>
    <w:rsid w:val="00894713"/>
    <w:rsid w:val="008948C4"/>
    <w:rsid w:val="00895F1A"/>
    <w:rsid w:val="00896520"/>
    <w:rsid w:val="00896DF4"/>
    <w:rsid w:val="008972B6"/>
    <w:rsid w:val="008A139D"/>
    <w:rsid w:val="008A2878"/>
    <w:rsid w:val="008A32CE"/>
    <w:rsid w:val="008A485A"/>
    <w:rsid w:val="008A4ADD"/>
    <w:rsid w:val="008A5294"/>
    <w:rsid w:val="008A6994"/>
    <w:rsid w:val="008B0551"/>
    <w:rsid w:val="008B068E"/>
    <w:rsid w:val="008B152A"/>
    <w:rsid w:val="008B19E3"/>
    <w:rsid w:val="008B2922"/>
    <w:rsid w:val="008B405F"/>
    <w:rsid w:val="008B6A4C"/>
    <w:rsid w:val="008B6F39"/>
    <w:rsid w:val="008B739E"/>
    <w:rsid w:val="008B75D9"/>
    <w:rsid w:val="008B7839"/>
    <w:rsid w:val="008B78FB"/>
    <w:rsid w:val="008B7B6C"/>
    <w:rsid w:val="008C157E"/>
    <w:rsid w:val="008C15D3"/>
    <w:rsid w:val="008C2393"/>
    <w:rsid w:val="008C2610"/>
    <w:rsid w:val="008C290B"/>
    <w:rsid w:val="008C2DB5"/>
    <w:rsid w:val="008C33D3"/>
    <w:rsid w:val="008C4401"/>
    <w:rsid w:val="008C4A14"/>
    <w:rsid w:val="008C58D9"/>
    <w:rsid w:val="008C6B9C"/>
    <w:rsid w:val="008C6C41"/>
    <w:rsid w:val="008C6C91"/>
    <w:rsid w:val="008C76F3"/>
    <w:rsid w:val="008C7737"/>
    <w:rsid w:val="008D21EB"/>
    <w:rsid w:val="008D27B1"/>
    <w:rsid w:val="008D3176"/>
    <w:rsid w:val="008D3CCF"/>
    <w:rsid w:val="008D49C8"/>
    <w:rsid w:val="008D4B0F"/>
    <w:rsid w:val="008D515B"/>
    <w:rsid w:val="008D5165"/>
    <w:rsid w:val="008D5CE0"/>
    <w:rsid w:val="008D6430"/>
    <w:rsid w:val="008D660C"/>
    <w:rsid w:val="008D75A3"/>
    <w:rsid w:val="008D79EB"/>
    <w:rsid w:val="008D7BDC"/>
    <w:rsid w:val="008E2EA3"/>
    <w:rsid w:val="008E2F51"/>
    <w:rsid w:val="008E3CD8"/>
    <w:rsid w:val="008E3D05"/>
    <w:rsid w:val="008E4E60"/>
    <w:rsid w:val="008E55AF"/>
    <w:rsid w:val="008E598B"/>
    <w:rsid w:val="008E6161"/>
    <w:rsid w:val="008E629F"/>
    <w:rsid w:val="008E6BA7"/>
    <w:rsid w:val="008E7195"/>
    <w:rsid w:val="008E7FC6"/>
    <w:rsid w:val="008F077B"/>
    <w:rsid w:val="008F093C"/>
    <w:rsid w:val="008F0E17"/>
    <w:rsid w:val="008F0F26"/>
    <w:rsid w:val="008F4D24"/>
    <w:rsid w:val="008F520E"/>
    <w:rsid w:val="008F54DB"/>
    <w:rsid w:val="008F6101"/>
    <w:rsid w:val="008F6353"/>
    <w:rsid w:val="008F7366"/>
    <w:rsid w:val="00901C13"/>
    <w:rsid w:val="009031D1"/>
    <w:rsid w:val="0090573F"/>
    <w:rsid w:val="00905FD6"/>
    <w:rsid w:val="00907EF3"/>
    <w:rsid w:val="00910216"/>
    <w:rsid w:val="00910E69"/>
    <w:rsid w:val="0091315F"/>
    <w:rsid w:val="0091467C"/>
    <w:rsid w:val="009146F2"/>
    <w:rsid w:val="00914E29"/>
    <w:rsid w:val="00914E84"/>
    <w:rsid w:val="00915913"/>
    <w:rsid w:val="00916207"/>
    <w:rsid w:val="009165A9"/>
    <w:rsid w:val="00916D02"/>
    <w:rsid w:val="00917454"/>
    <w:rsid w:val="0092036A"/>
    <w:rsid w:val="0092071A"/>
    <w:rsid w:val="0092094C"/>
    <w:rsid w:val="00921D5A"/>
    <w:rsid w:val="00922C7A"/>
    <w:rsid w:val="00922F74"/>
    <w:rsid w:val="00923009"/>
    <w:rsid w:val="00923878"/>
    <w:rsid w:val="00923DD7"/>
    <w:rsid w:val="009240C4"/>
    <w:rsid w:val="00924151"/>
    <w:rsid w:val="00925130"/>
    <w:rsid w:val="00926B73"/>
    <w:rsid w:val="00927B09"/>
    <w:rsid w:val="00930BE5"/>
    <w:rsid w:val="00930F31"/>
    <w:rsid w:val="00930FE9"/>
    <w:rsid w:val="00931409"/>
    <w:rsid w:val="00931CA2"/>
    <w:rsid w:val="00931ECD"/>
    <w:rsid w:val="00932A9B"/>
    <w:rsid w:val="00932CEF"/>
    <w:rsid w:val="00932E0F"/>
    <w:rsid w:val="00933B75"/>
    <w:rsid w:val="00933BF8"/>
    <w:rsid w:val="009343D9"/>
    <w:rsid w:val="00935F13"/>
    <w:rsid w:val="0093678D"/>
    <w:rsid w:val="00937CD3"/>
    <w:rsid w:val="009402A7"/>
    <w:rsid w:val="00940491"/>
    <w:rsid w:val="00940785"/>
    <w:rsid w:val="00940E1F"/>
    <w:rsid w:val="0094198A"/>
    <w:rsid w:val="00942CA9"/>
    <w:rsid w:val="00943ECC"/>
    <w:rsid w:val="00943FDA"/>
    <w:rsid w:val="00944151"/>
    <w:rsid w:val="0094452B"/>
    <w:rsid w:val="0094623C"/>
    <w:rsid w:val="00950747"/>
    <w:rsid w:val="0095175A"/>
    <w:rsid w:val="009521EA"/>
    <w:rsid w:val="00952E76"/>
    <w:rsid w:val="00953691"/>
    <w:rsid w:val="00954389"/>
    <w:rsid w:val="009562B3"/>
    <w:rsid w:val="009565EA"/>
    <w:rsid w:val="0095729F"/>
    <w:rsid w:val="0096019F"/>
    <w:rsid w:val="00960286"/>
    <w:rsid w:val="00960ACE"/>
    <w:rsid w:val="00961FFA"/>
    <w:rsid w:val="009626A3"/>
    <w:rsid w:val="0096270D"/>
    <w:rsid w:val="00964416"/>
    <w:rsid w:val="00964585"/>
    <w:rsid w:val="0096487E"/>
    <w:rsid w:val="00964A16"/>
    <w:rsid w:val="009660C1"/>
    <w:rsid w:val="0096657F"/>
    <w:rsid w:val="009678BA"/>
    <w:rsid w:val="009701BE"/>
    <w:rsid w:val="0097103A"/>
    <w:rsid w:val="00972C01"/>
    <w:rsid w:val="00972F46"/>
    <w:rsid w:val="00973B14"/>
    <w:rsid w:val="0097600A"/>
    <w:rsid w:val="0098023C"/>
    <w:rsid w:val="009802CB"/>
    <w:rsid w:val="00980330"/>
    <w:rsid w:val="009804D8"/>
    <w:rsid w:val="009813AA"/>
    <w:rsid w:val="009814E7"/>
    <w:rsid w:val="00981599"/>
    <w:rsid w:val="00983F10"/>
    <w:rsid w:val="0098523C"/>
    <w:rsid w:val="009861A9"/>
    <w:rsid w:val="009871D7"/>
    <w:rsid w:val="009908A3"/>
    <w:rsid w:val="00992330"/>
    <w:rsid w:val="0099417F"/>
    <w:rsid w:val="009956F5"/>
    <w:rsid w:val="0099593F"/>
    <w:rsid w:val="00995B1C"/>
    <w:rsid w:val="00995B28"/>
    <w:rsid w:val="00995E6F"/>
    <w:rsid w:val="009A00BC"/>
    <w:rsid w:val="009A0792"/>
    <w:rsid w:val="009A0C43"/>
    <w:rsid w:val="009A140D"/>
    <w:rsid w:val="009A2665"/>
    <w:rsid w:val="009A2EBC"/>
    <w:rsid w:val="009A3162"/>
    <w:rsid w:val="009A3519"/>
    <w:rsid w:val="009A3566"/>
    <w:rsid w:val="009A3F16"/>
    <w:rsid w:val="009A4324"/>
    <w:rsid w:val="009A5BFB"/>
    <w:rsid w:val="009A6878"/>
    <w:rsid w:val="009B02E9"/>
    <w:rsid w:val="009B05F6"/>
    <w:rsid w:val="009B0860"/>
    <w:rsid w:val="009B24CA"/>
    <w:rsid w:val="009B2DFF"/>
    <w:rsid w:val="009B2E2B"/>
    <w:rsid w:val="009B4315"/>
    <w:rsid w:val="009B47E6"/>
    <w:rsid w:val="009C0BEC"/>
    <w:rsid w:val="009C1681"/>
    <w:rsid w:val="009C30A3"/>
    <w:rsid w:val="009C43D9"/>
    <w:rsid w:val="009C6C5A"/>
    <w:rsid w:val="009C7271"/>
    <w:rsid w:val="009C7EFC"/>
    <w:rsid w:val="009D053D"/>
    <w:rsid w:val="009D055A"/>
    <w:rsid w:val="009D12B5"/>
    <w:rsid w:val="009D1948"/>
    <w:rsid w:val="009D23A8"/>
    <w:rsid w:val="009D257F"/>
    <w:rsid w:val="009D2C45"/>
    <w:rsid w:val="009D3A62"/>
    <w:rsid w:val="009D3CC0"/>
    <w:rsid w:val="009D4038"/>
    <w:rsid w:val="009D4F0B"/>
    <w:rsid w:val="009D51E5"/>
    <w:rsid w:val="009D53E2"/>
    <w:rsid w:val="009D5621"/>
    <w:rsid w:val="009D59D6"/>
    <w:rsid w:val="009D72A9"/>
    <w:rsid w:val="009D76F6"/>
    <w:rsid w:val="009D7BBE"/>
    <w:rsid w:val="009E18FE"/>
    <w:rsid w:val="009E29CA"/>
    <w:rsid w:val="009E2D3F"/>
    <w:rsid w:val="009E366C"/>
    <w:rsid w:val="009E390B"/>
    <w:rsid w:val="009E3AE8"/>
    <w:rsid w:val="009E4F3E"/>
    <w:rsid w:val="009E504A"/>
    <w:rsid w:val="009E50AA"/>
    <w:rsid w:val="009E6460"/>
    <w:rsid w:val="009E6671"/>
    <w:rsid w:val="009E674B"/>
    <w:rsid w:val="009E6999"/>
    <w:rsid w:val="009E708B"/>
    <w:rsid w:val="009E7FCF"/>
    <w:rsid w:val="009F04C4"/>
    <w:rsid w:val="009F07DC"/>
    <w:rsid w:val="009F21A3"/>
    <w:rsid w:val="009F2668"/>
    <w:rsid w:val="009F2C40"/>
    <w:rsid w:val="009F30D9"/>
    <w:rsid w:val="009F3CA3"/>
    <w:rsid w:val="009F4237"/>
    <w:rsid w:val="009F4877"/>
    <w:rsid w:val="009F5852"/>
    <w:rsid w:val="009F634B"/>
    <w:rsid w:val="009F68B9"/>
    <w:rsid w:val="009F6902"/>
    <w:rsid w:val="009F6EBE"/>
    <w:rsid w:val="009F75C3"/>
    <w:rsid w:val="009F7B01"/>
    <w:rsid w:val="00A00379"/>
    <w:rsid w:val="00A0049C"/>
    <w:rsid w:val="00A009F3"/>
    <w:rsid w:val="00A00EA2"/>
    <w:rsid w:val="00A00FBC"/>
    <w:rsid w:val="00A0110C"/>
    <w:rsid w:val="00A017C7"/>
    <w:rsid w:val="00A024D8"/>
    <w:rsid w:val="00A0277A"/>
    <w:rsid w:val="00A02AAE"/>
    <w:rsid w:val="00A0646C"/>
    <w:rsid w:val="00A0769C"/>
    <w:rsid w:val="00A07934"/>
    <w:rsid w:val="00A07F88"/>
    <w:rsid w:val="00A10622"/>
    <w:rsid w:val="00A11A83"/>
    <w:rsid w:val="00A12C84"/>
    <w:rsid w:val="00A12E03"/>
    <w:rsid w:val="00A14A04"/>
    <w:rsid w:val="00A14A7B"/>
    <w:rsid w:val="00A14DDA"/>
    <w:rsid w:val="00A1540E"/>
    <w:rsid w:val="00A16948"/>
    <w:rsid w:val="00A172DA"/>
    <w:rsid w:val="00A175C6"/>
    <w:rsid w:val="00A17649"/>
    <w:rsid w:val="00A17C80"/>
    <w:rsid w:val="00A201A3"/>
    <w:rsid w:val="00A205DD"/>
    <w:rsid w:val="00A21A84"/>
    <w:rsid w:val="00A21CA2"/>
    <w:rsid w:val="00A22742"/>
    <w:rsid w:val="00A22AF7"/>
    <w:rsid w:val="00A23E6D"/>
    <w:rsid w:val="00A23F99"/>
    <w:rsid w:val="00A24391"/>
    <w:rsid w:val="00A257FA"/>
    <w:rsid w:val="00A258B3"/>
    <w:rsid w:val="00A2603F"/>
    <w:rsid w:val="00A26CB7"/>
    <w:rsid w:val="00A275F9"/>
    <w:rsid w:val="00A316BF"/>
    <w:rsid w:val="00A32295"/>
    <w:rsid w:val="00A33387"/>
    <w:rsid w:val="00A339E7"/>
    <w:rsid w:val="00A33DA8"/>
    <w:rsid w:val="00A34A04"/>
    <w:rsid w:val="00A34F0C"/>
    <w:rsid w:val="00A36BB6"/>
    <w:rsid w:val="00A37F05"/>
    <w:rsid w:val="00A4026D"/>
    <w:rsid w:val="00A41D79"/>
    <w:rsid w:val="00A4220D"/>
    <w:rsid w:val="00A42D46"/>
    <w:rsid w:val="00A42F3B"/>
    <w:rsid w:val="00A42FFA"/>
    <w:rsid w:val="00A437DF"/>
    <w:rsid w:val="00A43C38"/>
    <w:rsid w:val="00A43E85"/>
    <w:rsid w:val="00A443C3"/>
    <w:rsid w:val="00A44B9E"/>
    <w:rsid w:val="00A4678C"/>
    <w:rsid w:val="00A46DE7"/>
    <w:rsid w:val="00A473A8"/>
    <w:rsid w:val="00A4742E"/>
    <w:rsid w:val="00A512A5"/>
    <w:rsid w:val="00A53043"/>
    <w:rsid w:val="00A5315B"/>
    <w:rsid w:val="00A5342E"/>
    <w:rsid w:val="00A53C8A"/>
    <w:rsid w:val="00A53EBE"/>
    <w:rsid w:val="00A54AA5"/>
    <w:rsid w:val="00A55869"/>
    <w:rsid w:val="00A55DC5"/>
    <w:rsid w:val="00A5755C"/>
    <w:rsid w:val="00A6046E"/>
    <w:rsid w:val="00A61219"/>
    <w:rsid w:val="00A612D4"/>
    <w:rsid w:val="00A619FC"/>
    <w:rsid w:val="00A62488"/>
    <w:rsid w:val="00A628C9"/>
    <w:rsid w:val="00A6330B"/>
    <w:rsid w:val="00A65680"/>
    <w:rsid w:val="00A67986"/>
    <w:rsid w:val="00A70188"/>
    <w:rsid w:val="00A70539"/>
    <w:rsid w:val="00A717C3"/>
    <w:rsid w:val="00A71D4D"/>
    <w:rsid w:val="00A727AE"/>
    <w:rsid w:val="00A73204"/>
    <w:rsid w:val="00A7452A"/>
    <w:rsid w:val="00A74690"/>
    <w:rsid w:val="00A76462"/>
    <w:rsid w:val="00A77400"/>
    <w:rsid w:val="00A775B7"/>
    <w:rsid w:val="00A801B6"/>
    <w:rsid w:val="00A8062B"/>
    <w:rsid w:val="00A80662"/>
    <w:rsid w:val="00A80931"/>
    <w:rsid w:val="00A81494"/>
    <w:rsid w:val="00A83391"/>
    <w:rsid w:val="00A83449"/>
    <w:rsid w:val="00A843FD"/>
    <w:rsid w:val="00A854BC"/>
    <w:rsid w:val="00A8585D"/>
    <w:rsid w:val="00A85B64"/>
    <w:rsid w:val="00A85BC8"/>
    <w:rsid w:val="00A85D5C"/>
    <w:rsid w:val="00A8625E"/>
    <w:rsid w:val="00A86CD2"/>
    <w:rsid w:val="00A90978"/>
    <w:rsid w:val="00A90A17"/>
    <w:rsid w:val="00A90C5F"/>
    <w:rsid w:val="00A90EAE"/>
    <w:rsid w:val="00A91482"/>
    <w:rsid w:val="00A91B4C"/>
    <w:rsid w:val="00A9209C"/>
    <w:rsid w:val="00A92BF5"/>
    <w:rsid w:val="00A9323F"/>
    <w:rsid w:val="00A94E28"/>
    <w:rsid w:val="00A95D11"/>
    <w:rsid w:val="00A96383"/>
    <w:rsid w:val="00A96952"/>
    <w:rsid w:val="00A96C10"/>
    <w:rsid w:val="00A96E3C"/>
    <w:rsid w:val="00AA0A69"/>
    <w:rsid w:val="00AA1BAB"/>
    <w:rsid w:val="00AA1DF7"/>
    <w:rsid w:val="00AA3444"/>
    <w:rsid w:val="00AA427B"/>
    <w:rsid w:val="00AA4A68"/>
    <w:rsid w:val="00AA4FD5"/>
    <w:rsid w:val="00AA568E"/>
    <w:rsid w:val="00AA5C4A"/>
    <w:rsid w:val="00AA6085"/>
    <w:rsid w:val="00AA6BA5"/>
    <w:rsid w:val="00AA6C00"/>
    <w:rsid w:val="00AA721E"/>
    <w:rsid w:val="00AB00B2"/>
    <w:rsid w:val="00AB02A6"/>
    <w:rsid w:val="00AB035B"/>
    <w:rsid w:val="00AB0E38"/>
    <w:rsid w:val="00AB14AE"/>
    <w:rsid w:val="00AB158A"/>
    <w:rsid w:val="00AB1FEE"/>
    <w:rsid w:val="00AB585F"/>
    <w:rsid w:val="00AB5A91"/>
    <w:rsid w:val="00AB5ECA"/>
    <w:rsid w:val="00AB6B8C"/>
    <w:rsid w:val="00AB6C28"/>
    <w:rsid w:val="00AB6D2B"/>
    <w:rsid w:val="00AB6EA3"/>
    <w:rsid w:val="00AB6FDF"/>
    <w:rsid w:val="00AB7A4F"/>
    <w:rsid w:val="00AC082F"/>
    <w:rsid w:val="00AC0B97"/>
    <w:rsid w:val="00AC1EF1"/>
    <w:rsid w:val="00AC26BF"/>
    <w:rsid w:val="00AC28F3"/>
    <w:rsid w:val="00AC2EA9"/>
    <w:rsid w:val="00AC32A0"/>
    <w:rsid w:val="00AC38A5"/>
    <w:rsid w:val="00AC4016"/>
    <w:rsid w:val="00AC4145"/>
    <w:rsid w:val="00AC44F6"/>
    <w:rsid w:val="00AC479D"/>
    <w:rsid w:val="00AC4BE2"/>
    <w:rsid w:val="00AC5173"/>
    <w:rsid w:val="00AC51F3"/>
    <w:rsid w:val="00AC5D73"/>
    <w:rsid w:val="00AC79EC"/>
    <w:rsid w:val="00AD09F6"/>
    <w:rsid w:val="00AD121B"/>
    <w:rsid w:val="00AD2110"/>
    <w:rsid w:val="00AD2674"/>
    <w:rsid w:val="00AD45B0"/>
    <w:rsid w:val="00AD4CA8"/>
    <w:rsid w:val="00AD7A1A"/>
    <w:rsid w:val="00AD7FF1"/>
    <w:rsid w:val="00AE004E"/>
    <w:rsid w:val="00AE0DEF"/>
    <w:rsid w:val="00AE0F9B"/>
    <w:rsid w:val="00AE21DE"/>
    <w:rsid w:val="00AE2529"/>
    <w:rsid w:val="00AE4564"/>
    <w:rsid w:val="00AE4DDF"/>
    <w:rsid w:val="00AE6499"/>
    <w:rsid w:val="00AE7AF9"/>
    <w:rsid w:val="00AE7D47"/>
    <w:rsid w:val="00AF080B"/>
    <w:rsid w:val="00AF0B4B"/>
    <w:rsid w:val="00AF1B1C"/>
    <w:rsid w:val="00AF1C4F"/>
    <w:rsid w:val="00AF27BF"/>
    <w:rsid w:val="00AF3518"/>
    <w:rsid w:val="00AF471E"/>
    <w:rsid w:val="00AF4D15"/>
    <w:rsid w:val="00AF5200"/>
    <w:rsid w:val="00AF6317"/>
    <w:rsid w:val="00AF6359"/>
    <w:rsid w:val="00AF6616"/>
    <w:rsid w:val="00AF7BB4"/>
    <w:rsid w:val="00AF7DB9"/>
    <w:rsid w:val="00B00263"/>
    <w:rsid w:val="00B01062"/>
    <w:rsid w:val="00B0153B"/>
    <w:rsid w:val="00B03AA6"/>
    <w:rsid w:val="00B03B69"/>
    <w:rsid w:val="00B05DA8"/>
    <w:rsid w:val="00B068E7"/>
    <w:rsid w:val="00B06A59"/>
    <w:rsid w:val="00B06DEF"/>
    <w:rsid w:val="00B07BC2"/>
    <w:rsid w:val="00B106E3"/>
    <w:rsid w:val="00B11270"/>
    <w:rsid w:val="00B114FE"/>
    <w:rsid w:val="00B1202C"/>
    <w:rsid w:val="00B120C2"/>
    <w:rsid w:val="00B133C2"/>
    <w:rsid w:val="00B14688"/>
    <w:rsid w:val="00B14762"/>
    <w:rsid w:val="00B156B3"/>
    <w:rsid w:val="00B164E7"/>
    <w:rsid w:val="00B16C8F"/>
    <w:rsid w:val="00B20094"/>
    <w:rsid w:val="00B20419"/>
    <w:rsid w:val="00B20A5A"/>
    <w:rsid w:val="00B20F1E"/>
    <w:rsid w:val="00B213DC"/>
    <w:rsid w:val="00B2171D"/>
    <w:rsid w:val="00B21F9B"/>
    <w:rsid w:val="00B220B0"/>
    <w:rsid w:val="00B225E2"/>
    <w:rsid w:val="00B22E2B"/>
    <w:rsid w:val="00B242C9"/>
    <w:rsid w:val="00B24668"/>
    <w:rsid w:val="00B2550F"/>
    <w:rsid w:val="00B26489"/>
    <w:rsid w:val="00B26727"/>
    <w:rsid w:val="00B26B5A"/>
    <w:rsid w:val="00B30727"/>
    <w:rsid w:val="00B3081A"/>
    <w:rsid w:val="00B30ED9"/>
    <w:rsid w:val="00B3256A"/>
    <w:rsid w:val="00B328A1"/>
    <w:rsid w:val="00B32AE6"/>
    <w:rsid w:val="00B32F16"/>
    <w:rsid w:val="00B346B6"/>
    <w:rsid w:val="00B35171"/>
    <w:rsid w:val="00B3542B"/>
    <w:rsid w:val="00B361C3"/>
    <w:rsid w:val="00B36CC6"/>
    <w:rsid w:val="00B379DE"/>
    <w:rsid w:val="00B424EF"/>
    <w:rsid w:val="00B42659"/>
    <w:rsid w:val="00B426FE"/>
    <w:rsid w:val="00B42B0A"/>
    <w:rsid w:val="00B43C2E"/>
    <w:rsid w:val="00B43CBC"/>
    <w:rsid w:val="00B43D97"/>
    <w:rsid w:val="00B44076"/>
    <w:rsid w:val="00B44390"/>
    <w:rsid w:val="00B445B2"/>
    <w:rsid w:val="00B44860"/>
    <w:rsid w:val="00B44A5B"/>
    <w:rsid w:val="00B44AB1"/>
    <w:rsid w:val="00B44F6F"/>
    <w:rsid w:val="00B45379"/>
    <w:rsid w:val="00B4572E"/>
    <w:rsid w:val="00B46A50"/>
    <w:rsid w:val="00B506DE"/>
    <w:rsid w:val="00B526AF"/>
    <w:rsid w:val="00B5363D"/>
    <w:rsid w:val="00B542E4"/>
    <w:rsid w:val="00B548BC"/>
    <w:rsid w:val="00B54D0D"/>
    <w:rsid w:val="00B54EF9"/>
    <w:rsid w:val="00B555CB"/>
    <w:rsid w:val="00B5581B"/>
    <w:rsid w:val="00B55BFA"/>
    <w:rsid w:val="00B55FEA"/>
    <w:rsid w:val="00B560E3"/>
    <w:rsid w:val="00B56132"/>
    <w:rsid w:val="00B56A92"/>
    <w:rsid w:val="00B574C1"/>
    <w:rsid w:val="00B57507"/>
    <w:rsid w:val="00B6114D"/>
    <w:rsid w:val="00B611D8"/>
    <w:rsid w:val="00B62A10"/>
    <w:rsid w:val="00B63BDD"/>
    <w:rsid w:val="00B64C97"/>
    <w:rsid w:val="00B65A89"/>
    <w:rsid w:val="00B6789A"/>
    <w:rsid w:val="00B71173"/>
    <w:rsid w:val="00B71C5B"/>
    <w:rsid w:val="00B71D93"/>
    <w:rsid w:val="00B72DDF"/>
    <w:rsid w:val="00B740AE"/>
    <w:rsid w:val="00B741BE"/>
    <w:rsid w:val="00B753B5"/>
    <w:rsid w:val="00B7551A"/>
    <w:rsid w:val="00B75640"/>
    <w:rsid w:val="00B763B1"/>
    <w:rsid w:val="00B76615"/>
    <w:rsid w:val="00B77411"/>
    <w:rsid w:val="00B77C9C"/>
    <w:rsid w:val="00B81DCE"/>
    <w:rsid w:val="00B8290D"/>
    <w:rsid w:val="00B830FA"/>
    <w:rsid w:val="00B85D5F"/>
    <w:rsid w:val="00B86715"/>
    <w:rsid w:val="00B86B27"/>
    <w:rsid w:val="00B8706D"/>
    <w:rsid w:val="00B872C7"/>
    <w:rsid w:val="00B87D92"/>
    <w:rsid w:val="00B90226"/>
    <w:rsid w:val="00B90CC3"/>
    <w:rsid w:val="00B90E9C"/>
    <w:rsid w:val="00B9220E"/>
    <w:rsid w:val="00B924AF"/>
    <w:rsid w:val="00B934B5"/>
    <w:rsid w:val="00B9461D"/>
    <w:rsid w:val="00B947ED"/>
    <w:rsid w:val="00B94966"/>
    <w:rsid w:val="00B94D73"/>
    <w:rsid w:val="00B94E65"/>
    <w:rsid w:val="00B950C3"/>
    <w:rsid w:val="00B95F08"/>
    <w:rsid w:val="00B96E37"/>
    <w:rsid w:val="00B97244"/>
    <w:rsid w:val="00B97745"/>
    <w:rsid w:val="00B9779A"/>
    <w:rsid w:val="00B978A6"/>
    <w:rsid w:val="00B97C60"/>
    <w:rsid w:val="00BA07E3"/>
    <w:rsid w:val="00BA0969"/>
    <w:rsid w:val="00BA09D2"/>
    <w:rsid w:val="00BA0B20"/>
    <w:rsid w:val="00BA0D5A"/>
    <w:rsid w:val="00BA1710"/>
    <w:rsid w:val="00BA1801"/>
    <w:rsid w:val="00BA347A"/>
    <w:rsid w:val="00BA428B"/>
    <w:rsid w:val="00BA5191"/>
    <w:rsid w:val="00BA5254"/>
    <w:rsid w:val="00BA6101"/>
    <w:rsid w:val="00BA71B5"/>
    <w:rsid w:val="00BA7DF3"/>
    <w:rsid w:val="00BB01D3"/>
    <w:rsid w:val="00BB0318"/>
    <w:rsid w:val="00BB25FC"/>
    <w:rsid w:val="00BB2B87"/>
    <w:rsid w:val="00BB2CF0"/>
    <w:rsid w:val="00BB387D"/>
    <w:rsid w:val="00BB38AA"/>
    <w:rsid w:val="00BB4958"/>
    <w:rsid w:val="00BB5A72"/>
    <w:rsid w:val="00BB6D57"/>
    <w:rsid w:val="00BB72A9"/>
    <w:rsid w:val="00BB7CFC"/>
    <w:rsid w:val="00BC0280"/>
    <w:rsid w:val="00BC05C2"/>
    <w:rsid w:val="00BC1F77"/>
    <w:rsid w:val="00BC2432"/>
    <w:rsid w:val="00BC29A5"/>
    <w:rsid w:val="00BC39FB"/>
    <w:rsid w:val="00BC3EA3"/>
    <w:rsid w:val="00BC62ED"/>
    <w:rsid w:val="00BC6532"/>
    <w:rsid w:val="00BC695A"/>
    <w:rsid w:val="00BC6E15"/>
    <w:rsid w:val="00BD04DD"/>
    <w:rsid w:val="00BD210B"/>
    <w:rsid w:val="00BD29DE"/>
    <w:rsid w:val="00BD2E67"/>
    <w:rsid w:val="00BD3979"/>
    <w:rsid w:val="00BD49DC"/>
    <w:rsid w:val="00BD4E9C"/>
    <w:rsid w:val="00BD4FA9"/>
    <w:rsid w:val="00BD50A7"/>
    <w:rsid w:val="00BD578F"/>
    <w:rsid w:val="00BD6BCE"/>
    <w:rsid w:val="00BD6BF6"/>
    <w:rsid w:val="00BD752D"/>
    <w:rsid w:val="00BD7ACF"/>
    <w:rsid w:val="00BE1537"/>
    <w:rsid w:val="00BE156B"/>
    <w:rsid w:val="00BE16F5"/>
    <w:rsid w:val="00BE1C93"/>
    <w:rsid w:val="00BE1FE0"/>
    <w:rsid w:val="00BE2125"/>
    <w:rsid w:val="00BE246F"/>
    <w:rsid w:val="00BE2784"/>
    <w:rsid w:val="00BE2B08"/>
    <w:rsid w:val="00BE2E12"/>
    <w:rsid w:val="00BE3C47"/>
    <w:rsid w:val="00BE3DEE"/>
    <w:rsid w:val="00BE4936"/>
    <w:rsid w:val="00BE4E2F"/>
    <w:rsid w:val="00BE6786"/>
    <w:rsid w:val="00BE6C40"/>
    <w:rsid w:val="00BE7441"/>
    <w:rsid w:val="00BE748D"/>
    <w:rsid w:val="00BE78BB"/>
    <w:rsid w:val="00BF2BD9"/>
    <w:rsid w:val="00BF2C0E"/>
    <w:rsid w:val="00BF2E0B"/>
    <w:rsid w:val="00BF3858"/>
    <w:rsid w:val="00BF3B00"/>
    <w:rsid w:val="00BF4EB3"/>
    <w:rsid w:val="00BF5E22"/>
    <w:rsid w:val="00BF5FBC"/>
    <w:rsid w:val="00BF5FBD"/>
    <w:rsid w:val="00BF6C14"/>
    <w:rsid w:val="00BF7762"/>
    <w:rsid w:val="00BF7B5B"/>
    <w:rsid w:val="00C007B5"/>
    <w:rsid w:val="00C00899"/>
    <w:rsid w:val="00C02658"/>
    <w:rsid w:val="00C03283"/>
    <w:rsid w:val="00C0358E"/>
    <w:rsid w:val="00C03B55"/>
    <w:rsid w:val="00C03D7D"/>
    <w:rsid w:val="00C04CDC"/>
    <w:rsid w:val="00C04E86"/>
    <w:rsid w:val="00C04F0D"/>
    <w:rsid w:val="00C052DA"/>
    <w:rsid w:val="00C05E4A"/>
    <w:rsid w:val="00C100EC"/>
    <w:rsid w:val="00C102F2"/>
    <w:rsid w:val="00C12AD9"/>
    <w:rsid w:val="00C1311B"/>
    <w:rsid w:val="00C13169"/>
    <w:rsid w:val="00C145DA"/>
    <w:rsid w:val="00C147F9"/>
    <w:rsid w:val="00C1524F"/>
    <w:rsid w:val="00C161AD"/>
    <w:rsid w:val="00C163FB"/>
    <w:rsid w:val="00C172D3"/>
    <w:rsid w:val="00C17814"/>
    <w:rsid w:val="00C17C16"/>
    <w:rsid w:val="00C20C9A"/>
    <w:rsid w:val="00C20D17"/>
    <w:rsid w:val="00C21836"/>
    <w:rsid w:val="00C22118"/>
    <w:rsid w:val="00C22271"/>
    <w:rsid w:val="00C225F0"/>
    <w:rsid w:val="00C226FC"/>
    <w:rsid w:val="00C22962"/>
    <w:rsid w:val="00C23522"/>
    <w:rsid w:val="00C235B8"/>
    <w:rsid w:val="00C23B34"/>
    <w:rsid w:val="00C24794"/>
    <w:rsid w:val="00C2504B"/>
    <w:rsid w:val="00C26893"/>
    <w:rsid w:val="00C26C35"/>
    <w:rsid w:val="00C30AA0"/>
    <w:rsid w:val="00C30C38"/>
    <w:rsid w:val="00C310B7"/>
    <w:rsid w:val="00C3178F"/>
    <w:rsid w:val="00C33454"/>
    <w:rsid w:val="00C34839"/>
    <w:rsid w:val="00C34FF4"/>
    <w:rsid w:val="00C358D6"/>
    <w:rsid w:val="00C3592C"/>
    <w:rsid w:val="00C365C6"/>
    <w:rsid w:val="00C367E3"/>
    <w:rsid w:val="00C370B5"/>
    <w:rsid w:val="00C37128"/>
    <w:rsid w:val="00C37200"/>
    <w:rsid w:val="00C372E2"/>
    <w:rsid w:val="00C37707"/>
    <w:rsid w:val="00C378A3"/>
    <w:rsid w:val="00C378AD"/>
    <w:rsid w:val="00C37C42"/>
    <w:rsid w:val="00C37DF0"/>
    <w:rsid w:val="00C40362"/>
    <w:rsid w:val="00C41CF7"/>
    <w:rsid w:val="00C423F6"/>
    <w:rsid w:val="00C44473"/>
    <w:rsid w:val="00C46C61"/>
    <w:rsid w:val="00C47BB6"/>
    <w:rsid w:val="00C5016A"/>
    <w:rsid w:val="00C50F03"/>
    <w:rsid w:val="00C511CC"/>
    <w:rsid w:val="00C5363C"/>
    <w:rsid w:val="00C53A4E"/>
    <w:rsid w:val="00C53BFB"/>
    <w:rsid w:val="00C55E1D"/>
    <w:rsid w:val="00C56E31"/>
    <w:rsid w:val="00C573DC"/>
    <w:rsid w:val="00C57481"/>
    <w:rsid w:val="00C57790"/>
    <w:rsid w:val="00C5795E"/>
    <w:rsid w:val="00C57E7C"/>
    <w:rsid w:val="00C606EC"/>
    <w:rsid w:val="00C61A5A"/>
    <w:rsid w:val="00C61EA1"/>
    <w:rsid w:val="00C62AA1"/>
    <w:rsid w:val="00C63293"/>
    <w:rsid w:val="00C635A2"/>
    <w:rsid w:val="00C63C59"/>
    <w:rsid w:val="00C63D6A"/>
    <w:rsid w:val="00C63E65"/>
    <w:rsid w:val="00C64431"/>
    <w:rsid w:val="00C657D8"/>
    <w:rsid w:val="00C65899"/>
    <w:rsid w:val="00C65B94"/>
    <w:rsid w:val="00C65E89"/>
    <w:rsid w:val="00C65EB9"/>
    <w:rsid w:val="00C67CA5"/>
    <w:rsid w:val="00C70A71"/>
    <w:rsid w:val="00C70C4E"/>
    <w:rsid w:val="00C70DE2"/>
    <w:rsid w:val="00C71221"/>
    <w:rsid w:val="00C71E83"/>
    <w:rsid w:val="00C72187"/>
    <w:rsid w:val="00C7239B"/>
    <w:rsid w:val="00C728BE"/>
    <w:rsid w:val="00C72DCC"/>
    <w:rsid w:val="00C7414F"/>
    <w:rsid w:val="00C742A9"/>
    <w:rsid w:val="00C746B4"/>
    <w:rsid w:val="00C74801"/>
    <w:rsid w:val="00C74B8D"/>
    <w:rsid w:val="00C74FCE"/>
    <w:rsid w:val="00C7590A"/>
    <w:rsid w:val="00C765DB"/>
    <w:rsid w:val="00C767C5"/>
    <w:rsid w:val="00C76814"/>
    <w:rsid w:val="00C768A3"/>
    <w:rsid w:val="00C802B2"/>
    <w:rsid w:val="00C80AC3"/>
    <w:rsid w:val="00C81690"/>
    <w:rsid w:val="00C817D4"/>
    <w:rsid w:val="00C81D2A"/>
    <w:rsid w:val="00C82005"/>
    <w:rsid w:val="00C82868"/>
    <w:rsid w:val="00C82FC3"/>
    <w:rsid w:val="00C8390E"/>
    <w:rsid w:val="00C83EDF"/>
    <w:rsid w:val="00C8509C"/>
    <w:rsid w:val="00C90B09"/>
    <w:rsid w:val="00C90E80"/>
    <w:rsid w:val="00C90EFA"/>
    <w:rsid w:val="00C913E0"/>
    <w:rsid w:val="00C918BC"/>
    <w:rsid w:val="00C93B64"/>
    <w:rsid w:val="00C948BA"/>
    <w:rsid w:val="00C95358"/>
    <w:rsid w:val="00C961BE"/>
    <w:rsid w:val="00C96629"/>
    <w:rsid w:val="00C971C2"/>
    <w:rsid w:val="00C97CD7"/>
    <w:rsid w:val="00CA0121"/>
    <w:rsid w:val="00CA0605"/>
    <w:rsid w:val="00CA07F8"/>
    <w:rsid w:val="00CA17E9"/>
    <w:rsid w:val="00CA1F94"/>
    <w:rsid w:val="00CA3C4B"/>
    <w:rsid w:val="00CA5BE3"/>
    <w:rsid w:val="00CA64E0"/>
    <w:rsid w:val="00CA69E9"/>
    <w:rsid w:val="00CA6C69"/>
    <w:rsid w:val="00CA73C2"/>
    <w:rsid w:val="00CB07AA"/>
    <w:rsid w:val="00CB0847"/>
    <w:rsid w:val="00CB1338"/>
    <w:rsid w:val="00CB138B"/>
    <w:rsid w:val="00CB1535"/>
    <w:rsid w:val="00CB17BC"/>
    <w:rsid w:val="00CB189B"/>
    <w:rsid w:val="00CB1BC4"/>
    <w:rsid w:val="00CB1DE1"/>
    <w:rsid w:val="00CB300A"/>
    <w:rsid w:val="00CB33EE"/>
    <w:rsid w:val="00CB3620"/>
    <w:rsid w:val="00CB418F"/>
    <w:rsid w:val="00CB4C0D"/>
    <w:rsid w:val="00CB569A"/>
    <w:rsid w:val="00CB57B8"/>
    <w:rsid w:val="00CB5B3F"/>
    <w:rsid w:val="00CB5D77"/>
    <w:rsid w:val="00CB6013"/>
    <w:rsid w:val="00CB750A"/>
    <w:rsid w:val="00CB78FF"/>
    <w:rsid w:val="00CB7C2C"/>
    <w:rsid w:val="00CC0C09"/>
    <w:rsid w:val="00CC100C"/>
    <w:rsid w:val="00CC1922"/>
    <w:rsid w:val="00CC1D5A"/>
    <w:rsid w:val="00CC20A1"/>
    <w:rsid w:val="00CC27AC"/>
    <w:rsid w:val="00CC451C"/>
    <w:rsid w:val="00CC4A97"/>
    <w:rsid w:val="00CC5C59"/>
    <w:rsid w:val="00CC6702"/>
    <w:rsid w:val="00CC7F6B"/>
    <w:rsid w:val="00CD0434"/>
    <w:rsid w:val="00CD0EE4"/>
    <w:rsid w:val="00CD1082"/>
    <w:rsid w:val="00CD1152"/>
    <w:rsid w:val="00CD2AD7"/>
    <w:rsid w:val="00CD2C4F"/>
    <w:rsid w:val="00CD3A12"/>
    <w:rsid w:val="00CD3E05"/>
    <w:rsid w:val="00CD3F3A"/>
    <w:rsid w:val="00CD45DD"/>
    <w:rsid w:val="00CD51EA"/>
    <w:rsid w:val="00CD5885"/>
    <w:rsid w:val="00CD5D98"/>
    <w:rsid w:val="00CD79E8"/>
    <w:rsid w:val="00CE08EE"/>
    <w:rsid w:val="00CE28B5"/>
    <w:rsid w:val="00CE29AF"/>
    <w:rsid w:val="00CE31D4"/>
    <w:rsid w:val="00CE350E"/>
    <w:rsid w:val="00CE3649"/>
    <w:rsid w:val="00CE3FBF"/>
    <w:rsid w:val="00CE5F1C"/>
    <w:rsid w:val="00CE60BC"/>
    <w:rsid w:val="00CE7CDC"/>
    <w:rsid w:val="00CE7E6D"/>
    <w:rsid w:val="00CF0124"/>
    <w:rsid w:val="00CF0455"/>
    <w:rsid w:val="00CF0AE8"/>
    <w:rsid w:val="00CF1B08"/>
    <w:rsid w:val="00CF21E9"/>
    <w:rsid w:val="00CF2B3B"/>
    <w:rsid w:val="00CF2BA5"/>
    <w:rsid w:val="00CF2D5C"/>
    <w:rsid w:val="00CF33F4"/>
    <w:rsid w:val="00CF375A"/>
    <w:rsid w:val="00CF43E7"/>
    <w:rsid w:val="00CF4476"/>
    <w:rsid w:val="00CF462F"/>
    <w:rsid w:val="00CF4CBA"/>
    <w:rsid w:val="00CF6361"/>
    <w:rsid w:val="00CF67B4"/>
    <w:rsid w:val="00CF6AC1"/>
    <w:rsid w:val="00CF6E6C"/>
    <w:rsid w:val="00D019D8"/>
    <w:rsid w:val="00D01B64"/>
    <w:rsid w:val="00D021A1"/>
    <w:rsid w:val="00D0220E"/>
    <w:rsid w:val="00D041DC"/>
    <w:rsid w:val="00D046A5"/>
    <w:rsid w:val="00D0626B"/>
    <w:rsid w:val="00D06B47"/>
    <w:rsid w:val="00D07109"/>
    <w:rsid w:val="00D074DE"/>
    <w:rsid w:val="00D07F13"/>
    <w:rsid w:val="00D1018D"/>
    <w:rsid w:val="00D12E62"/>
    <w:rsid w:val="00D13984"/>
    <w:rsid w:val="00D15406"/>
    <w:rsid w:val="00D15EF8"/>
    <w:rsid w:val="00D15F8E"/>
    <w:rsid w:val="00D16466"/>
    <w:rsid w:val="00D16A1A"/>
    <w:rsid w:val="00D16EB7"/>
    <w:rsid w:val="00D17A2D"/>
    <w:rsid w:val="00D17A61"/>
    <w:rsid w:val="00D17E86"/>
    <w:rsid w:val="00D20EB1"/>
    <w:rsid w:val="00D22280"/>
    <w:rsid w:val="00D22340"/>
    <w:rsid w:val="00D22356"/>
    <w:rsid w:val="00D230FA"/>
    <w:rsid w:val="00D23509"/>
    <w:rsid w:val="00D2354F"/>
    <w:rsid w:val="00D25690"/>
    <w:rsid w:val="00D261A8"/>
    <w:rsid w:val="00D264F4"/>
    <w:rsid w:val="00D2687D"/>
    <w:rsid w:val="00D30329"/>
    <w:rsid w:val="00D30FB2"/>
    <w:rsid w:val="00D3125B"/>
    <w:rsid w:val="00D31424"/>
    <w:rsid w:val="00D31F1C"/>
    <w:rsid w:val="00D33C01"/>
    <w:rsid w:val="00D33C0B"/>
    <w:rsid w:val="00D33CE0"/>
    <w:rsid w:val="00D346A3"/>
    <w:rsid w:val="00D3479F"/>
    <w:rsid w:val="00D35086"/>
    <w:rsid w:val="00D3551C"/>
    <w:rsid w:val="00D373FE"/>
    <w:rsid w:val="00D37A31"/>
    <w:rsid w:val="00D40CB1"/>
    <w:rsid w:val="00D41016"/>
    <w:rsid w:val="00D410A2"/>
    <w:rsid w:val="00D411AB"/>
    <w:rsid w:val="00D4155C"/>
    <w:rsid w:val="00D415BF"/>
    <w:rsid w:val="00D41AFF"/>
    <w:rsid w:val="00D42912"/>
    <w:rsid w:val="00D432EA"/>
    <w:rsid w:val="00D43FAD"/>
    <w:rsid w:val="00D4534F"/>
    <w:rsid w:val="00D45A1D"/>
    <w:rsid w:val="00D46445"/>
    <w:rsid w:val="00D47321"/>
    <w:rsid w:val="00D47B6E"/>
    <w:rsid w:val="00D47C28"/>
    <w:rsid w:val="00D501EA"/>
    <w:rsid w:val="00D507A7"/>
    <w:rsid w:val="00D518FF"/>
    <w:rsid w:val="00D5228C"/>
    <w:rsid w:val="00D52964"/>
    <w:rsid w:val="00D53362"/>
    <w:rsid w:val="00D5357A"/>
    <w:rsid w:val="00D54084"/>
    <w:rsid w:val="00D57DB2"/>
    <w:rsid w:val="00D60AB2"/>
    <w:rsid w:val="00D60AD6"/>
    <w:rsid w:val="00D61239"/>
    <w:rsid w:val="00D6141A"/>
    <w:rsid w:val="00D61532"/>
    <w:rsid w:val="00D62DA9"/>
    <w:rsid w:val="00D64CAA"/>
    <w:rsid w:val="00D65341"/>
    <w:rsid w:val="00D6553A"/>
    <w:rsid w:val="00D65E6E"/>
    <w:rsid w:val="00D663AA"/>
    <w:rsid w:val="00D66581"/>
    <w:rsid w:val="00D672BA"/>
    <w:rsid w:val="00D7038E"/>
    <w:rsid w:val="00D704F0"/>
    <w:rsid w:val="00D71C4E"/>
    <w:rsid w:val="00D71F1F"/>
    <w:rsid w:val="00D72BFB"/>
    <w:rsid w:val="00D7302C"/>
    <w:rsid w:val="00D7305E"/>
    <w:rsid w:val="00D7434D"/>
    <w:rsid w:val="00D748FC"/>
    <w:rsid w:val="00D75164"/>
    <w:rsid w:val="00D75A96"/>
    <w:rsid w:val="00D76C8A"/>
    <w:rsid w:val="00D76F56"/>
    <w:rsid w:val="00D77F2B"/>
    <w:rsid w:val="00D80151"/>
    <w:rsid w:val="00D81F46"/>
    <w:rsid w:val="00D824D5"/>
    <w:rsid w:val="00D83AE6"/>
    <w:rsid w:val="00D83AF5"/>
    <w:rsid w:val="00D846E4"/>
    <w:rsid w:val="00D85520"/>
    <w:rsid w:val="00D87A21"/>
    <w:rsid w:val="00D87BD9"/>
    <w:rsid w:val="00D91817"/>
    <w:rsid w:val="00D93870"/>
    <w:rsid w:val="00D93C83"/>
    <w:rsid w:val="00D95F28"/>
    <w:rsid w:val="00D96D53"/>
    <w:rsid w:val="00D96EB6"/>
    <w:rsid w:val="00D9779B"/>
    <w:rsid w:val="00D97D5C"/>
    <w:rsid w:val="00DA03AC"/>
    <w:rsid w:val="00DA0ABA"/>
    <w:rsid w:val="00DA1A50"/>
    <w:rsid w:val="00DA1B4D"/>
    <w:rsid w:val="00DA2610"/>
    <w:rsid w:val="00DA386D"/>
    <w:rsid w:val="00DA4E1C"/>
    <w:rsid w:val="00DA51B9"/>
    <w:rsid w:val="00DA57A4"/>
    <w:rsid w:val="00DA59F5"/>
    <w:rsid w:val="00DA60D4"/>
    <w:rsid w:val="00DA7708"/>
    <w:rsid w:val="00DA7B7F"/>
    <w:rsid w:val="00DB108A"/>
    <w:rsid w:val="00DB198A"/>
    <w:rsid w:val="00DB2514"/>
    <w:rsid w:val="00DB4309"/>
    <w:rsid w:val="00DB48A3"/>
    <w:rsid w:val="00DB4C5A"/>
    <w:rsid w:val="00DB5F89"/>
    <w:rsid w:val="00DC0041"/>
    <w:rsid w:val="00DC014A"/>
    <w:rsid w:val="00DC0364"/>
    <w:rsid w:val="00DC03A7"/>
    <w:rsid w:val="00DC044A"/>
    <w:rsid w:val="00DC0691"/>
    <w:rsid w:val="00DC06F2"/>
    <w:rsid w:val="00DC0881"/>
    <w:rsid w:val="00DC1218"/>
    <w:rsid w:val="00DC1309"/>
    <w:rsid w:val="00DC131E"/>
    <w:rsid w:val="00DC177C"/>
    <w:rsid w:val="00DC23BE"/>
    <w:rsid w:val="00DC2958"/>
    <w:rsid w:val="00DC34EB"/>
    <w:rsid w:val="00DC5A18"/>
    <w:rsid w:val="00DC629A"/>
    <w:rsid w:val="00DC73FD"/>
    <w:rsid w:val="00DC7783"/>
    <w:rsid w:val="00DD006A"/>
    <w:rsid w:val="00DD01B6"/>
    <w:rsid w:val="00DD06B1"/>
    <w:rsid w:val="00DD0F0E"/>
    <w:rsid w:val="00DD1700"/>
    <w:rsid w:val="00DD1C28"/>
    <w:rsid w:val="00DD2393"/>
    <w:rsid w:val="00DD3047"/>
    <w:rsid w:val="00DD40B4"/>
    <w:rsid w:val="00DD453D"/>
    <w:rsid w:val="00DD4D41"/>
    <w:rsid w:val="00DD5CDF"/>
    <w:rsid w:val="00DD5DEF"/>
    <w:rsid w:val="00DD665B"/>
    <w:rsid w:val="00DD6B9D"/>
    <w:rsid w:val="00DD72FB"/>
    <w:rsid w:val="00DD7E06"/>
    <w:rsid w:val="00DE11C9"/>
    <w:rsid w:val="00DE2BFB"/>
    <w:rsid w:val="00DE5065"/>
    <w:rsid w:val="00DE5D8D"/>
    <w:rsid w:val="00DE61A8"/>
    <w:rsid w:val="00DE6A3A"/>
    <w:rsid w:val="00DE7301"/>
    <w:rsid w:val="00DF00B7"/>
    <w:rsid w:val="00DF0113"/>
    <w:rsid w:val="00DF0A0A"/>
    <w:rsid w:val="00DF3ADC"/>
    <w:rsid w:val="00DF3EA2"/>
    <w:rsid w:val="00DF434F"/>
    <w:rsid w:val="00DF463A"/>
    <w:rsid w:val="00DF4B55"/>
    <w:rsid w:val="00DF4BA9"/>
    <w:rsid w:val="00DF5469"/>
    <w:rsid w:val="00DF62F2"/>
    <w:rsid w:val="00DF732D"/>
    <w:rsid w:val="00DF7405"/>
    <w:rsid w:val="00DF75AB"/>
    <w:rsid w:val="00DF7CA4"/>
    <w:rsid w:val="00E005A4"/>
    <w:rsid w:val="00E00BD3"/>
    <w:rsid w:val="00E01379"/>
    <w:rsid w:val="00E019E2"/>
    <w:rsid w:val="00E01A30"/>
    <w:rsid w:val="00E01CB3"/>
    <w:rsid w:val="00E01D92"/>
    <w:rsid w:val="00E03380"/>
    <w:rsid w:val="00E04231"/>
    <w:rsid w:val="00E0538B"/>
    <w:rsid w:val="00E069A2"/>
    <w:rsid w:val="00E06C1E"/>
    <w:rsid w:val="00E079CF"/>
    <w:rsid w:val="00E104AA"/>
    <w:rsid w:val="00E115A3"/>
    <w:rsid w:val="00E121D1"/>
    <w:rsid w:val="00E13099"/>
    <w:rsid w:val="00E13176"/>
    <w:rsid w:val="00E1323B"/>
    <w:rsid w:val="00E13598"/>
    <w:rsid w:val="00E137AD"/>
    <w:rsid w:val="00E142A6"/>
    <w:rsid w:val="00E144C4"/>
    <w:rsid w:val="00E150BF"/>
    <w:rsid w:val="00E15C4E"/>
    <w:rsid w:val="00E16214"/>
    <w:rsid w:val="00E16EB4"/>
    <w:rsid w:val="00E17587"/>
    <w:rsid w:val="00E204AF"/>
    <w:rsid w:val="00E21764"/>
    <w:rsid w:val="00E21E64"/>
    <w:rsid w:val="00E21FB1"/>
    <w:rsid w:val="00E220C2"/>
    <w:rsid w:val="00E22239"/>
    <w:rsid w:val="00E228D6"/>
    <w:rsid w:val="00E23244"/>
    <w:rsid w:val="00E25A5C"/>
    <w:rsid w:val="00E26468"/>
    <w:rsid w:val="00E27440"/>
    <w:rsid w:val="00E3074D"/>
    <w:rsid w:val="00E31D45"/>
    <w:rsid w:val="00E32751"/>
    <w:rsid w:val="00E33AB3"/>
    <w:rsid w:val="00E33E45"/>
    <w:rsid w:val="00E34287"/>
    <w:rsid w:val="00E35E78"/>
    <w:rsid w:val="00E36101"/>
    <w:rsid w:val="00E40BD1"/>
    <w:rsid w:val="00E40C97"/>
    <w:rsid w:val="00E413E7"/>
    <w:rsid w:val="00E4290D"/>
    <w:rsid w:val="00E43185"/>
    <w:rsid w:val="00E4403F"/>
    <w:rsid w:val="00E45C48"/>
    <w:rsid w:val="00E46124"/>
    <w:rsid w:val="00E465E6"/>
    <w:rsid w:val="00E4680B"/>
    <w:rsid w:val="00E475C3"/>
    <w:rsid w:val="00E501A2"/>
    <w:rsid w:val="00E5046F"/>
    <w:rsid w:val="00E50A37"/>
    <w:rsid w:val="00E50A5E"/>
    <w:rsid w:val="00E50B7A"/>
    <w:rsid w:val="00E510A3"/>
    <w:rsid w:val="00E51B90"/>
    <w:rsid w:val="00E51F3B"/>
    <w:rsid w:val="00E53841"/>
    <w:rsid w:val="00E53985"/>
    <w:rsid w:val="00E54F87"/>
    <w:rsid w:val="00E5513F"/>
    <w:rsid w:val="00E5518A"/>
    <w:rsid w:val="00E561B4"/>
    <w:rsid w:val="00E56BE6"/>
    <w:rsid w:val="00E56EDA"/>
    <w:rsid w:val="00E604C9"/>
    <w:rsid w:val="00E60DE6"/>
    <w:rsid w:val="00E61626"/>
    <w:rsid w:val="00E61782"/>
    <w:rsid w:val="00E6190E"/>
    <w:rsid w:val="00E62654"/>
    <w:rsid w:val="00E64324"/>
    <w:rsid w:val="00E657E1"/>
    <w:rsid w:val="00E664BD"/>
    <w:rsid w:val="00E66E71"/>
    <w:rsid w:val="00E671B2"/>
    <w:rsid w:val="00E70741"/>
    <w:rsid w:val="00E71A30"/>
    <w:rsid w:val="00E71B49"/>
    <w:rsid w:val="00E71FF3"/>
    <w:rsid w:val="00E72390"/>
    <w:rsid w:val="00E742B0"/>
    <w:rsid w:val="00E74906"/>
    <w:rsid w:val="00E74B94"/>
    <w:rsid w:val="00E76C74"/>
    <w:rsid w:val="00E76CA4"/>
    <w:rsid w:val="00E76E66"/>
    <w:rsid w:val="00E776C4"/>
    <w:rsid w:val="00E77C4E"/>
    <w:rsid w:val="00E77DCE"/>
    <w:rsid w:val="00E77FA2"/>
    <w:rsid w:val="00E80181"/>
    <w:rsid w:val="00E815C3"/>
    <w:rsid w:val="00E81B27"/>
    <w:rsid w:val="00E82566"/>
    <w:rsid w:val="00E827D7"/>
    <w:rsid w:val="00E82E42"/>
    <w:rsid w:val="00E8359D"/>
    <w:rsid w:val="00E838E6"/>
    <w:rsid w:val="00E83CBD"/>
    <w:rsid w:val="00E85190"/>
    <w:rsid w:val="00E859D2"/>
    <w:rsid w:val="00E861BB"/>
    <w:rsid w:val="00E8763C"/>
    <w:rsid w:val="00E877A3"/>
    <w:rsid w:val="00E90573"/>
    <w:rsid w:val="00E90FB1"/>
    <w:rsid w:val="00E923E6"/>
    <w:rsid w:val="00E9260C"/>
    <w:rsid w:val="00E92909"/>
    <w:rsid w:val="00E93706"/>
    <w:rsid w:val="00E94A9B"/>
    <w:rsid w:val="00E94D85"/>
    <w:rsid w:val="00E94EF8"/>
    <w:rsid w:val="00E95FE5"/>
    <w:rsid w:val="00E9659C"/>
    <w:rsid w:val="00E96F20"/>
    <w:rsid w:val="00E97083"/>
    <w:rsid w:val="00E97FC5"/>
    <w:rsid w:val="00EA062F"/>
    <w:rsid w:val="00EA10B1"/>
    <w:rsid w:val="00EA1600"/>
    <w:rsid w:val="00EA162F"/>
    <w:rsid w:val="00EA1773"/>
    <w:rsid w:val="00EA21DE"/>
    <w:rsid w:val="00EA22F8"/>
    <w:rsid w:val="00EA28BE"/>
    <w:rsid w:val="00EA3C72"/>
    <w:rsid w:val="00EA5107"/>
    <w:rsid w:val="00EA541F"/>
    <w:rsid w:val="00EA6701"/>
    <w:rsid w:val="00EA75F1"/>
    <w:rsid w:val="00EB1F0E"/>
    <w:rsid w:val="00EB2006"/>
    <w:rsid w:val="00EB22D4"/>
    <w:rsid w:val="00EB248A"/>
    <w:rsid w:val="00EB3107"/>
    <w:rsid w:val="00EB338F"/>
    <w:rsid w:val="00EB501B"/>
    <w:rsid w:val="00EB74D1"/>
    <w:rsid w:val="00EC04AA"/>
    <w:rsid w:val="00EC10CA"/>
    <w:rsid w:val="00EC2FA5"/>
    <w:rsid w:val="00EC3935"/>
    <w:rsid w:val="00EC3D18"/>
    <w:rsid w:val="00EC5E57"/>
    <w:rsid w:val="00EC61FC"/>
    <w:rsid w:val="00EC62B3"/>
    <w:rsid w:val="00EC6E93"/>
    <w:rsid w:val="00EC6FFB"/>
    <w:rsid w:val="00ED0091"/>
    <w:rsid w:val="00ED0308"/>
    <w:rsid w:val="00ED058D"/>
    <w:rsid w:val="00ED0605"/>
    <w:rsid w:val="00ED08FD"/>
    <w:rsid w:val="00ED0A37"/>
    <w:rsid w:val="00ED0AF7"/>
    <w:rsid w:val="00ED2E57"/>
    <w:rsid w:val="00ED4CA2"/>
    <w:rsid w:val="00ED5B36"/>
    <w:rsid w:val="00ED636B"/>
    <w:rsid w:val="00ED744E"/>
    <w:rsid w:val="00ED7B3F"/>
    <w:rsid w:val="00ED7FF5"/>
    <w:rsid w:val="00EE1649"/>
    <w:rsid w:val="00EE1CBD"/>
    <w:rsid w:val="00EE25E1"/>
    <w:rsid w:val="00EE28DC"/>
    <w:rsid w:val="00EE3732"/>
    <w:rsid w:val="00EE4232"/>
    <w:rsid w:val="00EE4486"/>
    <w:rsid w:val="00EE4CCB"/>
    <w:rsid w:val="00EE5444"/>
    <w:rsid w:val="00EE554B"/>
    <w:rsid w:val="00EE64BA"/>
    <w:rsid w:val="00EE69B3"/>
    <w:rsid w:val="00EE69C8"/>
    <w:rsid w:val="00EE70CF"/>
    <w:rsid w:val="00EE73CC"/>
    <w:rsid w:val="00EE7423"/>
    <w:rsid w:val="00EF01D2"/>
    <w:rsid w:val="00EF0DCE"/>
    <w:rsid w:val="00EF1D51"/>
    <w:rsid w:val="00EF2BE6"/>
    <w:rsid w:val="00EF2C35"/>
    <w:rsid w:val="00EF2FB1"/>
    <w:rsid w:val="00EF4A2A"/>
    <w:rsid w:val="00EF5236"/>
    <w:rsid w:val="00EF532A"/>
    <w:rsid w:val="00EF54BE"/>
    <w:rsid w:val="00EF5D05"/>
    <w:rsid w:val="00EF5F8B"/>
    <w:rsid w:val="00EF7155"/>
    <w:rsid w:val="00EF745E"/>
    <w:rsid w:val="00EF7CB0"/>
    <w:rsid w:val="00F01447"/>
    <w:rsid w:val="00F02B16"/>
    <w:rsid w:val="00F034CC"/>
    <w:rsid w:val="00F059D0"/>
    <w:rsid w:val="00F106DB"/>
    <w:rsid w:val="00F1144A"/>
    <w:rsid w:val="00F11D1E"/>
    <w:rsid w:val="00F11E4F"/>
    <w:rsid w:val="00F12F3D"/>
    <w:rsid w:val="00F13159"/>
    <w:rsid w:val="00F146B9"/>
    <w:rsid w:val="00F152C2"/>
    <w:rsid w:val="00F16E22"/>
    <w:rsid w:val="00F16F04"/>
    <w:rsid w:val="00F2006C"/>
    <w:rsid w:val="00F20E33"/>
    <w:rsid w:val="00F21342"/>
    <w:rsid w:val="00F222B4"/>
    <w:rsid w:val="00F22D32"/>
    <w:rsid w:val="00F23D80"/>
    <w:rsid w:val="00F244EF"/>
    <w:rsid w:val="00F25133"/>
    <w:rsid w:val="00F2537D"/>
    <w:rsid w:val="00F2558A"/>
    <w:rsid w:val="00F26E17"/>
    <w:rsid w:val="00F270CD"/>
    <w:rsid w:val="00F27E48"/>
    <w:rsid w:val="00F303E1"/>
    <w:rsid w:val="00F30696"/>
    <w:rsid w:val="00F3077D"/>
    <w:rsid w:val="00F30B51"/>
    <w:rsid w:val="00F31389"/>
    <w:rsid w:val="00F31731"/>
    <w:rsid w:val="00F31E9E"/>
    <w:rsid w:val="00F321E6"/>
    <w:rsid w:val="00F33062"/>
    <w:rsid w:val="00F33365"/>
    <w:rsid w:val="00F33370"/>
    <w:rsid w:val="00F3346C"/>
    <w:rsid w:val="00F33929"/>
    <w:rsid w:val="00F33979"/>
    <w:rsid w:val="00F33984"/>
    <w:rsid w:val="00F34295"/>
    <w:rsid w:val="00F3598A"/>
    <w:rsid w:val="00F36423"/>
    <w:rsid w:val="00F37785"/>
    <w:rsid w:val="00F4025E"/>
    <w:rsid w:val="00F409E0"/>
    <w:rsid w:val="00F40B10"/>
    <w:rsid w:val="00F41FDE"/>
    <w:rsid w:val="00F4222D"/>
    <w:rsid w:val="00F42766"/>
    <w:rsid w:val="00F42B15"/>
    <w:rsid w:val="00F430CD"/>
    <w:rsid w:val="00F4574B"/>
    <w:rsid w:val="00F457A5"/>
    <w:rsid w:val="00F469E2"/>
    <w:rsid w:val="00F47377"/>
    <w:rsid w:val="00F50816"/>
    <w:rsid w:val="00F514F0"/>
    <w:rsid w:val="00F51B7E"/>
    <w:rsid w:val="00F51C21"/>
    <w:rsid w:val="00F51E7F"/>
    <w:rsid w:val="00F52BB2"/>
    <w:rsid w:val="00F52C7C"/>
    <w:rsid w:val="00F52FFA"/>
    <w:rsid w:val="00F530AB"/>
    <w:rsid w:val="00F531FD"/>
    <w:rsid w:val="00F53611"/>
    <w:rsid w:val="00F53699"/>
    <w:rsid w:val="00F5436E"/>
    <w:rsid w:val="00F54C6F"/>
    <w:rsid w:val="00F5643F"/>
    <w:rsid w:val="00F567F6"/>
    <w:rsid w:val="00F57926"/>
    <w:rsid w:val="00F57C66"/>
    <w:rsid w:val="00F60350"/>
    <w:rsid w:val="00F60664"/>
    <w:rsid w:val="00F60CB3"/>
    <w:rsid w:val="00F63908"/>
    <w:rsid w:val="00F63F6E"/>
    <w:rsid w:val="00F6418B"/>
    <w:rsid w:val="00F64FC4"/>
    <w:rsid w:val="00F65477"/>
    <w:rsid w:val="00F65788"/>
    <w:rsid w:val="00F6599A"/>
    <w:rsid w:val="00F65B69"/>
    <w:rsid w:val="00F663D5"/>
    <w:rsid w:val="00F66677"/>
    <w:rsid w:val="00F6746F"/>
    <w:rsid w:val="00F6768A"/>
    <w:rsid w:val="00F67BE4"/>
    <w:rsid w:val="00F67D19"/>
    <w:rsid w:val="00F67F42"/>
    <w:rsid w:val="00F70DF9"/>
    <w:rsid w:val="00F71B9B"/>
    <w:rsid w:val="00F738AF"/>
    <w:rsid w:val="00F7424E"/>
    <w:rsid w:val="00F7520B"/>
    <w:rsid w:val="00F75BDF"/>
    <w:rsid w:val="00F763D5"/>
    <w:rsid w:val="00F7695D"/>
    <w:rsid w:val="00F7725E"/>
    <w:rsid w:val="00F77F7C"/>
    <w:rsid w:val="00F80E3E"/>
    <w:rsid w:val="00F81F01"/>
    <w:rsid w:val="00F82506"/>
    <w:rsid w:val="00F82C21"/>
    <w:rsid w:val="00F82E99"/>
    <w:rsid w:val="00F8424D"/>
    <w:rsid w:val="00F84C83"/>
    <w:rsid w:val="00F84EC5"/>
    <w:rsid w:val="00F850D8"/>
    <w:rsid w:val="00F85B36"/>
    <w:rsid w:val="00F85F1D"/>
    <w:rsid w:val="00F868DF"/>
    <w:rsid w:val="00F87ACB"/>
    <w:rsid w:val="00F90B5E"/>
    <w:rsid w:val="00F910C3"/>
    <w:rsid w:val="00F91285"/>
    <w:rsid w:val="00F91AC4"/>
    <w:rsid w:val="00F92929"/>
    <w:rsid w:val="00F93F1C"/>
    <w:rsid w:val="00F94995"/>
    <w:rsid w:val="00F9530F"/>
    <w:rsid w:val="00F953DC"/>
    <w:rsid w:val="00F95970"/>
    <w:rsid w:val="00F964C1"/>
    <w:rsid w:val="00F9656E"/>
    <w:rsid w:val="00F9681D"/>
    <w:rsid w:val="00F96B9D"/>
    <w:rsid w:val="00F96ED4"/>
    <w:rsid w:val="00F9708C"/>
    <w:rsid w:val="00F97A33"/>
    <w:rsid w:val="00FA0ACB"/>
    <w:rsid w:val="00FA18ED"/>
    <w:rsid w:val="00FA1E40"/>
    <w:rsid w:val="00FA2314"/>
    <w:rsid w:val="00FA2F04"/>
    <w:rsid w:val="00FA3830"/>
    <w:rsid w:val="00FA41B8"/>
    <w:rsid w:val="00FB0984"/>
    <w:rsid w:val="00FB1229"/>
    <w:rsid w:val="00FB3027"/>
    <w:rsid w:val="00FB4149"/>
    <w:rsid w:val="00FB54C1"/>
    <w:rsid w:val="00FB640D"/>
    <w:rsid w:val="00FB66CC"/>
    <w:rsid w:val="00FC1063"/>
    <w:rsid w:val="00FC2631"/>
    <w:rsid w:val="00FC3E1E"/>
    <w:rsid w:val="00FC4744"/>
    <w:rsid w:val="00FC4CEB"/>
    <w:rsid w:val="00FC61C6"/>
    <w:rsid w:val="00FC698C"/>
    <w:rsid w:val="00FC6C20"/>
    <w:rsid w:val="00FD0EF8"/>
    <w:rsid w:val="00FD1EFF"/>
    <w:rsid w:val="00FD35F6"/>
    <w:rsid w:val="00FD38AD"/>
    <w:rsid w:val="00FD40F7"/>
    <w:rsid w:val="00FD58CE"/>
    <w:rsid w:val="00FD64D5"/>
    <w:rsid w:val="00FE0650"/>
    <w:rsid w:val="00FE1159"/>
    <w:rsid w:val="00FE299C"/>
    <w:rsid w:val="00FE31BF"/>
    <w:rsid w:val="00FE3370"/>
    <w:rsid w:val="00FE3856"/>
    <w:rsid w:val="00FE3E44"/>
    <w:rsid w:val="00FE40E3"/>
    <w:rsid w:val="00FE4C29"/>
    <w:rsid w:val="00FE52C1"/>
    <w:rsid w:val="00FE5364"/>
    <w:rsid w:val="00FE551D"/>
    <w:rsid w:val="00FE5D25"/>
    <w:rsid w:val="00FE62CB"/>
    <w:rsid w:val="00FE6716"/>
    <w:rsid w:val="00FE6B90"/>
    <w:rsid w:val="00FE73A1"/>
    <w:rsid w:val="00FE7490"/>
    <w:rsid w:val="00FF01BF"/>
    <w:rsid w:val="00FF147B"/>
    <w:rsid w:val="00FF2E9A"/>
    <w:rsid w:val="00FF352C"/>
    <w:rsid w:val="00FF42E2"/>
    <w:rsid w:val="00FF53D0"/>
    <w:rsid w:val="00FF7EA0"/>
    <w:rsid w:val="00FF7EFF"/>
    <w:rsid w:val="00FF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1DA1ECC5-49E9-43CF-9FC4-D0D98D1E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34" w:qFormat="1"/>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66"/>
    <w:lsdException w:name="Colorful List" w:uiPriority="34" w:qFormat="1"/>
    <w:lsdException w:name="Colorful Grid" w:uiPriority="68"/>
    <w:lsdException w:name="Light Shading Accent 1" w:uiPriority="69"/>
    <w:lsdException w:name="Light List Accent 1" w:uiPriority="70"/>
    <w:lsdException w:name="Light Grid Accent 1" w:uiPriority="71"/>
    <w:lsdException w:name="Medium Shading 1 Accent 1" w:uiPriority="72"/>
    <w:lsdException w:name="Medium Shading 2 Accent 1" w:uiPriority="73"/>
    <w:lsdException w:name="Medium List 1 Accent 1" w:uiPriority="60"/>
    <w:lsdException w:name="Revision" w:uiPriority="61"/>
    <w:lsdException w:name="List Paragraph" w:uiPriority="34" w:qFormat="1"/>
    <w:lsdException w:name="Quote" w:uiPriority="63"/>
    <w:lsdException w:name="Intense Quote" w:uiPriority="64"/>
    <w:lsdException w:name="Medium List 2 Accent 1" w:uiPriority="65"/>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19" w:qFormat="1"/>
    <w:lsdException w:name="Light Grid Accent 5" w:uiPriority="21" w:qFormat="1"/>
    <w:lsdException w:name="Medium Shading 1 Accent 5" w:uiPriority="31" w:qFormat="1"/>
    <w:lsdException w:name="Medium Shading 2 Accent 5" w:uiPriority="32" w:qFormat="1"/>
    <w:lsdException w:name="Medium List 1 Accent 5" w:uiPriority="33" w:qFormat="1"/>
    <w:lsdException w:name="Medium List 2 Accent 5" w:uiPriority="37"/>
    <w:lsdException w:name="Medium Grid 1 Accent 5" w:uiPriority="39" w:qFormat="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00C"/>
    <w:pPr>
      <w:jc w:val="both"/>
    </w:pPr>
    <w:rPr>
      <w:kern w:val="2"/>
      <w:sz w:val="28"/>
      <w:lang w:val="en-GB"/>
    </w:rPr>
  </w:style>
  <w:style w:type="paragraph" w:styleId="Heading1">
    <w:name w:val="heading 1"/>
    <w:basedOn w:val="Normal"/>
    <w:next w:val="Normal"/>
    <w:qFormat/>
    <w:rsid w:val="00D07109"/>
    <w:pPr>
      <w:keepNext/>
      <w:spacing w:line="360" w:lineRule="auto"/>
      <w:jc w:val="center"/>
      <w:outlineLvl w:val="0"/>
    </w:pPr>
    <w:rPr>
      <w:b/>
    </w:rPr>
  </w:style>
  <w:style w:type="paragraph" w:styleId="Heading2">
    <w:name w:val="heading 2"/>
    <w:basedOn w:val="Normal"/>
    <w:next w:val="Normal"/>
    <w:qFormat/>
    <w:rsid w:val="00D07109"/>
    <w:pPr>
      <w:keepNext/>
      <w:outlineLvl w:val="1"/>
    </w:pPr>
    <w:rPr>
      <w:b/>
      <w:bCs/>
      <w:sz w:val="20"/>
    </w:rPr>
  </w:style>
  <w:style w:type="paragraph" w:styleId="Heading3">
    <w:name w:val="heading 3"/>
    <w:basedOn w:val="Normal"/>
    <w:next w:val="Normal"/>
    <w:qFormat/>
    <w:rsid w:val="00D07109"/>
    <w:pPr>
      <w:keepNext/>
      <w:jc w:val="center"/>
      <w:outlineLvl w:val="2"/>
    </w:pPr>
    <w:rPr>
      <w:b/>
      <w:bCs/>
      <w:sz w:val="20"/>
    </w:rPr>
  </w:style>
  <w:style w:type="paragraph" w:styleId="Heading4">
    <w:name w:val="heading 4"/>
    <w:basedOn w:val="Normal"/>
    <w:next w:val="Normal"/>
    <w:link w:val="Heading4Char"/>
    <w:qFormat/>
    <w:rsid w:val="00D07109"/>
    <w:pPr>
      <w:keepNext/>
      <w:widowControl w:val="0"/>
      <w:outlineLvl w:val="3"/>
    </w:pPr>
    <w:rPr>
      <w:b/>
      <w:bCs/>
      <w:u w:val="single"/>
      <w:lang w:val="x-none" w:eastAsia="x-none"/>
    </w:rPr>
  </w:style>
  <w:style w:type="paragraph" w:styleId="Heading5">
    <w:name w:val="heading 5"/>
    <w:basedOn w:val="Normal"/>
    <w:next w:val="Normal"/>
    <w:qFormat/>
    <w:rsid w:val="00D07109"/>
    <w:pPr>
      <w:keepNext/>
      <w:widowControl w:val="0"/>
      <w:spacing w:line="360" w:lineRule="auto"/>
      <w:ind w:left="1275" w:firstLine="425"/>
      <w:jc w:val="right"/>
      <w:outlineLvl w:val="4"/>
    </w:pPr>
  </w:style>
  <w:style w:type="paragraph" w:styleId="Heading6">
    <w:name w:val="heading 6"/>
    <w:basedOn w:val="Normal"/>
    <w:next w:val="Normal"/>
    <w:qFormat/>
    <w:rsid w:val="00D07109"/>
    <w:pPr>
      <w:keepNext/>
      <w:ind w:left="-147" w:firstLine="147"/>
      <w:jc w:val="left"/>
      <w:outlineLvl w:val="5"/>
    </w:pPr>
    <w:rPr>
      <w:rFonts w:eastAsia="Times New Roman"/>
      <w:kern w:val="0"/>
      <w:szCs w:val="24"/>
      <w:lang w:eastAsia="en-US"/>
    </w:rPr>
  </w:style>
  <w:style w:type="paragraph" w:styleId="Heading7">
    <w:name w:val="heading 7"/>
    <w:basedOn w:val="Normal"/>
    <w:next w:val="Normal"/>
    <w:qFormat/>
    <w:rsid w:val="00D07109"/>
    <w:pPr>
      <w:keepNext/>
      <w:jc w:val="left"/>
      <w:outlineLvl w:val="6"/>
    </w:pPr>
    <w:rPr>
      <w:rFonts w:eastAsia="Times New Roman"/>
      <w:kern w:val="0"/>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07109"/>
    <w:pPr>
      <w:tabs>
        <w:tab w:val="center" w:pos="4320"/>
        <w:tab w:val="right" w:pos="8640"/>
      </w:tabs>
      <w:overflowPunct w:val="0"/>
      <w:autoSpaceDE w:val="0"/>
      <w:autoSpaceDN w:val="0"/>
      <w:adjustRightInd w:val="0"/>
      <w:spacing w:line="480" w:lineRule="atLeast"/>
      <w:textAlignment w:val="baseline"/>
    </w:pPr>
    <w:rPr>
      <w:rFonts w:eastAsia="PMingLiU"/>
    </w:rPr>
  </w:style>
  <w:style w:type="paragraph" w:styleId="Footer">
    <w:name w:val="footer"/>
    <w:basedOn w:val="Normal"/>
    <w:uiPriority w:val="99"/>
    <w:rsid w:val="00D07109"/>
    <w:pPr>
      <w:tabs>
        <w:tab w:val="center" w:pos="4153"/>
        <w:tab w:val="right" w:pos="8306"/>
      </w:tabs>
      <w:snapToGrid w:val="0"/>
    </w:pPr>
    <w:rPr>
      <w:sz w:val="18"/>
    </w:rPr>
  </w:style>
  <w:style w:type="paragraph" w:customStyle="1" w:styleId="mainheadings">
    <w:name w:val="mainheadings"/>
    <w:next w:val="Normal"/>
    <w:rsid w:val="00D07109"/>
    <w:pPr>
      <w:keepNext/>
      <w:spacing w:before="600"/>
    </w:pPr>
    <w:rPr>
      <w:rFonts w:eastAsia="MingLiU"/>
      <w:i/>
      <w:caps/>
      <w:noProof/>
      <w:sz w:val="28"/>
      <w:lang w:eastAsia="en-US"/>
    </w:rPr>
  </w:style>
  <w:style w:type="character" w:styleId="PageNumber">
    <w:name w:val="page number"/>
    <w:basedOn w:val="DefaultParagraphFont"/>
    <w:semiHidden/>
    <w:rsid w:val="00D07109"/>
  </w:style>
  <w:style w:type="paragraph" w:customStyle="1" w:styleId="para">
    <w:name w:val="para"/>
    <w:rsid w:val="00D07109"/>
    <w:pPr>
      <w:numPr>
        <w:numId w:val="1"/>
      </w:numPr>
      <w:snapToGrid w:val="0"/>
      <w:spacing w:before="480" w:line="360" w:lineRule="auto"/>
      <w:jc w:val="both"/>
    </w:pPr>
    <w:rPr>
      <w:sz w:val="28"/>
      <w:lang w:val="en-GB"/>
    </w:rPr>
  </w:style>
  <w:style w:type="paragraph" w:customStyle="1" w:styleId="PARA-CONT">
    <w:name w:val="PARA-CON'T"/>
    <w:basedOn w:val="para"/>
    <w:next w:val="para"/>
    <w:rsid w:val="00D07109"/>
    <w:pPr>
      <w:numPr>
        <w:numId w:val="0"/>
      </w:numPr>
      <w:spacing w:before="240"/>
    </w:pPr>
  </w:style>
  <w:style w:type="paragraph" w:customStyle="1" w:styleId="Para-heading">
    <w:name w:val="Para-heading"/>
    <w:basedOn w:val="para"/>
    <w:next w:val="para"/>
    <w:rsid w:val="00D07109"/>
    <w:pPr>
      <w:spacing w:before="120"/>
    </w:pPr>
  </w:style>
  <w:style w:type="paragraph" w:customStyle="1" w:styleId="points">
    <w:name w:val="points"/>
    <w:basedOn w:val="para"/>
    <w:rsid w:val="00D07109"/>
    <w:pPr>
      <w:numPr>
        <w:numId w:val="0"/>
      </w:numPr>
      <w:tabs>
        <w:tab w:val="left" w:pos="1400"/>
        <w:tab w:val="left" w:pos="1960"/>
      </w:tabs>
      <w:spacing w:before="120"/>
      <w:ind w:left="1417" w:hanging="680"/>
    </w:pPr>
  </w:style>
  <w:style w:type="paragraph" w:customStyle="1" w:styleId="Quote1">
    <w:name w:val="Quote1"/>
    <w:rsid w:val="00D07109"/>
    <w:pPr>
      <w:tabs>
        <w:tab w:val="left" w:pos="1985"/>
      </w:tabs>
      <w:adjustRightInd w:val="0"/>
      <w:snapToGrid w:val="0"/>
      <w:spacing w:before="120" w:after="120"/>
      <w:ind w:left="1418" w:right="737"/>
      <w:jc w:val="both"/>
    </w:pPr>
    <w:rPr>
      <w:sz w:val="24"/>
      <w:lang w:val="en-GB"/>
    </w:rPr>
  </w:style>
  <w:style w:type="paragraph" w:customStyle="1" w:styleId="subheading">
    <w:name w:val="subheading"/>
    <w:next w:val="Normal"/>
    <w:rsid w:val="00D07109"/>
    <w:pPr>
      <w:keepNext/>
      <w:snapToGrid w:val="0"/>
      <w:spacing w:before="600" w:line="360" w:lineRule="auto"/>
    </w:pPr>
    <w:rPr>
      <w:rFonts w:eastAsia="MingLiU"/>
      <w:i/>
      <w:sz w:val="28"/>
    </w:rPr>
  </w:style>
  <w:style w:type="paragraph" w:customStyle="1" w:styleId="Quotation">
    <w:name w:val="Quotation"/>
    <w:basedOn w:val="BlockText"/>
    <w:qFormat/>
    <w:rsid w:val="00F469E2"/>
    <w:pPr>
      <w:spacing w:before="240" w:after="0"/>
      <w:ind w:right="936"/>
      <w:jc w:val="both"/>
    </w:pPr>
    <w:rPr>
      <w:rFonts w:eastAsia="宋体"/>
      <w:lang w:eastAsia="zh-CN"/>
    </w:rPr>
  </w:style>
  <w:style w:type="paragraph" w:styleId="BlockText">
    <w:name w:val="Block Text"/>
    <w:basedOn w:val="Normal"/>
    <w:semiHidden/>
    <w:rsid w:val="00D07109"/>
    <w:pPr>
      <w:spacing w:after="120"/>
      <w:ind w:left="1440" w:right="1440"/>
      <w:jc w:val="left"/>
    </w:pPr>
    <w:rPr>
      <w:rFonts w:eastAsia="Times New Roman"/>
      <w:kern w:val="0"/>
      <w:sz w:val="24"/>
      <w:szCs w:val="24"/>
      <w:lang w:eastAsia="en-US"/>
    </w:rPr>
  </w:style>
  <w:style w:type="paragraph" w:styleId="PlainText">
    <w:name w:val="Plain Text"/>
    <w:basedOn w:val="Normal"/>
    <w:semiHidden/>
    <w:rsid w:val="00D07109"/>
    <w:pPr>
      <w:jc w:val="left"/>
    </w:pPr>
    <w:rPr>
      <w:rFonts w:ascii="Courier New" w:eastAsia="Times New Roman" w:hAnsi="Courier New" w:cs="Courier New"/>
      <w:kern w:val="0"/>
      <w:sz w:val="20"/>
      <w:lang w:eastAsia="en-US"/>
    </w:rPr>
  </w:style>
  <w:style w:type="paragraph" w:styleId="BodyText">
    <w:name w:val="Body Text"/>
    <w:basedOn w:val="Normal"/>
    <w:link w:val="BodyTextChar"/>
    <w:semiHidden/>
    <w:rsid w:val="00D07109"/>
    <w:pPr>
      <w:spacing w:line="360" w:lineRule="auto"/>
    </w:pPr>
    <w:rPr>
      <w:rFonts w:eastAsia="Times New Roman"/>
      <w:kern w:val="0"/>
      <w:szCs w:val="24"/>
      <w:lang w:eastAsia="en-US"/>
    </w:rPr>
  </w:style>
  <w:style w:type="paragraph" w:styleId="BodyTextIndent">
    <w:name w:val="Body Text Indent"/>
    <w:basedOn w:val="Normal"/>
    <w:link w:val="BodyTextIndentChar"/>
    <w:semiHidden/>
    <w:rsid w:val="00D07109"/>
    <w:pPr>
      <w:ind w:left="280" w:hanging="280"/>
    </w:pPr>
  </w:style>
  <w:style w:type="paragraph" w:customStyle="1" w:styleId="Judgementbody">
    <w:name w:val="Judgement body"/>
    <w:basedOn w:val="Normal"/>
    <w:rsid w:val="00D07109"/>
    <w:pPr>
      <w:spacing w:line="360" w:lineRule="auto"/>
    </w:pPr>
    <w:rPr>
      <w:kern w:val="0"/>
      <w:szCs w:val="24"/>
      <w:lang w:eastAsia="en-US"/>
    </w:rPr>
  </w:style>
  <w:style w:type="paragraph" w:customStyle="1" w:styleId="Quotation2">
    <w:name w:val="Quotation2"/>
    <w:basedOn w:val="Quotation"/>
    <w:rsid w:val="00D07109"/>
    <w:pPr>
      <w:ind w:left="900"/>
    </w:pPr>
  </w:style>
  <w:style w:type="paragraph" w:styleId="HTMLPreformatted">
    <w:name w:val="HTML Preformatted"/>
    <w:basedOn w:val="Normal"/>
    <w:semiHidden/>
    <w:rsid w:val="00D0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lang w:eastAsia="en-US"/>
    </w:rPr>
  </w:style>
  <w:style w:type="paragraph" w:styleId="BodyTextIndent2">
    <w:name w:val="Body Text Indent 2"/>
    <w:basedOn w:val="Normal"/>
    <w:semiHidden/>
    <w:rsid w:val="00D07109"/>
    <w:pPr>
      <w:widowControl w:val="0"/>
      <w:spacing w:line="360" w:lineRule="auto"/>
      <w:ind w:left="902"/>
    </w:pPr>
    <w:rPr>
      <w:sz w:val="24"/>
    </w:rPr>
  </w:style>
  <w:style w:type="character" w:styleId="FootnoteReference">
    <w:name w:val="footnote reference"/>
    <w:uiPriority w:val="99"/>
    <w:semiHidden/>
    <w:rsid w:val="00D07109"/>
    <w:rPr>
      <w:vertAlign w:val="superscript"/>
    </w:rPr>
  </w:style>
  <w:style w:type="paragraph" w:styleId="FootnoteText">
    <w:name w:val="footnote text"/>
    <w:basedOn w:val="Normal"/>
    <w:link w:val="FootnoteTextChar"/>
    <w:uiPriority w:val="99"/>
    <w:semiHidden/>
    <w:rsid w:val="00D15406"/>
    <w:pPr>
      <w:keepLines/>
      <w:tabs>
        <w:tab w:val="left" w:pos="360"/>
      </w:tabs>
      <w:ind w:left="360" w:hanging="360"/>
    </w:pPr>
    <w:rPr>
      <w:kern w:val="0"/>
      <w:sz w:val="20"/>
    </w:rPr>
  </w:style>
  <w:style w:type="character" w:customStyle="1" w:styleId="HeaderChar">
    <w:name w:val="Header Char"/>
    <w:basedOn w:val="DefaultParagraphFont"/>
    <w:semiHidden/>
    <w:rsid w:val="00D07109"/>
  </w:style>
  <w:style w:type="character" w:customStyle="1" w:styleId="FooterChar">
    <w:name w:val="Footer Char"/>
    <w:basedOn w:val="DefaultParagraphFont"/>
    <w:rsid w:val="00D07109"/>
  </w:style>
  <w:style w:type="paragraph" w:styleId="ListParagraph">
    <w:name w:val="List Paragraph"/>
    <w:basedOn w:val="Normal"/>
    <w:uiPriority w:val="34"/>
    <w:qFormat/>
    <w:rsid w:val="00D07109"/>
    <w:pPr>
      <w:ind w:left="720"/>
    </w:pPr>
    <w:rPr>
      <w:kern w:val="0"/>
      <w:sz w:val="26"/>
      <w:szCs w:val="22"/>
      <w:lang w:eastAsia="en-US"/>
    </w:rPr>
  </w:style>
  <w:style w:type="paragraph" w:styleId="NormalIndent">
    <w:name w:val="Normal Indent"/>
    <w:basedOn w:val="Normal"/>
    <w:semiHidden/>
    <w:rsid w:val="00D07109"/>
    <w:pPr>
      <w:widowControl w:val="0"/>
      <w:ind w:firstLine="420"/>
    </w:pPr>
    <w:rPr>
      <w:sz w:val="21"/>
    </w:rPr>
  </w:style>
  <w:style w:type="paragraph" w:styleId="BodyText2">
    <w:name w:val="Body Text 2"/>
    <w:basedOn w:val="Normal"/>
    <w:link w:val="BodyText2Char"/>
    <w:semiHidden/>
    <w:rsid w:val="00D07109"/>
    <w:pPr>
      <w:widowControl w:val="0"/>
    </w:pPr>
    <w:rPr>
      <w:lang w:val="x-none" w:eastAsia="x-none"/>
    </w:rPr>
  </w:style>
  <w:style w:type="paragraph" w:styleId="BodyTextIndent3">
    <w:name w:val="Body Text Indent 3"/>
    <w:basedOn w:val="Normal"/>
    <w:semiHidden/>
    <w:rsid w:val="00D07109"/>
    <w:pPr>
      <w:ind w:left="420" w:hanging="420"/>
    </w:pPr>
  </w:style>
  <w:style w:type="character" w:customStyle="1" w:styleId="Heading4Char">
    <w:name w:val="Heading 4 Char"/>
    <w:link w:val="Heading4"/>
    <w:rsid w:val="00784EA3"/>
    <w:rPr>
      <w:b/>
      <w:bCs/>
      <w:kern w:val="2"/>
      <w:sz w:val="28"/>
      <w:u w:val="single"/>
    </w:rPr>
  </w:style>
  <w:style w:type="character" w:customStyle="1" w:styleId="BodyText2Char">
    <w:name w:val="Body Text 2 Char"/>
    <w:link w:val="BodyText2"/>
    <w:semiHidden/>
    <w:rsid w:val="00784EA3"/>
    <w:rPr>
      <w:kern w:val="2"/>
      <w:sz w:val="28"/>
    </w:rPr>
  </w:style>
  <w:style w:type="paragraph" w:styleId="NormalWeb">
    <w:name w:val="Normal (Web)"/>
    <w:basedOn w:val="Normal"/>
    <w:uiPriority w:val="99"/>
    <w:unhideWhenUsed/>
    <w:rsid w:val="009D4F0B"/>
    <w:pPr>
      <w:spacing w:before="100" w:beforeAutospacing="1" w:after="100" w:afterAutospacing="1"/>
      <w:jc w:val="left"/>
    </w:pPr>
    <w:rPr>
      <w:rFonts w:eastAsia="Times New Roman"/>
      <w:kern w:val="0"/>
      <w:sz w:val="24"/>
      <w:szCs w:val="24"/>
    </w:rPr>
  </w:style>
  <w:style w:type="paragraph" w:customStyle="1" w:styleId="Final">
    <w:name w:val="Final"/>
    <w:basedOn w:val="Normal"/>
    <w:autoRedefine/>
    <w:qFormat/>
    <w:rsid w:val="00467F79"/>
    <w:pPr>
      <w:numPr>
        <w:numId w:val="22"/>
      </w:numPr>
      <w:tabs>
        <w:tab w:val="left" w:pos="1418"/>
        <w:tab w:val="center" w:pos="4234"/>
      </w:tabs>
      <w:snapToGrid w:val="0"/>
      <w:spacing w:before="400" w:after="80" w:line="360" w:lineRule="auto"/>
      <w:ind w:left="0" w:right="32" w:firstLine="0"/>
    </w:pPr>
    <w:rPr>
      <w:kern w:val="0"/>
      <w:szCs w:val="28"/>
    </w:rPr>
  </w:style>
  <w:style w:type="paragraph" w:customStyle="1" w:styleId="hspace">
    <w:name w:val="hspace"/>
    <w:basedOn w:val="Normal"/>
    <w:rsid w:val="00747A21"/>
    <w:pPr>
      <w:tabs>
        <w:tab w:val="left" w:pos="1440"/>
        <w:tab w:val="center" w:pos="4320"/>
        <w:tab w:val="right" w:pos="9072"/>
      </w:tabs>
      <w:snapToGrid w:val="0"/>
      <w:spacing w:line="200" w:lineRule="exact"/>
      <w:jc w:val="left"/>
    </w:pPr>
    <w:rPr>
      <w:kern w:val="0"/>
    </w:rPr>
  </w:style>
  <w:style w:type="paragraph" w:customStyle="1" w:styleId="Hanging">
    <w:name w:val="Hanging"/>
    <w:basedOn w:val="Normal"/>
    <w:link w:val="HangingChar"/>
    <w:qFormat/>
    <w:rsid w:val="00C57790"/>
    <w:pPr>
      <w:tabs>
        <w:tab w:val="left" w:pos="1440"/>
        <w:tab w:val="center" w:pos="4320"/>
        <w:tab w:val="right" w:pos="8453"/>
      </w:tabs>
      <w:spacing w:before="120" w:line="440" w:lineRule="exact"/>
      <w:ind w:left="1440" w:hanging="720"/>
    </w:pPr>
  </w:style>
  <w:style w:type="paragraph" w:customStyle="1" w:styleId="H-1">
    <w:name w:val="H-1"/>
    <w:basedOn w:val="Normal"/>
    <w:rsid w:val="00CC100C"/>
    <w:pPr>
      <w:keepNext/>
      <w:tabs>
        <w:tab w:val="center" w:pos="4320"/>
      </w:tabs>
      <w:spacing w:before="440" w:after="80"/>
      <w:outlineLvl w:val="0"/>
    </w:pPr>
    <w:rPr>
      <w:i/>
    </w:rPr>
  </w:style>
  <w:style w:type="paragraph" w:customStyle="1" w:styleId="Finalend">
    <w:name w:val="Final end"/>
    <w:basedOn w:val="Final"/>
    <w:rsid w:val="00580231"/>
    <w:pPr>
      <w:spacing w:after="0"/>
    </w:pPr>
  </w:style>
  <w:style w:type="paragraph" w:customStyle="1" w:styleId="Quotationend">
    <w:name w:val="Quotation end"/>
    <w:basedOn w:val="Quotation"/>
    <w:qFormat/>
    <w:rsid w:val="00F469E2"/>
    <w:pPr>
      <w:spacing w:after="560"/>
    </w:pPr>
  </w:style>
  <w:style w:type="paragraph" w:customStyle="1" w:styleId="Hangingend">
    <w:name w:val="Hanging end"/>
    <w:basedOn w:val="ListParagraph"/>
    <w:qFormat/>
    <w:rsid w:val="00C57790"/>
    <w:pPr>
      <w:numPr>
        <w:numId w:val="2"/>
      </w:numPr>
      <w:spacing w:before="120" w:after="560" w:line="400" w:lineRule="exact"/>
      <w:ind w:left="1080"/>
      <w:contextualSpacing/>
    </w:pPr>
    <w:rPr>
      <w:sz w:val="28"/>
      <w:lang w:eastAsia="zh-CN"/>
    </w:rPr>
  </w:style>
  <w:style w:type="paragraph" w:styleId="BalloonText">
    <w:name w:val="Balloon Text"/>
    <w:basedOn w:val="Normal"/>
    <w:link w:val="BalloonTextChar"/>
    <w:uiPriority w:val="99"/>
    <w:semiHidden/>
    <w:unhideWhenUsed/>
    <w:rsid w:val="00F6418B"/>
    <w:rPr>
      <w:rFonts w:ascii="Tahoma" w:hAnsi="Tahoma"/>
      <w:sz w:val="16"/>
      <w:szCs w:val="16"/>
    </w:rPr>
  </w:style>
  <w:style w:type="character" w:customStyle="1" w:styleId="BalloonTextChar">
    <w:name w:val="Balloon Text Char"/>
    <w:link w:val="BalloonText"/>
    <w:uiPriority w:val="99"/>
    <w:semiHidden/>
    <w:rsid w:val="00F6418B"/>
    <w:rPr>
      <w:rFonts w:ascii="Tahoma" w:hAnsi="Tahoma" w:cs="Tahoma"/>
      <w:kern w:val="2"/>
      <w:sz w:val="16"/>
      <w:szCs w:val="16"/>
      <w:lang w:val="en-GB" w:eastAsia="zh-CN"/>
    </w:rPr>
  </w:style>
  <w:style w:type="table" w:styleId="TableGrid">
    <w:name w:val="Table Grid"/>
    <w:basedOn w:val="TableNormal"/>
    <w:uiPriority w:val="59"/>
    <w:rsid w:val="00CD0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semiHidden/>
    <w:rsid w:val="00CD5885"/>
    <w:rPr>
      <w:lang w:val="en-GB"/>
    </w:rPr>
  </w:style>
  <w:style w:type="character" w:customStyle="1" w:styleId="HangingChar">
    <w:name w:val="Hanging Char"/>
    <w:link w:val="Hanging"/>
    <w:rsid w:val="00A00FBC"/>
    <w:rPr>
      <w:kern w:val="2"/>
      <w:sz w:val="28"/>
      <w:lang w:val="en-GB"/>
    </w:rPr>
  </w:style>
  <w:style w:type="character" w:customStyle="1" w:styleId="BodyTextChar">
    <w:name w:val="Body Text Char"/>
    <w:link w:val="BodyText"/>
    <w:semiHidden/>
    <w:rsid w:val="00BC6E15"/>
    <w:rPr>
      <w:rFonts w:eastAsia="Times New Roman"/>
      <w:sz w:val="28"/>
      <w:szCs w:val="24"/>
      <w:lang w:val="en-GB" w:eastAsia="en-US"/>
    </w:rPr>
  </w:style>
  <w:style w:type="character" w:customStyle="1" w:styleId="BodyTextIndentChar">
    <w:name w:val="Body Text Indent Char"/>
    <w:link w:val="BodyTextIndent"/>
    <w:semiHidden/>
    <w:rsid w:val="00BC6E15"/>
    <w:rPr>
      <w:kern w:val="2"/>
      <w:sz w:val="28"/>
      <w:lang w:val="en-GB"/>
    </w:rPr>
  </w:style>
  <w:style w:type="character" w:styleId="CommentReference">
    <w:name w:val="annotation reference"/>
    <w:uiPriority w:val="99"/>
    <w:semiHidden/>
    <w:unhideWhenUsed/>
    <w:rsid w:val="004636FB"/>
    <w:rPr>
      <w:sz w:val="16"/>
      <w:szCs w:val="16"/>
    </w:rPr>
  </w:style>
  <w:style w:type="paragraph" w:styleId="CommentText">
    <w:name w:val="annotation text"/>
    <w:basedOn w:val="Normal"/>
    <w:link w:val="CommentTextChar"/>
    <w:uiPriority w:val="99"/>
    <w:semiHidden/>
    <w:unhideWhenUsed/>
    <w:rsid w:val="004636FB"/>
    <w:rPr>
      <w:sz w:val="20"/>
    </w:rPr>
  </w:style>
  <w:style w:type="character" w:customStyle="1" w:styleId="CommentTextChar">
    <w:name w:val="Comment Text Char"/>
    <w:link w:val="CommentText"/>
    <w:uiPriority w:val="99"/>
    <w:semiHidden/>
    <w:rsid w:val="004636FB"/>
    <w:rPr>
      <w:kern w:val="2"/>
      <w:lang w:val="en-GB"/>
    </w:rPr>
  </w:style>
  <w:style w:type="paragraph" w:styleId="CommentSubject">
    <w:name w:val="annotation subject"/>
    <w:basedOn w:val="CommentText"/>
    <w:next w:val="CommentText"/>
    <w:link w:val="CommentSubjectChar"/>
    <w:uiPriority w:val="99"/>
    <w:semiHidden/>
    <w:unhideWhenUsed/>
    <w:rsid w:val="004636FB"/>
    <w:rPr>
      <w:b/>
      <w:bCs/>
    </w:rPr>
  </w:style>
  <w:style w:type="character" w:customStyle="1" w:styleId="CommentSubjectChar">
    <w:name w:val="Comment Subject Char"/>
    <w:link w:val="CommentSubject"/>
    <w:uiPriority w:val="99"/>
    <w:semiHidden/>
    <w:rsid w:val="004636FB"/>
    <w:rPr>
      <w:b/>
      <w:bCs/>
      <w:kern w:val="2"/>
      <w:lang w:val="en-GB"/>
    </w:rPr>
  </w:style>
  <w:style w:type="paragraph" w:customStyle="1" w:styleId="Fl">
    <w:name w:val="Fl"/>
    <w:basedOn w:val="Normal"/>
    <w:rsid w:val="003838C3"/>
    <w:pPr>
      <w:tabs>
        <w:tab w:val="left" w:pos="1440"/>
      </w:tabs>
      <w:spacing w:line="360" w:lineRule="auto"/>
    </w:pPr>
  </w:style>
  <w:style w:type="character" w:customStyle="1" w:styleId="case-para-label">
    <w:name w:val="case-para-label"/>
    <w:basedOn w:val="DefaultParagraphFont"/>
    <w:rsid w:val="009E29CA"/>
  </w:style>
  <w:style w:type="character" w:styleId="Emphasis">
    <w:name w:val="Emphasis"/>
    <w:basedOn w:val="DefaultParagraphFont"/>
    <w:uiPriority w:val="20"/>
    <w:qFormat/>
    <w:rsid w:val="009E29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184267">
      <w:bodyDiv w:val="1"/>
      <w:marLeft w:val="0"/>
      <w:marRight w:val="0"/>
      <w:marTop w:val="0"/>
      <w:marBottom w:val="0"/>
      <w:divBdr>
        <w:top w:val="none" w:sz="0" w:space="0" w:color="auto"/>
        <w:left w:val="none" w:sz="0" w:space="0" w:color="auto"/>
        <w:bottom w:val="none" w:sz="0" w:space="0" w:color="auto"/>
        <w:right w:val="none" w:sz="0" w:space="0" w:color="auto"/>
      </w:divBdr>
      <w:divsChild>
        <w:div w:id="1107771258">
          <w:marLeft w:val="0"/>
          <w:marRight w:val="0"/>
          <w:marTop w:val="240"/>
          <w:marBottom w:val="80"/>
          <w:divBdr>
            <w:top w:val="none" w:sz="0" w:space="0" w:color="auto"/>
            <w:left w:val="none" w:sz="0" w:space="0" w:color="auto"/>
            <w:bottom w:val="none" w:sz="0" w:space="0" w:color="auto"/>
            <w:right w:val="none" w:sz="0" w:space="0" w:color="auto"/>
          </w:divBdr>
        </w:div>
        <w:div w:id="1213732333">
          <w:marLeft w:val="0"/>
          <w:marRight w:val="0"/>
          <w:marTop w:val="240"/>
          <w:marBottom w:val="80"/>
          <w:divBdr>
            <w:top w:val="none" w:sz="0" w:space="0" w:color="auto"/>
            <w:left w:val="none" w:sz="0" w:space="0" w:color="auto"/>
            <w:bottom w:val="none" w:sz="0" w:space="0" w:color="auto"/>
            <w:right w:val="none" w:sz="0" w:space="0" w:color="auto"/>
          </w:divBdr>
        </w:div>
      </w:divsChild>
    </w:div>
    <w:div w:id="692147721">
      <w:bodyDiv w:val="1"/>
      <w:marLeft w:val="0"/>
      <w:marRight w:val="0"/>
      <w:marTop w:val="0"/>
      <w:marBottom w:val="0"/>
      <w:divBdr>
        <w:top w:val="none" w:sz="0" w:space="0" w:color="auto"/>
        <w:left w:val="none" w:sz="0" w:space="0" w:color="auto"/>
        <w:bottom w:val="none" w:sz="0" w:space="0" w:color="auto"/>
        <w:right w:val="none" w:sz="0" w:space="0" w:color="auto"/>
      </w:divBdr>
    </w:div>
    <w:div w:id="1009798495">
      <w:bodyDiv w:val="1"/>
      <w:marLeft w:val="0"/>
      <w:marRight w:val="0"/>
      <w:marTop w:val="0"/>
      <w:marBottom w:val="0"/>
      <w:divBdr>
        <w:top w:val="none" w:sz="0" w:space="0" w:color="auto"/>
        <w:left w:val="none" w:sz="0" w:space="0" w:color="auto"/>
        <w:bottom w:val="none" w:sz="0" w:space="0" w:color="auto"/>
        <w:right w:val="none" w:sz="0" w:space="0" w:color="auto"/>
      </w:divBdr>
      <w:divsChild>
        <w:div w:id="358120039">
          <w:marLeft w:val="480"/>
          <w:marRight w:val="0"/>
          <w:marTop w:val="0"/>
          <w:marBottom w:val="80"/>
          <w:divBdr>
            <w:top w:val="none" w:sz="0" w:space="0" w:color="auto"/>
            <w:left w:val="none" w:sz="0" w:space="0" w:color="auto"/>
            <w:bottom w:val="none" w:sz="0" w:space="0" w:color="auto"/>
            <w:right w:val="none" w:sz="0" w:space="0" w:color="auto"/>
          </w:divBdr>
          <w:divsChild>
            <w:div w:id="476999675">
              <w:marLeft w:val="480"/>
              <w:marRight w:val="0"/>
              <w:marTop w:val="0"/>
              <w:marBottom w:val="0"/>
              <w:divBdr>
                <w:top w:val="none" w:sz="0" w:space="0" w:color="auto"/>
                <w:left w:val="none" w:sz="0" w:space="0" w:color="auto"/>
                <w:bottom w:val="none" w:sz="0" w:space="0" w:color="auto"/>
                <w:right w:val="none" w:sz="0" w:space="0" w:color="auto"/>
              </w:divBdr>
              <w:divsChild>
                <w:div w:id="439881700">
                  <w:marLeft w:val="0"/>
                  <w:marRight w:val="0"/>
                  <w:marTop w:val="0"/>
                  <w:marBottom w:val="0"/>
                  <w:divBdr>
                    <w:top w:val="none" w:sz="0" w:space="0" w:color="auto"/>
                    <w:left w:val="none" w:sz="0" w:space="0" w:color="auto"/>
                    <w:bottom w:val="none" w:sz="0" w:space="0" w:color="auto"/>
                    <w:right w:val="none" w:sz="0" w:space="0" w:color="auto"/>
                  </w:divBdr>
                </w:div>
              </w:divsChild>
            </w:div>
            <w:div w:id="1808350186">
              <w:marLeft w:val="0"/>
              <w:marRight w:val="0"/>
              <w:marTop w:val="0"/>
              <w:marBottom w:val="80"/>
              <w:divBdr>
                <w:top w:val="none" w:sz="0" w:space="0" w:color="auto"/>
                <w:left w:val="none" w:sz="0" w:space="0" w:color="auto"/>
                <w:bottom w:val="none" w:sz="0" w:space="0" w:color="auto"/>
                <w:right w:val="none" w:sz="0" w:space="0" w:color="auto"/>
              </w:divBdr>
            </w:div>
            <w:div w:id="1922643952">
              <w:marLeft w:val="480"/>
              <w:marRight w:val="0"/>
              <w:marTop w:val="0"/>
              <w:marBottom w:val="80"/>
              <w:divBdr>
                <w:top w:val="none" w:sz="0" w:space="0" w:color="auto"/>
                <w:left w:val="none" w:sz="0" w:space="0" w:color="auto"/>
                <w:bottom w:val="none" w:sz="0" w:space="0" w:color="auto"/>
                <w:right w:val="none" w:sz="0" w:space="0" w:color="auto"/>
              </w:divBdr>
              <w:divsChild>
                <w:div w:id="6119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0539">
          <w:marLeft w:val="480"/>
          <w:marRight w:val="0"/>
          <w:marTop w:val="0"/>
          <w:marBottom w:val="80"/>
          <w:divBdr>
            <w:top w:val="none" w:sz="0" w:space="0" w:color="auto"/>
            <w:left w:val="none" w:sz="0" w:space="0" w:color="auto"/>
            <w:bottom w:val="none" w:sz="0" w:space="0" w:color="auto"/>
            <w:right w:val="none" w:sz="0" w:space="0" w:color="auto"/>
          </w:divBdr>
          <w:divsChild>
            <w:div w:id="100077786">
              <w:marLeft w:val="480"/>
              <w:marRight w:val="0"/>
              <w:marTop w:val="0"/>
              <w:marBottom w:val="80"/>
              <w:divBdr>
                <w:top w:val="none" w:sz="0" w:space="0" w:color="auto"/>
                <w:left w:val="none" w:sz="0" w:space="0" w:color="auto"/>
                <w:bottom w:val="none" w:sz="0" w:space="0" w:color="auto"/>
                <w:right w:val="none" w:sz="0" w:space="0" w:color="auto"/>
              </w:divBdr>
              <w:divsChild>
                <w:div w:id="136722706">
                  <w:marLeft w:val="0"/>
                  <w:marRight w:val="0"/>
                  <w:marTop w:val="0"/>
                  <w:marBottom w:val="0"/>
                  <w:divBdr>
                    <w:top w:val="none" w:sz="0" w:space="0" w:color="auto"/>
                    <w:left w:val="none" w:sz="0" w:space="0" w:color="auto"/>
                    <w:bottom w:val="none" w:sz="0" w:space="0" w:color="auto"/>
                    <w:right w:val="none" w:sz="0" w:space="0" w:color="auto"/>
                  </w:divBdr>
                </w:div>
              </w:divsChild>
            </w:div>
            <w:div w:id="517744723">
              <w:marLeft w:val="480"/>
              <w:marRight w:val="0"/>
              <w:marTop w:val="0"/>
              <w:marBottom w:val="0"/>
              <w:divBdr>
                <w:top w:val="none" w:sz="0" w:space="0" w:color="auto"/>
                <w:left w:val="none" w:sz="0" w:space="0" w:color="auto"/>
                <w:bottom w:val="none" w:sz="0" w:space="0" w:color="auto"/>
                <w:right w:val="none" w:sz="0" w:space="0" w:color="auto"/>
              </w:divBdr>
              <w:divsChild>
                <w:div w:id="2031637711">
                  <w:marLeft w:val="0"/>
                  <w:marRight w:val="0"/>
                  <w:marTop w:val="0"/>
                  <w:marBottom w:val="0"/>
                  <w:divBdr>
                    <w:top w:val="none" w:sz="0" w:space="0" w:color="auto"/>
                    <w:left w:val="none" w:sz="0" w:space="0" w:color="auto"/>
                    <w:bottom w:val="none" w:sz="0" w:space="0" w:color="auto"/>
                    <w:right w:val="none" w:sz="0" w:space="0" w:color="auto"/>
                  </w:divBdr>
                </w:div>
              </w:divsChild>
            </w:div>
            <w:div w:id="1609384568">
              <w:marLeft w:val="0"/>
              <w:marRight w:val="0"/>
              <w:marTop w:val="0"/>
              <w:marBottom w:val="80"/>
              <w:divBdr>
                <w:top w:val="none" w:sz="0" w:space="0" w:color="auto"/>
                <w:left w:val="none" w:sz="0" w:space="0" w:color="auto"/>
                <w:bottom w:val="none" w:sz="0" w:space="0" w:color="auto"/>
                <w:right w:val="none" w:sz="0" w:space="0" w:color="auto"/>
              </w:divBdr>
            </w:div>
          </w:divsChild>
        </w:div>
        <w:div w:id="490954106">
          <w:marLeft w:val="480"/>
          <w:marRight w:val="0"/>
          <w:marTop w:val="0"/>
          <w:marBottom w:val="0"/>
          <w:divBdr>
            <w:top w:val="none" w:sz="0" w:space="0" w:color="auto"/>
            <w:left w:val="none" w:sz="0" w:space="0" w:color="auto"/>
            <w:bottom w:val="none" w:sz="0" w:space="0" w:color="auto"/>
            <w:right w:val="none" w:sz="0" w:space="0" w:color="auto"/>
          </w:divBdr>
          <w:divsChild>
            <w:div w:id="421685158">
              <w:marLeft w:val="480"/>
              <w:marRight w:val="0"/>
              <w:marTop w:val="0"/>
              <w:marBottom w:val="80"/>
              <w:divBdr>
                <w:top w:val="none" w:sz="0" w:space="0" w:color="auto"/>
                <w:left w:val="none" w:sz="0" w:space="0" w:color="auto"/>
                <w:bottom w:val="none" w:sz="0" w:space="0" w:color="auto"/>
                <w:right w:val="none" w:sz="0" w:space="0" w:color="auto"/>
              </w:divBdr>
              <w:divsChild>
                <w:div w:id="1951473767">
                  <w:marLeft w:val="0"/>
                  <w:marRight w:val="0"/>
                  <w:marTop w:val="0"/>
                  <w:marBottom w:val="0"/>
                  <w:divBdr>
                    <w:top w:val="none" w:sz="0" w:space="0" w:color="auto"/>
                    <w:left w:val="none" w:sz="0" w:space="0" w:color="auto"/>
                    <w:bottom w:val="none" w:sz="0" w:space="0" w:color="auto"/>
                    <w:right w:val="none" w:sz="0" w:space="0" w:color="auto"/>
                  </w:divBdr>
                </w:div>
              </w:divsChild>
            </w:div>
            <w:div w:id="1252007642">
              <w:marLeft w:val="0"/>
              <w:marRight w:val="0"/>
              <w:marTop w:val="0"/>
              <w:marBottom w:val="80"/>
              <w:divBdr>
                <w:top w:val="none" w:sz="0" w:space="0" w:color="auto"/>
                <w:left w:val="none" w:sz="0" w:space="0" w:color="auto"/>
                <w:bottom w:val="none" w:sz="0" w:space="0" w:color="auto"/>
                <w:right w:val="none" w:sz="0" w:space="0" w:color="auto"/>
              </w:divBdr>
            </w:div>
            <w:div w:id="1597518767">
              <w:marLeft w:val="480"/>
              <w:marRight w:val="0"/>
              <w:marTop w:val="0"/>
              <w:marBottom w:val="80"/>
              <w:divBdr>
                <w:top w:val="none" w:sz="0" w:space="0" w:color="auto"/>
                <w:left w:val="none" w:sz="0" w:space="0" w:color="auto"/>
                <w:bottom w:val="none" w:sz="0" w:space="0" w:color="auto"/>
                <w:right w:val="none" w:sz="0" w:space="0" w:color="auto"/>
              </w:divBdr>
              <w:divsChild>
                <w:div w:id="3673178">
                  <w:marLeft w:val="0"/>
                  <w:marRight w:val="0"/>
                  <w:marTop w:val="0"/>
                  <w:marBottom w:val="0"/>
                  <w:divBdr>
                    <w:top w:val="none" w:sz="0" w:space="0" w:color="auto"/>
                    <w:left w:val="none" w:sz="0" w:space="0" w:color="auto"/>
                    <w:bottom w:val="none" w:sz="0" w:space="0" w:color="auto"/>
                    <w:right w:val="none" w:sz="0" w:space="0" w:color="auto"/>
                  </w:divBdr>
                </w:div>
              </w:divsChild>
            </w:div>
            <w:div w:id="1691030979">
              <w:marLeft w:val="0"/>
              <w:marRight w:val="0"/>
              <w:marTop w:val="0"/>
              <w:marBottom w:val="80"/>
              <w:divBdr>
                <w:top w:val="none" w:sz="0" w:space="0" w:color="auto"/>
                <w:left w:val="none" w:sz="0" w:space="0" w:color="auto"/>
                <w:bottom w:val="none" w:sz="0" w:space="0" w:color="auto"/>
                <w:right w:val="none" w:sz="0" w:space="0" w:color="auto"/>
              </w:divBdr>
            </w:div>
          </w:divsChild>
        </w:div>
      </w:divsChild>
    </w:div>
    <w:div w:id="1049643848">
      <w:bodyDiv w:val="1"/>
      <w:marLeft w:val="0"/>
      <w:marRight w:val="0"/>
      <w:marTop w:val="0"/>
      <w:marBottom w:val="0"/>
      <w:divBdr>
        <w:top w:val="none" w:sz="0" w:space="0" w:color="auto"/>
        <w:left w:val="none" w:sz="0" w:space="0" w:color="auto"/>
        <w:bottom w:val="none" w:sz="0" w:space="0" w:color="auto"/>
        <w:right w:val="none" w:sz="0" w:space="0" w:color="auto"/>
      </w:divBdr>
    </w:div>
    <w:div w:id="1583485587">
      <w:bodyDiv w:val="1"/>
      <w:marLeft w:val="0"/>
      <w:marRight w:val="0"/>
      <w:marTop w:val="0"/>
      <w:marBottom w:val="0"/>
      <w:divBdr>
        <w:top w:val="none" w:sz="0" w:space="0" w:color="auto"/>
        <w:left w:val="none" w:sz="0" w:space="0" w:color="auto"/>
        <w:bottom w:val="none" w:sz="0" w:space="0" w:color="auto"/>
        <w:right w:val="none" w:sz="0" w:space="0" w:color="auto"/>
      </w:divBdr>
      <w:divsChild>
        <w:div w:id="811364139">
          <w:marLeft w:val="0"/>
          <w:marRight w:val="0"/>
          <w:marTop w:val="240"/>
          <w:marBottom w:val="80"/>
          <w:divBdr>
            <w:top w:val="none" w:sz="0" w:space="0" w:color="auto"/>
            <w:left w:val="none" w:sz="0" w:space="0" w:color="auto"/>
            <w:bottom w:val="none" w:sz="0" w:space="0" w:color="auto"/>
            <w:right w:val="none" w:sz="0" w:space="0" w:color="auto"/>
          </w:divBdr>
        </w:div>
        <w:div w:id="1654947434">
          <w:marLeft w:val="0"/>
          <w:marRight w:val="0"/>
          <w:marTop w:val="240"/>
          <w:marBottom w:val="80"/>
          <w:divBdr>
            <w:top w:val="none" w:sz="0" w:space="0" w:color="auto"/>
            <w:left w:val="none" w:sz="0" w:space="0" w:color="auto"/>
            <w:bottom w:val="none" w:sz="0" w:space="0" w:color="auto"/>
            <w:right w:val="none" w:sz="0" w:space="0" w:color="auto"/>
          </w:divBdr>
        </w:div>
        <w:div w:id="215821270">
          <w:marLeft w:val="480"/>
          <w:marRight w:val="0"/>
          <w:marTop w:val="0"/>
          <w:marBottom w:val="80"/>
          <w:divBdr>
            <w:top w:val="none" w:sz="0" w:space="0" w:color="auto"/>
            <w:left w:val="none" w:sz="0" w:space="0" w:color="auto"/>
            <w:bottom w:val="none" w:sz="0" w:space="0" w:color="auto"/>
            <w:right w:val="none" w:sz="0" w:space="0" w:color="auto"/>
          </w:divBdr>
          <w:divsChild>
            <w:div w:id="1736246588">
              <w:marLeft w:val="0"/>
              <w:marRight w:val="0"/>
              <w:marTop w:val="0"/>
              <w:marBottom w:val="80"/>
              <w:divBdr>
                <w:top w:val="none" w:sz="0" w:space="0" w:color="auto"/>
                <w:left w:val="none" w:sz="0" w:space="0" w:color="auto"/>
                <w:bottom w:val="none" w:sz="0" w:space="0" w:color="auto"/>
                <w:right w:val="none" w:sz="0" w:space="0" w:color="auto"/>
              </w:divBdr>
            </w:div>
            <w:div w:id="535432070">
              <w:marLeft w:val="480"/>
              <w:marRight w:val="0"/>
              <w:marTop w:val="0"/>
              <w:marBottom w:val="80"/>
              <w:divBdr>
                <w:top w:val="none" w:sz="0" w:space="0" w:color="auto"/>
                <w:left w:val="none" w:sz="0" w:space="0" w:color="auto"/>
                <w:bottom w:val="none" w:sz="0" w:space="0" w:color="auto"/>
                <w:right w:val="none" w:sz="0" w:space="0" w:color="auto"/>
              </w:divBdr>
              <w:divsChild>
                <w:div w:id="1443957498">
                  <w:marLeft w:val="0"/>
                  <w:marRight w:val="0"/>
                  <w:marTop w:val="0"/>
                  <w:marBottom w:val="0"/>
                  <w:divBdr>
                    <w:top w:val="none" w:sz="0" w:space="0" w:color="auto"/>
                    <w:left w:val="none" w:sz="0" w:space="0" w:color="auto"/>
                    <w:bottom w:val="none" w:sz="0" w:space="0" w:color="auto"/>
                    <w:right w:val="none" w:sz="0" w:space="0" w:color="auto"/>
                  </w:divBdr>
                </w:div>
              </w:divsChild>
            </w:div>
            <w:div w:id="1018696444">
              <w:marLeft w:val="480"/>
              <w:marRight w:val="0"/>
              <w:marTop w:val="0"/>
              <w:marBottom w:val="80"/>
              <w:divBdr>
                <w:top w:val="none" w:sz="0" w:space="0" w:color="auto"/>
                <w:left w:val="none" w:sz="0" w:space="0" w:color="auto"/>
                <w:bottom w:val="none" w:sz="0" w:space="0" w:color="auto"/>
                <w:right w:val="none" w:sz="0" w:space="0" w:color="auto"/>
              </w:divBdr>
              <w:divsChild>
                <w:div w:id="344671568">
                  <w:marLeft w:val="0"/>
                  <w:marRight w:val="0"/>
                  <w:marTop w:val="0"/>
                  <w:marBottom w:val="0"/>
                  <w:divBdr>
                    <w:top w:val="none" w:sz="0" w:space="0" w:color="auto"/>
                    <w:left w:val="none" w:sz="0" w:space="0" w:color="auto"/>
                    <w:bottom w:val="none" w:sz="0" w:space="0" w:color="auto"/>
                    <w:right w:val="none" w:sz="0" w:space="0" w:color="auto"/>
                  </w:divBdr>
                </w:div>
              </w:divsChild>
            </w:div>
            <w:div w:id="498813948">
              <w:marLeft w:val="480"/>
              <w:marRight w:val="0"/>
              <w:marTop w:val="0"/>
              <w:marBottom w:val="80"/>
              <w:divBdr>
                <w:top w:val="none" w:sz="0" w:space="0" w:color="auto"/>
                <w:left w:val="none" w:sz="0" w:space="0" w:color="auto"/>
                <w:bottom w:val="none" w:sz="0" w:space="0" w:color="auto"/>
                <w:right w:val="none" w:sz="0" w:space="0" w:color="auto"/>
              </w:divBdr>
              <w:divsChild>
                <w:div w:id="1811819660">
                  <w:marLeft w:val="0"/>
                  <w:marRight w:val="0"/>
                  <w:marTop w:val="0"/>
                  <w:marBottom w:val="0"/>
                  <w:divBdr>
                    <w:top w:val="none" w:sz="0" w:space="0" w:color="auto"/>
                    <w:left w:val="none" w:sz="0" w:space="0" w:color="auto"/>
                    <w:bottom w:val="none" w:sz="0" w:space="0" w:color="auto"/>
                    <w:right w:val="none" w:sz="0" w:space="0" w:color="auto"/>
                  </w:divBdr>
                </w:div>
              </w:divsChild>
            </w:div>
            <w:div w:id="478114958">
              <w:marLeft w:val="0"/>
              <w:marRight w:val="0"/>
              <w:marTop w:val="0"/>
              <w:marBottom w:val="80"/>
              <w:divBdr>
                <w:top w:val="none" w:sz="0" w:space="0" w:color="auto"/>
                <w:left w:val="none" w:sz="0" w:space="0" w:color="auto"/>
                <w:bottom w:val="none" w:sz="0" w:space="0" w:color="auto"/>
                <w:right w:val="none" w:sz="0" w:space="0" w:color="auto"/>
              </w:divBdr>
            </w:div>
          </w:divsChild>
        </w:div>
        <w:div w:id="970093078">
          <w:marLeft w:val="480"/>
          <w:marRight w:val="0"/>
          <w:marTop w:val="0"/>
          <w:marBottom w:val="80"/>
          <w:divBdr>
            <w:top w:val="none" w:sz="0" w:space="0" w:color="auto"/>
            <w:left w:val="none" w:sz="0" w:space="0" w:color="auto"/>
            <w:bottom w:val="none" w:sz="0" w:space="0" w:color="auto"/>
            <w:right w:val="none" w:sz="0" w:space="0" w:color="auto"/>
          </w:divBdr>
          <w:divsChild>
            <w:div w:id="1023364962">
              <w:marLeft w:val="0"/>
              <w:marRight w:val="0"/>
              <w:marTop w:val="0"/>
              <w:marBottom w:val="80"/>
              <w:divBdr>
                <w:top w:val="none" w:sz="0" w:space="0" w:color="auto"/>
                <w:left w:val="none" w:sz="0" w:space="0" w:color="auto"/>
                <w:bottom w:val="none" w:sz="0" w:space="0" w:color="auto"/>
                <w:right w:val="none" w:sz="0" w:space="0" w:color="auto"/>
              </w:divBdr>
            </w:div>
            <w:div w:id="589243159">
              <w:marLeft w:val="480"/>
              <w:marRight w:val="0"/>
              <w:marTop w:val="0"/>
              <w:marBottom w:val="80"/>
              <w:divBdr>
                <w:top w:val="none" w:sz="0" w:space="0" w:color="auto"/>
                <w:left w:val="none" w:sz="0" w:space="0" w:color="auto"/>
                <w:bottom w:val="none" w:sz="0" w:space="0" w:color="auto"/>
                <w:right w:val="none" w:sz="0" w:space="0" w:color="auto"/>
              </w:divBdr>
              <w:divsChild>
                <w:div w:id="1993676435">
                  <w:marLeft w:val="0"/>
                  <w:marRight w:val="0"/>
                  <w:marTop w:val="0"/>
                  <w:marBottom w:val="0"/>
                  <w:divBdr>
                    <w:top w:val="none" w:sz="0" w:space="0" w:color="auto"/>
                    <w:left w:val="none" w:sz="0" w:space="0" w:color="auto"/>
                    <w:bottom w:val="none" w:sz="0" w:space="0" w:color="auto"/>
                    <w:right w:val="none" w:sz="0" w:space="0" w:color="auto"/>
                  </w:divBdr>
                </w:div>
              </w:divsChild>
            </w:div>
            <w:div w:id="156044267">
              <w:marLeft w:val="480"/>
              <w:marRight w:val="0"/>
              <w:marTop w:val="0"/>
              <w:marBottom w:val="0"/>
              <w:divBdr>
                <w:top w:val="none" w:sz="0" w:space="0" w:color="auto"/>
                <w:left w:val="none" w:sz="0" w:space="0" w:color="auto"/>
                <w:bottom w:val="none" w:sz="0" w:space="0" w:color="auto"/>
                <w:right w:val="none" w:sz="0" w:space="0" w:color="auto"/>
              </w:divBdr>
              <w:divsChild>
                <w:div w:id="8506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1394">
          <w:marLeft w:val="480"/>
          <w:marRight w:val="0"/>
          <w:marTop w:val="0"/>
          <w:marBottom w:val="80"/>
          <w:divBdr>
            <w:top w:val="none" w:sz="0" w:space="0" w:color="auto"/>
            <w:left w:val="none" w:sz="0" w:space="0" w:color="auto"/>
            <w:bottom w:val="none" w:sz="0" w:space="0" w:color="auto"/>
            <w:right w:val="none" w:sz="0" w:space="0" w:color="auto"/>
          </w:divBdr>
          <w:divsChild>
            <w:div w:id="14872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nnie\Application%20Data\Microsoft\Templates\ABC%20paper%20only\hc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60168-1E02-416F-98F7-C9CDAA56E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hca.dot</Template>
  <TotalTime>2</TotalTime>
  <Pages>19</Pages>
  <Words>3950</Words>
  <Characters>22519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Windows User</cp:lastModifiedBy>
  <cp:revision>2</cp:revision>
  <cp:lastPrinted>2021-11-29T04:01:00Z</cp:lastPrinted>
  <dcterms:created xsi:type="dcterms:W3CDTF">2021-11-29T06:36:00Z</dcterms:created>
  <dcterms:modified xsi:type="dcterms:W3CDTF">2021-11-29T06:36:00Z</dcterms:modified>
</cp:coreProperties>
</file>