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2BC" w:rsidRPr="008706AF" w:rsidRDefault="00A81BA1" w:rsidP="00F57270">
      <w:pPr>
        <w:keepNext/>
        <w:spacing w:after="40"/>
        <w:jc w:val="right"/>
        <w:rPr>
          <w:sz w:val="28"/>
          <w:szCs w:val="28"/>
        </w:rPr>
      </w:pPr>
      <w:r w:rsidRPr="008706AF">
        <w:rPr>
          <w:rFonts w:hint="eastAsia"/>
          <w:sz w:val="28"/>
          <w:szCs w:val="28"/>
        </w:rPr>
        <w:t>HC</w:t>
      </w:r>
      <w:r w:rsidR="00707069" w:rsidRPr="008706AF">
        <w:rPr>
          <w:sz w:val="28"/>
          <w:szCs w:val="28"/>
        </w:rPr>
        <w:t>MP </w:t>
      </w:r>
      <w:r w:rsidR="00CA5BC1" w:rsidRPr="008706AF">
        <w:rPr>
          <w:sz w:val="28"/>
          <w:szCs w:val="28"/>
        </w:rPr>
        <w:t>500</w:t>
      </w:r>
      <w:r w:rsidRPr="008706AF">
        <w:rPr>
          <w:rFonts w:hint="eastAsia"/>
          <w:sz w:val="28"/>
          <w:szCs w:val="28"/>
        </w:rPr>
        <w:t>/</w:t>
      </w:r>
      <w:r w:rsidR="001052BC" w:rsidRPr="008706AF">
        <w:rPr>
          <w:rFonts w:hint="eastAsia"/>
          <w:sz w:val="28"/>
          <w:szCs w:val="28"/>
        </w:rPr>
        <w:t>20</w:t>
      </w:r>
      <w:r w:rsidR="00201366" w:rsidRPr="008706AF">
        <w:rPr>
          <w:sz w:val="28"/>
          <w:szCs w:val="28"/>
        </w:rPr>
        <w:t>22</w:t>
      </w:r>
    </w:p>
    <w:p w:rsidR="00B74EB2" w:rsidRPr="008706AF" w:rsidRDefault="00495A64" w:rsidP="00F57270">
      <w:pPr>
        <w:jc w:val="right"/>
        <w:rPr>
          <w:sz w:val="28"/>
          <w:szCs w:val="28"/>
        </w:rPr>
      </w:pPr>
      <w:r w:rsidRPr="008706AF">
        <w:rPr>
          <w:sz w:val="28"/>
          <w:szCs w:val="28"/>
        </w:rPr>
        <w:t>[20</w:t>
      </w:r>
      <w:r w:rsidR="00347B0D" w:rsidRPr="008706AF">
        <w:rPr>
          <w:sz w:val="28"/>
          <w:szCs w:val="28"/>
        </w:rPr>
        <w:t>22</w:t>
      </w:r>
      <w:r w:rsidR="005757D5" w:rsidRPr="008706AF">
        <w:rPr>
          <w:sz w:val="28"/>
          <w:szCs w:val="28"/>
        </w:rPr>
        <w:t>] HKCFI</w:t>
      </w:r>
      <w:r w:rsidR="00932A95" w:rsidRPr="008706AF">
        <w:rPr>
          <w:sz w:val="28"/>
          <w:szCs w:val="28"/>
        </w:rPr>
        <w:t xml:space="preserve"> </w:t>
      </w:r>
      <w:r w:rsidR="00D505A3" w:rsidRPr="008706AF">
        <w:rPr>
          <w:sz w:val="28"/>
          <w:szCs w:val="28"/>
        </w:rPr>
        <w:t>2001</w:t>
      </w:r>
    </w:p>
    <w:p w:rsidR="001052BC" w:rsidRPr="008706AF" w:rsidRDefault="001052BC">
      <w:pPr>
        <w:jc w:val="both"/>
        <w:rPr>
          <w:kern w:val="2"/>
          <w:sz w:val="28"/>
          <w:szCs w:val="20"/>
        </w:rPr>
      </w:pPr>
    </w:p>
    <w:p w:rsidR="00DB1FE7" w:rsidRPr="008706AF" w:rsidRDefault="00DB1FE7" w:rsidP="00DB1FE7">
      <w:pPr>
        <w:snapToGrid w:val="0"/>
        <w:spacing w:line="360" w:lineRule="auto"/>
        <w:jc w:val="center"/>
        <w:rPr>
          <w:b/>
          <w:kern w:val="2"/>
          <w:sz w:val="28"/>
          <w:szCs w:val="20"/>
          <w:lang w:val="en-GB"/>
        </w:rPr>
      </w:pPr>
      <w:r w:rsidRPr="008706AF">
        <w:rPr>
          <w:b/>
          <w:sz w:val="28"/>
          <w:lang w:val="en-GB"/>
        </w:rPr>
        <w:t>IN THE HIGH COURT OF THE</w:t>
      </w:r>
    </w:p>
    <w:p w:rsidR="00DB1FE7" w:rsidRPr="008706AF" w:rsidRDefault="00DB1FE7" w:rsidP="00DB1FE7">
      <w:pPr>
        <w:spacing w:line="360" w:lineRule="auto"/>
        <w:jc w:val="center"/>
        <w:rPr>
          <w:b/>
          <w:sz w:val="28"/>
          <w:szCs w:val="28"/>
          <w:lang w:val="en-GB"/>
        </w:rPr>
      </w:pPr>
      <w:r w:rsidRPr="008706AF">
        <w:rPr>
          <w:b/>
          <w:sz w:val="28"/>
          <w:szCs w:val="28"/>
          <w:lang w:val="en-GB"/>
        </w:rPr>
        <w:t>HONG KONG SPECIAL ADMINISTRATIVE REGION</w:t>
      </w:r>
    </w:p>
    <w:p w:rsidR="00DB1FE7" w:rsidRPr="008706AF" w:rsidRDefault="00DB1FE7" w:rsidP="00DB1FE7">
      <w:pPr>
        <w:spacing w:line="360" w:lineRule="auto"/>
        <w:jc w:val="center"/>
        <w:rPr>
          <w:b/>
          <w:sz w:val="28"/>
          <w:szCs w:val="28"/>
          <w:lang w:val="en-GB"/>
        </w:rPr>
      </w:pPr>
      <w:r w:rsidRPr="008706AF">
        <w:rPr>
          <w:b/>
          <w:sz w:val="28"/>
          <w:szCs w:val="28"/>
          <w:lang w:val="en-GB"/>
        </w:rPr>
        <w:t>COURT OF FIRST INSTANCE</w:t>
      </w:r>
    </w:p>
    <w:p w:rsidR="00DB1FE7" w:rsidRPr="008706AF" w:rsidRDefault="00707069" w:rsidP="00DB1FE7">
      <w:pPr>
        <w:spacing w:after="120"/>
        <w:jc w:val="center"/>
        <w:rPr>
          <w:sz w:val="28"/>
          <w:szCs w:val="28"/>
          <w:lang w:val="en-GB"/>
        </w:rPr>
      </w:pPr>
      <w:r w:rsidRPr="008706AF">
        <w:rPr>
          <w:sz w:val="28"/>
          <w:szCs w:val="28"/>
          <w:lang w:val="en-GB"/>
        </w:rPr>
        <w:t>MISCELLANEOUS PROCEEDINGS</w:t>
      </w:r>
      <w:r w:rsidR="00DB1FE7" w:rsidRPr="008706AF">
        <w:rPr>
          <w:rFonts w:hint="eastAsia"/>
          <w:sz w:val="28"/>
          <w:szCs w:val="28"/>
          <w:lang w:val="en-GB"/>
        </w:rPr>
        <w:t xml:space="preserve"> </w:t>
      </w:r>
      <w:r w:rsidR="00DB1FE7" w:rsidRPr="008706AF">
        <w:rPr>
          <w:sz w:val="28"/>
          <w:szCs w:val="28"/>
          <w:lang w:val="en-GB"/>
        </w:rPr>
        <w:t>N</w:t>
      </w:r>
      <w:r w:rsidR="000D4FFE" w:rsidRPr="008706AF">
        <w:rPr>
          <w:sz w:val="28"/>
          <w:szCs w:val="28"/>
          <w:lang w:val="en-GB"/>
        </w:rPr>
        <w:t xml:space="preserve">o </w:t>
      </w:r>
      <w:r w:rsidR="00201366" w:rsidRPr="008706AF">
        <w:rPr>
          <w:sz w:val="28"/>
          <w:szCs w:val="28"/>
          <w:lang w:val="en-GB"/>
        </w:rPr>
        <w:t>5</w:t>
      </w:r>
      <w:r w:rsidR="00CA5BC1" w:rsidRPr="008706AF">
        <w:rPr>
          <w:sz w:val="28"/>
          <w:szCs w:val="28"/>
          <w:lang w:val="en-GB"/>
        </w:rPr>
        <w:t>00</w:t>
      </w:r>
      <w:r w:rsidRPr="008706AF">
        <w:rPr>
          <w:sz w:val="28"/>
          <w:szCs w:val="28"/>
          <w:lang w:val="en-GB"/>
        </w:rPr>
        <w:t xml:space="preserve"> </w:t>
      </w:r>
      <w:r w:rsidR="00DB1FE7" w:rsidRPr="008706AF">
        <w:rPr>
          <w:sz w:val="28"/>
          <w:szCs w:val="28"/>
          <w:lang w:val="en-GB"/>
        </w:rPr>
        <w:t>OF 20</w:t>
      </w:r>
      <w:r w:rsidR="00201366" w:rsidRPr="008706AF">
        <w:rPr>
          <w:sz w:val="28"/>
          <w:szCs w:val="28"/>
          <w:lang w:val="en-GB"/>
        </w:rPr>
        <w:t>22</w:t>
      </w:r>
    </w:p>
    <w:p w:rsidR="00DB1FE7" w:rsidRPr="008706AF" w:rsidRDefault="00780F88" w:rsidP="00780F88">
      <w:pPr>
        <w:tabs>
          <w:tab w:val="center" w:pos="4140"/>
        </w:tabs>
        <w:snapToGrid w:val="0"/>
        <w:spacing w:after="120" w:line="360" w:lineRule="auto"/>
        <w:ind w:right="206"/>
        <w:rPr>
          <w:kern w:val="2"/>
          <w:sz w:val="28"/>
          <w:szCs w:val="20"/>
          <w:lang w:val="en-GB"/>
        </w:rPr>
      </w:pPr>
      <w:r w:rsidRPr="008706AF">
        <w:rPr>
          <w:sz w:val="28"/>
          <w:lang w:val="en-GB"/>
        </w:rPr>
        <w:tab/>
      </w:r>
      <w:r w:rsidR="00DB1FE7" w:rsidRPr="008706AF">
        <w:rPr>
          <w:sz w:val="28"/>
          <w:lang w:val="en-GB"/>
        </w:rPr>
        <w:t>____________</w:t>
      </w:r>
    </w:p>
    <w:p w:rsidR="00707069" w:rsidRPr="008706AF" w:rsidRDefault="00780F88" w:rsidP="00DB6352">
      <w:pPr>
        <w:pStyle w:val="Header"/>
        <w:tabs>
          <w:tab w:val="clear" w:pos="4153"/>
        </w:tabs>
        <w:snapToGrid w:val="0"/>
        <w:spacing w:before="240"/>
        <w:ind w:left="3874"/>
        <w:jc w:val="both"/>
        <w:rPr>
          <w:sz w:val="28"/>
          <w:szCs w:val="28"/>
        </w:rPr>
      </w:pPr>
      <w:r w:rsidRPr="008706AF">
        <w:rPr>
          <w:sz w:val="28"/>
          <w:szCs w:val="28"/>
        </w:rPr>
        <w:t>IN THE MATTER of</w:t>
      </w:r>
      <w:r w:rsidR="00657714">
        <w:rPr>
          <w:sz w:val="28"/>
          <w:szCs w:val="28"/>
        </w:rPr>
        <w:t xml:space="preserve"> YL</w:t>
      </w:r>
      <w:r w:rsidRPr="008706AF">
        <w:rPr>
          <w:sz w:val="28"/>
          <w:szCs w:val="28"/>
        </w:rPr>
        <w:t>, a girl, born on 17</w:t>
      </w:r>
      <w:r w:rsidR="00E17A45" w:rsidRPr="008706AF">
        <w:rPr>
          <w:sz w:val="28"/>
          <w:szCs w:val="28"/>
        </w:rPr>
        <w:t> </w:t>
      </w:r>
      <w:r w:rsidRPr="008706AF">
        <w:rPr>
          <w:sz w:val="28"/>
          <w:szCs w:val="28"/>
        </w:rPr>
        <w:t>April 2020, a minor (the “</w:t>
      </w:r>
      <w:r w:rsidRPr="008706AF">
        <w:rPr>
          <w:b/>
          <w:sz w:val="28"/>
          <w:szCs w:val="28"/>
        </w:rPr>
        <w:t>Minor</w:t>
      </w:r>
      <w:r w:rsidRPr="008706AF">
        <w:rPr>
          <w:sz w:val="28"/>
          <w:szCs w:val="28"/>
        </w:rPr>
        <w:t xml:space="preserve">”) </w:t>
      </w:r>
    </w:p>
    <w:p w:rsidR="00707069" w:rsidRPr="008706AF" w:rsidRDefault="00707069" w:rsidP="00DB6352">
      <w:pPr>
        <w:pStyle w:val="Header"/>
        <w:tabs>
          <w:tab w:val="clear" w:pos="4153"/>
        </w:tabs>
        <w:snapToGrid w:val="0"/>
        <w:spacing w:before="240"/>
        <w:ind w:left="3874"/>
        <w:jc w:val="center"/>
        <w:rPr>
          <w:sz w:val="28"/>
          <w:szCs w:val="28"/>
        </w:rPr>
      </w:pPr>
      <w:r w:rsidRPr="008706AF">
        <w:rPr>
          <w:sz w:val="28"/>
          <w:szCs w:val="28"/>
        </w:rPr>
        <w:t>and</w:t>
      </w:r>
    </w:p>
    <w:p w:rsidR="00780F88" w:rsidRPr="008706AF" w:rsidRDefault="00780F88" w:rsidP="00DB6352">
      <w:pPr>
        <w:pStyle w:val="Header"/>
        <w:tabs>
          <w:tab w:val="clear" w:pos="4153"/>
        </w:tabs>
        <w:snapToGrid w:val="0"/>
        <w:spacing w:before="240"/>
        <w:ind w:left="3874"/>
        <w:jc w:val="both"/>
        <w:rPr>
          <w:sz w:val="28"/>
          <w:szCs w:val="28"/>
        </w:rPr>
      </w:pPr>
      <w:r w:rsidRPr="008706AF">
        <w:rPr>
          <w:sz w:val="28"/>
          <w:szCs w:val="28"/>
        </w:rPr>
        <w:t>IN THE MATTER of an application under sections 10 and 15 of the Child Abduction and Custody Ordinance (Cap. 512) and Order 121 of the Rules of the High Court (Cap. 4A)</w:t>
      </w:r>
    </w:p>
    <w:p w:rsidR="00780F88" w:rsidRPr="008706AF" w:rsidRDefault="00780F88" w:rsidP="00780F88">
      <w:pPr>
        <w:pStyle w:val="Header"/>
        <w:tabs>
          <w:tab w:val="clear" w:pos="4153"/>
        </w:tabs>
        <w:snapToGrid w:val="0"/>
        <w:spacing w:before="240"/>
        <w:ind w:left="3874"/>
        <w:jc w:val="center"/>
        <w:rPr>
          <w:sz w:val="28"/>
          <w:szCs w:val="28"/>
        </w:rPr>
      </w:pPr>
      <w:r w:rsidRPr="008706AF">
        <w:rPr>
          <w:sz w:val="28"/>
          <w:szCs w:val="28"/>
        </w:rPr>
        <w:t>and</w:t>
      </w:r>
    </w:p>
    <w:p w:rsidR="00707069" w:rsidRPr="008706AF" w:rsidRDefault="00201366" w:rsidP="00DB6352">
      <w:pPr>
        <w:pStyle w:val="Header"/>
        <w:tabs>
          <w:tab w:val="clear" w:pos="4153"/>
        </w:tabs>
        <w:snapToGrid w:val="0"/>
        <w:spacing w:before="240"/>
        <w:ind w:left="3874"/>
        <w:jc w:val="both"/>
        <w:rPr>
          <w:sz w:val="28"/>
          <w:szCs w:val="28"/>
        </w:rPr>
      </w:pPr>
      <w:r w:rsidRPr="008706AF">
        <w:rPr>
          <w:sz w:val="28"/>
          <w:szCs w:val="28"/>
        </w:rPr>
        <w:t xml:space="preserve">IN </w:t>
      </w:r>
      <w:r w:rsidR="00780F88" w:rsidRPr="008706AF">
        <w:rPr>
          <w:sz w:val="28"/>
          <w:szCs w:val="28"/>
        </w:rPr>
        <w:t>THE MATTER of section 10 of the Guardianship and Minors Ordinance (Cap. 13)</w:t>
      </w:r>
    </w:p>
    <w:p w:rsidR="00780F88" w:rsidRPr="008706AF" w:rsidRDefault="00780F88" w:rsidP="00780F88">
      <w:pPr>
        <w:pStyle w:val="Header"/>
        <w:tabs>
          <w:tab w:val="clear" w:pos="4153"/>
        </w:tabs>
        <w:snapToGrid w:val="0"/>
        <w:ind w:left="3874"/>
        <w:jc w:val="both"/>
        <w:rPr>
          <w:sz w:val="28"/>
          <w:szCs w:val="28"/>
        </w:rPr>
      </w:pPr>
    </w:p>
    <w:p w:rsidR="00707069" w:rsidRPr="008706AF" w:rsidRDefault="00780F88" w:rsidP="00780F88">
      <w:pPr>
        <w:tabs>
          <w:tab w:val="center" w:pos="4140"/>
        </w:tabs>
        <w:snapToGrid w:val="0"/>
        <w:ind w:right="206"/>
        <w:rPr>
          <w:kern w:val="2"/>
          <w:sz w:val="28"/>
          <w:szCs w:val="20"/>
          <w:lang w:val="en-GB"/>
        </w:rPr>
      </w:pPr>
      <w:r w:rsidRPr="008706AF">
        <w:rPr>
          <w:sz w:val="28"/>
          <w:lang w:val="en-GB"/>
        </w:rPr>
        <w:tab/>
      </w:r>
      <w:r w:rsidR="00707069" w:rsidRPr="008706AF">
        <w:rPr>
          <w:sz w:val="28"/>
          <w:lang w:val="en-GB"/>
        </w:rPr>
        <w:t>____________</w:t>
      </w:r>
    </w:p>
    <w:p w:rsidR="00B871E7" w:rsidRPr="008706AF" w:rsidRDefault="00B871E7" w:rsidP="00B871E7">
      <w:pPr>
        <w:pStyle w:val="Header"/>
        <w:tabs>
          <w:tab w:val="left" w:pos="720"/>
        </w:tabs>
        <w:snapToGrid w:val="0"/>
        <w:jc w:val="both"/>
        <w:rPr>
          <w:sz w:val="28"/>
          <w:szCs w:val="28"/>
        </w:rPr>
      </w:pPr>
    </w:p>
    <w:p w:rsidR="00DB1FE7" w:rsidRPr="008706AF" w:rsidRDefault="00DB1FE7" w:rsidP="00B871E7">
      <w:pPr>
        <w:pStyle w:val="Header"/>
        <w:tabs>
          <w:tab w:val="left" w:pos="720"/>
        </w:tabs>
        <w:snapToGrid w:val="0"/>
        <w:jc w:val="both"/>
        <w:rPr>
          <w:kern w:val="2"/>
          <w:sz w:val="28"/>
          <w:szCs w:val="28"/>
        </w:rPr>
      </w:pPr>
      <w:r w:rsidRPr="008706AF">
        <w:rPr>
          <w:sz w:val="28"/>
          <w:szCs w:val="28"/>
        </w:rPr>
        <w:t>BETWEEN</w:t>
      </w:r>
    </w:p>
    <w:p w:rsidR="00DB1FE7" w:rsidRPr="008706AF" w:rsidRDefault="00DB1FE7" w:rsidP="00DB1FE7">
      <w:pPr>
        <w:snapToGrid w:val="0"/>
        <w:jc w:val="both"/>
        <w:rPr>
          <w:kern w:val="2"/>
          <w:sz w:val="28"/>
          <w:szCs w:val="28"/>
        </w:rPr>
      </w:pPr>
    </w:p>
    <w:p w:rsidR="007A6E5E" w:rsidRPr="008706AF" w:rsidRDefault="00DB1FE7" w:rsidP="00B871E7">
      <w:pPr>
        <w:tabs>
          <w:tab w:val="center" w:pos="4140"/>
          <w:tab w:val="right" w:pos="8280"/>
        </w:tabs>
        <w:snapToGrid w:val="0"/>
        <w:ind w:right="29"/>
        <w:jc w:val="both"/>
        <w:rPr>
          <w:sz w:val="28"/>
          <w:szCs w:val="28"/>
        </w:rPr>
      </w:pPr>
      <w:r w:rsidRPr="008706AF">
        <w:rPr>
          <w:kern w:val="2"/>
          <w:sz w:val="28"/>
          <w:szCs w:val="28"/>
          <w:lang w:eastAsia="zh-TW"/>
        </w:rPr>
        <w:tab/>
      </w:r>
      <w:r w:rsidR="00657714">
        <w:rPr>
          <w:kern w:val="2"/>
          <w:sz w:val="28"/>
          <w:szCs w:val="28"/>
          <w:lang w:eastAsia="zh-TW"/>
        </w:rPr>
        <w:t>MY</w:t>
      </w:r>
      <w:r w:rsidRPr="008706AF">
        <w:rPr>
          <w:rFonts w:hint="eastAsia"/>
          <w:kern w:val="2"/>
          <w:sz w:val="28"/>
          <w:szCs w:val="28"/>
        </w:rPr>
        <w:tab/>
      </w:r>
      <w:r w:rsidR="00780F88" w:rsidRPr="008706AF">
        <w:rPr>
          <w:kern w:val="2"/>
          <w:sz w:val="28"/>
          <w:szCs w:val="28"/>
        </w:rPr>
        <w:t>Applicant</w:t>
      </w:r>
    </w:p>
    <w:p w:rsidR="00201366" w:rsidRPr="008706AF" w:rsidRDefault="007A6E5E" w:rsidP="00136130">
      <w:pPr>
        <w:tabs>
          <w:tab w:val="center" w:pos="4140"/>
          <w:tab w:val="right" w:pos="8280"/>
        </w:tabs>
        <w:snapToGrid w:val="0"/>
        <w:ind w:right="29"/>
        <w:jc w:val="both"/>
        <w:rPr>
          <w:bCs/>
          <w:sz w:val="28"/>
          <w:szCs w:val="28"/>
          <w:lang w:val="en-GB"/>
        </w:rPr>
      </w:pPr>
      <w:r w:rsidRPr="008706AF">
        <w:rPr>
          <w:bCs/>
          <w:sz w:val="28"/>
          <w:szCs w:val="28"/>
          <w:lang w:val="en-GB"/>
        </w:rPr>
        <w:tab/>
      </w:r>
    </w:p>
    <w:p w:rsidR="00DB1FE7" w:rsidRPr="008706AF" w:rsidRDefault="00B871E7" w:rsidP="00201366">
      <w:pPr>
        <w:tabs>
          <w:tab w:val="center" w:pos="4140"/>
          <w:tab w:val="right" w:pos="8280"/>
        </w:tabs>
        <w:snapToGrid w:val="0"/>
        <w:ind w:right="29"/>
        <w:jc w:val="center"/>
        <w:rPr>
          <w:sz w:val="28"/>
          <w:szCs w:val="28"/>
        </w:rPr>
      </w:pPr>
      <w:r w:rsidRPr="008706AF">
        <w:rPr>
          <w:sz w:val="28"/>
          <w:szCs w:val="28"/>
        </w:rPr>
        <w:t>a</w:t>
      </w:r>
      <w:r w:rsidR="00DB1FE7" w:rsidRPr="008706AF">
        <w:rPr>
          <w:sz w:val="28"/>
          <w:szCs w:val="28"/>
        </w:rPr>
        <w:t>nd</w:t>
      </w:r>
    </w:p>
    <w:p w:rsidR="00B871E7" w:rsidRPr="008706AF" w:rsidRDefault="00B871E7" w:rsidP="00136130">
      <w:pPr>
        <w:tabs>
          <w:tab w:val="center" w:pos="4140"/>
          <w:tab w:val="right" w:pos="8280"/>
        </w:tabs>
        <w:snapToGrid w:val="0"/>
        <w:ind w:right="29"/>
        <w:jc w:val="center"/>
        <w:rPr>
          <w:kern w:val="2"/>
          <w:sz w:val="28"/>
          <w:szCs w:val="28"/>
        </w:rPr>
      </w:pPr>
    </w:p>
    <w:p w:rsidR="00DB1FE7" w:rsidRPr="008706AF" w:rsidRDefault="00D377C5" w:rsidP="00136130">
      <w:pPr>
        <w:tabs>
          <w:tab w:val="center" w:pos="4140"/>
          <w:tab w:val="right" w:pos="8280"/>
        </w:tabs>
        <w:snapToGrid w:val="0"/>
        <w:spacing w:after="120"/>
        <w:ind w:right="29"/>
        <w:jc w:val="both"/>
        <w:rPr>
          <w:bCs/>
          <w:sz w:val="28"/>
          <w:szCs w:val="28"/>
          <w:lang w:val="en-GB"/>
        </w:rPr>
      </w:pPr>
      <w:r w:rsidRPr="008706AF">
        <w:rPr>
          <w:bCs/>
          <w:sz w:val="28"/>
          <w:szCs w:val="28"/>
          <w:lang w:val="en-GB"/>
        </w:rPr>
        <w:tab/>
      </w:r>
      <w:r w:rsidR="00657714">
        <w:rPr>
          <w:bCs/>
          <w:sz w:val="28"/>
          <w:szCs w:val="28"/>
        </w:rPr>
        <w:t>FT</w:t>
      </w:r>
      <w:r w:rsidR="00B74EB2" w:rsidRPr="008706AF">
        <w:rPr>
          <w:bCs/>
          <w:sz w:val="28"/>
          <w:szCs w:val="28"/>
          <w:lang w:val="en-GB"/>
        </w:rPr>
        <w:tab/>
      </w:r>
      <w:r w:rsidR="00780F88" w:rsidRPr="008706AF">
        <w:rPr>
          <w:bCs/>
          <w:sz w:val="28"/>
          <w:szCs w:val="28"/>
          <w:lang w:val="en-GB"/>
        </w:rPr>
        <w:t>Respondent</w:t>
      </w:r>
    </w:p>
    <w:p w:rsidR="00B871E7" w:rsidRPr="008706AF" w:rsidRDefault="00201366" w:rsidP="00780F88">
      <w:pPr>
        <w:tabs>
          <w:tab w:val="center" w:pos="4140"/>
          <w:tab w:val="right" w:pos="8280"/>
        </w:tabs>
        <w:snapToGrid w:val="0"/>
        <w:spacing w:before="240"/>
        <w:ind w:right="29"/>
        <w:jc w:val="both"/>
        <w:rPr>
          <w:kern w:val="2"/>
          <w:sz w:val="28"/>
          <w:szCs w:val="28"/>
          <w:lang w:eastAsia="zh-TW"/>
        </w:rPr>
      </w:pPr>
      <w:r w:rsidRPr="008706AF">
        <w:rPr>
          <w:bCs/>
          <w:sz w:val="28"/>
          <w:szCs w:val="28"/>
          <w:lang w:val="en-GB"/>
        </w:rPr>
        <w:tab/>
      </w:r>
      <w:r w:rsidR="00B871E7" w:rsidRPr="008706AF">
        <w:rPr>
          <w:sz w:val="28"/>
          <w:szCs w:val="28"/>
          <w:lang w:eastAsia="zh-TW"/>
        </w:rPr>
        <w:t>____________</w:t>
      </w:r>
    </w:p>
    <w:p w:rsidR="00B871E7" w:rsidRPr="008706AF" w:rsidRDefault="00B871E7" w:rsidP="00B871E7">
      <w:pPr>
        <w:pStyle w:val="Header"/>
        <w:tabs>
          <w:tab w:val="left" w:pos="720"/>
        </w:tabs>
        <w:snapToGrid w:val="0"/>
        <w:jc w:val="both"/>
        <w:rPr>
          <w:kern w:val="2"/>
          <w:sz w:val="28"/>
          <w:szCs w:val="28"/>
        </w:rPr>
      </w:pPr>
    </w:p>
    <w:p w:rsidR="00B871E7" w:rsidRPr="008706AF" w:rsidRDefault="00B871E7" w:rsidP="00B871E7">
      <w:pPr>
        <w:pStyle w:val="Header"/>
        <w:tabs>
          <w:tab w:val="left" w:pos="720"/>
        </w:tabs>
        <w:snapToGrid w:val="0"/>
        <w:jc w:val="both"/>
        <w:rPr>
          <w:kern w:val="2"/>
          <w:sz w:val="28"/>
          <w:szCs w:val="28"/>
        </w:rPr>
      </w:pPr>
    </w:p>
    <w:p w:rsidR="00780F88" w:rsidRPr="008706AF" w:rsidRDefault="00780F88" w:rsidP="00B871E7">
      <w:pPr>
        <w:pStyle w:val="Header"/>
        <w:tabs>
          <w:tab w:val="left" w:pos="720"/>
        </w:tabs>
        <w:snapToGrid w:val="0"/>
        <w:jc w:val="both"/>
        <w:rPr>
          <w:kern w:val="2"/>
          <w:sz w:val="28"/>
          <w:szCs w:val="28"/>
        </w:rPr>
      </w:pPr>
    </w:p>
    <w:p w:rsidR="00DB1FE7" w:rsidRPr="008706AF" w:rsidRDefault="00DB1FE7" w:rsidP="0023383B">
      <w:pPr>
        <w:keepNext/>
        <w:snapToGrid w:val="0"/>
        <w:spacing w:line="360" w:lineRule="auto"/>
        <w:jc w:val="both"/>
        <w:rPr>
          <w:sz w:val="28"/>
          <w:szCs w:val="28"/>
        </w:rPr>
      </w:pPr>
      <w:r w:rsidRPr="008706AF">
        <w:rPr>
          <w:sz w:val="28"/>
          <w:szCs w:val="28"/>
        </w:rPr>
        <w:lastRenderedPageBreak/>
        <w:t xml:space="preserve">Before: </w:t>
      </w:r>
      <w:r w:rsidRPr="008706AF">
        <w:rPr>
          <w:rFonts w:hint="eastAsia"/>
          <w:sz w:val="28"/>
          <w:szCs w:val="28"/>
        </w:rPr>
        <w:t xml:space="preserve"> </w:t>
      </w:r>
      <w:r w:rsidRPr="008706AF">
        <w:rPr>
          <w:sz w:val="28"/>
          <w:szCs w:val="28"/>
        </w:rPr>
        <w:t xml:space="preserve">Hon Au-Yeung J in </w:t>
      </w:r>
      <w:r w:rsidR="00762E77" w:rsidRPr="008706AF">
        <w:rPr>
          <w:sz w:val="28"/>
          <w:szCs w:val="28"/>
        </w:rPr>
        <w:t>Chambers</w:t>
      </w:r>
      <w:r w:rsidR="00B60C45" w:rsidRPr="008706AF">
        <w:rPr>
          <w:sz w:val="28"/>
          <w:szCs w:val="28"/>
        </w:rPr>
        <w:t xml:space="preserve"> (Not Open to the Public)</w:t>
      </w:r>
    </w:p>
    <w:p w:rsidR="000C02BE" w:rsidRPr="008706AF" w:rsidRDefault="000C02BE" w:rsidP="00215F18">
      <w:pPr>
        <w:tabs>
          <w:tab w:val="left" w:pos="2415"/>
        </w:tabs>
        <w:snapToGrid w:val="0"/>
        <w:spacing w:line="360" w:lineRule="auto"/>
        <w:jc w:val="both"/>
        <w:rPr>
          <w:kern w:val="2"/>
          <w:sz w:val="28"/>
          <w:szCs w:val="28"/>
        </w:rPr>
      </w:pPr>
      <w:r w:rsidRPr="008706AF">
        <w:rPr>
          <w:kern w:val="2"/>
          <w:sz w:val="28"/>
          <w:szCs w:val="28"/>
        </w:rPr>
        <w:t xml:space="preserve">Date of Hearing: </w:t>
      </w:r>
      <w:r w:rsidR="00E17A45" w:rsidRPr="008706AF">
        <w:rPr>
          <w:kern w:val="2"/>
          <w:sz w:val="28"/>
          <w:szCs w:val="28"/>
        </w:rPr>
        <w:t xml:space="preserve"> 30 May 2022</w:t>
      </w:r>
    </w:p>
    <w:p w:rsidR="00215F18" w:rsidRPr="008706AF" w:rsidRDefault="00E17A45" w:rsidP="00215F18">
      <w:pPr>
        <w:tabs>
          <w:tab w:val="left" w:pos="2415"/>
        </w:tabs>
        <w:snapToGrid w:val="0"/>
        <w:spacing w:line="360" w:lineRule="auto"/>
        <w:jc w:val="both"/>
        <w:rPr>
          <w:kern w:val="2"/>
          <w:sz w:val="28"/>
          <w:szCs w:val="28"/>
        </w:rPr>
      </w:pPr>
      <w:r w:rsidRPr="008706AF">
        <w:rPr>
          <w:kern w:val="2"/>
          <w:sz w:val="28"/>
          <w:szCs w:val="28"/>
        </w:rPr>
        <w:t xml:space="preserve">Closing </w:t>
      </w:r>
      <w:r w:rsidR="000C02BE" w:rsidRPr="008706AF">
        <w:rPr>
          <w:kern w:val="2"/>
          <w:sz w:val="28"/>
          <w:szCs w:val="28"/>
        </w:rPr>
        <w:t>Date</w:t>
      </w:r>
      <w:r w:rsidR="00215F18" w:rsidRPr="008706AF">
        <w:rPr>
          <w:kern w:val="2"/>
          <w:sz w:val="28"/>
          <w:szCs w:val="28"/>
        </w:rPr>
        <w:t xml:space="preserve"> </w:t>
      </w:r>
      <w:r w:rsidRPr="008706AF">
        <w:rPr>
          <w:kern w:val="2"/>
          <w:sz w:val="28"/>
          <w:szCs w:val="28"/>
        </w:rPr>
        <w:t>for</w:t>
      </w:r>
      <w:r w:rsidR="00215F18" w:rsidRPr="008706AF">
        <w:rPr>
          <w:kern w:val="2"/>
          <w:sz w:val="28"/>
          <w:szCs w:val="28"/>
        </w:rPr>
        <w:t xml:space="preserve"> Written Submission:</w:t>
      </w:r>
      <w:r w:rsidR="000C02BE" w:rsidRPr="008706AF">
        <w:rPr>
          <w:kern w:val="2"/>
          <w:sz w:val="28"/>
          <w:szCs w:val="28"/>
        </w:rPr>
        <w:t xml:space="preserve"> </w:t>
      </w:r>
      <w:r w:rsidRPr="008706AF">
        <w:rPr>
          <w:kern w:val="2"/>
          <w:sz w:val="28"/>
          <w:szCs w:val="28"/>
        </w:rPr>
        <w:t>8 June 2022</w:t>
      </w:r>
    </w:p>
    <w:p w:rsidR="00DB1FE7" w:rsidRPr="008706AF" w:rsidRDefault="00DB1FE7" w:rsidP="0023383B">
      <w:pPr>
        <w:tabs>
          <w:tab w:val="left" w:pos="2415"/>
        </w:tabs>
        <w:snapToGrid w:val="0"/>
        <w:spacing w:line="360" w:lineRule="auto"/>
        <w:jc w:val="both"/>
        <w:rPr>
          <w:sz w:val="28"/>
          <w:szCs w:val="28"/>
        </w:rPr>
      </w:pPr>
      <w:r w:rsidRPr="008706AF">
        <w:rPr>
          <w:sz w:val="28"/>
          <w:szCs w:val="28"/>
        </w:rPr>
        <w:t xml:space="preserve">Date of </w:t>
      </w:r>
      <w:r w:rsidR="009C253D" w:rsidRPr="008706AF">
        <w:rPr>
          <w:sz w:val="28"/>
          <w:szCs w:val="28"/>
        </w:rPr>
        <w:t>Decision</w:t>
      </w:r>
      <w:r w:rsidRPr="008706AF">
        <w:rPr>
          <w:sz w:val="28"/>
          <w:szCs w:val="28"/>
        </w:rPr>
        <w:t xml:space="preserve">: </w:t>
      </w:r>
      <w:r w:rsidR="00BE666E" w:rsidRPr="008706AF">
        <w:rPr>
          <w:sz w:val="28"/>
          <w:szCs w:val="28"/>
        </w:rPr>
        <w:t xml:space="preserve"> </w:t>
      </w:r>
      <w:r w:rsidR="00E17A45" w:rsidRPr="008706AF">
        <w:rPr>
          <w:sz w:val="28"/>
          <w:szCs w:val="28"/>
        </w:rPr>
        <w:t>30 June 2022</w:t>
      </w:r>
    </w:p>
    <w:p w:rsidR="00DB1FE7" w:rsidRPr="008706AF" w:rsidRDefault="00DB1FE7" w:rsidP="00CE72BF">
      <w:pPr>
        <w:spacing w:line="360" w:lineRule="auto"/>
        <w:jc w:val="both"/>
        <w:rPr>
          <w:kern w:val="2"/>
          <w:sz w:val="28"/>
          <w:szCs w:val="28"/>
        </w:rPr>
      </w:pPr>
    </w:p>
    <w:p w:rsidR="00311BE6" w:rsidRPr="008706AF" w:rsidRDefault="00311BE6" w:rsidP="0023383B">
      <w:pPr>
        <w:keepNext/>
        <w:snapToGrid w:val="0"/>
        <w:spacing w:line="480" w:lineRule="auto"/>
        <w:jc w:val="center"/>
        <w:rPr>
          <w:kern w:val="2"/>
          <w:sz w:val="28"/>
          <w:szCs w:val="20"/>
        </w:rPr>
      </w:pPr>
      <w:r w:rsidRPr="008706AF">
        <w:rPr>
          <w:sz w:val="28"/>
        </w:rPr>
        <w:t>___</w:t>
      </w:r>
      <w:r w:rsidR="00D377C5" w:rsidRPr="008706AF">
        <w:rPr>
          <w:sz w:val="28"/>
        </w:rPr>
        <w:t>____</w:t>
      </w:r>
      <w:r w:rsidRPr="008706AF">
        <w:rPr>
          <w:sz w:val="28"/>
        </w:rPr>
        <w:t>______</w:t>
      </w:r>
    </w:p>
    <w:p w:rsidR="00311BE6" w:rsidRPr="008706AF" w:rsidRDefault="009C253D" w:rsidP="0023383B">
      <w:pPr>
        <w:keepNext/>
        <w:snapToGrid w:val="0"/>
        <w:jc w:val="center"/>
        <w:rPr>
          <w:kern w:val="2"/>
          <w:sz w:val="28"/>
          <w:szCs w:val="20"/>
        </w:rPr>
      </w:pPr>
      <w:r w:rsidRPr="008706AF">
        <w:rPr>
          <w:kern w:val="2"/>
          <w:sz w:val="28"/>
          <w:szCs w:val="20"/>
        </w:rPr>
        <w:t>D E C I S I O N</w:t>
      </w:r>
    </w:p>
    <w:p w:rsidR="00311BE6" w:rsidRPr="008706AF" w:rsidRDefault="00311BE6" w:rsidP="005758D4">
      <w:pPr>
        <w:snapToGrid w:val="0"/>
        <w:jc w:val="center"/>
        <w:rPr>
          <w:kern w:val="2"/>
          <w:sz w:val="28"/>
          <w:szCs w:val="20"/>
        </w:rPr>
      </w:pPr>
      <w:r w:rsidRPr="008706AF">
        <w:rPr>
          <w:sz w:val="28"/>
        </w:rPr>
        <w:t>_____</w:t>
      </w:r>
      <w:r w:rsidR="00D377C5" w:rsidRPr="008706AF">
        <w:rPr>
          <w:sz w:val="28"/>
        </w:rPr>
        <w:t>__</w:t>
      </w:r>
      <w:r w:rsidRPr="008706AF">
        <w:rPr>
          <w:sz w:val="28"/>
        </w:rPr>
        <w:t>______</w:t>
      </w:r>
    </w:p>
    <w:p w:rsidR="00B70002" w:rsidRPr="008706AF" w:rsidRDefault="00B70002" w:rsidP="00B70002"/>
    <w:p w:rsidR="00B70002" w:rsidRPr="008706AF" w:rsidRDefault="00405359" w:rsidP="009B5620">
      <w:pPr>
        <w:pStyle w:val="subheading"/>
        <w:numPr>
          <w:ilvl w:val="0"/>
          <w:numId w:val="7"/>
        </w:numPr>
        <w:spacing w:after="440" w:line="360" w:lineRule="auto"/>
        <w:ind w:left="547" w:hanging="547"/>
      </w:pPr>
      <w:r w:rsidRPr="008706AF">
        <w:t>Introduction</w:t>
      </w:r>
    </w:p>
    <w:p w:rsidR="000D38C6" w:rsidRPr="008706AF" w:rsidRDefault="00CA5BC1" w:rsidP="00CE72BF">
      <w:pPr>
        <w:pStyle w:val="para-heading"/>
        <w:spacing w:before="440"/>
      </w:pPr>
      <w:r w:rsidRPr="008706AF">
        <w:t>T</w:t>
      </w:r>
      <w:r w:rsidR="00405359" w:rsidRPr="008706AF">
        <w:t xml:space="preserve">he </w:t>
      </w:r>
      <w:r w:rsidRPr="008706AF">
        <w:t>Father abducted the Minor (“</w:t>
      </w:r>
      <w:r w:rsidRPr="008706AF">
        <w:rPr>
          <w:b/>
        </w:rPr>
        <w:t>YL</w:t>
      </w:r>
      <w:r w:rsidRPr="008706AF">
        <w:t xml:space="preserve">”) and disappeared without trace since 16 April 2022.  The Mother instituted proceedings under the </w:t>
      </w:r>
      <w:r w:rsidRPr="008706AF">
        <w:rPr>
          <w:rFonts w:eastAsia="Times New Roman"/>
          <w:lang w:val="en"/>
        </w:rPr>
        <w:t xml:space="preserve">Child Abduction and Custody Ordinance, Cap 512 </w:t>
      </w:r>
      <w:r w:rsidR="00B76A8F" w:rsidRPr="008706AF">
        <w:rPr>
          <w:rFonts w:eastAsia="Times New Roman"/>
          <w:lang w:val="en"/>
        </w:rPr>
        <w:t>(“</w:t>
      </w:r>
      <w:r w:rsidR="00B76A8F" w:rsidRPr="008706AF">
        <w:rPr>
          <w:rFonts w:eastAsia="Times New Roman"/>
          <w:b/>
          <w:lang w:val="en"/>
        </w:rPr>
        <w:t>CACO</w:t>
      </w:r>
      <w:r w:rsidR="00B76A8F" w:rsidRPr="008706AF">
        <w:rPr>
          <w:rFonts w:eastAsia="Times New Roman"/>
          <w:lang w:val="en"/>
        </w:rPr>
        <w:t xml:space="preserve">”) </w:t>
      </w:r>
      <w:r w:rsidRPr="008706AF">
        <w:rPr>
          <w:rFonts w:eastAsia="Times New Roman"/>
          <w:lang w:val="en"/>
        </w:rPr>
        <w:t>against the Father.  She</w:t>
      </w:r>
      <w:r w:rsidRPr="008706AF">
        <w:rPr>
          <w:rFonts w:eastAsia="Times New Roman"/>
          <w:sz w:val="22"/>
          <w:szCs w:val="22"/>
          <w:lang w:val="en"/>
        </w:rPr>
        <w:t xml:space="preserve"> </w:t>
      </w:r>
      <w:r w:rsidRPr="008706AF">
        <w:t xml:space="preserve">obtained location orders, which were served but not responded to by, amongst others, the Father.  Out of concern that the Father would enroll YL for education and medical services in a foreign country and try to establish a “status quo” for </w:t>
      </w:r>
      <w:r w:rsidR="001676D3" w:rsidRPr="008706AF">
        <w:t>YL</w:t>
      </w:r>
      <w:r w:rsidRPr="008706AF">
        <w:t>, the Mother obtained, on 23</w:t>
      </w:r>
      <w:r w:rsidR="005758D4" w:rsidRPr="008706AF">
        <w:t> </w:t>
      </w:r>
      <w:r w:rsidRPr="008706AF">
        <w:t>May</w:t>
      </w:r>
      <w:r w:rsidR="005758D4" w:rsidRPr="008706AF">
        <w:t> </w:t>
      </w:r>
      <w:r w:rsidRPr="008706AF">
        <w:t>2022, orders against medical entities including the Commissioner for the Electronic Health Record (“</w:t>
      </w:r>
      <w:r w:rsidRPr="008706AF">
        <w:rPr>
          <w:b/>
        </w:rPr>
        <w:t>Commissioner</w:t>
      </w:r>
      <w:r w:rsidRPr="008706AF">
        <w:t>”) and the Director of Health (“</w:t>
      </w:r>
      <w:r w:rsidRPr="008706AF">
        <w:rPr>
          <w:b/>
        </w:rPr>
        <w:t>Director</w:t>
      </w:r>
      <w:r w:rsidRPr="008706AF">
        <w:t>”) directing them, amongst others:</w:t>
      </w:r>
    </w:p>
    <w:p w:rsidR="00CA5BC1" w:rsidRPr="008706AF" w:rsidRDefault="00CA5BC1" w:rsidP="009B5620">
      <w:pPr>
        <w:pStyle w:val="para"/>
        <w:numPr>
          <w:ilvl w:val="4"/>
          <w:numId w:val="6"/>
        </w:numPr>
        <w:spacing w:before="360"/>
        <w:ind w:left="1440" w:hanging="720"/>
      </w:pPr>
      <w:r w:rsidRPr="008706AF">
        <w:t>not to change the “substitute decision maker” (“</w:t>
      </w:r>
      <w:r w:rsidRPr="008706AF">
        <w:rPr>
          <w:b/>
        </w:rPr>
        <w:t>SDM</w:t>
      </w:r>
      <w:r w:rsidRPr="008706AF">
        <w:t>”, currently the Mother) as regards YL (“</w:t>
      </w:r>
      <w:r w:rsidRPr="008706AF">
        <w:rPr>
          <w:b/>
        </w:rPr>
        <w:t>1</w:t>
      </w:r>
      <w:r w:rsidRPr="008706AF">
        <w:rPr>
          <w:b/>
          <w:vertAlign w:val="superscript"/>
        </w:rPr>
        <w:t>st</w:t>
      </w:r>
      <w:r w:rsidRPr="008706AF">
        <w:rPr>
          <w:b/>
        </w:rPr>
        <w:t xml:space="preserve"> Order</w:t>
      </w:r>
      <w:r w:rsidRPr="008706AF">
        <w:t>”); and</w:t>
      </w:r>
    </w:p>
    <w:p w:rsidR="00CA5BC1" w:rsidRPr="008706AF" w:rsidRDefault="00CA5BC1" w:rsidP="009B5620">
      <w:pPr>
        <w:pStyle w:val="para"/>
        <w:numPr>
          <w:ilvl w:val="4"/>
          <w:numId w:val="6"/>
        </w:numPr>
        <w:spacing w:before="360"/>
        <w:ind w:left="1440" w:hanging="720"/>
      </w:pPr>
      <w:r w:rsidRPr="008706AF">
        <w:t>not to release and/or disclose any health information and/or records (including vaccination records) of YL to any person except to the Mother (“</w:t>
      </w:r>
      <w:r w:rsidRPr="008706AF">
        <w:rPr>
          <w:b/>
        </w:rPr>
        <w:t>2</w:t>
      </w:r>
      <w:r w:rsidRPr="008706AF">
        <w:rPr>
          <w:b/>
          <w:vertAlign w:val="superscript"/>
        </w:rPr>
        <w:t>nd</w:t>
      </w:r>
      <w:r w:rsidRPr="008706AF">
        <w:rPr>
          <w:b/>
        </w:rPr>
        <w:t xml:space="preserve"> Order</w:t>
      </w:r>
      <w:r w:rsidRPr="008706AF">
        <w:t>”).</w:t>
      </w:r>
    </w:p>
    <w:p w:rsidR="0033534B" w:rsidRPr="008706AF" w:rsidRDefault="005758D4" w:rsidP="005758D4">
      <w:pPr>
        <w:pStyle w:val="para"/>
      </w:pPr>
      <w:r w:rsidRPr="008706AF">
        <w:lastRenderedPageBreak/>
        <w:t xml:space="preserve">At an </w:t>
      </w:r>
      <w:r w:rsidRPr="008706AF">
        <w:rPr>
          <w:i/>
        </w:rPr>
        <w:t xml:space="preserve">inter parte </w:t>
      </w:r>
      <w:r w:rsidRPr="008706AF">
        <w:t xml:space="preserve">hearing on 30 May 2022, </w:t>
      </w:r>
      <w:proofErr w:type="spellStart"/>
      <w:r w:rsidRPr="008706AF">
        <w:t>Mr</w:t>
      </w:r>
      <w:proofErr w:type="spellEnd"/>
      <w:r w:rsidRPr="008706AF">
        <w:t xml:space="preserve"> Chan and </w:t>
      </w:r>
      <w:proofErr w:type="spellStart"/>
      <w:r w:rsidRPr="008706AF">
        <w:t>Mr</w:t>
      </w:r>
      <w:proofErr w:type="spellEnd"/>
      <w:r w:rsidRPr="008706AF">
        <w:t> Yeung, government counsel, confirmed that the Commissioner and the Director were in possession of the information under the 2</w:t>
      </w:r>
      <w:r w:rsidRPr="008706AF">
        <w:rPr>
          <w:vertAlign w:val="superscript"/>
        </w:rPr>
        <w:t>nd</w:t>
      </w:r>
      <w:r w:rsidRPr="008706AF">
        <w:t xml:space="preserve"> Order and that the Mother was the only SDM.  The Commissioner and the Director however, sought to set aside the Orders on </w:t>
      </w:r>
      <w:r w:rsidR="0033534B" w:rsidRPr="008706AF">
        <w:rPr>
          <w:b/>
        </w:rPr>
        <w:t>Jurisdiction</w:t>
      </w:r>
      <w:r w:rsidR="00E17A45" w:rsidRPr="008706AF">
        <w:rPr>
          <w:b/>
        </w:rPr>
        <w:t xml:space="preserve"> G</w:t>
      </w:r>
      <w:r w:rsidRPr="008706AF">
        <w:rPr>
          <w:b/>
        </w:rPr>
        <w:t>rounds</w:t>
      </w:r>
      <w:r w:rsidRPr="008706AF">
        <w:t xml:space="preserve"> that</w:t>
      </w:r>
      <w:r w:rsidR="0033534B" w:rsidRPr="008706AF">
        <w:t>:</w:t>
      </w:r>
    </w:p>
    <w:p w:rsidR="0033534B" w:rsidRPr="008706AF" w:rsidRDefault="0033534B" w:rsidP="0033534B">
      <w:pPr>
        <w:pStyle w:val="para"/>
        <w:numPr>
          <w:ilvl w:val="5"/>
          <w:numId w:val="6"/>
        </w:numPr>
        <w:ind w:left="1440" w:hanging="720"/>
      </w:pPr>
      <w:r w:rsidRPr="008706AF">
        <w:t>I</w:t>
      </w:r>
      <w:r w:rsidR="005758D4" w:rsidRPr="008706AF">
        <w:t>n respect of the 1</w:t>
      </w:r>
      <w:r w:rsidR="005758D4" w:rsidRPr="008706AF">
        <w:rPr>
          <w:vertAlign w:val="superscript"/>
        </w:rPr>
        <w:t>st</w:t>
      </w:r>
      <w:r w:rsidR="005758D4" w:rsidRPr="008706AF">
        <w:t xml:space="preserve"> Order, </w:t>
      </w:r>
      <w:r w:rsidRPr="008706AF">
        <w:t xml:space="preserve">the </w:t>
      </w:r>
      <w:r w:rsidR="00B76A8F" w:rsidRPr="008706AF">
        <w:t>Electronic Health Record Sharing System Ordinance</w:t>
      </w:r>
      <w:r w:rsidR="00E17A45" w:rsidRPr="008706AF">
        <w:t>,</w:t>
      </w:r>
      <w:r w:rsidR="00B76A8F" w:rsidRPr="008706AF">
        <w:t xml:space="preserve"> Cap 625 (“</w:t>
      </w:r>
      <w:r w:rsidR="00B76A8F" w:rsidRPr="008706AF">
        <w:rPr>
          <w:b/>
        </w:rPr>
        <w:t>EHRSSO</w:t>
      </w:r>
      <w:r w:rsidR="00B76A8F" w:rsidRPr="008706AF">
        <w:t xml:space="preserve">”), </w:t>
      </w:r>
      <w:r w:rsidR="005758D4" w:rsidRPr="008706AF">
        <w:t>did not g</w:t>
      </w:r>
      <w:r w:rsidR="00E17A45" w:rsidRPr="008706AF">
        <w:t>ive a power to “change” the SDM; and</w:t>
      </w:r>
    </w:p>
    <w:p w:rsidR="001D45E7" w:rsidRPr="008706AF" w:rsidRDefault="005758D4" w:rsidP="0033534B">
      <w:pPr>
        <w:pStyle w:val="para"/>
        <w:numPr>
          <w:ilvl w:val="5"/>
          <w:numId w:val="6"/>
        </w:numPr>
        <w:ind w:left="1440" w:hanging="720"/>
      </w:pPr>
      <w:r w:rsidRPr="008706AF">
        <w:t>In respect of the 2</w:t>
      </w:r>
      <w:r w:rsidRPr="008706AF">
        <w:rPr>
          <w:vertAlign w:val="superscript"/>
        </w:rPr>
        <w:t>nd</w:t>
      </w:r>
      <w:r w:rsidRPr="008706AF">
        <w:t xml:space="preserve"> Order, the Court had no power to issue an injunction against the Commissioner</w:t>
      </w:r>
      <w:r w:rsidR="009B7935" w:rsidRPr="008706AF">
        <w:t xml:space="preserve"> and the Director </w:t>
      </w:r>
      <w:r w:rsidR="00B75EBF" w:rsidRPr="008706AF">
        <w:t xml:space="preserve">when </w:t>
      </w:r>
      <w:r w:rsidR="009B7935" w:rsidRPr="008706AF">
        <w:t xml:space="preserve">they were </w:t>
      </w:r>
      <w:r w:rsidRPr="008706AF">
        <w:t>n</w:t>
      </w:r>
      <w:r w:rsidR="009B7935" w:rsidRPr="008706AF">
        <w:t xml:space="preserve">ot parties </w:t>
      </w:r>
      <w:r w:rsidR="0033534B" w:rsidRPr="008706AF">
        <w:t>to the proceedings</w:t>
      </w:r>
      <w:r w:rsidRPr="008706AF">
        <w:t>.</w:t>
      </w:r>
    </w:p>
    <w:p w:rsidR="00016A14" w:rsidRPr="008706AF" w:rsidRDefault="00016A14" w:rsidP="00016A14">
      <w:pPr>
        <w:pStyle w:val="para"/>
      </w:pPr>
      <w:r w:rsidRPr="008706AF">
        <w:t xml:space="preserve">The </w:t>
      </w:r>
      <w:r w:rsidR="005758D4" w:rsidRPr="008706AF">
        <w:t xml:space="preserve">matter </w:t>
      </w:r>
      <w:r w:rsidR="00E17A45" w:rsidRPr="008706AF">
        <w:t>was</w:t>
      </w:r>
      <w:r w:rsidR="005758D4" w:rsidRPr="008706AF">
        <w:t xml:space="preserve"> adjourned for </w:t>
      </w:r>
      <w:r w:rsidR="009B7935" w:rsidRPr="008706AF">
        <w:t>further</w:t>
      </w:r>
      <w:r w:rsidR="005758D4" w:rsidRPr="008706AF">
        <w:t xml:space="preserve"> written submission</w:t>
      </w:r>
      <w:r w:rsidR="009B7935" w:rsidRPr="008706AF">
        <w:t>s</w:t>
      </w:r>
      <w:r w:rsidR="00B75EBF" w:rsidRPr="008706AF">
        <w:t>,</w:t>
      </w:r>
      <w:r w:rsidR="005758D4" w:rsidRPr="008706AF">
        <w:t xml:space="preserve"> </w:t>
      </w:r>
      <w:r w:rsidR="009B7935" w:rsidRPr="008706AF">
        <w:t>to be lodged such that the application can be disposed of on paper</w:t>
      </w:r>
      <w:r w:rsidRPr="008706AF">
        <w:t>.</w:t>
      </w:r>
    </w:p>
    <w:p w:rsidR="005758D4" w:rsidRPr="008706AF" w:rsidRDefault="005758D4" w:rsidP="00016A14">
      <w:pPr>
        <w:pStyle w:val="para"/>
      </w:pPr>
      <w:r w:rsidRPr="008706AF">
        <w:t xml:space="preserve">On </w:t>
      </w:r>
      <w:r w:rsidR="00E17A45" w:rsidRPr="008706AF">
        <w:t>13 June 2022</w:t>
      </w:r>
      <w:r w:rsidR="001676D3" w:rsidRPr="008706AF">
        <w:t xml:space="preserve">, YL </w:t>
      </w:r>
      <w:r w:rsidRPr="008706AF">
        <w:t xml:space="preserve">was located in Singapore with the Father. The Singapore Court has taken up the matter under the </w:t>
      </w:r>
      <w:r w:rsidR="009B7935" w:rsidRPr="008706AF">
        <w:rPr>
          <w:lang w:val="en"/>
        </w:rPr>
        <w:t>International Child Abduction Act</w:t>
      </w:r>
      <w:r w:rsidRPr="008706AF">
        <w:t>.</w:t>
      </w:r>
    </w:p>
    <w:p w:rsidR="00F50AF8" w:rsidRPr="008706AF" w:rsidRDefault="005758D4" w:rsidP="00F50AF8">
      <w:pPr>
        <w:pStyle w:val="para"/>
      </w:pPr>
      <w:r w:rsidRPr="008706AF">
        <w:t xml:space="preserve">Having considered the submissions, </w:t>
      </w:r>
      <w:r w:rsidR="003035BE" w:rsidRPr="008706AF">
        <w:t xml:space="preserve">I find the Jurisdiction Grounds established.  I decide to </w:t>
      </w:r>
      <w:r w:rsidRPr="008706AF">
        <w:t xml:space="preserve">set aside the Orders on 2 </w:t>
      </w:r>
      <w:r w:rsidR="003035BE" w:rsidRPr="008706AF">
        <w:t xml:space="preserve">further </w:t>
      </w:r>
      <w:r w:rsidRPr="008706AF">
        <w:t>grounds</w:t>
      </w:r>
      <w:r w:rsidR="00F50AF8" w:rsidRPr="008706AF">
        <w:t>:</w:t>
      </w:r>
    </w:p>
    <w:p w:rsidR="00F50AF8" w:rsidRPr="008706AF" w:rsidRDefault="00136130" w:rsidP="00136130">
      <w:pPr>
        <w:pStyle w:val="points"/>
      </w:pPr>
      <w:r w:rsidRPr="008706AF">
        <w:t>(1)</w:t>
      </w:r>
      <w:r w:rsidRPr="008706AF">
        <w:tab/>
      </w:r>
      <w:r w:rsidR="005758D4" w:rsidRPr="008706AF">
        <w:t>A</w:t>
      </w:r>
      <w:r w:rsidR="00F50AF8" w:rsidRPr="008706AF">
        <w:t xml:space="preserve">ny </w:t>
      </w:r>
      <w:r w:rsidR="005758D4" w:rsidRPr="008706AF">
        <w:t>purpose that the Order</w:t>
      </w:r>
      <w:r w:rsidR="00E17A45" w:rsidRPr="008706AF">
        <w:t>s seek</w:t>
      </w:r>
      <w:r w:rsidR="005758D4" w:rsidRPr="008706AF">
        <w:t xml:space="preserve"> to achieve has been overtaken by events (“</w:t>
      </w:r>
      <w:r w:rsidR="005758D4" w:rsidRPr="008706AF">
        <w:rPr>
          <w:b/>
        </w:rPr>
        <w:t>Purpose Ground</w:t>
      </w:r>
      <w:r w:rsidR="005758D4" w:rsidRPr="008706AF">
        <w:t>”)</w:t>
      </w:r>
      <w:r w:rsidR="00F50AF8" w:rsidRPr="008706AF">
        <w:t>;</w:t>
      </w:r>
      <w:r w:rsidR="00E17A45" w:rsidRPr="008706AF">
        <w:t xml:space="preserve"> and</w:t>
      </w:r>
    </w:p>
    <w:p w:rsidR="00F50AF8" w:rsidRPr="008706AF" w:rsidRDefault="00136130" w:rsidP="00136130">
      <w:pPr>
        <w:pStyle w:val="points"/>
      </w:pPr>
      <w:r w:rsidRPr="008706AF">
        <w:t>(2)</w:t>
      </w:r>
      <w:r w:rsidRPr="008706AF">
        <w:tab/>
      </w:r>
      <w:r w:rsidR="005758D4" w:rsidRPr="008706AF">
        <w:t>Continuation of the Order is not in the best interests of YL (“</w:t>
      </w:r>
      <w:r w:rsidR="00E87305" w:rsidRPr="008706AF">
        <w:rPr>
          <w:b/>
        </w:rPr>
        <w:t xml:space="preserve">Best Interests </w:t>
      </w:r>
      <w:r w:rsidR="005758D4" w:rsidRPr="008706AF">
        <w:rPr>
          <w:b/>
        </w:rPr>
        <w:t>Ground</w:t>
      </w:r>
      <w:r w:rsidR="005758D4" w:rsidRPr="008706AF">
        <w:t>”).</w:t>
      </w:r>
    </w:p>
    <w:p w:rsidR="000D38C6" w:rsidRPr="008706AF" w:rsidRDefault="005758D4" w:rsidP="009B5620">
      <w:pPr>
        <w:pStyle w:val="subheading"/>
        <w:numPr>
          <w:ilvl w:val="0"/>
          <w:numId w:val="7"/>
        </w:numPr>
        <w:spacing w:before="440" w:after="440" w:line="360" w:lineRule="auto"/>
        <w:ind w:left="547" w:hanging="547"/>
      </w:pPr>
      <w:r w:rsidRPr="008706AF">
        <w:lastRenderedPageBreak/>
        <w:t>Background</w:t>
      </w:r>
    </w:p>
    <w:p w:rsidR="00D73046" w:rsidRPr="008706AF" w:rsidRDefault="005758D4" w:rsidP="00136130">
      <w:pPr>
        <w:pStyle w:val="para-heading"/>
      </w:pPr>
      <w:r w:rsidRPr="008706AF">
        <w:t xml:space="preserve">YL </w:t>
      </w:r>
      <w:r w:rsidR="00E87305" w:rsidRPr="008706AF">
        <w:t>was</w:t>
      </w:r>
      <w:r w:rsidRPr="008706AF">
        <w:t xml:space="preserve"> born and raised in Hong Kong.  </w:t>
      </w:r>
    </w:p>
    <w:p w:rsidR="00D73046" w:rsidRPr="008706AF" w:rsidRDefault="005758D4" w:rsidP="00CD1325">
      <w:pPr>
        <w:pStyle w:val="para"/>
        <w:spacing w:before="440"/>
      </w:pPr>
      <w:r w:rsidRPr="008706AF">
        <w:t>The</w:t>
      </w:r>
      <w:r w:rsidR="00D73046" w:rsidRPr="008706AF">
        <w:t xml:space="preserve"> </w:t>
      </w:r>
      <w:r w:rsidRPr="008706AF">
        <w:t xml:space="preserve">Mother and Father have commenced divorce proceedings in the Family Court.  The Father exercised his access over YL on </w:t>
      </w:r>
      <w:r w:rsidR="00FE3115" w:rsidRPr="008706AF">
        <w:t>16 April 2022</w:t>
      </w:r>
      <w:r w:rsidRPr="008706AF">
        <w:t xml:space="preserve"> but later disappeared with YL without trace.  At that time, YL was aged 2.  The Father cut all contacts with the Mother, including moving out of his residence and blocking her off from all telephone messages.  It appears that the Paternal Grandmother and Paternal Grandfather joined in the exercise and cut all contacts with the Mother as well</w:t>
      </w:r>
      <w:r w:rsidR="00D73046" w:rsidRPr="008706AF">
        <w:t>.</w:t>
      </w:r>
    </w:p>
    <w:p w:rsidR="00AD55C1" w:rsidRPr="008706AF" w:rsidRDefault="005758D4" w:rsidP="00CD1325">
      <w:pPr>
        <w:pStyle w:val="para"/>
        <w:spacing w:before="440"/>
      </w:pPr>
      <w:r w:rsidRPr="008706AF">
        <w:t>I</w:t>
      </w:r>
      <w:r w:rsidR="00EE7B82" w:rsidRPr="008706AF">
        <w:t xml:space="preserve">t </w:t>
      </w:r>
      <w:r w:rsidRPr="008706AF">
        <w:t xml:space="preserve">transpired from subsequent enquiries with airline companies that in fact the Father had removed </w:t>
      </w:r>
      <w:r w:rsidR="001676D3" w:rsidRPr="008706AF">
        <w:t>YL</w:t>
      </w:r>
      <w:r w:rsidRPr="008706AF">
        <w:t xml:space="preserve"> on 16 April 2022 out of Hong Kong to Bangkok</w:t>
      </w:r>
      <w:r w:rsidR="00BA3560" w:rsidRPr="008706AF">
        <w:t>.</w:t>
      </w:r>
    </w:p>
    <w:p w:rsidR="005758D4" w:rsidRPr="008706AF" w:rsidRDefault="005758D4" w:rsidP="00CD1325">
      <w:pPr>
        <w:pStyle w:val="para"/>
        <w:spacing w:before="440"/>
      </w:pPr>
      <w:r w:rsidRPr="008706AF">
        <w:t xml:space="preserve">The Mother </w:t>
      </w:r>
      <w:r w:rsidR="00966881" w:rsidRPr="008706AF">
        <w:t xml:space="preserve">commenced the present CACO proceedings and </w:t>
      </w:r>
      <w:r w:rsidRPr="008706AF">
        <w:t>on 5</w:t>
      </w:r>
      <w:r w:rsidR="00431EBA" w:rsidRPr="008706AF">
        <w:t> </w:t>
      </w:r>
      <w:r w:rsidRPr="008706AF">
        <w:t>May</w:t>
      </w:r>
      <w:r w:rsidR="00431EBA" w:rsidRPr="008706AF">
        <w:t> </w:t>
      </w:r>
      <w:r w:rsidRPr="008706AF">
        <w:t xml:space="preserve">2022 against, amongst others, the Father and the Grandparents, and notified them of the same, amongst others, through WhatsApp messages. The Father has blocked off the Mother’s solicitors from the WhatsApp messages such that the latter has to use a different phone card to send messages.  Apparently, the WhatsApp messages </w:t>
      </w:r>
      <w:r w:rsidR="00E87305" w:rsidRPr="008706AF">
        <w:t xml:space="preserve">containing the Location Orders </w:t>
      </w:r>
      <w:r w:rsidRPr="008706AF">
        <w:t>had been received by the Father and the Grandparents</w:t>
      </w:r>
      <w:r w:rsidR="00E87305" w:rsidRPr="008706AF">
        <w:t xml:space="preserve">, latest by </w:t>
      </w:r>
      <w:r w:rsidR="001676D3" w:rsidRPr="008706AF">
        <w:t>7 May 2022</w:t>
      </w:r>
      <w:r w:rsidRPr="008706AF">
        <w:t>.</w:t>
      </w:r>
    </w:p>
    <w:p w:rsidR="003C32AC" w:rsidRPr="008706AF" w:rsidRDefault="003C32AC" w:rsidP="003C32AC">
      <w:pPr>
        <w:pStyle w:val="para"/>
        <w:spacing w:before="440"/>
      </w:pPr>
      <w:r w:rsidRPr="008706AF">
        <w:t>By</w:t>
      </w:r>
      <w:r w:rsidR="00155B4F" w:rsidRPr="008706AF">
        <w:t xml:space="preserve"> an</w:t>
      </w:r>
      <w:r w:rsidRPr="008706AF">
        <w:t xml:space="preserve"> affirmation filed on 23 May 2022, the Mother sought the Orders.  Her bases are that having served the Location Order, she came to realize that the Father had no intention of complying with it.  It prompted </w:t>
      </w:r>
      <w:r w:rsidRPr="008706AF">
        <w:lastRenderedPageBreak/>
        <w:t xml:space="preserve">her to </w:t>
      </w:r>
      <w:proofErr w:type="spellStart"/>
      <w:r w:rsidRPr="008706AF">
        <w:t>realise</w:t>
      </w:r>
      <w:proofErr w:type="spellEnd"/>
      <w:r w:rsidRPr="008706AF">
        <w:t xml:space="preserve"> that if it was the intention of the Father to remove </w:t>
      </w:r>
      <w:r w:rsidR="001676D3" w:rsidRPr="008706AF">
        <w:t>YL</w:t>
      </w:r>
      <w:r w:rsidRPr="008706AF">
        <w:t xml:space="preserve"> to a foreign country for a longer period of time, </w:t>
      </w:r>
      <w:r w:rsidR="001676D3" w:rsidRPr="008706AF">
        <w:t>YL</w:t>
      </w:r>
      <w:r w:rsidRPr="008706AF">
        <w:t>’s educational and medical needs would come into</w:t>
      </w:r>
      <w:r w:rsidR="00AB442C" w:rsidRPr="008706AF">
        <w:t xml:space="preserve"> play.  If she were to enroll in</w:t>
      </w:r>
      <w:r w:rsidRPr="008706AF">
        <w:t xml:space="preserve"> a school or seek medical attention in a foreign country, then her health and vaccine records would be required.  The Mother had in fact been notified by a private clinic which previously </w:t>
      </w:r>
      <w:r w:rsidR="00155B4F" w:rsidRPr="008706AF">
        <w:t>treated YL</w:t>
      </w:r>
      <w:r w:rsidRPr="008706AF">
        <w:t xml:space="preserve"> that a person claiming to be the Father had approached the </w:t>
      </w:r>
      <w:r w:rsidR="007C55B8" w:rsidRPr="008706AF">
        <w:t>c</w:t>
      </w:r>
      <w:r w:rsidRPr="008706AF">
        <w:t xml:space="preserve">linic to request for disclosure of </w:t>
      </w:r>
      <w:r w:rsidR="001676D3" w:rsidRPr="008706AF">
        <w:t>YL</w:t>
      </w:r>
      <w:r w:rsidRPr="008706AF">
        <w:t xml:space="preserve">’s vaccine record, but the </w:t>
      </w:r>
      <w:r w:rsidR="00155B4F" w:rsidRPr="008706AF">
        <w:t>c</w:t>
      </w:r>
      <w:r w:rsidRPr="008706AF">
        <w:t>linic refused to provide it.</w:t>
      </w:r>
    </w:p>
    <w:p w:rsidR="003C32AC" w:rsidRPr="008706AF" w:rsidRDefault="003C32AC" w:rsidP="003C32AC">
      <w:pPr>
        <w:pStyle w:val="para"/>
        <w:spacing w:before="440"/>
      </w:pPr>
      <w:r w:rsidRPr="008706AF">
        <w:t>Further, the Mother has been registered as the SDM of YL under the Electronic Health Record Sharing System of the Food and Health</w:t>
      </w:r>
      <w:r w:rsidR="004424C1" w:rsidRPr="008706AF">
        <w:t> </w:t>
      </w:r>
      <w:r w:rsidRPr="008706AF">
        <w:t>Bureau, also known as eHealth (“</w:t>
      </w:r>
      <w:r w:rsidRPr="008706AF">
        <w:rPr>
          <w:b/>
        </w:rPr>
        <w:t>the System</w:t>
      </w:r>
      <w:r w:rsidRPr="008706AF">
        <w:t>”).  At 1:14</w:t>
      </w:r>
      <w:r w:rsidR="004424C1" w:rsidRPr="008706AF">
        <w:t> </w:t>
      </w:r>
      <w:r w:rsidRPr="008706AF">
        <w:t>pm on 18</w:t>
      </w:r>
      <w:r w:rsidR="00C27DB8" w:rsidRPr="008706AF">
        <w:t> </w:t>
      </w:r>
      <w:r w:rsidRPr="008706AF">
        <w:t>May</w:t>
      </w:r>
      <w:r w:rsidR="00C27DB8" w:rsidRPr="008706AF">
        <w:t> </w:t>
      </w:r>
      <w:r w:rsidRPr="008706AF">
        <w:t>2022, she received 3 text messages from the eHealth platform at her mobile phone number, showing that a “</w:t>
      </w:r>
      <w:proofErr w:type="spellStart"/>
      <w:r w:rsidRPr="008706AF">
        <w:t>carer</w:t>
      </w:r>
      <w:proofErr w:type="spellEnd"/>
      <w:r w:rsidRPr="008706AF">
        <w:t>” of YL was attempting to access and/or otherwise make changes to YL’s account.  She was told by the S</w:t>
      </w:r>
      <w:r w:rsidR="002474C3" w:rsidRPr="008706AF">
        <w:t>ystem operator and the eHealth O</w:t>
      </w:r>
      <w:r w:rsidRPr="008706AF">
        <w:t xml:space="preserve">ffice that so long as the person requesting for information was able to provide YL’s birth certificate or her ID card number (which the Father had), he could have access to YL’s information in the System and even change the registered SDM to another person.  Unless with a court order, the eHealth system could not refuse to disclose </w:t>
      </w:r>
      <w:r w:rsidR="001676D3" w:rsidRPr="008706AF">
        <w:t>YL</w:t>
      </w:r>
      <w:r w:rsidRPr="008706AF">
        <w:t xml:space="preserve">’s information if </w:t>
      </w:r>
      <w:r w:rsidR="002474C3" w:rsidRPr="008706AF">
        <w:t>her</w:t>
      </w:r>
      <w:r w:rsidRPr="008706AF">
        <w:t xml:space="preserve"> identity documents were provided.</w:t>
      </w:r>
    </w:p>
    <w:p w:rsidR="003C32AC" w:rsidRPr="008706AF" w:rsidRDefault="003C32AC" w:rsidP="003C32AC">
      <w:pPr>
        <w:pStyle w:val="para"/>
        <w:spacing w:before="440"/>
      </w:pPr>
      <w:r w:rsidRPr="008706AF">
        <w:t xml:space="preserve">Out of concerns that it would further facilitate the Father’s abduction if he could obtain the health information and vaccine records of </w:t>
      </w:r>
      <w:r w:rsidR="001676D3" w:rsidRPr="008706AF">
        <w:t>YL</w:t>
      </w:r>
      <w:r w:rsidRPr="008706AF">
        <w:t xml:space="preserve"> and then set up a status quo for YL at </w:t>
      </w:r>
      <w:r w:rsidR="002474C3" w:rsidRPr="008706AF">
        <w:t>an</w:t>
      </w:r>
      <w:r w:rsidRPr="008706AF">
        <w:t xml:space="preserve"> unknown foreign country, the Mother applied for and obtained the Orders on 23 May 2022 on </w:t>
      </w:r>
      <w:r w:rsidRPr="008706AF">
        <w:rPr>
          <w:i/>
        </w:rPr>
        <w:t>ex parte</w:t>
      </w:r>
      <w:r w:rsidRPr="008706AF">
        <w:t xml:space="preserve"> basis.</w:t>
      </w:r>
    </w:p>
    <w:p w:rsidR="002474C3" w:rsidRPr="008706AF" w:rsidRDefault="002474C3" w:rsidP="003C32AC">
      <w:pPr>
        <w:pStyle w:val="para"/>
        <w:spacing w:before="440"/>
      </w:pPr>
      <w:r w:rsidRPr="008706AF">
        <w:lastRenderedPageBreak/>
        <w:t xml:space="preserve">The Mother obtained a further Location Order </w:t>
      </w:r>
      <w:r w:rsidR="00966881" w:rsidRPr="008706AF">
        <w:t xml:space="preserve">on </w:t>
      </w:r>
      <w:r w:rsidR="00B75EBF" w:rsidRPr="008706AF">
        <w:t>8 June 2022</w:t>
      </w:r>
      <w:r w:rsidR="00966881" w:rsidRPr="008706AF">
        <w:t xml:space="preserve"> </w:t>
      </w:r>
      <w:r w:rsidRPr="008706AF">
        <w:t>and d</w:t>
      </w:r>
      <w:r w:rsidR="00966881" w:rsidRPr="008706AF">
        <w:t>iscovered</w:t>
      </w:r>
      <w:r w:rsidRPr="008706AF">
        <w:t xml:space="preserve"> that the Father may go to Singapore.</w:t>
      </w:r>
    </w:p>
    <w:p w:rsidR="003C32AC" w:rsidRPr="008706AF" w:rsidRDefault="003C32AC" w:rsidP="003C32AC">
      <w:pPr>
        <w:pStyle w:val="para"/>
        <w:spacing w:before="440"/>
      </w:pPr>
      <w:r w:rsidRPr="008706AF">
        <w:t xml:space="preserve">On </w:t>
      </w:r>
      <w:r w:rsidR="002474C3" w:rsidRPr="008706AF">
        <w:t xml:space="preserve">a date unknown, </w:t>
      </w:r>
      <w:r w:rsidRPr="008706AF">
        <w:t>the Father and YL lef</w:t>
      </w:r>
      <w:r w:rsidR="002474C3" w:rsidRPr="008706AF">
        <w:t>t Bangkok and went to Singapore.</w:t>
      </w:r>
      <w:r w:rsidRPr="008706AF">
        <w:t xml:space="preserve"> </w:t>
      </w:r>
      <w:r w:rsidR="002474C3" w:rsidRPr="008706AF">
        <w:t xml:space="preserve"> </w:t>
      </w:r>
      <w:r w:rsidRPr="008706AF">
        <w:t xml:space="preserve">With the assistance of the Singapore Central Authority, the Father and </w:t>
      </w:r>
      <w:r w:rsidR="001676D3" w:rsidRPr="008706AF">
        <w:t>YL</w:t>
      </w:r>
      <w:r w:rsidRPr="008706AF">
        <w:t xml:space="preserve"> were </w:t>
      </w:r>
      <w:r w:rsidR="00966881" w:rsidRPr="008706AF">
        <w:t xml:space="preserve">intercepted </w:t>
      </w:r>
      <w:r w:rsidRPr="008706AF">
        <w:t xml:space="preserve">and prevented from leaving Singapore.  </w:t>
      </w:r>
    </w:p>
    <w:p w:rsidR="003C32AC" w:rsidRPr="008706AF" w:rsidRDefault="003C32AC" w:rsidP="009B5620">
      <w:pPr>
        <w:pStyle w:val="para"/>
        <w:numPr>
          <w:ilvl w:val="0"/>
          <w:numId w:val="7"/>
        </w:numPr>
        <w:spacing w:before="440"/>
        <w:ind w:left="547" w:hanging="547"/>
        <w:rPr>
          <w:i/>
        </w:rPr>
      </w:pPr>
      <w:r w:rsidRPr="008706AF">
        <w:rPr>
          <w:i/>
        </w:rPr>
        <w:t>Jurisdiction Ground</w:t>
      </w:r>
    </w:p>
    <w:p w:rsidR="000E0330" w:rsidRPr="008706AF" w:rsidRDefault="000E0330" w:rsidP="000E0330">
      <w:pPr>
        <w:pStyle w:val="para"/>
        <w:numPr>
          <w:ilvl w:val="0"/>
          <w:numId w:val="0"/>
        </w:numPr>
        <w:tabs>
          <w:tab w:val="left" w:pos="720"/>
        </w:tabs>
        <w:spacing w:before="440"/>
        <w:rPr>
          <w:i/>
        </w:rPr>
      </w:pPr>
      <w:r w:rsidRPr="008706AF">
        <w:rPr>
          <w:i/>
        </w:rPr>
        <w:t>C1.</w:t>
      </w:r>
      <w:r w:rsidRPr="008706AF">
        <w:rPr>
          <w:i/>
        </w:rPr>
        <w:tab/>
        <w:t>Power to change SDM</w:t>
      </w:r>
      <w:r w:rsidR="002474C3" w:rsidRPr="008706AF">
        <w:rPr>
          <w:i/>
        </w:rPr>
        <w:t xml:space="preserve"> under the 1</w:t>
      </w:r>
      <w:r w:rsidR="002474C3" w:rsidRPr="008706AF">
        <w:rPr>
          <w:i/>
          <w:vertAlign w:val="superscript"/>
        </w:rPr>
        <w:t>st</w:t>
      </w:r>
      <w:r w:rsidR="002474C3" w:rsidRPr="008706AF">
        <w:rPr>
          <w:i/>
        </w:rPr>
        <w:t xml:space="preserve"> Order</w:t>
      </w:r>
    </w:p>
    <w:p w:rsidR="00BC0FC3" w:rsidRPr="008706AF" w:rsidRDefault="003C32AC" w:rsidP="00CE72BF">
      <w:pPr>
        <w:pStyle w:val="para"/>
        <w:spacing w:before="440"/>
      </w:pPr>
      <w:r w:rsidRPr="008706AF">
        <w:t xml:space="preserve">The </w:t>
      </w:r>
      <w:r w:rsidR="00D00374" w:rsidRPr="008706AF">
        <w:t xml:space="preserve">Commissioner </w:t>
      </w:r>
      <w:r w:rsidR="000E0330" w:rsidRPr="008706AF">
        <w:t>submits that he</w:t>
      </w:r>
      <w:r w:rsidR="00D00374" w:rsidRPr="008706AF">
        <w:t xml:space="preserve"> </w:t>
      </w:r>
      <w:r w:rsidR="00BC0FC3" w:rsidRPr="008706AF">
        <w:t xml:space="preserve">has no power to “change” an SDM.  He can only “add” an SDM </w:t>
      </w:r>
      <w:r w:rsidR="00966881" w:rsidRPr="008706AF">
        <w:t>(</w:t>
      </w:r>
      <w:r w:rsidR="00B75EBF" w:rsidRPr="008706AF">
        <w:t>s</w:t>
      </w:r>
      <w:r w:rsidR="00966881" w:rsidRPr="008706AF">
        <w:t>ection</w:t>
      </w:r>
      <w:r w:rsidR="00B75EBF" w:rsidRPr="008706AF">
        <w:t>s</w:t>
      </w:r>
      <w:r w:rsidR="00966881" w:rsidRPr="008706AF">
        <w:t xml:space="preserve"> 6</w:t>
      </w:r>
      <w:r w:rsidR="00B75EBF" w:rsidRPr="008706AF">
        <w:t xml:space="preserve"> and </w:t>
      </w:r>
      <w:r w:rsidR="00966881" w:rsidRPr="008706AF">
        <w:t xml:space="preserve">8 of EHRSSO) </w:t>
      </w:r>
      <w:r w:rsidR="00BC0FC3" w:rsidRPr="008706AF">
        <w:t xml:space="preserve">or an </w:t>
      </w:r>
      <w:r w:rsidR="000E0330" w:rsidRPr="008706AF">
        <w:t>SDM can withdraw from being one</w:t>
      </w:r>
      <w:r w:rsidR="00B75EBF" w:rsidRPr="008706AF">
        <w:t xml:space="preserve"> (s</w:t>
      </w:r>
      <w:r w:rsidR="00966881" w:rsidRPr="008706AF">
        <w:t>ection 8)</w:t>
      </w:r>
      <w:r w:rsidR="00BC0FC3" w:rsidRPr="008706AF">
        <w:t>.</w:t>
      </w:r>
    </w:p>
    <w:p w:rsidR="00350E10" w:rsidRPr="008706AF" w:rsidRDefault="00BC0FC3" w:rsidP="00CE72BF">
      <w:pPr>
        <w:pStyle w:val="para"/>
        <w:spacing w:before="440"/>
      </w:pPr>
      <w:r w:rsidRPr="008706AF">
        <w:t xml:space="preserve">Under section 3(2)(a) of the EHRSSO, a parent who accompanies </w:t>
      </w:r>
      <w:r w:rsidR="001676D3" w:rsidRPr="008706AF">
        <w:t>YL</w:t>
      </w:r>
      <w:r w:rsidRPr="008706AF">
        <w:t xml:space="preserve"> can apply to be an SDM of </w:t>
      </w:r>
      <w:r w:rsidR="001676D3" w:rsidRPr="008706AF">
        <w:t>YL</w:t>
      </w:r>
      <w:r w:rsidRPr="008706AF">
        <w:t xml:space="preserve">.  The parent can apply electronically to be an </w:t>
      </w:r>
      <w:r w:rsidR="008018AA" w:rsidRPr="008706AF">
        <w:t>S</w:t>
      </w:r>
      <w:r w:rsidRPr="008706AF">
        <w:t>DM.  If the paren</w:t>
      </w:r>
      <w:r w:rsidR="007C55B8" w:rsidRPr="008706AF">
        <w:t>t is already registered in the S</w:t>
      </w:r>
      <w:r w:rsidRPr="008706AF">
        <w:t>ystem (</w:t>
      </w:r>
      <w:proofErr w:type="spellStart"/>
      <w:r w:rsidRPr="008706AF">
        <w:t>eg</w:t>
      </w:r>
      <w:proofErr w:type="spellEnd"/>
      <w:r w:rsidRPr="008706AF">
        <w:t xml:space="preserve"> being a patient himself/herself), there is no need for the Commissioner to verify his/her identity.  If he/she is</w:t>
      </w:r>
      <w:r w:rsidR="007C55B8" w:rsidRPr="008706AF">
        <w:t xml:space="preserve"> not already registered in the S</w:t>
      </w:r>
      <w:r w:rsidRPr="008706AF">
        <w:t xml:space="preserve">ystem, he/she can still apply electronically to be registered as an SDM, but he/she has to appear in person at </w:t>
      </w:r>
      <w:proofErr w:type="spellStart"/>
      <w:r w:rsidRPr="008706AF">
        <w:t>eg</w:t>
      </w:r>
      <w:proofErr w:type="spellEnd"/>
      <w:r w:rsidRPr="008706AF">
        <w:t xml:space="preserve"> a hospital to have his/her identity verified.</w:t>
      </w:r>
    </w:p>
    <w:p w:rsidR="00350E10" w:rsidRPr="008706AF" w:rsidRDefault="00350E10" w:rsidP="00350E10">
      <w:pPr>
        <w:pStyle w:val="para"/>
        <w:spacing w:before="440"/>
      </w:pPr>
      <w:r w:rsidRPr="008706AF">
        <w:t xml:space="preserve">Once registered as an SDM, that parent can have access to the vaccine record, appointment time and allergies of </w:t>
      </w:r>
      <w:r w:rsidR="001676D3" w:rsidRPr="008706AF">
        <w:t>YL</w:t>
      </w:r>
      <w:r w:rsidRPr="008706AF">
        <w:t xml:space="preserve">. The SDM can gain access electronically.  Every time someone accesses </w:t>
      </w:r>
      <w:r w:rsidR="001676D3" w:rsidRPr="008706AF">
        <w:t>YL</w:t>
      </w:r>
      <w:r w:rsidRPr="008706AF">
        <w:t>’s data, a</w:t>
      </w:r>
      <w:r w:rsidR="008018AA" w:rsidRPr="008706AF">
        <w:t xml:space="preserve"> one-time p</w:t>
      </w:r>
      <w:r w:rsidR="000E0330" w:rsidRPr="008706AF">
        <w:t>assword</w:t>
      </w:r>
      <w:r w:rsidRPr="008706AF">
        <w:t xml:space="preserve"> </w:t>
      </w:r>
      <w:r w:rsidR="008018AA" w:rsidRPr="008706AF">
        <w:t>(“</w:t>
      </w:r>
      <w:r w:rsidRPr="008706AF">
        <w:rPr>
          <w:b/>
        </w:rPr>
        <w:t>OTP</w:t>
      </w:r>
      <w:r w:rsidR="008018AA" w:rsidRPr="008706AF">
        <w:t>”)</w:t>
      </w:r>
      <w:r w:rsidRPr="008706AF">
        <w:t xml:space="preserve"> would be sent to the SDM.</w:t>
      </w:r>
    </w:p>
    <w:p w:rsidR="00350E10" w:rsidRPr="008706AF" w:rsidRDefault="00350E10" w:rsidP="00350E10">
      <w:pPr>
        <w:pStyle w:val="para"/>
        <w:spacing w:before="440"/>
      </w:pPr>
      <w:r w:rsidRPr="008706AF">
        <w:lastRenderedPageBreak/>
        <w:t xml:space="preserve">In respect of YL, only the Mother is the SDM.  If the Father wants to access YL’s information, </w:t>
      </w:r>
      <w:r w:rsidR="008018AA" w:rsidRPr="008706AF">
        <w:t xml:space="preserve">an </w:t>
      </w:r>
      <w:r w:rsidRPr="008706AF">
        <w:t>OTP will be sent to the Mother.  The Mother can forward the OTP to enable the Father to access the information.</w:t>
      </w:r>
    </w:p>
    <w:p w:rsidR="00350E10" w:rsidRPr="008706AF" w:rsidRDefault="00350E10" w:rsidP="00350E10">
      <w:pPr>
        <w:pStyle w:val="para"/>
        <w:spacing w:before="440"/>
      </w:pPr>
      <w:r w:rsidRPr="008706AF">
        <w:t xml:space="preserve">If the Father applies to be the SDM of YL, an OTP would be sent to the Mother.  If the Mother does not forward the OTP to the Father, the Father cannot be registered.  He can still apply electronically but he will not be registered even if he has the identity documents of YL.  He needs to go in person before the registration office for verification.  Once his identity is verified, he can be registered as an SDM.  Upon registration, he and the Mother will get notification that he has been registered.  Once he is registered, the Father can have access to YL’s information; no more OTP is required. </w:t>
      </w:r>
    </w:p>
    <w:p w:rsidR="00350E10" w:rsidRPr="008706AF" w:rsidRDefault="001676D3" w:rsidP="00350E10">
      <w:pPr>
        <w:pStyle w:val="para"/>
        <w:spacing w:before="440"/>
      </w:pPr>
      <w:r w:rsidRPr="008706AF">
        <w:t>YL</w:t>
      </w:r>
      <w:r w:rsidR="00350E10" w:rsidRPr="008706AF">
        <w:t xml:space="preserve"> has other information such as </w:t>
      </w:r>
      <w:r w:rsidR="009C1804" w:rsidRPr="008706AF">
        <w:t>medical diagnoses</w:t>
      </w:r>
      <w:r w:rsidR="00350E10" w:rsidRPr="008706AF">
        <w:t xml:space="preserve"> kept by the Director. To gain access to such information, the SDM has to make a separate data</w:t>
      </w:r>
      <w:r w:rsidR="00C52579" w:rsidRPr="008706AF">
        <w:t xml:space="preserve"> access</w:t>
      </w:r>
      <w:r w:rsidR="00350E10" w:rsidRPr="008706AF">
        <w:t xml:space="preserve"> request by another channel</w:t>
      </w:r>
      <w:r w:rsidR="00C52579" w:rsidRPr="008706AF">
        <w:t xml:space="preserve"> under the Personal Data (Privacy) Ordinance, Cap 486</w:t>
      </w:r>
      <w:r w:rsidR="00350E10" w:rsidRPr="008706AF">
        <w:t>.  The Father (not being an SDM) can also make a data access request for YL’s</w:t>
      </w:r>
      <w:r w:rsidR="009C1804" w:rsidRPr="008706AF">
        <w:t xml:space="preserve"> diagnoses </w:t>
      </w:r>
      <w:r w:rsidR="00350E10" w:rsidRPr="008706AF">
        <w:t xml:space="preserve">and vaccine records by using YL’s ID card (which he has).    </w:t>
      </w:r>
    </w:p>
    <w:p w:rsidR="000E0330" w:rsidRPr="008706AF" w:rsidRDefault="00350E10" w:rsidP="00350E10">
      <w:pPr>
        <w:pStyle w:val="para"/>
        <w:spacing w:before="440"/>
      </w:pPr>
      <w:r w:rsidRPr="008706AF">
        <w:t>There is no limit to the number of SDM</w:t>
      </w:r>
      <w:r w:rsidR="009C1804" w:rsidRPr="008706AF">
        <w:t>s</w:t>
      </w:r>
      <w:r w:rsidRPr="008706AF">
        <w:t xml:space="preserve">, so long as </w:t>
      </w:r>
      <w:r w:rsidR="009C1804" w:rsidRPr="008706AF">
        <w:t xml:space="preserve">a </w:t>
      </w:r>
      <w:r w:rsidRPr="008706AF">
        <w:t xml:space="preserve">person falls under section 3(2)(a) of EHRSSO.  As demonstrated by </w:t>
      </w:r>
      <w:proofErr w:type="spellStart"/>
      <w:r w:rsidRPr="008706AF">
        <w:t>Mr</w:t>
      </w:r>
      <w:proofErr w:type="spellEnd"/>
      <w:r w:rsidRPr="008706AF">
        <w:t xml:space="preserve"> Chan, I agree that there is no mechanism for “change” of SDM.  A person can apply to withdraw or add himself/herself as an SDM.  Hence, even if the Father successfully applies to become an SDM, he cannot remove the Mother as such unless the Mother voluntarily withdraws.    The 1</w:t>
      </w:r>
      <w:r w:rsidRPr="008706AF">
        <w:rPr>
          <w:vertAlign w:val="superscript"/>
        </w:rPr>
        <w:t>st</w:t>
      </w:r>
      <w:r w:rsidRPr="008706AF">
        <w:t xml:space="preserve"> Order was</w:t>
      </w:r>
      <w:r w:rsidR="00C77934" w:rsidRPr="008706AF">
        <w:t xml:space="preserve"> thus</w:t>
      </w:r>
      <w:r w:rsidRPr="008706AF">
        <w:t xml:space="preserve"> made in error of the law and should be set aside</w:t>
      </w:r>
      <w:r w:rsidR="00C77934" w:rsidRPr="008706AF">
        <w:t xml:space="preserve"> as a matter of principle</w:t>
      </w:r>
      <w:r w:rsidRPr="008706AF">
        <w:t xml:space="preserve">.  </w:t>
      </w:r>
    </w:p>
    <w:p w:rsidR="00350E10" w:rsidRPr="008706AF" w:rsidRDefault="00350E10" w:rsidP="00350E10">
      <w:pPr>
        <w:pStyle w:val="para"/>
        <w:spacing w:before="440"/>
      </w:pPr>
      <w:r w:rsidRPr="008706AF">
        <w:lastRenderedPageBreak/>
        <w:t>The 1</w:t>
      </w:r>
      <w:r w:rsidRPr="008706AF">
        <w:rPr>
          <w:vertAlign w:val="superscript"/>
        </w:rPr>
        <w:t>st</w:t>
      </w:r>
      <w:r w:rsidRPr="008706AF">
        <w:t xml:space="preserve"> Order also cannot prevent the Father from having access to YL’s records of diagnoses and vaccination by using YL’s ID card, which would defeat the main purpose of the Mother’s application for the Orders in the first place.</w:t>
      </w:r>
    </w:p>
    <w:p w:rsidR="00350E10" w:rsidRPr="008706AF" w:rsidRDefault="00350E10" w:rsidP="00350E10">
      <w:pPr>
        <w:pStyle w:val="para"/>
        <w:spacing w:before="440"/>
      </w:pPr>
      <w:proofErr w:type="spellStart"/>
      <w:r w:rsidRPr="008706AF">
        <w:t>Mr</w:t>
      </w:r>
      <w:proofErr w:type="spellEnd"/>
      <w:r w:rsidRPr="008706AF">
        <w:t xml:space="preserve"> Li, counsel for the Mother, however, submits that the word “change” in the 1</w:t>
      </w:r>
      <w:r w:rsidRPr="008706AF">
        <w:rPr>
          <w:vertAlign w:val="superscript"/>
        </w:rPr>
        <w:t>st</w:t>
      </w:r>
      <w:r w:rsidRPr="008706AF">
        <w:t xml:space="preserve"> Order” does not only mean “removal” but “add another</w:t>
      </w:r>
      <w:r w:rsidR="005027DA" w:rsidRPr="008706AF">
        <w:t>” SDM as well</w:t>
      </w:r>
      <w:r w:rsidRPr="008706AF">
        <w:t xml:space="preserve">. </w:t>
      </w:r>
      <w:r w:rsidR="00053F55" w:rsidRPr="008706AF">
        <w:t xml:space="preserve"> </w:t>
      </w:r>
      <w:r w:rsidRPr="008706AF">
        <w:t>He suggests that the wording of the 1</w:t>
      </w:r>
      <w:r w:rsidRPr="008706AF">
        <w:rPr>
          <w:vertAlign w:val="superscript"/>
        </w:rPr>
        <w:t>st</w:t>
      </w:r>
      <w:r w:rsidRPr="008706AF">
        <w:t xml:space="preserve"> Order should be changed so that the Commissioner “be directed not to </w:t>
      </w:r>
      <w:r w:rsidRPr="008706AF">
        <w:rPr>
          <w:u w:val="single"/>
        </w:rPr>
        <w:t>add</w:t>
      </w:r>
      <w:r w:rsidRPr="008706AF">
        <w:t xml:space="preserve"> any third party (in</w:t>
      </w:r>
      <w:r w:rsidR="00C77934" w:rsidRPr="008706AF">
        <w:t> </w:t>
      </w:r>
      <w:r w:rsidRPr="008706AF">
        <w:t xml:space="preserve">particular the Father) as the [SDM] (currently registered to be </w:t>
      </w:r>
      <w:r w:rsidR="00C77934" w:rsidRPr="008706AF">
        <w:t>[</w:t>
      </w:r>
      <w:r w:rsidRPr="008706AF">
        <w:t>the</w:t>
      </w:r>
      <w:r w:rsidR="00C77934" w:rsidRPr="008706AF">
        <w:t xml:space="preserve"> Mother] </w:t>
      </w:r>
      <w:r w:rsidRPr="008706AF">
        <w:t>…”</w:t>
      </w:r>
      <w:r w:rsidR="00CB2250" w:rsidRPr="008706AF">
        <w:t>.</w:t>
      </w:r>
      <w:r w:rsidRPr="008706AF">
        <w:t xml:space="preserve">   </w:t>
      </w:r>
    </w:p>
    <w:p w:rsidR="00350E10" w:rsidRPr="008706AF" w:rsidRDefault="00350E10" w:rsidP="00350E10">
      <w:pPr>
        <w:pStyle w:val="para"/>
        <w:spacing w:before="440"/>
      </w:pPr>
      <w:proofErr w:type="spellStart"/>
      <w:r w:rsidRPr="008706AF">
        <w:t>Mr</w:t>
      </w:r>
      <w:proofErr w:type="spellEnd"/>
      <w:r w:rsidRPr="008706AF">
        <w:t xml:space="preserve"> Li relies on section 49(1) of EHRSSO, which provides that the Commissioner has, amongst others, the following functions:</w:t>
      </w:r>
    </w:p>
    <w:p w:rsidR="00350E10" w:rsidRPr="008706AF" w:rsidRDefault="00350E10" w:rsidP="00ED65C1">
      <w:pPr>
        <w:pStyle w:val="para"/>
        <w:numPr>
          <w:ilvl w:val="0"/>
          <w:numId w:val="0"/>
        </w:numPr>
        <w:tabs>
          <w:tab w:val="clear" w:pos="1440"/>
        </w:tabs>
        <w:spacing w:before="240" w:after="120" w:line="240" w:lineRule="auto"/>
        <w:ind w:left="1987" w:right="1109" w:hanging="637"/>
        <w:rPr>
          <w:sz w:val="24"/>
          <w:szCs w:val="24"/>
        </w:rPr>
      </w:pPr>
      <w:r w:rsidRPr="008706AF">
        <w:rPr>
          <w:sz w:val="24"/>
          <w:szCs w:val="24"/>
        </w:rPr>
        <w:t>“(a)</w:t>
      </w:r>
      <w:r w:rsidRPr="008706AF">
        <w:rPr>
          <w:sz w:val="24"/>
          <w:szCs w:val="24"/>
        </w:rPr>
        <w:tab/>
        <w:t xml:space="preserve">to establish, </w:t>
      </w:r>
      <w:r w:rsidRPr="008706AF">
        <w:rPr>
          <w:i/>
          <w:sz w:val="24"/>
          <w:szCs w:val="24"/>
        </w:rPr>
        <w:t xml:space="preserve">operate and maintain </w:t>
      </w:r>
      <w:r w:rsidRPr="008706AF">
        <w:rPr>
          <w:sz w:val="24"/>
          <w:szCs w:val="24"/>
        </w:rPr>
        <w:t>and develop the System;</w:t>
      </w:r>
    </w:p>
    <w:p w:rsidR="00350E10" w:rsidRPr="008706AF" w:rsidRDefault="00350E10" w:rsidP="00ED65C1">
      <w:pPr>
        <w:pStyle w:val="para"/>
        <w:numPr>
          <w:ilvl w:val="0"/>
          <w:numId w:val="0"/>
        </w:numPr>
        <w:tabs>
          <w:tab w:val="clear" w:pos="1440"/>
        </w:tabs>
        <w:spacing w:before="240" w:after="120" w:line="240" w:lineRule="auto"/>
        <w:ind w:left="1987" w:right="1109" w:hanging="547"/>
        <w:rPr>
          <w:sz w:val="24"/>
          <w:szCs w:val="24"/>
        </w:rPr>
      </w:pPr>
      <w:r w:rsidRPr="008706AF">
        <w:rPr>
          <w:sz w:val="24"/>
          <w:szCs w:val="24"/>
        </w:rPr>
        <w:t xml:space="preserve">(b) </w:t>
      </w:r>
      <w:r w:rsidR="00ED65C1" w:rsidRPr="008706AF">
        <w:rPr>
          <w:sz w:val="24"/>
          <w:szCs w:val="24"/>
        </w:rPr>
        <w:tab/>
        <w:t xml:space="preserve">to regulate and </w:t>
      </w:r>
      <w:r w:rsidR="00ED65C1" w:rsidRPr="008706AF">
        <w:rPr>
          <w:i/>
          <w:sz w:val="24"/>
          <w:szCs w:val="24"/>
        </w:rPr>
        <w:t xml:space="preserve">supervise </w:t>
      </w:r>
      <w:r w:rsidR="00ED65C1" w:rsidRPr="008706AF">
        <w:rPr>
          <w:sz w:val="24"/>
          <w:szCs w:val="24"/>
        </w:rPr>
        <w:t xml:space="preserve">the sharing and </w:t>
      </w:r>
      <w:r w:rsidR="00ED65C1" w:rsidRPr="008706AF">
        <w:rPr>
          <w:i/>
          <w:sz w:val="24"/>
          <w:szCs w:val="24"/>
        </w:rPr>
        <w:t xml:space="preserve">using of data and information </w:t>
      </w:r>
      <w:r w:rsidR="00ED65C1" w:rsidRPr="008706AF">
        <w:rPr>
          <w:sz w:val="24"/>
          <w:szCs w:val="24"/>
        </w:rPr>
        <w:t>contained in the System;</w:t>
      </w:r>
      <w:r w:rsidR="005027DA" w:rsidRPr="008706AF">
        <w:rPr>
          <w:sz w:val="24"/>
          <w:szCs w:val="24"/>
        </w:rPr>
        <w:t>”</w:t>
      </w:r>
    </w:p>
    <w:p w:rsidR="00350E10" w:rsidRPr="008706AF" w:rsidRDefault="005027DA" w:rsidP="005027DA">
      <w:pPr>
        <w:pStyle w:val="para"/>
        <w:numPr>
          <w:ilvl w:val="0"/>
          <w:numId w:val="0"/>
        </w:numPr>
        <w:tabs>
          <w:tab w:val="clear" w:pos="1440"/>
          <w:tab w:val="left" w:pos="1980"/>
        </w:tabs>
        <w:spacing w:before="360" w:after="440"/>
        <w:ind w:right="29"/>
      </w:pPr>
      <w:r w:rsidRPr="008706AF">
        <w:t>Under Section 49(2),</w:t>
      </w:r>
      <w:r w:rsidRPr="008706AF">
        <w:rPr>
          <w:i/>
        </w:rPr>
        <w:t xml:space="preserve"> </w:t>
      </w:r>
      <w:r w:rsidR="00BC00F1" w:rsidRPr="008706AF">
        <w:t>t</w:t>
      </w:r>
      <w:r w:rsidR="00350E10" w:rsidRPr="008706AF">
        <w:t>he Commissioner may do anything necessary for, or incidental or conducive to, the performance of a function</w:t>
      </w:r>
      <w:r w:rsidRPr="008706AF">
        <w:t xml:space="preserve"> of a Commissioner.</w:t>
      </w:r>
    </w:p>
    <w:p w:rsidR="00ED65C1" w:rsidRPr="008706AF" w:rsidRDefault="00ED65C1" w:rsidP="00ED65C1">
      <w:pPr>
        <w:pStyle w:val="para"/>
        <w:spacing w:before="440"/>
      </w:pPr>
      <w:proofErr w:type="spellStart"/>
      <w:r w:rsidRPr="008706AF">
        <w:t>Mr</w:t>
      </w:r>
      <w:proofErr w:type="spellEnd"/>
      <w:r w:rsidRPr="008706AF">
        <w:t xml:space="preserve"> Li therefore submits that the Commissioner retains a “catch-all power” in regulating and supervising the use of data and information stored in the System, including the refusal to register an additional SDM, even though this power is not spelt out specifically.</w:t>
      </w:r>
    </w:p>
    <w:p w:rsidR="00ED65C1" w:rsidRPr="008706AF" w:rsidRDefault="00ED65C1" w:rsidP="00ED65C1">
      <w:pPr>
        <w:pStyle w:val="para"/>
        <w:spacing w:before="440"/>
      </w:pPr>
      <w:r w:rsidRPr="008706AF">
        <w:t xml:space="preserve">With </w:t>
      </w:r>
      <w:r w:rsidR="0015112D" w:rsidRPr="008706AF">
        <w:t>respect, there is no summons before the Court to change the wording of the 1</w:t>
      </w:r>
      <w:r w:rsidR="0015112D" w:rsidRPr="008706AF">
        <w:rPr>
          <w:vertAlign w:val="superscript"/>
        </w:rPr>
        <w:t>st</w:t>
      </w:r>
      <w:r w:rsidR="0015112D" w:rsidRPr="008706AF">
        <w:t xml:space="preserve"> Order</w:t>
      </w:r>
      <w:r w:rsidR="007F2BE7" w:rsidRPr="008706AF">
        <w:t>.</w:t>
      </w:r>
      <w:r w:rsidRPr="008706AF">
        <w:t xml:space="preserve">  </w:t>
      </w:r>
    </w:p>
    <w:p w:rsidR="0015112D" w:rsidRPr="008706AF" w:rsidRDefault="0015112D" w:rsidP="0015112D">
      <w:pPr>
        <w:pStyle w:val="para"/>
        <w:spacing w:before="440"/>
      </w:pPr>
      <w:r w:rsidRPr="008706AF">
        <w:lastRenderedPageBreak/>
        <w:t xml:space="preserve">Further, section 49 </w:t>
      </w:r>
      <w:r w:rsidR="00966881" w:rsidRPr="008706AF">
        <w:t xml:space="preserve">of </w:t>
      </w:r>
      <w:r w:rsidRPr="008706AF">
        <w:t>EHRSSO governs the general administrative powers of the Commissioner in operating the System and not in registration of an SDM.  A “catch-all” provision cannot override the specific powers of the Commissioner under section</w:t>
      </w:r>
      <w:r w:rsidR="00966881" w:rsidRPr="008706AF">
        <w:t>s</w:t>
      </w:r>
      <w:r w:rsidRPr="008706AF">
        <w:t xml:space="preserve"> 3(2)(a)</w:t>
      </w:r>
      <w:r w:rsidR="00966881" w:rsidRPr="008706AF">
        <w:t>, 6, 8 and 9</w:t>
      </w:r>
      <w:r w:rsidR="00ED65C1" w:rsidRPr="008706AF">
        <w:t>.</w:t>
      </w:r>
      <w:r w:rsidRPr="008706AF">
        <w:t xml:space="preserve"> </w:t>
      </w:r>
    </w:p>
    <w:p w:rsidR="0015112D" w:rsidRPr="008706AF" w:rsidRDefault="0015112D" w:rsidP="0015112D">
      <w:pPr>
        <w:pStyle w:val="para"/>
      </w:pPr>
      <w:r w:rsidRPr="008706AF">
        <w:t xml:space="preserve">In any case, even if </w:t>
      </w:r>
      <w:proofErr w:type="spellStart"/>
      <w:r w:rsidRPr="008706AF">
        <w:t>Mr</w:t>
      </w:r>
      <w:proofErr w:type="spellEnd"/>
      <w:r w:rsidRPr="008706AF">
        <w:t xml:space="preserve"> Li’s interpretation of section 49(1) of EHRSSO is correct, whether to continue the 1</w:t>
      </w:r>
      <w:r w:rsidRPr="008706AF">
        <w:rPr>
          <w:vertAlign w:val="superscript"/>
        </w:rPr>
        <w:t>st</w:t>
      </w:r>
      <w:r w:rsidRPr="008706AF">
        <w:t xml:space="preserve"> Order is a matter of discretion, which I shall come to in the other 2 Grounds.</w:t>
      </w:r>
    </w:p>
    <w:p w:rsidR="00ED65C1" w:rsidRPr="008706AF" w:rsidRDefault="0015112D" w:rsidP="0015112D">
      <w:pPr>
        <w:pStyle w:val="para"/>
      </w:pPr>
      <w:r w:rsidRPr="008706AF">
        <w:t>The Commissioner’s first jurisdictional challenge succeeds.</w:t>
      </w:r>
    </w:p>
    <w:p w:rsidR="00ED65C1" w:rsidRPr="008706AF" w:rsidRDefault="00ED65C1" w:rsidP="00ED65C1">
      <w:pPr>
        <w:pStyle w:val="para"/>
        <w:numPr>
          <w:ilvl w:val="0"/>
          <w:numId w:val="0"/>
        </w:numPr>
        <w:tabs>
          <w:tab w:val="clear" w:pos="1440"/>
          <w:tab w:val="left" w:pos="720"/>
        </w:tabs>
        <w:spacing w:before="440"/>
        <w:rPr>
          <w:i/>
        </w:rPr>
      </w:pPr>
      <w:r w:rsidRPr="008706AF">
        <w:rPr>
          <w:i/>
        </w:rPr>
        <w:t>C2.</w:t>
      </w:r>
      <w:r w:rsidRPr="008706AF">
        <w:rPr>
          <w:i/>
        </w:rPr>
        <w:tab/>
        <w:t>No injunction should be</w:t>
      </w:r>
      <w:r w:rsidR="0015112D" w:rsidRPr="008706AF">
        <w:rPr>
          <w:i/>
          <w:sz w:val="24"/>
          <w:szCs w:val="24"/>
        </w:rPr>
        <w:t xml:space="preserve"> </w:t>
      </w:r>
      <w:r w:rsidR="0015112D" w:rsidRPr="008706AF">
        <w:rPr>
          <w:i/>
        </w:rPr>
        <w:t>imposed under both Orders</w:t>
      </w:r>
    </w:p>
    <w:p w:rsidR="00ED65C1" w:rsidRPr="008706AF" w:rsidRDefault="0015112D" w:rsidP="00B727BC">
      <w:pPr>
        <w:pStyle w:val="para"/>
      </w:pPr>
      <w:proofErr w:type="spellStart"/>
      <w:r w:rsidRPr="008706AF">
        <w:t>Mr</w:t>
      </w:r>
      <w:proofErr w:type="spellEnd"/>
      <w:r w:rsidRPr="008706AF">
        <w:t xml:space="preserve"> Chan submits that the Commissioner and the Director are not parties to these CACO proceedings.  They were merely served with the Orders.  Section</w:t>
      </w:r>
      <w:r w:rsidRPr="008706AF">
        <w:rPr>
          <w:rFonts w:eastAsia="PMingLiU"/>
          <w:lang w:eastAsia="zh-TW"/>
        </w:rPr>
        <w:t> </w:t>
      </w:r>
      <w:r w:rsidRPr="008706AF">
        <w:t xml:space="preserve">16(2) of the Crown Proceedings Ordinance, Cap 300 (“CPO") provides that the court shall not “in any civil proceedings grant any injunction or make any order against an officer of the government if the effect of granting the injunction or making the order would be to give any relief against the government which could not have been obtained in proceedings against the government.”  See </w:t>
      </w:r>
      <w:r w:rsidRPr="008706AF">
        <w:rPr>
          <w:i/>
        </w:rPr>
        <w:t xml:space="preserve">Next Digital Ltd &amp; others v Commissioner of Police </w:t>
      </w:r>
      <w:r w:rsidRPr="008706AF">
        <w:t xml:space="preserve">[2021] HKCFI 1677, §§84, 87 and 90 of Wilson Chan J.  </w:t>
      </w:r>
      <w:r w:rsidR="00B727BC" w:rsidRPr="008706AF">
        <w:t xml:space="preserve">The Court would not give any relief against the Commissioner or the Director which could not have been obtained in proceedings against them.  </w:t>
      </w:r>
      <w:r w:rsidRPr="008706AF">
        <w:t xml:space="preserve">Nor would the Court give relief </w:t>
      </w:r>
      <w:r w:rsidR="00B727BC" w:rsidRPr="008706AF">
        <w:t xml:space="preserve">against </w:t>
      </w:r>
      <w:r w:rsidRPr="008706AF">
        <w:t>them in these CACO proceedings.  Accordingly, the Court cannot impose the 2 Orders against them. Any injunction against registration as an SDM, if thought fit, should be against the Father.  I agree</w:t>
      </w:r>
      <w:r w:rsidR="00CC5B0E" w:rsidRPr="008706AF">
        <w:t>.</w:t>
      </w:r>
    </w:p>
    <w:p w:rsidR="00A42A0A" w:rsidRPr="008706AF" w:rsidRDefault="0015112D" w:rsidP="0015112D">
      <w:pPr>
        <w:pStyle w:val="para"/>
        <w:spacing w:before="440"/>
      </w:pPr>
      <w:proofErr w:type="spellStart"/>
      <w:r w:rsidRPr="008706AF">
        <w:lastRenderedPageBreak/>
        <w:t>Mr</w:t>
      </w:r>
      <w:proofErr w:type="spellEnd"/>
      <w:r w:rsidRPr="008706AF">
        <w:t xml:space="preserve"> Li seeks to persuade me otherwise.  </w:t>
      </w:r>
      <w:r w:rsidRPr="008706AF">
        <w:rPr>
          <w:u w:val="single"/>
        </w:rPr>
        <w:t>Firstly</w:t>
      </w:r>
      <w:r w:rsidRPr="008706AF">
        <w:t xml:space="preserve">, he submits that section 16 of CPO does not apply to the Court’s jurisdiction over minors.  This is because in section 2(2) of CPO, “civil proceedings” expressly excludes “proceedings of a nature such as in England are taken on the Crown side of the Queen’s Bench Division of Her Majesty’s High Court of Justice”, </w:t>
      </w:r>
      <w:proofErr w:type="spellStart"/>
      <w:r w:rsidRPr="008706AF">
        <w:t>ie</w:t>
      </w:r>
      <w:proofErr w:type="spellEnd"/>
      <w:r w:rsidRPr="008706AF">
        <w:t xml:space="preserve"> proceedings concerning criminal and prerogative jurisdiction: </w:t>
      </w:r>
      <w:r w:rsidRPr="008706AF">
        <w:rPr>
          <w:i/>
        </w:rPr>
        <w:t xml:space="preserve">Jade’s Realm Ltd </w:t>
      </w:r>
      <w:proofErr w:type="gramStart"/>
      <w:r w:rsidRPr="008706AF">
        <w:rPr>
          <w:i/>
        </w:rPr>
        <w:t>v</w:t>
      </w:r>
      <w:proofErr w:type="gramEnd"/>
      <w:r w:rsidRPr="008706AF">
        <w:rPr>
          <w:i/>
        </w:rPr>
        <w:t xml:space="preserve"> Director of Lands </w:t>
      </w:r>
      <w:r w:rsidRPr="008706AF">
        <w:t xml:space="preserve">[2015] 1 HKLRD 867, §41, Ng J.  </w:t>
      </w:r>
    </w:p>
    <w:p w:rsidR="00A42A0A" w:rsidRPr="008706AF" w:rsidRDefault="0015112D" w:rsidP="0015112D">
      <w:pPr>
        <w:pStyle w:val="para"/>
        <w:spacing w:before="440"/>
        <w:rPr>
          <w:b/>
        </w:rPr>
      </w:pPr>
      <w:r w:rsidRPr="008706AF">
        <w:t xml:space="preserve">The Court’s </w:t>
      </w:r>
      <w:proofErr w:type="spellStart"/>
      <w:r w:rsidRPr="008706AF">
        <w:rPr>
          <w:i/>
        </w:rPr>
        <w:t>parens</w:t>
      </w:r>
      <w:proofErr w:type="spellEnd"/>
      <w:r w:rsidRPr="008706AF">
        <w:rPr>
          <w:i/>
        </w:rPr>
        <w:t xml:space="preserve"> </w:t>
      </w:r>
      <w:proofErr w:type="spellStart"/>
      <w:r w:rsidRPr="008706AF">
        <w:rPr>
          <w:i/>
        </w:rPr>
        <w:t>patriae</w:t>
      </w:r>
      <w:proofErr w:type="spellEnd"/>
      <w:r w:rsidRPr="008706AF">
        <w:rPr>
          <w:i/>
        </w:rPr>
        <w:t xml:space="preserve"> </w:t>
      </w:r>
      <w:r w:rsidRPr="008706AF">
        <w:t xml:space="preserve">jurisdiction to take care of those who are not able to take care of themselves forms part of the prerogative and inherent jurisdiction of the High Court: </w:t>
      </w:r>
      <w:proofErr w:type="spellStart"/>
      <w:r w:rsidRPr="008706AF">
        <w:rPr>
          <w:i/>
        </w:rPr>
        <w:t>Tameside</w:t>
      </w:r>
      <w:proofErr w:type="spellEnd"/>
      <w:r w:rsidRPr="008706AF">
        <w:rPr>
          <w:i/>
        </w:rPr>
        <w:t xml:space="preserve"> Metropolitan Borough Council v AM </w:t>
      </w:r>
      <w:r w:rsidRPr="008706AF">
        <w:t xml:space="preserve">[2021] EWHC 2472 (Fam), §47.  </w:t>
      </w:r>
    </w:p>
    <w:p w:rsidR="00A42A0A" w:rsidRPr="008706AF" w:rsidRDefault="0015112D" w:rsidP="00A42A0A">
      <w:pPr>
        <w:pStyle w:val="para"/>
        <w:spacing w:before="440"/>
        <w:rPr>
          <w:b/>
        </w:rPr>
      </w:pPr>
      <w:r w:rsidRPr="008706AF">
        <w:t xml:space="preserve">In circumstances where the statutory scheme does not oust the inherent jurisdiction, it must be open to the court to deploy that jurisdiction where the application of the statutory scheme in circumstances not covered by or anticipated by the Act would result in a failure to safeguard and promote the welfare of the subject child: </w:t>
      </w:r>
      <w:proofErr w:type="spellStart"/>
      <w:r w:rsidRPr="008706AF">
        <w:rPr>
          <w:i/>
        </w:rPr>
        <w:t>Tameside</w:t>
      </w:r>
      <w:proofErr w:type="spellEnd"/>
      <w:r w:rsidRPr="008706AF">
        <w:rPr>
          <w:i/>
        </w:rPr>
        <w:t xml:space="preserve"> </w:t>
      </w:r>
      <w:r w:rsidRPr="008706AF">
        <w:t>§77.</w:t>
      </w:r>
      <w:r w:rsidR="00A42A0A" w:rsidRPr="008706AF">
        <w:t xml:space="preserve"> </w:t>
      </w:r>
    </w:p>
    <w:p w:rsidR="00A42A0A" w:rsidRPr="008706AF" w:rsidRDefault="0015112D" w:rsidP="00A42A0A">
      <w:pPr>
        <w:pStyle w:val="para"/>
        <w:spacing w:before="440"/>
        <w:rPr>
          <w:b/>
        </w:rPr>
      </w:pPr>
      <w:r w:rsidRPr="008706AF">
        <w:t xml:space="preserve">The inherent jurisdiction of the High Court over a child is well entrenched in Hong Kong in relation to children matters.  One should proceed on the basis that in appropriate situations which involve a child who is a permanent resident of Hong Kong, the Court would step in and exercise its traditional protective role over the child if he or she is not physically present in Hong Kong at the time of the application: </w:t>
      </w:r>
      <w:r w:rsidRPr="008706AF">
        <w:rPr>
          <w:i/>
        </w:rPr>
        <w:t xml:space="preserve">QMY v GSS </w:t>
      </w:r>
      <w:r w:rsidRPr="008706AF">
        <w:t xml:space="preserve">[2015] 4 HKLRD 641, Cheung JA, §8.3. </w:t>
      </w:r>
    </w:p>
    <w:p w:rsidR="00A42A0A" w:rsidRPr="008706AF" w:rsidRDefault="0015112D" w:rsidP="00A42A0A">
      <w:pPr>
        <w:pStyle w:val="para"/>
        <w:spacing w:before="440"/>
      </w:pPr>
      <w:r w:rsidRPr="008706AF">
        <w:t xml:space="preserve">Accordingly, </w:t>
      </w:r>
      <w:proofErr w:type="spellStart"/>
      <w:r w:rsidRPr="008706AF">
        <w:t>Mr</w:t>
      </w:r>
      <w:proofErr w:type="spellEnd"/>
      <w:r w:rsidRPr="008706AF">
        <w:t xml:space="preserve"> Li submits that section 16 of CPO does not apply when it comes to the Court’s inherent jurisdiction over YL</w:t>
      </w:r>
      <w:r w:rsidR="00A42A0A" w:rsidRPr="008706AF">
        <w:t>.</w:t>
      </w:r>
    </w:p>
    <w:p w:rsidR="00A42A0A" w:rsidRPr="008706AF" w:rsidRDefault="0015112D" w:rsidP="00A42A0A">
      <w:pPr>
        <w:pStyle w:val="para"/>
        <w:spacing w:before="440"/>
      </w:pPr>
      <w:r w:rsidRPr="008706AF">
        <w:rPr>
          <w:u w:val="single"/>
        </w:rPr>
        <w:lastRenderedPageBreak/>
        <w:t>Secondly</w:t>
      </w:r>
      <w:r w:rsidRPr="008706AF">
        <w:t xml:space="preserve">, under CACO, the Court’s jurisdiction to grant injunctive relief is embedded in section 7(1)(a) which provides that before an application under Part 2 (pursuant to </w:t>
      </w:r>
      <w:proofErr w:type="gramStart"/>
      <w:r w:rsidRPr="008706AF">
        <w:t>the Hague</w:t>
      </w:r>
      <w:proofErr w:type="gramEnd"/>
      <w:r w:rsidRPr="008706AF">
        <w:t xml:space="preserve"> Convention) is determined, the Court of First Instance may give an interim direction as the Court thinks fit “for securing the welfare of the child concerned, or for preventing changes in the circumstances relevant to determining the application”</w:t>
      </w:r>
      <w:r w:rsidR="00A42A0A" w:rsidRPr="008706AF">
        <w:t xml:space="preserve">.  </w:t>
      </w:r>
    </w:p>
    <w:p w:rsidR="00B727BC" w:rsidRPr="008706AF" w:rsidRDefault="00B727BC" w:rsidP="00A42A0A">
      <w:pPr>
        <w:pStyle w:val="para"/>
        <w:spacing w:before="440"/>
      </w:pPr>
      <w:r w:rsidRPr="008706AF">
        <w:rPr>
          <w:u w:val="single"/>
        </w:rPr>
        <w:t>Thirdly</w:t>
      </w:r>
      <w:r w:rsidRPr="008706AF">
        <w:t>, if that is not enough, Section 21L of the High Court Ordinance</w:t>
      </w:r>
      <w:r w:rsidR="00B75EBF" w:rsidRPr="008706AF">
        <w:t>,</w:t>
      </w:r>
      <w:r w:rsidRPr="008706AF">
        <w:t xml:space="preserve"> Cap 4 empowers the Court of </w:t>
      </w:r>
      <w:r w:rsidR="00B75EBF" w:rsidRPr="008706AF">
        <w:t>F</w:t>
      </w:r>
      <w:r w:rsidRPr="008706AF">
        <w:t>irst Instance to grant an injunction in all cases in which it appears to be just and convenient to do so.</w:t>
      </w:r>
    </w:p>
    <w:p w:rsidR="00A42A0A" w:rsidRPr="008706AF" w:rsidRDefault="0015112D" w:rsidP="00A42A0A">
      <w:pPr>
        <w:pStyle w:val="para"/>
        <w:spacing w:before="440"/>
      </w:pPr>
      <w:r w:rsidRPr="008706AF">
        <w:t>I have no doubt that the Court in the exercise of its inherent jurisdiction over a minor, will have powers to impose injunctions for the minor’s protection, whether under CACO or s.21L of the High Court Ordinance or otherwise.  I also accept that Section 16 of CPO does not apply to civil proceedings involving a minor, as a matter of principle</w:t>
      </w:r>
      <w:r w:rsidR="00A42A0A" w:rsidRPr="008706AF">
        <w:t>.</w:t>
      </w:r>
    </w:p>
    <w:p w:rsidR="00A42A0A" w:rsidRPr="008706AF" w:rsidRDefault="0015112D" w:rsidP="00A42A0A">
      <w:pPr>
        <w:pStyle w:val="para"/>
        <w:spacing w:before="440"/>
      </w:pPr>
      <w:r w:rsidRPr="008706AF">
        <w:t xml:space="preserve">However, notwithstanding the wide inherent jurisdiction over minors, the courts choose as a matter of policy not to exercise them because another public authority has power in the substance of the matter: </w:t>
      </w:r>
      <w:r w:rsidRPr="008706AF">
        <w:rPr>
          <w:i/>
        </w:rPr>
        <w:t xml:space="preserve">Rayden &amp; Jackson on Divorce and Family Matters, </w:t>
      </w:r>
      <w:r w:rsidRPr="008706AF">
        <w:t xml:space="preserve">18 </w:t>
      </w:r>
      <w:proofErr w:type="spellStart"/>
      <w:r w:rsidRPr="008706AF">
        <w:t>ed</w:t>
      </w:r>
      <w:proofErr w:type="spellEnd"/>
      <w:r w:rsidRPr="008706AF">
        <w:t>, Vol 2, at §36.44</w:t>
      </w:r>
      <w:r w:rsidR="00A42A0A" w:rsidRPr="008706AF">
        <w:t>.</w:t>
      </w:r>
    </w:p>
    <w:p w:rsidR="00A42A0A" w:rsidRPr="008706AF" w:rsidRDefault="0015112D" w:rsidP="00A42A0A">
      <w:pPr>
        <w:pStyle w:val="para"/>
        <w:spacing w:before="440"/>
      </w:pPr>
      <w:r w:rsidRPr="008706AF">
        <w:t xml:space="preserve">The present case involves registration of an SDM as part of the management of the System.  As </w:t>
      </w:r>
      <w:proofErr w:type="spellStart"/>
      <w:r w:rsidRPr="008706AF">
        <w:t>Mr</w:t>
      </w:r>
      <w:proofErr w:type="spellEnd"/>
      <w:r w:rsidRPr="008706AF">
        <w:t xml:space="preserve"> Chan submits, the Commissioner has power to accept registration of a </w:t>
      </w:r>
      <w:r w:rsidRPr="008706AF">
        <w:rPr>
          <w:i/>
        </w:rPr>
        <w:t xml:space="preserve">healthcare recipient </w:t>
      </w:r>
      <w:r w:rsidRPr="008706AF">
        <w:t xml:space="preserve">(or an SDM if the healthcare recipient is a minor) if certain administrative steps have been complied with: sections 6 and 8 of EHRSSO.  Only if the Commissioner is </w:t>
      </w:r>
      <w:r w:rsidRPr="008706AF">
        <w:lastRenderedPageBreak/>
        <w:t xml:space="preserve">satisfied that registering the </w:t>
      </w:r>
      <w:r w:rsidRPr="008706AF">
        <w:rPr>
          <w:i/>
        </w:rPr>
        <w:t xml:space="preserve">healthcare recipient </w:t>
      </w:r>
      <w:r w:rsidRPr="008706AF">
        <w:t>(not SDM) “may impair the security or compromise the integrity of the System” can the Commissioner refuse to register: section 8(2) of EHRSSO.  There is no suggestion that section 8(2) applies</w:t>
      </w:r>
      <w:r w:rsidR="00A42A0A" w:rsidRPr="008706AF">
        <w:t>.</w:t>
      </w:r>
    </w:p>
    <w:p w:rsidR="00A42A0A" w:rsidRPr="008706AF" w:rsidRDefault="0015112D" w:rsidP="00A42A0A">
      <w:pPr>
        <w:pStyle w:val="para"/>
        <w:spacing w:before="440"/>
      </w:pPr>
      <w:proofErr w:type="spellStart"/>
      <w:r w:rsidRPr="008706AF">
        <w:t>Mr</w:t>
      </w:r>
      <w:proofErr w:type="spellEnd"/>
      <w:r w:rsidRPr="008706AF">
        <w:t xml:space="preserve"> Li has not justified why the Court’s inherent jurisdiction over children should be exercised to enable the Court to interfere with the statutory and administrative functions of 2 </w:t>
      </w:r>
      <w:r w:rsidRPr="008706AF">
        <w:rPr>
          <w:i/>
        </w:rPr>
        <w:t>non-parties</w:t>
      </w:r>
      <w:r w:rsidRPr="008706AF">
        <w:t xml:space="preserve"> who have committed no wrong.  </w:t>
      </w:r>
      <w:proofErr w:type="spellStart"/>
      <w:r w:rsidRPr="008706AF">
        <w:t>Mr</w:t>
      </w:r>
      <w:proofErr w:type="spellEnd"/>
      <w:r w:rsidRPr="008706AF">
        <w:t xml:space="preserve"> Li does not even pass the hurdle of showing a serious issue to be tried between the parties in these CACO proceedings and the Commissioner/Director to justify an injunction.  Nor has he explained why, </w:t>
      </w:r>
      <w:proofErr w:type="spellStart"/>
      <w:r w:rsidRPr="008706AF">
        <w:t>eg</w:t>
      </w:r>
      <w:proofErr w:type="spellEnd"/>
      <w:r w:rsidRPr="008706AF">
        <w:t xml:space="preserve"> an injunction against </w:t>
      </w:r>
      <w:r w:rsidRPr="008706AF">
        <w:rPr>
          <w:i/>
        </w:rPr>
        <w:t>the Father</w:t>
      </w:r>
      <w:r w:rsidRPr="008706AF">
        <w:t xml:space="preserve"> to register as an SDM would not suffice</w:t>
      </w:r>
      <w:r w:rsidR="00A42A0A" w:rsidRPr="008706AF">
        <w:t xml:space="preserve">. </w:t>
      </w:r>
    </w:p>
    <w:p w:rsidR="00385AD4" w:rsidRPr="008706AF" w:rsidRDefault="00385AD4"/>
    <w:p w:rsidR="00385AD4" w:rsidRPr="008706AF" w:rsidRDefault="00385AD4" w:rsidP="00385AD4">
      <w:pPr>
        <w:pStyle w:val="para"/>
        <w:spacing w:before="440"/>
      </w:pPr>
      <w:r w:rsidRPr="008706AF">
        <w:t>The 2</w:t>
      </w:r>
      <w:r w:rsidRPr="008706AF">
        <w:rPr>
          <w:vertAlign w:val="superscript"/>
        </w:rPr>
        <w:t>nd</w:t>
      </w:r>
      <w:r w:rsidRPr="008706AF">
        <w:t xml:space="preserve"> jurisdictional challenge succeeds.  I therefore set aside the 2 Orders.  </w:t>
      </w:r>
    </w:p>
    <w:p w:rsidR="00385AD4" w:rsidRPr="008706AF" w:rsidRDefault="00385AD4" w:rsidP="00385AD4">
      <w:pPr>
        <w:pStyle w:val="para"/>
        <w:spacing w:before="440"/>
      </w:pPr>
      <w:r w:rsidRPr="008706AF">
        <w:t>Even if I am wrong in declining to exercise my powers under the inherent jurisdiction, the fundamental question for the Court is, as always, whether it is in the best interests of YL to continue the Orders, amending the 1</w:t>
      </w:r>
      <w:r w:rsidRPr="008706AF">
        <w:rPr>
          <w:vertAlign w:val="superscript"/>
        </w:rPr>
        <w:t>st</w:t>
      </w:r>
      <w:r w:rsidRPr="008706AF">
        <w:t xml:space="preserve"> Order as proposed.  That brings me to the other 2 Grounds. </w:t>
      </w:r>
    </w:p>
    <w:p w:rsidR="00A42A0A" w:rsidRPr="008706AF" w:rsidRDefault="00E70A74" w:rsidP="00E70A74">
      <w:pPr>
        <w:pStyle w:val="subheading"/>
      </w:pPr>
      <w:r>
        <w:t>D.</w:t>
      </w:r>
      <w:r>
        <w:tab/>
      </w:r>
      <w:r w:rsidR="00A42A0A" w:rsidRPr="008706AF">
        <w:t>Purpose Ground</w:t>
      </w:r>
    </w:p>
    <w:p w:rsidR="00A42A0A" w:rsidRPr="008706AF" w:rsidRDefault="00385AD4" w:rsidP="00A42A0A">
      <w:pPr>
        <w:pStyle w:val="para"/>
        <w:spacing w:before="440"/>
      </w:pPr>
      <w:r w:rsidRPr="008706AF">
        <w:t>YL has now been located and reunited with the Mother.  They are in Singapore pending resolution by the Singapore Courts of the issue</w:t>
      </w:r>
      <w:r w:rsidR="00B75EBF" w:rsidRPr="008706AF">
        <w:t>s</w:t>
      </w:r>
      <w:r w:rsidRPr="008706AF">
        <w:t xml:space="preserve"> </w:t>
      </w:r>
      <w:r w:rsidR="00750562" w:rsidRPr="008706AF">
        <w:t xml:space="preserve">as to return of YL to her place of habitual residence.  </w:t>
      </w:r>
      <w:r w:rsidRPr="008706AF">
        <w:t xml:space="preserve">The questions of custody will later be dealt with by the courts of the jurisdiction where YL </w:t>
      </w:r>
      <w:r w:rsidRPr="008706AF">
        <w:lastRenderedPageBreak/>
        <w:t xml:space="preserve">habitually resides.  There have been only about 2 months when the Minor had lived with the Father to the exclusion of the Mother before the matter was seized by the Singapore Court.  The Singapore Court has, in the interim, ordered that YL do remain in the care and control of the Mother with supervised access to the Father.  There can hardly be any status quo in </w:t>
      </w:r>
      <w:proofErr w:type="spellStart"/>
      <w:r w:rsidRPr="008706AF">
        <w:t>favour</w:t>
      </w:r>
      <w:proofErr w:type="spellEnd"/>
      <w:r w:rsidRPr="008706AF">
        <w:t xml:space="preserve"> of the Father established simply out of these circumstances.  Any question of status quo would be dealt with substantively by the courts seized of the custody issue of YL.  Any issue relating to education and medical matters can be dealt with </w:t>
      </w:r>
      <w:r w:rsidR="00750562" w:rsidRPr="008706AF">
        <w:t>likewise</w:t>
      </w:r>
      <w:r w:rsidRPr="008706AF">
        <w:t>.  No useful purpose can be served by involving the Commissioner or the Director, or barring the Father from being an SDM or from having access to YL’s medical information.  This Ground alone is sufficient to set aside the Orders</w:t>
      </w:r>
      <w:r w:rsidR="00A42A0A" w:rsidRPr="008706AF">
        <w:t>.</w:t>
      </w:r>
    </w:p>
    <w:p w:rsidR="00A42A0A" w:rsidRPr="008706AF" w:rsidRDefault="00E70A74" w:rsidP="00E70A74">
      <w:pPr>
        <w:pStyle w:val="subheading"/>
      </w:pPr>
      <w:r>
        <w:t>E.</w:t>
      </w:r>
      <w:r>
        <w:tab/>
      </w:r>
      <w:r w:rsidR="002834C2" w:rsidRPr="008706AF">
        <w:t xml:space="preserve">Best Interests </w:t>
      </w:r>
      <w:r w:rsidR="00A42A0A" w:rsidRPr="008706AF">
        <w:t>Ground</w:t>
      </w:r>
    </w:p>
    <w:p w:rsidR="00A42A0A" w:rsidRPr="008706AF" w:rsidRDefault="00385AD4" w:rsidP="00A42A0A">
      <w:pPr>
        <w:pStyle w:val="para"/>
        <w:spacing w:before="440"/>
      </w:pPr>
      <w:r w:rsidRPr="008706AF">
        <w:t xml:space="preserve">As </w:t>
      </w:r>
      <w:proofErr w:type="spellStart"/>
      <w:r w:rsidRPr="008706AF">
        <w:t>Mr</w:t>
      </w:r>
      <w:proofErr w:type="spellEnd"/>
      <w:r w:rsidRPr="008706AF">
        <w:t xml:space="preserve"> Chan informs the Court, the record kept in the information system comprises (</w:t>
      </w:r>
      <w:proofErr w:type="spellStart"/>
      <w:r w:rsidRPr="008706AF">
        <w:t>i</w:t>
      </w:r>
      <w:proofErr w:type="spellEnd"/>
      <w:r w:rsidRPr="008706AF">
        <w:t>) the dates of medical appointment; (ii) vaccine records and (iii) allergy records.  There are also records of the diagnoses but access to them has to be dealt with under a separate data request channel</w:t>
      </w:r>
      <w:r w:rsidR="00A42A0A" w:rsidRPr="008706AF">
        <w:t>.</w:t>
      </w:r>
    </w:p>
    <w:p w:rsidR="00A42A0A" w:rsidRPr="008706AF" w:rsidRDefault="00385AD4" w:rsidP="00A42A0A">
      <w:pPr>
        <w:pStyle w:val="para"/>
        <w:spacing w:before="440"/>
      </w:pPr>
      <w:r w:rsidRPr="008706AF">
        <w:t>Those records can hardly assist any parent in establishing status quo or any custody issue.  On the other hand, not to release the allergy records, vaccination records and diagnoses to the Father (were he to bring YL to a professional healthcare provider of his choice) does more harm than good to YL because it may prevent her from receiving appropriate medical treatment</w:t>
      </w:r>
      <w:r w:rsidR="00A42A0A" w:rsidRPr="008706AF">
        <w:t xml:space="preserve">.  </w:t>
      </w:r>
    </w:p>
    <w:p w:rsidR="00A42A0A" w:rsidRPr="008706AF" w:rsidRDefault="00385AD4" w:rsidP="00A42A0A">
      <w:pPr>
        <w:pStyle w:val="para"/>
        <w:spacing w:before="440"/>
      </w:pPr>
      <w:r w:rsidRPr="008706AF">
        <w:lastRenderedPageBreak/>
        <w:t xml:space="preserve">This Court had expressly warned the Mother of this effect at the time the Orders were first made, when the type of records referred to in </w:t>
      </w:r>
      <w:r w:rsidR="00750562" w:rsidRPr="008706AF">
        <w:t>paragraph 4</w:t>
      </w:r>
      <w:r w:rsidR="00F23361" w:rsidRPr="008706AF">
        <w:t>5</w:t>
      </w:r>
      <w:r w:rsidRPr="008706AF">
        <w:t xml:space="preserve"> was unknown to the Court.  </w:t>
      </w:r>
      <w:proofErr w:type="spellStart"/>
      <w:r w:rsidRPr="008706AF">
        <w:t>Mr</w:t>
      </w:r>
      <w:proofErr w:type="spellEnd"/>
      <w:r w:rsidRPr="008706AF">
        <w:t xml:space="preserve"> Li has not addressed this </w:t>
      </w:r>
      <w:r w:rsidR="00750562" w:rsidRPr="008706AF">
        <w:t xml:space="preserve">matter </w:t>
      </w:r>
      <w:r w:rsidRPr="008706AF">
        <w:t xml:space="preserve">in his submission.  Having heard </w:t>
      </w:r>
      <w:proofErr w:type="spellStart"/>
      <w:r w:rsidRPr="008706AF">
        <w:t>Mr</w:t>
      </w:r>
      <w:proofErr w:type="spellEnd"/>
      <w:r w:rsidRPr="008706AF">
        <w:t xml:space="preserve"> Chan and </w:t>
      </w:r>
      <w:proofErr w:type="spellStart"/>
      <w:r w:rsidRPr="008706AF">
        <w:t>Mr</w:t>
      </w:r>
      <w:proofErr w:type="spellEnd"/>
      <w:r w:rsidRPr="008706AF">
        <w:t xml:space="preserve"> Yeung, and considering the Purpose Ground and </w:t>
      </w:r>
      <w:r w:rsidR="00750562" w:rsidRPr="008706AF">
        <w:t>Best Interests</w:t>
      </w:r>
      <w:r w:rsidRPr="008706AF">
        <w:t xml:space="preserve"> Ground, the balance is plainly in </w:t>
      </w:r>
      <w:proofErr w:type="spellStart"/>
      <w:r w:rsidRPr="008706AF">
        <w:t>favour</w:t>
      </w:r>
      <w:proofErr w:type="spellEnd"/>
      <w:r w:rsidRPr="008706AF">
        <w:t xml:space="preserve"> of setting aside the Orders</w:t>
      </w:r>
      <w:r w:rsidR="00A42A0A" w:rsidRPr="008706AF">
        <w:t>.</w:t>
      </w:r>
    </w:p>
    <w:p w:rsidR="00A42A0A" w:rsidRPr="008706AF" w:rsidRDefault="00E70A74" w:rsidP="00E70A74">
      <w:pPr>
        <w:pStyle w:val="subheading"/>
      </w:pPr>
      <w:r>
        <w:t>F.</w:t>
      </w:r>
      <w:r>
        <w:tab/>
      </w:r>
      <w:bookmarkStart w:id="0" w:name="_GoBack"/>
      <w:bookmarkEnd w:id="0"/>
      <w:r w:rsidR="00A42A0A" w:rsidRPr="008706AF">
        <w:t xml:space="preserve">Conclusion </w:t>
      </w:r>
    </w:p>
    <w:p w:rsidR="00A42A0A" w:rsidRPr="008706AF" w:rsidRDefault="00750562" w:rsidP="00A42A0A">
      <w:pPr>
        <w:pStyle w:val="para"/>
        <w:spacing w:before="440"/>
      </w:pPr>
      <w:r w:rsidRPr="008706AF">
        <w:t xml:space="preserve">For the 3 </w:t>
      </w:r>
      <w:r w:rsidR="00F23361" w:rsidRPr="008706AF">
        <w:t>g</w:t>
      </w:r>
      <w:r w:rsidRPr="008706AF">
        <w:t>rounds set out above</w:t>
      </w:r>
      <w:r w:rsidR="00385AD4" w:rsidRPr="008706AF">
        <w:t>, I set aside the 2 Orders in relation to the Commissioner and the Director of Health</w:t>
      </w:r>
      <w:r w:rsidR="00A42A0A" w:rsidRPr="008706AF">
        <w:t>.</w:t>
      </w:r>
    </w:p>
    <w:p w:rsidR="00A42A0A" w:rsidRPr="008706AF" w:rsidRDefault="00385AD4" w:rsidP="00632636">
      <w:pPr>
        <w:pStyle w:val="para"/>
      </w:pPr>
      <w:r w:rsidRPr="008706AF">
        <w:t xml:space="preserve">On a </w:t>
      </w:r>
      <w:r w:rsidRPr="008706AF">
        <w:rPr>
          <w:i/>
        </w:rPr>
        <w:t xml:space="preserve">nisi </w:t>
      </w:r>
      <w:r w:rsidRPr="008706AF">
        <w:t>basis, I make no order as to costs, save that the Mother’s own costs be taxed in accordance with Legal Aid Regulations</w:t>
      </w:r>
      <w:r w:rsidR="00632636" w:rsidRPr="008706AF">
        <w:t>.</w:t>
      </w:r>
    </w:p>
    <w:p w:rsidR="007071B8" w:rsidRPr="008706AF" w:rsidRDefault="00385AD4" w:rsidP="00A42A0A">
      <w:pPr>
        <w:pStyle w:val="para"/>
        <w:spacing w:before="440"/>
      </w:pPr>
      <w:r w:rsidRPr="008706AF">
        <w:t>I thank counsel for their assistance</w:t>
      </w:r>
      <w:r w:rsidR="007071B8" w:rsidRPr="008706AF">
        <w:t>.</w:t>
      </w:r>
    </w:p>
    <w:p w:rsidR="00276A73" w:rsidRPr="008706AF" w:rsidRDefault="00276A73" w:rsidP="00CD1325">
      <w:pPr>
        <w:pStyle w:val="para"/>
        <w:numPr>
          <w:ilvl w:val="0"/>
          <w:numId w:val="0"/>
        </w:numPr>
        <w:spacing w:before="360"/>
      </w:pPr>
    </w:p>
    <w:p w:rsidR="00EE7B82" w:rsidRPr="008706AF" w:rsidRDefault="00EE7B82" w:rsidP="00DB1FE7">
      <w:pPr>
        <w:snapToGrid w:val="0"/>
        <w:ind w:left="4200"/>
        <w:jc w:val="center"/>
        <w:rPr>
          <w:spacing w:val="-3"/>
          <w:sz w:val="28"/>
          <w:szCs w:val="28"/>
          <w:lang w:val="en-GB"/>
        </w:rPr>
      </w:pPr>
    </w:p>
    <w:p w:rsidR="00EE7B82" w:rsidRPr="008706AF" w:rsidRDefault="00EE7B82" w:rsidP="00DB1FE7">
      <w:pPr>
        <w:snapToGrid w:val="0"/>
        <w:ind w:left="4200"/>
        <w:jc w:val="center"/>
        <w:rPr>
          <w:spacing w:val="-3"/>
          <w:sz w:val="28"/>
          <w:szCs w:val="28"/>
          <w:lang w:val="en-GB"/>
        </w:rPr>
      </w:pPr>
    </w:p>
    <w:p w:rsidR="00EE7B82" w:rsidRPr="008706AF" w:rsidRDefault="00EE7B82" w:rsidP="00DB1FE7">
      <w:pPr>
        <w:snapToGrid w:val="0"/>
        <w:ind w:left="4200"/>
        <w:jc w:val="center"/>
        <w:rPr>
          <w:spacing w:val="-3"/>
          <w:sz w:val="28"/>
          <w:szCs w:val="28"/>
          <w:lang w:val="en-GB"/>
        </w:rPr>
      </w:pPr>
    </w:p>
    <w:p w:rsidR="00DB1FE7" w:rsidRPr="008706AF" w:rsidRDefault="00DB1FE7" w:rsidP="00DB1FE7">
      <w:pPr>
        <w:snapToGrid w:val="0"/>
        <w:ind w:left="4200"/>
        <w:jc w:val="center"/>
        <w:rPr>
          <w:spacing w:val="-3"/>
          <w:sz w:val="28"/>
          <w:szCs w:val="28"/>
          <w:lang w:val="en-GB"/>
        </w:rPr>
      </w:pPr>
      <w:r w:rsidRPr="008706AF">
        <w:rPr>
          <w:rFonts w:hint="eastAsia"/>
          <w:spacing w:val="-3"/>
          <w:sz w:val="28"/>
          <w:szCs w:val="28"/>
          <w:lang w:val="en-GB"/>
        </w:rPr>
        <w:t>(</w:t>
      </w:r>
      <w:proofErr w:type="spellStart"/>
      <w:r w:rsidRPr="008706AF">
        <w:rPr>
          <w:sz w:val="28"/>
          <w:szCs w:val="28"/>
        </w:rPr>
        <w:t>Queeny</w:t>
      </w:r>
      <w:proofErr w:type="spellEnd"/>
      <w:r w:rsidRPr="008706AF">
        <w:rPr>
          <w:sz w:val="28"/>
          <w:szCs w:val="28"/>
        </w:rPr>
        <w:t xml:space="preserve"> Au-Yeung</w:t>
      </w:r>
      <w:r w:rsidRPr="008706AF">
        <w:rPr>
          <w:spacing w:val="-3"/>
          <w:sz w:val="28"/>
          <w:szCs w:val="28"/>
          <w:lang w:val="en-GB"/>
        </w:rPr>
        <w:t>)</w:t>
      </w:r>
    </w:p>
    <w:p w:rsidR="00DB1FE7" w:rsidRPr="008706AF" w:rsidRDefault="00DB1FE7" w:rsidP="00DB1FE7">
      <w:pPr>
        <w:snapToGrid w:val="0"/>
        <w:ind w:left="4200" w:firstLine="1"/>
        <w:jc w:val="center"/>
        <w:rPr>
          <w:sz w:val="28"/>
          <w:szCs w:val="28"/>
        </w:rPr>
      </w:pPr>
      <w:r w:rsidRPr="008706AF">
        <w:rPr>
          <w:rFonts w:hint="eastAsia"/>
          <w:sz w:val="28"/>
          <w:szCs w:val="28"/>
        </w:rPr>
        <w:t>Judge of the Court of First Instance</w:t>
      </w:r>
    </w:p>
    <w:p w:rsidR="00DB1FE7" w:rsidRPr="008706AF" w:rsidRDefault="00DB1FE7" w:rsidP="00DB1FE7">
      <w:pPr>
        <w:snapToGrid w:val="0"/>
        <w:ind w:left="4200" w:firstLine="1"/>
        <w:jc w:val="center"/>
        <w:rPr>
          <w:sz w:val="28"/>
          <w:szCs w:val="28"/>
        </w:rPr>
      </w:pPr>
      <w:r w:rsidRPr="008706AF">
        <w:rPr>
          <w:rFonts w:hint="eastAsia"/>
          <w:sz w:val="28"/>
          <w:szCs w:val="28"/>
        </w:rPr>
        <w:t>High Court</w:t>
      </w:r>
    </w:p>
    <w:p w:rsidR="00F7256E" w:rsidRPr="008706AF" w:rsidRDefault="00F7256E" w:rsidP="00DB1FE7">
      <w:pPr>
        <w:snapToGrid w:val="0"/>
        <w:ind w:left="4200" w:firstLine="1"/>
        <w:jc w:val="center"/>
        <w:rPr>
          <w:sz w:val="28"/>
          <w:szCs w:val="28"/>
        </w:rPr>
      </w:pPr>
    </w:p>
    <w:p w:rsidR="00657C75" w:rsidRPr="008706AF" w:rsidRDefault="00657C75" w:rsidP="00DB1FE7">
      <w:pPr>
        <w:snapToGrid w:val="0"/>
        <w:ind w:left="4200" w:firstLine="1"/>
        <w:jc w:val="center"/>
        <w:rPr>
          <w:sz w:val="28"/>
          <w:szCs w:val="28"/>
        </w:rPr>
      </w:pPr>
    </w:p>
    <w:p w:rsidR="00EE7B82" w:rsidRPr="008706AF" w:rsidRDefault="00EE7B82" w:rsidP="0093316C">
      <w:pPr>
        <w:jc w:val="both"/>
        <w:rPr>
          <w:sz w:val="28"/>
          <w:szCs w:val="28"/>
          <w:lang w:val="en-GB"/>
        </w:rPr>
      </w:pPr>
    </w:p>
    <w:p w:rsidR="009456F1" w:rsidRPr="008706AF" w:rsidRDefault="00D73046" w:rsidP="00296CE8">
      <w:pPr>
        <w:spacing w:after="120"/>
        <w:ind w:left="360" w:hanging="360"/>
        <w:jc w:val="both"/>
        <w:rPr>
          <w:sz w:val="28"/>
          <w:szCs w:val="28"/>
          <w:lang w:val="en-GB"/>
        </w:rPr>
      </w:pPr>
      <w:r w:rsidRPr="008706AF">
        <w:rPr>
          <w:sz w:val="28"/>
          <w:szCs w:val="28"/>
          <w:lang w:val="en-GB"/>
        </w:rPr>
        <w:t xml:space="preserve">Mr </w:t>
      </w:r>
      <w:r w:rsidR="0093316C" w:rsidRPr="008706AF">
        <w:rPr>
          <w:sz w:val="28"/>
          <w:szCs w:val="28"/>
          <w:lang w:val="en-GB"/>
        </w:rPr>
        <w:t xml:space="preserve">Jeffrey Li, instructed by Patricia </w:t>
      </w:r>
      <w:proofErr w:type="spellStart"/>
      <w:r w:rsidR="0093316C" w:rsidRPr="008706AF">
        <w:rPr>
          <w:sz w:val="28"/>
          <w:szCs w:val="28"/>
          <w:lang w:val="en-GB"/>
        </w:rPr>
        <w:t>Ho</w:t>
      </w:r>
      <w:proofErr w:type="spellEnd"/>
      <w:r w:rsidR="0093316C" w:rsidRPr="008706AF">
        <w:rPr>
          <w:sz w:val="28"/>
          <w:szCs w:val="28"/>
          <w:lang w:val="en-GB"/>
        </w:rPr>
        <w:t xml:space="preserve"> &amp; Associates, for the Applicant</w:t>
      </w:r>
    </w:p>
    <w:p w:rsidR="0015112D" w:rsidRPr="008706AF" w:rsidRDefault="0015112D" w:rsidP="0093316C">
      <w:pPr>
        <w:ind w:left="360" w:hanging="360"/>
        <w:jc w:val="both"/>
        <w:rPr>
          <w:rFonts w:eastAsia="PMingLiU"/>
          <w:sz w:val="28"/>
          <w:szCs w:val="28"/>
          <w:lang w:eastAsia="zh-TW"/>
        </w:rPr>
      </w:pPr>
      <w:r w:rsidRPr="008706AF">
        <w:rPr>
          <w:sz w:val="28"/>
          <w:szCs w:val="28"/>
          <w:lang w:val="en-GB"/>
        </w:rPr>
        <w:t>Mr Newton Chan, Deputy Principal Government Counsel</w:t>
      </w:r>
      <w:r w:rsidR="00296CE8" w:rsidRPr="008706AF">
        <w:rPr>
          <w:sz w:val="28"/>
          <w:szCs w:val="28"/>
          <w:lang w:val="en-GB"/>
        </w:rPr>
        <w:t xml:space="preserve"> and </w:t>
      </w:r>
      <w:r w:rsidRPr="008706AF">
        <w:rPr>
          <w:sz w:val="28"/>
          <w:szCs w:val="28"/>
          <w:lang w:val="en-GB"/>
        </w:rPr>
        <w:t>Mr Vincent Yeung, Government Counsel of Department of Justice for the Commission</w:t>
      </w:r>
      <w:r w:rsidR="00750562" w:rsidRPr="008706AF">
        <w:rPr>
          <w:sz w:val="28"/>
          <w:szCs w:val="28"/>
          <w:lang w:val="en-GB"/>
        </w:rPr>
        <w:t>er</w:t>
      </w:r>
      <w:r w:rsidRPr="008706AF">
        <w:rPr>
          <w:sz w:val="28"/>
          <w:szCs w:val="28"/>
          <w:lang w:val="en-GB"/>
        </w:rPr>
        <w:t xml:space="preserve"> for the Electronic Health </w:t>
      </w:r>
      <w:r w:rsidR="00750562" w:rsidRPr="008706AF">
        <w:rPr>
          <w:sz w:val="28"/>
          <w:szCs w:val="28"/>
          <w:lang w:val="en-GB"/>
        </w:rPr>
        <w:t xml:space="preserve">Record </w:t>
      </w:r>
      <w:r w:rsidRPr="008706AF">
        <w:rPr>
          <w:sz w:val="28"/>
          <w:szCs w:val="28"/>
          <w:lang w:val="en-GB"/>
        </w:rPr>
        <w:t>and the Director of Health</w:t>
      </w:r>
    </w:p>
    <w:sectPr w:rsidR="0015112D" w:rsidRPr="008706AF" w:rsidSect="00FC3BE2">
      <w:headerReference w:type="default" r:id="rId8"/>
      <w:footerReference w:type="default" r:id="rId9"/>
      <w:headerReference w:type="first" r:id="rId10"/>
      <w:pgSz w:w="11906" w:h="16838" w:code="9"/>
      <w:pgMar w:top="1800" w:right="1800" w:bottom="1350" w:left="1800" w:header="720"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433" w:rsidRDefault="00212433" w:rsidP="001052BC">
      <w:r>
        <w:separator/>
      </w:r>
    </w:p>
  </w:endnote>
  <w:endnote w:type="continuationSeparator" w:id="0">
    <w:p w:rsidR="00212433" w:rsidRDefault="00212433" w:rsidP="0010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BE2" w:rsidRDefault="00FC3BE2" w:rsidP="00FC3BE2">
    <w:pPr>
      <w:pStyle w:val="Footer"/>
    </w:pPr>
  </w:p>
  <w:p w:rsidR="00FC3BE2" w:rsidRDefault="00FC3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433" w:rsidRDefault="00212433">
      <w:r>
        <w:separator/>
      </w:r>
    </w:p>
  </w:footnote>
  <w:footnote w:type="continuationSeparator" w:id="0">
    <w:p w:rsidR="00212433" w:rsidRDefault="00212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433" w:rsidRDefault="00212433">
    <w:pPr>
      <w:pStyle w:val="Header"/>
      <w:jc w:val="center"/>
      <w:rPr>
        <w:rStyle w:val="PageNumber"/>
        <w:sz w:val="26"/>
      </w:rPr>
    </w:pPr>
    <w:r w:rsidRPr="0035500D">
      <w:rPr>
        <w:noProof/>
        <w:sz w:val="20"/>
      </w:rPr>
      <mc:AlternateContent>
        <mc:Choice Requires="wps">
          <w:drawing>
            <wp:anchor distT="0" distB="0" distL="114300" distR="114300" simplePos="0" relativeHeight="251657216" behindDoc="0" locked="0" layoutInCell="1" allowOverlap="1">
              <wp:simplePos x="0" y="0"/>
              <wp:positionH relativeFrom="column">
                <wp:posOffset>5901690</wp:posOffset>
              </wp:positionH>
              <wp:positionV relativeFrom="paragraph">
                <wp:posOffset>0</wp:posOffset>
              </wp:positionV>
              <wp:extent cx="414020" cy="1005840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2433" w:rsidRDefault="00212433">
                          <w:pPr>
                            <w:pStyle w:val="Heading2"/>
                            <w:spacing w:before="360"/>
                          </w:pPr>
                          <w:r>
                            <w:t>A</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B</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C</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D</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E</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F</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G</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H</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I</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J</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4"/>
                            <w:rPr>
                              <w:sz w:val="20"/>
                            </w:rPr>
                          </w:pPr>
                          <w:r>
                            <w:rPr>
                              <w:sz w:val="20"/>
                            </w:rPr>
                            <w:t>K</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L</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M</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N</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O</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P</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Q</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R</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S</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T</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U</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64.7pt;margin-top:0;width:32.6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" stroked="f">
              <v:textbox>
                <w:txbxContent>
                  <w:p w:rsidR="00212433" w:rsidRDefault="00212433">
                    <w:pPr>
                      <w:pStyle w:val="Heading2"/>
                      <w:spacing w:before="360"/>
                    </w:pPr>
                    <w:r>
                      <w:t>A</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B</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C</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D</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E</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F</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G</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H</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I</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J</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4"/>
                      <w:rPr>
                        <w:sz w:val="20"/>
                      </w:rPr>
                    </w:pPr>
                    <w:r>
                      <w:rPr>
                        <w:sz w:val="20"/>
                      </w:rPr>
                      <w:t>K</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L</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M</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N</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O</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P</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Q</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R</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S</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T</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U</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3"/>
                      <w:jc w:val="left"/>
                    </w:pPr>
                    <w:r>
                      <w:t>V</w:t>
                    </w:r>
                  </w:p>
                </w:txbxContent>
              </v:textbox>
            </v:shape>
          </w:pict>
        </mc:Fallback>
      </mc:AlternateContent>
    </w:r>
    <w:r w:rsidRPr="0035500D">
      <w:rPr>
        <w:noProof/>
        <w:sz w:val="20"/>
      </w:rPr>
      <mc:AlternateContent>
        <mc:Choice Requires="wps">
          <w:drawing>
            <wp:anchor distT="0" distB="0" distL="114300" distR="114300" simplePos="0" relativeHeight="251656192" behindDoc="0" locked="0" layoutInCell="1" allowOverlap="1">
              <wp:simplePos x="0" y="0"/>
              <wp:positionH relativeFrom="column">
                <wp:posOffset>-914400</wp:posOffset>
              </wp:positionH>
              <wp:positionV relativeFrom="paragraph">
                <wp:posOffset>228600</wp:posOffset>
              </wp:positionV>
              <wp:extent cx="342900" cy="99441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2433" w:rsidRDefault="00212433">
                          <w:pPr>
                            <w:pStyle w:val="Heading2"/>
                          </w:pPr>
                          <w:r>
                            <w:t>A</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B</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C</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D</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E</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F</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G</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4"/>
                            <w:rPr>
                              <w:sz w:val="20"/>
                            </w:rPr>
                          </w:pPr>
                          <w:r>
                            <w:rPr>
                              <w:sz w:val="20"/>
                            </w:rPr>
                            <w:t>H</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I</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J</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K</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L</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M</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N</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O</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P</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Q</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R</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S</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T</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U</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in;margin-top:18pt;width:27pt;height:7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" stroked="f">
              <v:textbox>
                <w:txbxContent>
                  <w:p w:rsidR="00212433" w:rsidRDefault="00212433">
                    <w:pPr>
                      <w:pStyle w:val="Heading2"/>
                    </w:pPr>
                    <w:r>
                      <w:t>A</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B</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C</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D</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E</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F</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G</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4"/>
                      <w:rPr>
                        <w:sz w:val="20"/>
                      </w:rPr>
                    </w:pPr>
                    <w:r>
                      <w:rPr>
                        <w:sz w:val="20"/>
                      </w:rPr>
                      <w:t>H</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I</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J</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K</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L</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M</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N</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O</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P</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Q</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R</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S</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T</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U</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3"/>
                      <w:jc w:val="left"/>
                    </w:pPr>
                    <w:r>
                      <w:t>V</w:t>
                    </w:r>
                  </w:p>
                </w:txbxContent>
              </v:textbox>
            </v:shape>
          </w:pict>
        </mc:Fallback>
      </mc:AlternateContent>
    </w:r>
    <w:r>
      <w:rPr>
        <w:rFonts w:hint="eastAsia"/>
        <w:sz w:val="26"/>
      </w:rPr>
      <w:t xml:space="preserve">- </w:t>
    </w:r>
    <w:r>
      <w:rPr>
        <w:rStyle w:val="PageNumber"/>
        <w:sz w:val="26"/>
      </w:rPr>
      <w:fldChar w:fldCharType="begin"/>
    </w:r>
    <w:r>
      <w:rPr>
        <w:rStyle w:val="PageNumber"/>
        <w:sz w:val="26"/>
      </w:rPr>
      <w:instrText xml:space="preserve"> PAGE </w:instrText>
    </w:r>
    <w:r>
      <w:rPr>
        <w:rStyle w:val="PageNumber"/>
        <w:sz w:val="26"/>
      </w:rPr>
      <w:fldChar w:fldCharType="separate"/>
    </w:r>
    <w:r w:rsidR="00E70A74">
      <w:rPr>
        <w:rStyle w:val="PageNumber"/>
        <w:noProof/>
        <w:sz w:val="26"/>
      </w:rPr>
      <w:t>14</w:t>
    </w:r>
    <w:r>
      <w:rPr>
        <w:rStyle w:val="PageNumber"/>
        <w:sz w:val="26"/>
      </w:rPr>
      <w:fldChar w:fldCharType="end"/>
    </w:r>
    <w:r>
      <w:rPr>
        <w:rStyle w:val="PageNumber"/>
        <w:rFonts w:hint="eastAsia"/>
        <w:sz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433" w:rsidRDefault="00B60C45">
    <w:pPr>
      <w:pStyle w:val="Header"/>
    </w:pPr>
    <w:r>
      <w:rPr>
        <w:noProof/>
        <w:sz w:val="20"/>
      </w:rPr>
      <mc:AlternateContent>
        <mc:Choice Requires="wps">
          <w:drawing>
            <wp:anchor distT="0" distB="0" distL="114300" distR="114300" simplePos="0" relativeHeight="251661312" behindDoc="0" locked="0" layoutInCell="1" allowOverlap="1" wp14:anchorId="3BFEFE5C" wp14:editId="4070E870">
              <wp:simplePos x="0" y="0"/>
              <wp:positionH relativeFrom="column">
                <wp:posOffset>1172183</wp:posOffset>
              </wp:positionH>
              <wp:positionV relativeFrom="paragraph">
                <wp:posOffset>0</wp:posOffset>
              </wp:positionV>
              <wp:extent cx="3035030" cy="375285"/>
              <wp:effectExtent l="0" t="0" r="0" b="571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030" cy="375285"/>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60C45" w:rsidRPr="00B60C45" w:rsidRDefault="00B60C45" w:rsidP="00B60C45">
                          <w:pPr>
                            <w:jc w:val="cente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EFE5C" id="_x0000_t202" coordsize="21600,21600" o:spt="202" path="m,l,21600r21600,l21600,xe">
              <v:stroke joinstyle="miter"/>
              <v:path gradientshapeok="t" o:connecttype="rect"/>
            </v:shapetype>
            <v:shape id="Text Box 12" o:spid="_x0000_s1028" type="#_x0000_t202" style="position:absolute;margin-left:92.3pt;margin-top:0;width:239pt;height:2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" stroked="f" strokeweight="1pt">
              <v:textbox>
                <w:txbxContent>
                  <w:p w:rsidR="00B60C45" w:rsidRPr="00B60C45" w:rsidRDefault="00B60C45" w:rsidP="00B60C45">
                    <w:pPr>
                      <w:jc w:val="center"/>
                      <w:rPr>
                        <w:sz w:val="32"/>
                        <w:szCs w:val="32"/>
                      </w:rPr>
                    </w:pPr>
                  </w:p>
                </w:txbxContent>
              </v:textbox>
            </v:shape>
          </w:pict>
        </mc:Fallback>
      </mc:AlternateContent>
    </w:r>
    <w:r w:rsidR="00212433" w:rsidRPr="0035500D">
      <w:rPr>
        <w:noProof/>
        <w:sz w:val="20"/>
      </w:rPr>
      <mc:AlternateContent>
        <mc:Choice Requires="wps">
          <w:drawing>
            <wp:anchor distT="0" distB="0" distL="114300" distR="114300" simplePos="0" relativeHeight="251659264" behindDoc="0" locked="0" layoutInCell="1" allowOverlap="1">
              <wp:simplePos x="0" y="0"/>
              <wp:positionH relativeFrom="column">
                <wp:posOffset>5909945</wp:posOffset>
              </wp:positionH>
              <wp:positionV relativeFrom="paragraph">
                <wp:posOffset>-3810</wp:posOffset>
              </wp:positionV>
              <wp:extent cx="414020" cy="10058400"/>
              <wp:effectExtent l="4445" t="0" r="635" b="381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2433" w:rsidRDefault="00212433">
                          <w:pPr>
                            <w:pStyle w:val="Heading2"/>
                            <w:spacing w:before="360"/>
                          </w:pPr>
                          <w:r>
                            <w:t>A</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B</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C</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D</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E</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F</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G</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H</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I</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J</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4"/>
                            <w:rPr>
                              <w:sz w:val="20"/>
                            </w:rPr>
                          </w:pPr>
                          <w:r>
                            <w:rPr>
                              <w:sz w:val="20"/>
                            </w:rPr>
                            <w:t>K</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L</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M</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N</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O</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P</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Q</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R</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S</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T</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U</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465.35pt;margin-top:-.3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" stroked="f">
              <v:textbox>
                <w:txbxContent>
                  <w:p w:rsidR="00212433" w:rsidRDefault="00212433">
                    <w:pPr>
                      <w:pStyle w:val="Heading2"/>
                      <w:spacing w:before="360"/>
                    </w:pPr>
                    <w:r>
                      <w:t>A</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B</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C</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D</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E</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F</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G</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H</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I</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J</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4"/>
                      <w:rPr>
                        <w:sz w:val="20"/>
                      </w:rPr>
                    </w:pPr>
                    <w:r>
                      <w:rPr>
                        <w:sz w:val="20"/>
                      </w:rPr>
                      <w:t>K</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L</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M</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N</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O</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P</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Q</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R</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S</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T</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U</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3"/>
                      <w:jc w:val="left"/>
                    </w:pPr>
                    <w:r>
                      <w:t>V</w:t>
                    </w:r>
                  </w:p>
                </w:txbxContent>
              </v:textbox>
            </v:shape>
          </w:pict>
        </mc:Fallback>
      </mc:AlternateContent>
    </w:r>
    <w:r w:rsidR="00212433" w:rsidRPr="0035500D">
      <w:rPr>
        <w:noProof/>
        <w:sz w:val="20"/>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228600</wp:posOffset>
              </wp:positionV>
              <wp:extent cx="342900" cy="994410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2433" w:rsidRDefault="00212433">
                          <w:pPr>
                            <w:pStyle w:val="Heading2"/>
                          </w:pPr>
                          <w:r>
                            <w:t>A</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B</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C</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D</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E</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F</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G</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4"/>
                            <w:rPr>
                              <w:sz w:val="20"/>
                            </w:rPr>
                          </w:pPr>
                          <w:r>
                            <w:rPr>
                              <w:sz w:val="20"/>
                            </w:rPr>
                            <w:t>H</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I</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J</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K</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L</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M</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N</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O</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P</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Q</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R</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S</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T</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U</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1in;margin-top:18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" stroked="f">
              <v:textbox>
                <w:txbxContent>
                  <w:p w:rsidR="00212433" w:rsidRDefault="00212433">
                    <w:pPr>
                      <w:pStyle w:val="Heading2"/>
                    </w:pPr>
                    <w:r>
                      <w:t>A</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B</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C</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D</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E</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F</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G</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4"/>
                      <w:rPr>
                        <w:sz w:val="20"/>
                      </w:rPr>
                    </w:pPr>
                    <w:r>
                      <w:rPr>
                        <w:sz w:val="20"/>
                      </w:rPr>
                      <w:t>H</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I</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J</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K</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L</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M</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N</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O</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P</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Q</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R</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S</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T</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2"/>
                    </w:pPr>
                    <w:r>
                      <w:t>U</w:t>
                    </w:r>
                  </w:p>
                  <w:p w:rsidR="00212433" w:rsidRDefault="00212433">
                    <w:pPr>
                      <w:rPr>
                        <w:b/>
                        <w:bCs/>
                        <w:sz w:val="10"/>
                        <w:szCs w:val="10"/>
                      </w:rPr>
                    </w:pPr>
                  </w:p>
                  <w:p w:rsidR="00212433" w:rsidRDefault="00212433">
                    <w:pPr>
                      <w:rPr>
                        <w:b/>
                        <w:bCs/>
                        <w:sz w:val="16"/>
                        <w:szCs w:val="16"/>
                      </w:rPr>
                    </w:pPr>
                  </w:p>
                  <w:p w:rsidR="00212433" w:rsidRDefault="00212433">
                    <w:pPr>
                      <w:rPr>
                        <w:b/>
                        <w:bCs/>
                        <w:sz w:val="16"/>
                        <w:szCs w:val="16"/>
                      </w:rPr>
                    </w:pPr>
                  </w:p>
                  <w:p w:rsidR="00212433" w:rsidRDefault="00212433">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bullet"/>
      <w:suff w:val="nothing"/>
      <w:lvlText w:val="§"/>
      <w:lvlJc w:val="left"/>
      <w:rPr>
        <w:rFonts w:ascii="Courier New" w:hAnsi="Courier New" w:cs="Courier New"/>
      </w:rPr>
    </w:lvl>
    <w:lvl w:ilvl="7">
      <w:start w:val="1"/>
      <w:numFmt w:val="bullet"/>
      <w:suff w:val="nothing"/>
      <w:lvlText w:val="*"/>
      <w:lvlJc w:val="left"/>
      <w:rPr>
        <w:rFonts w:ascii="Courier New" w:hAnsi="Courier New" w:cs="Courier New"/>
      </w:rPr>
    </w:lvl>
    <w:lvl w:ilvl="8">
      <w:numFmt w:val="none"/>
      <w:lvlText w:val=""/>
      <w:lvlJc w:val="left"/>
    </w:lvl>
  </w:abstractNum>
  <w:abstractNum w:abstractNumId="2" w15:restartNumberingAfterBreak="0">
    <w:nsid w:val="19E638CF"/>
    <w:multiLevelType w:val="multilevel"/>
    <w:tmpl w:val="4AE46AE0"/>
    <w:styleLink w:val="a1"/>
    <w:lvl w:ilvl="0">
      <w:start w:val="1"/>
      <w:numFmt w:val="lowerLetter"/>
      <w:lvlText w:val="(%1)"/>
      <w:lvlJc w:val="right"/>
      <w:pPr>
        <w:tabs>
          <w:tab w:val="num" w:pos="1440"/>
        </w:tabs>
        <w:ind w:left="1440" w:hanging="360"/>
      </w:pPr>
      <w:rPr>
        <w:rFonts w:hint="eastAsia"/>
      </w:rPr>
    </w:lvl>
    <w:lvl w:ilvl="1">
      <w:start w:val="1"/>
      <w:numFmt w:val="decimal"/>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20B207E7"/>
    <w:multiLevelType w:val="multilevel"/>
    <w:tmpl w:val="DA78A6D6"/>
    <w:styleLink w:val="1a"/>
    <w:lvl w:ilvl="0">
      <w:start w:val="1"/>
      <w:numFmt w:val="decimal"/>
      <w:lvlText w:val="(%1)"/>
      <w:lvlJc w:val="right"/>
      <w:pPr>
        <w:tabs>
          <w:tab w:val="num" w:pos="1440"/>
        </w:tabs>
        <w:ind w:left="1440" w:hanging="360"/>
      </w:pPr>
      <w:rPr>
        <w:rFonts w:hint="eastAsia"/>
      </w:rPr>
    </w:lvl>
    <w:lvl w:ilvl="1">
      <w:start w:val="1"/>
      <w:numFmt w:val="lowerLetter"/>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261065B2"/>
    <w:multiLevelType w:val="hybridMultilevel"/>
    <w:tmpl w:val="AE4C4274"/>
    <w:lvl w:ilvl="0" w:tplc="5DEA6116">
      <w:start w:val="1"/>
      <w:numFmt w:val="decimal"/>
      <w:lvlRestart w:val="0"/>
      <w:pStyle w:val="ONE"/>
      <w:lvlText w:val="%1.      "/>
      <w:lvlJc w:val="left"/>
      <w:pPr>
        <w:tabs>
          <w:tab w:val="num" w:pos="1800"/>
        </w:tabs>
        <w:ind w:left="1080" w:firstLine="0"/>
      </w:pPr>
      <w:rPr>
        <w:rFonts w:ascii="Times New Roman" w:hAnsi="Times New Roman" w:hint="default"/>
        <w:b w:val="0"/>
        <w:i w:val="0"/>
        <w:sz w:val="28"/>
      </w:rPr>
    </w:lvl>
    <w:lvl w:ilvl="1" w:tplc="CD76B164">
      <w:start w:val="1"/>
      <w:numFmt w:val="lowerLetter"/>
      <w:lvlText w:val="%2."/>
      <w:lvlJc w:val="left"/>
      <w:pPr>
        <w:tabs>
          <w:tab w:val="num" w:pos="1440"/>
        </w:tabs>
        <w:ind w:left="1440" w:hanging="360"/>
      </w:pPr>
      <w:rPr>
        <w:lang w:val="en-G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2469AB"/>
    <w:multiLevelType w:val="singleLevel"/>
    <w:tmpl w:val="C6F2BAA8"/>
    <w:lvl w:ilvl="0">
      <w:start w:val="1"/>
      <w:numFmt w:val="decimal"/>
      <w:pStyle w:val="para"/>
      <w:lvlText w:val="%1."/>
      <w:lvlJc w:val="left"/>
      <w:pPr>
        <w:tabs>
          <w:tab w:val="num" w:pos="360"/>
        </w:tabs>
        <w:ind w:left="0" w:firstLine="0"/>
      </w:pPr>
      <w:rPr>
        <w:rFonts w:hint="eastAsia"/>
        <w:b w:val="0"/>
      </w:rPr>
    </w:lvl>
  </w:abstractNum>
  <w:abstractNum w:abstractNumId="6"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E2DAF"/>
    <w:multiLevelType w:val="hybridMultilevel"/>
    <w:tmpl w:val="2E5498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B27B6"/>
    <w:multiLevelType w:val="multilevel"/>
    <w:tmpl w:val="CB46E95A"/>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5"/>
  </w:num>
  <w:num w:numId="2">
    <w:abstractNumId w:val="4"/>
  </w:num>
  <w:num w:numId="3">
    <w:abstractNumId w:val="6"/>
  </w:num>
  <w:num w:numId="4">
    <w:abstractNumId w:val="3"/>
  </w:num>
  <w:num w:numId="5">
    <w:abstractNumId w:val="2"/>
  </w:num>
  <w:num w:numId="6">
    <w:abstractNumId w:val="8"/>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593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8F1"/>
    <w:rsid w:val="00001B9B"/>
    <w:rsid w:val="0000469B"/>
    <w:rsid w:val="00005636"/>
    <w:rsid w:val="00013595"/>
    <w:rsid w:val="0001428B"/>
    <w:rsid w:val="00015EB4"/>
    <w:rsid w:val="00016923"/>
    <w:rsid w:val="00016A14"/>
    <w:rsid w:val="00016F66"/>
    <w:rsid w:val="00022B76"/>
    <w:rsid w:val="00022C83"/>
    <w:rsid w:val="000303EE"/>
    <w:rsid w:val="000304A2"/>
    <w:rsid w:val="000319A7"/>
    <w:rsid w:val="0004244B"/>
    <w:rsid w:val="00043E35"/>
    <w:rsid w:val="00043E9F"/>
    <w:rsid w:val="00044B95"/>
    <w:rsid w:val="000458C0"/>
    <w:rsid w:val="00050E2D"/>
    <w:rsid w:val="00051953"/>
    <w:rsid w:val="00052489"/>
    <w:rsid w:val="00052C53"/>
    <w:rsid w:val="00053F55"/>
    <w:rsid w:val="00054F55"/>
    <w:rsid w:val="0006049C"/>
    <w:rsid w:val="000605D1"/>
    <w:rsid w:val="00061877"/>
    <w:rsid w:val="00063869"/>
    <w:rsid w:val="00067D03"/>
    <w:rsid w:val="00072226"/>
    <w:rsid w:val="00080B3D"/>
    <w:rsid w:val="00082A2E"/>
    <w:rsid w:val="0009045F"/>
    <w:rsid w:val="0009146C"/>
    <w:rsid w:val="0009300F"/>
    <w:rsid w:val="000958EA"/>
    <w:rsid w:val="00095B00"/>
    <w:rsid w:val="00096098"/>
    <w:rsid w:val="000A0A4B"/>
    <w:rsid w:val="000A24F5"/>
    <w:rsid w:val="000A2CE1"/>
    <w:rsid w:val="000A4691"/>
    <w:rsid w:val="000B1CD4"/>
    <w:rsid w:val="000B2BE8"/>
    <w:rsid w:val="000B3B3E"/>
    <w:rsid w:val="000B5371"/>
    <w:rsid w:val="000B5AF3"/>
    <w:rsid w:val="000B7212"/>
    <w:rsid w:val="000B76D1"/>
    <w:rsid w:val="000C02BE"/>
    <w:rsid w:val="000C2CF2"/>
    <w:rsid w:val="000C4AD2"/>
    <w:rsid w:val="000C51C4"/>
    <w:rsid w:val="000C6E80"/>
    <w:rsid w:val="000D00E5"/>
    <w:rsid w:val="000D0564"/>
    <w:rsid w:val="000D2FEC"/>
    <w:rsid w:val="000D38C6"/>
    <w:rsid w:val="000D3DD8"/>
    <w:rsid w:val="000D4E8E"/>
    <w:rsid w:val="000D4FFE"/>
    <w:rsid w:val="000D5CEE"/>
    <w:rsid w:val="000D7408"/>
    <w:rsid w:val="000E0330"/>
    <w:rsid w:val="000E0DB5"/>
    <w:rsid w:val="000E30F2"/>
    <w:rsid w:val="000E34F6"/>
    <w:rsid w:val="000E73EB"/>
    <w:rsid w:val="000E74C2"/>
    <w:rsid w:val="000F084A"/>
    <w:rsid w:val="000F2419"/>
    <w:rsid w:val="000F2B29"/>
    <w:rsid w:val="000F59D8"/>
    <w:rsid w:val="000F5B5C"/>
    <w:rsid w:val="000F6E7A"/>
    <w:rsid w:val="000F7837"/>
    <w:rsid w:val="00100A76"/>
    <w:rsid w:val="00102675"/>
    <w:rsid w:val="001052BC"/>
    <w:rsid w:val="00105796"/>
    <w:rsid w:val="001111B3"/>
    <w:rsid w:val="00111579"/>
    <w:rsid w:val="00114EDA"/>
    <w:rsid w:val="00120D14"/>
    <w:rsid w:val="001211FA"/>
    <w:rsid w:val="001232B3"/>
    <w:rsid w:val="00123AEC"/>
    <w:rsid w:val="00123DBE"/>
    <w:rsid w:val="00126DC3"/>
    <w:rsid w:val="001359C0"/>
    <w:rsid w:val="00136130"/>
    <w:rsid w:val="001369AA"/>
    <w:rsid w:val="00137E6A"/>
    <w:rsid w:val="00140375"/>
    <w:rsid w:val="0014214B"/>
    <w:rsid w:val="00143186"/>
    <w:rsid w:val="00145E64"/>
    <w:rsid w:val="001477E2"/>
    <w:rsid w:val="00151066"/>
    <w:rsid w:val="0015112D"/>
    <w:rsid w:val="001519F5"/>
    <w:rsid w:val="00152369"/>
    <w:rsid w:val="001557EB"/>
    <w:rsid w:val="00155B4F"/>
    <w:rsid w:val="00157E54"/>
    <w:rsid w:val="001607CE"/>
    <w:rsid w:val="00162976"/>
    <w:rsid w:val="001629DD"/>
    <w:rsid w:val="00162BF0"/>
    <w:rsid w:val="00164C77"/>
    <w:rsid w:val="001676D3"/>
    <w:rsid w:val="0017172D"/>
    <w:rsid w:val="0017226B"/>
    <w:rsid w:val="00177E3D"/>
    <w:rsid w:val="001828CF"/>
    <w:rsid w:val="00183B2D"/>
    <w:rsid w:val="0018470D"/>
    <w:rsid w:val="001856B9"/>
    <w:rsid w:val="0018796A"/>
    <w:rsid w:val="00193446"/>
    <w:rsid w:val="001955D5"/>
    <w:rsid w:val="001970E5"/>
    <w:rsid w:val="00197397"/>
    <w:rsid w:val="001A0409"/>
    <w:rsid w:val="001A259F"/>
    <w:rsid w:val="001A4719"/>
    <w:rsid w:val="001A477D"/>
    <w:rsid w:val="001A4869"/>
    <w:rsid w:val="001A77A8"/>
    <w:rsid w:val="001B106C"/>
    <w:rsid w:val="001B41D0"/>
    <w:rsid w:val="001C0C95"/>
    <w:rsid w:val="001C3931"/>
    <w:rsid w:val="001C5A1C"/>
    <w:rsid w:val="001D1EC5"/>
    <w:rsid w:val="001D45E7"/>
    <w:rsid w:val="001D4F4F"/>
    <w:rsid w:val="001D5CED"/>
    <w:rsid w:val="001E1751"/>
    <w:rsid w:val="001E4971"/>
    <w:rsid w:val="001E79EA"/>
    <w:rsid w:val="001F2545"/>
    <w:rsid w:val="001F266B"/>
    <w:rsid w:val="001F29C1"/>
    <w:rsid w:val="001F5424"/>
    <w:rsid w:val="002006B5"/>
    <w:rsid w:val="00201366"/>
    <w:rsid w:val="00201F41"/>
    <w:rsid w:val="002028F2"/>
    <w:rsid w:val="00202FEF"/>
    <w:rsid w:val="00204652"/>
    <w:rsid w:val="00204A1E"/>
    <w:rsid w:val="00205805"/>
    <w:rsid w:val="00207F7E"/>
    <w:rsid w:val="002120AE"/>
    <w:rsid w:val="00212433"/>
    <w:rsid w:val="002134E5"/>
    <w:rsid w:val="00213F30"/>
    <w:rsid w:val="00215CF5"/>
    <w:rsid w:val="00215F18"/>
    <w:rsid w:val="002178AE"/>
    <w:rsid w:val="00222DC6"/>
    <w:rsid w:val="00225A0E"/>
    <w:rsid w:val="0023283B"/>
    <w:rsid w:val="00233752"/>
    <w:rsid w:val="0023383B"/>
    <w:rsid w:val="00240780"/>
    <w:rsid w:val="00242395"/>
    <w:rsid w:val="00245CBA"/>
    <w:rsid w:val="002474C3"/>
    <w:rsid w:val="00252728"/>
    <w:rsid w:val="00252993"/>
    <w:rsid w:val="002629EB"/>
    <w:rsid w:val="002645EC"/>
    <w:rsid w:val="00265719"/>
    <w:rsid w:val="00266F63"/>
    <w:rsid w:val="00267979"/>
    <w:rsid w:val="0027141C"/>
    <w:rsid w:val="0027327A"/>
    <w:rsid w:val="002740A4"/>
    <w:rsid w:val="002749A3"/>
    <w:rsid w:val="00276A73"/>
    <w:rsid w:val="00277B2A"/>
    <w:rsid w:val="00280511"/>
    <w:rsid w:val="0028129F"/>
    <w:rsid w:val="002834C2"/>
    <w:rsid w:val="00286299"/>
    <w:rsid w:val="002875D0"/>
    <w:rsid w:val="0029068A"/>
    <w:rsid w:val="00292960"/>
    <w:rsid w:val="00296CE8"/>
    <w:rsid w:val="002B23AF"/>
    <w:rsid w:val="002B2A4D"/>
    <w:rsid w:val="002B7FD3"/>
    <w:rsid w:val="002C393A"/>
    <w:rsid w:val="002C40CF"/>
    <w:rsid w:val="002C5947"/>
    <w:rsid w:val="002C5A5F"/>
    <w:rsid w:val="002D58E2"/>
    <w:rsid w:val="002D5BC0"/>
    <w:rsid w:val="002E0ABB"/>
    <w:rsid w:val="002E0DFB"/>
    <w:rsid w:val="002E33E4"/>
    <w:rsid w:val="002E3EA9"/>
    <w:rsid w:val="002E53E6"/>
    <w:rsid w:val="002F067E"/>
    <w:rsid w:val="002F0DA9"/>
    <w:rsid w:val="002F2293"/>
    <w:rsid w:val="002F408F"/>
    <w:rsid w:val="002F5965"/>
    <w:rsid w:val="00302C68"/>
    <w:rsid w:val="003035BE"/>
    <w:rsid w:val="00305969"/>
    <w:rsid w:val="0030703F"/>
    <w:rsid w:val="00307D81"/>
    <w:rsid w:val="0031172A"/>
    <w:rsid w:val="00311BE6"/>
    <w:rsid w:val="00313F86"/>
    <w:rsid w:val="003143D8"/>
    <w:rsid w:val="00314B8B"/>
    <w:rsid w:val="0031639E"/>
    <w:rsid w:val="00316437"/>
    <w:rsid w:val="00317303"/>
    <w:rsid w:val="00320A7C"/>
    <w:rsid w:val="003216C4"/>
    <w:rsid w:val="003264F6"/>
    <w:rsid w:val="00326F38"/>
    <w:rsid w:val="00333B1D"/>
    <w:rsid w:val="0033534B"/>
    <w:rsid w:val="0033689A"/>
    <w:rsid w:val="003377D1"/>
    <w:rsid w:val="00343F22"/>
    <w:rsid w:val="00344FBC"/>
    <w:rsid w:val="00346AD9"/>
    <w:rsid w:val="00347B0D"/>
    <w:rsid w:val="00350AEE"/>
    <w:rsid w:val="00350E10"/>
    <w:rsid w:val="0035261C"/>
    <w:rsid w:val="0035500D"/>
    <w:rsid w:val="00363606"/>
    <w:rsid w:val="00364FEC"/>
    <w:rsid w:val="00366DE3"/>
    <w:rsid w:val="00366E6D"/>
    <w:rsid w:val="00367947"/>
    <w:rsid w:val="00370649"/>
    <w:rsid w:val="003726AD"/>
    <w:rsid w:val="003826F4"/>
    <w:rsid w:val="00382F63"/>
    <w:rsid w:val="003832FA"/>
    <w:rsid w:val="00383CEA"/>
    <w:rsid w:val="00383EBB"/>
    <w:rsid w:val="00384A8A"/>
    <w:rsid w:val="00385AD4"/>
    <w:rsid w:val="003903DB"/>
    <w:rsid w:val="00391285"/>
    <w:rsid w:val="00391637"/>
    <w:rsid w:val="003967F0"/>
    <w:rsid w:val="00397D80"/>
    <w:rsid w:val="003A0539"/>
    <w:rsid w:val="003A79A9"/>
    <w:rsid w:val="003B4528"/>
    <w:rsid w:val="003B5228"/>
    <w:rsid w:val="003B5DF4"/>
    <w:rsid w:val="003B6A85"/>
    <w:rsid w:val="003B7450"/>
    <w:rsid w:val="003C002D"/>
    <w:rsid w:val="003C32AC"/>
    <w:rsid w:val="003C3CC2"/>
    <w:rsid w:val="003C4E89"/>
    <w:rsid w:val="003C5111"/>
    <w:rsid w:val="003C57BA"/>
    <w:rsid w:val="003C58FC"/>
    <w:rsid w:val="003C6BAB"/>
    <w:rsid w:val="003C6EEE"/>
    <w:rsid w:val="003C7A2E"/>
    <w:rsid w:val="003D0C73"/>
    <w:rsid w:val="003E0B5E"/>
    <w:rsid w:val="003E4F1F"/>
    <w:rsid w:val="003E55C8"/>
    <w:rsid w:val="003E617D"/>
    <w:rsid w:val="003E6DC3"/>
    <w:rsid w:val="003F222D"/>
    <w:rsid w:val="003F27A3"/>
    <w:rsid w:val="003F7BC6"/>
    <w:rsid w:val="003F7D45"/>
    <w:rsid w:val="00401E3D"/>
    <w:rsid w:val="00404000"/>
    <w:rsid w:val="00405359"/>
    <w:rsid w:val="004066AB"/>
    <w:rsid w:val="00406CF8"/>
    <w:rsid w:val="00406D2F"/>
    <w:rsid w:val="004074AC"/>
    <w:rsid w:val="00413D80"/>
    <w:rsid w:val="00414516"/>
    <w:rsid w:val="004207D6"/>
    <w:rsid w:val="0042269E"/>
    <w:rsid w:val="00426CE5"/>
    <w:rsid w:val="00431EBA"/>
    <w:rsid w:val="00431F01"/>
    <w:rsid w:val="00435ACF"/>
    <w:rsid w:val="00440131"/>
    <w:rsid w:val="004424C1"/>
    <w:rsid w:val="004434EA"/>
    <w:rsid w:val="00444825"/>
    <w:rsid w:val="00446CD0"/>
    <w:rsid w:val="00447264"/>
    <w:rsid w:val="00447CEE"/>
    <w:rsid w:val="00452A5D"/>
    <w:rsid w:val="00454130"/>
    <w:rsid w:val="004544C3"/>
    <w:rsid w:val="00454697"/>
    <w:rsid w:val="00454F01"/>
    <w:rsid w:val="00456E36"/>
    <w:rsid w:val="00457DFF"/>
    <w:rsid w:val="00460770"/>
    <w:rsid w:val="00460F5E"/>
    <w:rsid w:val="00463954"/>
    <w:rsid w:val="004662B9"/>
    <w:rsid w:val="004678D0"/>
    <w:rsid w:val="00470544"/>
    <w:rsid w:val="00473D61"/>
    <w:rsid w:val="00475790"/>
    <w:rsid w:val="00475F65"/>
    <w:rsid w:val="00477EA6"/>
    <w:rsid w:val="00481E52"/>
    <w:rsid w:val="00482CC5"/>
    <w:rsid w:val="00484699"/>
    <w:rsid w:val="00490A29"/>
    <w:rsid w:val="0049173C"/>
    <w:rsid w:val="00493AEB"/>
    <w:rsid w:val="00495A64"/>
    <w:rsid w:val="00495B7E"/>
    <w:rsid w:val="00495F0A"/>
    <w:rsid w:val="004A287E"/>
    <w:rsid w:val="004A4766"/>
    <w:rsid w:val="004A72FF"/>
    <w:rsid w:val="004B61F3"/>
    <w:rsid w:val="004B7C31"/>
    <w:rsid w:val="004C5170"/>
    <w:rsid w:val="004C5419"/>
    <w:rsid w:val="004D60F5"/>
    <w:rsid w:val="004E1CA4"/>
    <w:rsid w:val="004F246C"/>
    <w:rsid w:val="004F3A47"/>
    <w:rsid w:val="004F3F68"/>
    <w:rsid w:val="004F6494"/>
    <w:rsid w:val="005027DA"/>
    <w:rsid w:val="005037B6"/>
    <w:rsid w:val="0050721D"/>
    <w:rsid w:val="00512B00"/>
    <w:rsid w:val="00514A3D"/>
    <w:rsid w:val="00516762"/>
    <w:rsid w:val="00517710"/>
    <w:rsid w:val="00520937"/>
    <w:rsid w:val="005215D5"/>
    <w:rsid w:val="00521C46"/>
    <w:rsid w:val="00522D83"/>
    <w:rsid w:val="00523B13"/>
    <w:rsid w:val="005240BA"/>
    <w:rsid w:val="00526AAE"/>
    <w:rsid w:val="0052724D"/>
    <w:rsid w:val="00532CFF"/>
    <w:rsid w:val="005340F8"/>
    <w:rsid w:val="00536FE3"/>
    <w:rsid w:val="00537662"/>
    <w:rsid w:val="0053775D"/>
    <w:rsid w:val="005414C2"/>
    <w:rsid w:val="00541DB9"/>
    <w:rsid w:val="00543049"/>
    <w:rsid w:val="005438D2"/>
    <w:rsid w:val="005479B6"/>
    <w:rsid w:val="00552E78"/>
    <w:rsid w:val="005542DC"/>
    <w:rsid w:val="00557DE7"/>
    <w:rsid w:val="005615A2"/>
    <w:rsid w:val="00563B3D"/>
    <w:rsid w:val="005757D5"/>
    <w:rsid w:val="005758D4"/>
    <w:rsid w:val="005809F2"/>
    <w:rsid w:val="00580AD6"/>
    <w:rsid w:val="005817EA"/>
    <w:rsid w:val="005821A0"/>
    <w:rsid w:val="00582EC8"/>
    <w:rsid w:val="00585B87"/>
    <w:rsid w:val="00586B50"/>
    <w:rsid w:val="0058772B"/>
    <w:rsid w:val="00591CAC"/>
    <w:rsid w:val="00592EA8"/>
    <w:rsid w:val="00596A04"/>
    <w:rsid w:val="00596ADD"/>
    <w:rsid w:val="00597A1C"/>
    <w:rsid w:val="005A2ECF"/>
    <w:rsid w:val="005A3EC8"/>
    <w:rsid w:val="005A4183"/>
    <w:rsid w:val="005B1840"/>
    <w:rsid w:val="005B5AC9"/>
    <w:rsid w:val="005B6B49"/>
    <w:rsid w:val="005B6C32"/>
    <w:rsid w:val="005B6CB8"/>
    <w:rsid w:val="005B7998"/>
    <w:rsid w:val="005C0926"/>
    <w:rsid w:val="005C679A"/>
    <w:rsid w:val="005C6937"/>
    <w:rsid w:val="005C7C8C"/>
    <w:rsid w:val="005D08FC"/>
    <w:rsid w:val="005D1F1E"/>
    <w:rsid w:val="005D31A9"/>
    <w:rsid w:val="005D3E2E"/>
    <w:rsid w:val="005D5A1E"/>
    <w:rsid w:val="005D5FD5"/>
    <w:rsid w:val="005E4D62"/>
    <w:rsid w:val="005E547F"/>
    <w:rsid w:val="005F15B8"/>
    <w:rsid w:val="006033C3"/>
    <w:rsid w:val="006035F5"/>
    <w:rsid w:val="006042DF"/>
    <w:rsid w:val="00605956"/>
    <w:rsid w:val="00606D33"/>
    <w:rsid w:val="00607CA6"/>
    <w:rsid w:val="00614854"/>
    <w:rsid w:val="00614A47"/>
    <w:rsid w:val="006271A7"/>
    <w:rsid w:val="00630273"/>
    <w:rsid w:val="00632636"/>
    <w:rsid w:val="00636EEC"/>
    <w:rsid w:val="00636FAF"/>
    <w:rsid w:val="0063738D"/>
    <w:rsid w:val="006458F1"/>
    <w:rsid w:val="006462D2"/>
    <w:rsid w:val="00647E07"/>
    <w:rsid w:val="006552F2"/>
    <w:rsid w:val="00657714"/>
    <w:rsid w:val="00657C75"/>
    <w:rsid w:val="006618F6"/>
    <w:rsid w:val="00661D43"/>
    <w:rsid w:val="0066345B"/>
    <w:rsid w:val="00664F70"/>
    <w:rsid w:val="00671F4F"/>
    <w:rsid w:val="00680080"/>
    <w:rsid w:val="006806E2"/>
    <w:rsid w:val="0068082F"/>
    <w:rsid w:val="006841E6"/>
    <w:rsid w:val="00685872"/>
    <w:rsid w:val="006877B2"/>
    <w:rsid w:val="00691912"/>
    <w:rsid w:val="00694FB7"/>
    <w:rsid w:val="006950BD"/>
    <w:rsid w:val="006A0C31"/>
    <w:rsid w:val="006A1173"/>
    <w:rsid w:val="006A2AE6"/>
    <w:rsid w:val="006A45FD"/>
    <w:rsid w:val="006B1D90"/>
    <w:rsid w:val="006B611B"/>
    <w:rsid w:val="006C094D"/>
    <w:rsid w:val="006C204E"/>
    <w:rsid w:val="006C4971"/>
    <w:rsid w:val="006C6DDF"/>
    <w:rsid w:val="006C75B5"/>
    <w:rsid w:val="006C7D44"/>
    <w:rsid w:val="006C7E8C"/>
    <w:rsid w:val="006D1011"/>
    <w:rsid w:val="006D101D"/>
    <w:rsid w:val="006D2186"/>
    <w:rsid w:val="006D33CE"/>
    <w:rsid w:val="006D48D6"/>
    <w:rsid w:val="006D5A4D"/>
    <w:rsid w:val="006D6228"/>
    <w:rsid w:val="006E1959"/>
    <w:rsid w:val="006E3C30"/>
    <w:rsid w:val="006E3C3B"/>
    <w:rsid w:val="006E3E3E"/>
    <w:rsid w:val="006E3F2C"/>
    <w:rsid w:val="006E4907"/>
    <w:rsid w:val="006F3247"/>
    <w:rsid w:val="006F7EAF"/>
    <w:rsid w:val="00701640"/>
    <w:rsid w:val="00701B3A"/>
    <w:rsid w:val="00707069"/>
    <w:rsid w:val="007071B8"/>
    <w:rsid w:val="007072AF"/>
    <w:rsid w:val="00710515"/>
    <w:rsid w:val="007113A8"/>
    <w:rsid w:val="00712719"/>
    <w:rsid w:val="00712721"/>
    <w:rsid w:val="00715187"/>
    <w:rsid w:val="00715DCC"/>
    <w:rsid w:val="007175E1"/>
    <w:rsid w:val="00720B1A"/>
    <w:rsid w:val="00721D5E"/>
    <w:rsid w:val="007249AC"/>
    <w:rsid w:val="00730085"/>
    <w:rsid w:val="007300AE"/>
    <w:rsid w:val="0073081E"/>
    <w:rsid w:val="007319B1"/>
    <w:rsid w:val="0073355C"/>
    <w:rsid w:val="00733C89"/>
    <w:rsid w:val="00735CD1"/>
    <w:rsid w:val="00742610"/>
    <w:rsid w:val="00743530"/>
    <w:rsid w:val="00745097"/>
    <w:rsid w:val="00745790"/>
    <w:rsid w:val="0074722D"/>
    <w:rsid w:val="00750562"/>
    <w:rsid w:val="00751518"/>
    <w:rsid w:val="007516E3"/>
    <w:rsid w:val="00752685"/>
    <w:rsid w:val="007549BA"/>
    <w:rsid w:val="00754B8F"/>
    <w:rsid w:val="00756BDA"/>
    <w:rsid w:val="00760AFF"/>
    <w:rsid w:val="0076188A"/>
    <w:rsid w:val="00762CE5"/>
    <w:rsid w:val="00762E77"/>
    <w:rsid w:val="007677C2"/>
    <w:rsid w:val="00772B62"/>
    <w:rsid w:val="00772EBF"/>
    <w:rsid w:val="00774AB3"/>
    <w:rsid w:val="00780231"/>
    <w:rsid w:val="00780F88"/>
    <w:rsid w:val="00781A25"/>
    <w:rsid w:val="0078243D"/>
    <w:rsid w:val="007826AD"/>
    <w:rsid w:val="0078298E"/>
    <w:rsid w:val="00786D31"/>
    <w:rsid w:val="00787AA8"/>
    <w:rsid w:val="007A05F9"/>
    <w:rsid w:val="007A338F"/>
    <w:rsid w:val="007A68A2"/>
    <w:rsid w:val="007A6C9A"/>
    <w:rsid w:val="007A6E5E"/>
    <w:rsid w:val="007B06BE"/>
    <w:rsid w:val="007B1DEE"/>
    <w:rsid w:val="007B2341"/>
    <w:rsid w:val="007B415A"/>
    <w:rsid w:val="007C14BA"/>
    <w:rsid w:val="007C55B8"/>
    <w:rsid w:val="007C6C0E"/>
    <w:rsid w:val="007C7852"/>
    <w:rsid w:val="007D4706"/>
    <w:rsid w:val="007D7BF6"/>
    <w:rsid w:val="007E31C6"/>
    <w:rsid w:val="007E51D9"/>
    <w:rsid w:val="007E5BB0"/>
    <w:rsid w:val="007F0A07"/>
    <w:rsid w:val="007F2BE7"/>
    <w:rsid w:val="007F2D7A"/>
    <w:rsid w:val="007F3809"/>
    <w:rsid w:val="007F4E53"/>
    <w:rsid w:val="007F51EC"/>
    <w:rsid w:val="007F5DC7"/>
    <w:rsid w:val="007F73B8"/>
    <w:rsid w:val="00800DA6"/>
    <w:rsid w:val="008018AA"/>
    <w:rsid w:val="00805C80"/>
    <w:rsid w:val="00807863"/>
    <w:rsid w:val="0081012D"/>
    <w:rsid w:val="0081439B"/>
    <w:rsid w:val="008146CB"/>
    <w:rsid w:val="0081478A"/>
    <w:rsid w:val="00815F46"/>
    <w:rsid w:val="008166B0"/>
    <w:rsid w:val="00821257"/>
    <w:rsid w:val="008234ED"/>
    <w:rsid w:val="00825A54"/>
    <w:rsid w:val="00825AC5"/>
    <w:rsid w:val="00830F9C"/>
    <w:rsid w:val="008333F8"/>
    <w:rsid w:val="00833B71"/>
    <w:rsid w:val="0083492A"/>
    <w:rsid w:val="0083698D"/>
    <w:rsid w:val="00837A9E"/>
    <w:rsid w:val="008418EC"/>
    <w:rsid w:val="008439E4"/>
    <w:rsid w:val="00844A63"/>
    <w:rsid w:val="00844E6D"/>
    <w:rsid w:val="00847969"/>
    <w:rsid w:val="00850589"/>
    <w:rsid w:val="00856690"/>
    <w:rsid w:val="008573A4"/>
    <w:rsid w:val="008635DF"/>
    <w:rsid w:val="00865381"/>
    <w:rsid w:val="008679BB"/>
    <w:rsid w:val="00867FE9"/>
    <w:rsid w:val="008706AF"/>
    <w:rsid w:val="00870E0E"/>
    <w:rsid w:val="00875C92"/>
    <w:rsid w:val="00876A19"/>
    <w:rsid w:val="00883B62"/>
    <w:rsid w:val="00884D02"/>
    <w:rsid w:val="00885BD4"/>
    <w:rsid w:val="00885D9E"/>
    <w:rsid w:val="00885DCF"/>
    <w:rsid w:val="0088779C"/>
    <w:rsid w:val="00891EE2"/>
    <w:rsid w:val="00892FE1"/>
    <w:rsid w:val="0089514F"/>
    <w:rsid w:val="008963BD"/>
    <w:rsid w:val="0089792F"/>
    <w:rsid w:val="008A2287"/>
    <w:rsid w:val="008A289F"/>
    <w:rsid w:val="008A49A6"/>
    <w:rsid w:val="008C1474"/>
    <w:rsid w:val="008C28E9"/>
    <w:rsid w:val="008D0435"/>
    <w:rsid w:val="008D5541"/>
    <w:rsid w:val="008E0058"/>
    <w:rsid w:val="008E174A"/>
    <w:rsid w:val="008E3B07"/>
    <w:rsid w:val="008E4E71"/>
    <w:rsid w:val="008E72F4"/>
    <w:rsid w:val="008E78FA"/>
    <w:rsid w:val="008E7942"/>
    <w:rsid w:val="008F20D6"/>
    <w:rsid w:val="008F2D47"/>
    <w:rsid w:val="008F4093"/>
    <w:rsid w:val="008F5DAB"/>
    <w:rsid w:val="008F7F24"/>
    <w:rsid w:val="00902820"/>
    <w:rsid w:val="00902CED"/>
    <w:rsid w:val="00903568"/>
    <w:rsid w:val="00904484"/>
    <w:rsid w:val="009069D7"/>
    <w:rsid w:val="009073D1"/>
    <w:rsid w:val="0091025A"/>
    <w:rsid w:val="00910E64"/>
    <w:rsid w:val="0091408E"/>
    <w:rsid w:val="009144EF"/>
    <w:rsid w:val="00920F34"/>
    <w:rsid w:val="00924DE8"/>
    <w:rsid w:val="00925C73"/>
    <w:rsid w:val="00932A95"/>
    <w:rsid w:val="0093316C"/>
    <w:rsid w:val="009361A3"/>
    <w:rsid w:val="00937BFD"/>
    <w:rsid w:val="00941FB6"/>
    <w:rsid w:val="009447FC"/>
    <w:rsid w:val="00944A9B"/>
    <w:rsid w:val="009456F1"/>
    <w:rsid w:val="00947BCE"/>
    <w:rsid w:val="009572A6"/>
    <w:rsid w:val="00957533"/>
    <w:rsid w:val="00957608"/>
    <w:rsid w:val="0096336C"/>
    <w:rsid w:val="00963AE6"/>
    <w:rsid w:val="00966881"/>
    <w:rsid w:val="009702C9"/>
    <w:rsid w:val="00972547"/>
    <w:rsid w:val="00976916"/>
    <w:rsid w:val="00976DD4"/>
    <w:rsid w:val="0098033E"/>
    <w:rsid w:val="0099004D"/>
    <w:rsid w:val="00991069"/>
    <w:rsid w:val="00994AF6"/>
    <w:rsid w:val="009958F9"/>
    <w:rsid w:val="00996D66"/>
    <w:rsid w:val="00997B77"/>
    <w:rsid w:val="009A196B"/>
    <w:rsid w:val="009A3051"/>
    <w:rsid w:val="009A3EEF"/>
    <w:rsid w:val="009A509D"/>
    <w:rsid w:val="009A5EC3"/>
    <w:rsid w:val="009A7006"/>
    <w:rsid w:val="009A7F43"/>
    <w:rsid w:val="009B0E3C"/>
    <w:rsid w:val="009B1392"/>
    <w:rsid w:val="009B17D9"/>
    <w:rsid w:val="009B1AAB"/>
    <w:rsid w:val="009B42AC"/>
    <w:rsid w:val="009B4B15"/>
    <w:rsid w:val="009B5620"/>
    <w:rsid w:val="009B7935"/>
    <w:rsid w:val="009C0338"/>
    <w:rsid w:val="009C0914"/>
    <w:rsid w:val="009C1804"/>
    <w:rsid w:val="009C2133"/>
    <w:rsid w:val="009C253D"/>
    <w:rsid w:val="009C5CB9"/>
    <w:rsid w:val="009D1F1E"/>
    <w:rsid w:val="009D349C"/>
    <w:rsid w:val="009D44BA"/>
    <w:rsid w:val="009D6B24"/>
    <w:rsid w:val="009D719E"/>
    <w:rsid w:val="009E3AC4"/>
    <w:rsid w:val="009E6E06"/>
    <w:rsid w:val="009F32E0"/>
    <w:rsid w:val="009F6F7F"/>
    <w:rsid w:val="00A0037C"/>
    <w:rsid w:val="00A0073A"/>
    <w:rsid w:val="00A05ED8"/>
    <w:rsid w:val="00A062BF"/>
    <w:rsid w:val="00A07D94"/>
    <w:rsid w:val="00A10CDB"/>
    <w:rsid w:val="00A118D7"/>
    <w:rsid w:val="00A21556"/>
    <w:rsid w:val="00A22CB0"/>
    <w:rsid w:val="00A22E90"/>
    <w:rsid w:val="00A25965"/>
    <w:rsid w:val="00A31784"/>
    <w:rsid w:val="00A32528"/>
    <w:rsid w:val="00A36FC2"/>
    <w:rsid w:val="00A37396"/>
    <w:rsid w:val="00A37EB3"/>
    <w:rsid w:val="00A4052E"/>
    <w:rsid w:val="00A40920"/>
    <w:rsid w:val="00A409BF"/>
    <w:rsid w:val="00A41636"/>
    <w:rsid w:val="00A417B2"/>
    <w:rsid w:val="00A42A0A"/>
    <w:rsid w:val="00A43509"/>
    <w:rsid w:val="00A442E9"/>
    <w:rsid w:val="00A44DA1"/>
    <w:rsid w:val="00A46D67"/>
    <w:rsid w:val="00A4773E"/>
    <w:rsid w:val="00A50909"/>
    <w:rsid w:val="00A51FC5"/>
    <w:rsid w:val="00A5335D"/>
    <w:rsid w:val="00A544B7"/>
    <w:rsid w:val="00A55AB2"/>
    <w:rsid w:val="00A5665B"/>
    <w:rsid w:val="00A6037A"/>
    <w:rsid w:val="00A63EA3"/>
    <w:rsid w:val="00A75A99"/>
    <w:rsid w:val="00A76BC2"/>
    <w:rsid w:val="00A76CFD"/>
    <w:rsid w:val="00A80BF7"/>
    <w:rsid w:val="00A81BA1"/>
    <w:rsid w:val="00A825D6"/>
    <w:rsid w:val="00A840BB"/>
    <w:rsid w:val="00A862F1"/>
    <w:rsid w:val="00A86D56"/>
    <w:rsid w:val="00A94780"/>
    <w:rsid w:val="00AA18A2"/>
    <w:rsid w:val="00AA3024"/>
    <w:rsid w:val="00AA64F8"/>
    <w:rsid w:val="00AA692C"/>
    <w:rsid w:val="00AA75DE"/>
    <w:rsid w:val="00AB01F5"/>
    <w:rsid w:val="00AB0976"/>
    <w:rsid w:val="00AB3508"/>
    <w:rsid w:val="00AB38ED"/>
    <w:rsid w:val="00AB442C"/>
    <w:rsid w:val="00AB6F3C"/>
    <w:rsid w:val="00AB7A3B"/>
    <w:rsid w:val="00AB7AC1"/>
    <w:rsid w:val="00AB7C4E"/>
    <w:rsid w:val="00AC1D74"/>
    <w:rsid w:val="00AC3D80"/>
    <w:rsid w:val="00AC41B4"/>
    <w:rsid w:val="00AC5F46"/>
    <w:rsid w:val="00AC7C05"/>
    <w:rsid w:val="00AD08CC"/>
    <w:rsid w:val="00AD49AA"/>
    <w:rsid w:val="00AD49C1"/>
    <w:rsid w:val="00AD55C1"/>
    <w:rsid w:val="00AD67EC"/>
    <w:rsid w:val="00AE108A"/>
    <w:rsid w:val="00AE35FA"/>
    <w:rsid w:val="00AE4C25"/>
    <w:rsid w:val="00AE5C6D"/>
    <w:rsid w:val="00AE6405"/>
    <w:rsid w:val="00AF32B1"/>
    <w:rsid w:val="00AF6368"/>
    <w:rsid w:val="00AF7C2C"/>
    <w:rsid w:val="00B01C91"/>
    <w:rsid w:val="00B02D7C"/>
    <w:rsid w:val="00B054A5"/>
    <w:rsid w:val="00B071F6"/>
    <w:rsid w:val="00B07440"/>
    <w:rsid w:val="00B3118F"/>
    <w:rsid w:val="00B43B52"/>
    <w:rsid w:val="00B448A2"/>
    <w:rsid w:val="00B44D98"/>
    <w:rsid w:val="00B45072"/>
    <w:rsid w:val="00B4508C"/>
    <w:rsid w:val="00B47E85"/>
    <w:rsid w:val="00B5033C"/>
    <w:rsid w:val="00B52AC5"/>
    <w:rsid w:val="00B5377E"/>
    <w:rsid w:val="00B60231"/>
    <w:rsid w:val="00B60C45"/>
    <w:rsid w:val="00B61363"/>
    <w:rsid w:val="00B70002"/>
    <w:rsid w:val="00B7107E"/>
    <w:rsid w:val="00B727BC"/>
    <w:rsid w:val="00B74EB2"/>
    <w:rsid w:val="00B75724"/>
    <w:rsid w:val="00B75EBF"/>
    <w:rsid w:val="00B76A8F"/>
    <w:rsid w:val="00B7759E"/>
    <w:rsid w:val="00B82E33"/>
    <w:rsid w:val="00B8584D"/>
    <w:rsid w:val="00B8648B"/>
    <w:rsid w:val="00B871E7"/>
    <w:rsid w:val="00B90F46"/>
    <w:rsid w:val="00B95A72"/>
    <w:rsid w:val="00B97EC6"/>
    <w:rsid w:val="00BA2296"/>
    <w:rsid w:val="00BA2438"/>
    <w:rsid w:val="00BA354E"/>
    <w:rsid w:val="00BA3560"/>
    <w:rsid w:val="00BA5B86"/>
    <w:rsid w:val="00BB0571"/>
    <w:rsid w:val="00BB233A"/>
    <w:rsid w:val="00BB2F66"/>
    <w:rsid w:val="00BB3C12"/>
    <w:rsid w:val="00BC00F1"/>
    <w:rsid w:val="00BC0CB9"/>
    <w:rsid w:val="00BC0FC3"/>
    <w:rsid w:val="00BC1F12"/>
    <w:rsid w:val="00BC390E"/>
    <w:rsid w:val="00BC6FAA"/>
    <w:rsid w:val="00BC70E4"/>
    <w:rsid w:val="00BD2821"/>
    <w:rsid w:val="00BD359A"/>
    <w:rsid w:val="00BD51FC"/>
    <w:rsid w:val="00BD53F5"/>
    <w:rsid w:val="00BD6C21"/>
    <w:rsid w:val="00BD6D31"/>
    <w:rsid w:val="00BE666E"/>
    <w:rsid w:val="00BF0220"/>
    <w:rsid w:val="00BF299A"/>
    <w:rsid w:val="00BF3A7E"/>
    <w:rsid w:val="00BF50F1"/>
    <w:rsid w:val="00BF6921"/>
    <w:rsid w:val="00BF6A29"/>
    <w:rsid w:val="00BF79BF"/>
    <w:rsid w:val="00C002E4"/>
    <w:rsid w:val="00C02523"/>
    <w:rsid w:val="00C02E2E"/>
    <w:rsid w:val="00C04836"/>
    <w:rsid w:val="00C15AA5"/>
    <w:rsid w:val="00C22AF0"/>
    <w:rsid w:val="00C27DB8"/>
    <w:rsid w:val="00C356C0"/>
    <w:rsid w:val="00C361AD"/>
    <w:rsid w:val="00C37373"/>
    <w:rsid w:val="00C37787"/>
    <w:rsid w:val="00C403D7"/>
    <w:rsid w:val="00C42F4F"/>
    <w:rsid w:val="00C4360D"/>
    <w:rsid w:val="00C44EB7"/>
    <w:rsid w:val="00C46AB6"/>
    <w:rsid w:val="00C52579"/>
    <w:rsid w:val="00C52EC8"/>
    <w:rsid w:val="00C54642"/>
    <w:rsid w:val="00C548D0"/>
    <w:rsid w:val="00C67119"/>
    <w:rsid w:val="00C672D4"/>
    <w:rsid w:val="00C70933"/>
    <w:rsid w:val="00C7480B"/>
    <w:rsid w:val="00C76B7B"/>
    <w:rsid w:val="00C77934"/>
    <w:rsid w:val="00C80106"/>
    <w:rsid w:val="00C802E3"/>
    <w:rsid w:val="00C817A3"/>
    <w:rsid w:val="00C82132"/>
    <w:rsid w:val="00C8247B"/>
    <w:rsid w:val="00C835EA"/>
    <w:rsid w:val="00C86CD5"/>
    <w:rsid w:val="00C86D52"/>
    <w:rsid w:val="00C90742"/>
    <w:rsid w:val="00C91D02"/>
    <w:rsid w:val="00C92A81"/>
    <w:rsid w:val="00C94F74"/>
    <w:rsid w:val="00C96FE5"/>
    <w:rsid w:val="00C97479"/>
    <w:rsid w:val="00C9776C"/>
    <w:rsid w:val="00C97CAE"/>
    <w:rsid w:val="00CA0A19"/>
    <w:rsid w:val="00CA2178"/>
    <w:rsid w:val="00CA247E"/>
    <w:rsid w:val="00CA2591"/>
    <w:rsid w:val="00CA571E"/>
    <w:rsid w:val="00CA5BC1"/>
    <w:rsid w:val="00CA693C"/>
    <w:rsid w:val="00CA7DFA"/>
    <w:rsid w:val="00CB0D1D"/>
    <w:rsid w:val="00CB2250"/>
    <w:rsid w:val="00CB4684"/>
    <w:rsid w:val="00CB4944"/>
    <w:rsid w:val="00CB567B"/>
    <w:rsid w:val="00CB7EAF"/>
    <w:rsid w:val="00CC5B0E"/>
    <w:rsid w:val="00CC6D15"/>
    <w:rsid w:val="00CC7EE2"/>
    <w:rsid w:val="00CD1325"/>
    <w:rsid w:val="00CD4EA8"/>
    <w:rsid w:val="00CD61FE"/>
    <w:rsid w:val="00CD65A9"/>
    <w:rsid w:val="00CD779A"/>
    <w:rsid w:val="00CE30C9"/>
    <w:rsid w:val="00CE3778"/>
    <w:rsid w:val="00CE72BF"/>
    <w:rsid w:val="00CF1A61"/>
    <w:rsid w:val="00CF2B22"/>
    <w:rsid w:val="00D00374"/>
    <w:rsid w:val="00D056A8"/>
    <w:rsid w:val="00D0649E"/>
    <w:rsid w:val="00D07CC1"/>
    <w:rsid w:val="00D1342A"/>
    <w:rsid w:val="00D2131A"/>
    <w:rsid w:val="00D244AC"/>
    <w:rsid w:val="00D249F7"/>
    <w:rsid w:val="00D26260"/>
    <w:rsid w:val="00D27C26"/>
    <w:rsid w:val="00D32C3E"/>
    <w:rsid w:val="00D364F2"/>
    <w:rsid w:val="00D36893"/>
    <w:rsid w:val="00D377C5"/>
    <w:rsid w:val="00D43786"/>
    <w:rsid w:val="00D4480F"/>
    <w:rsid w:val="00D505A3"/>
    <w:rsid w:val="00D50C9C"/>
    <w:rsid w:val="00D53BDF"/>
    <w:rsid w:val="00D60AF8"/>
    <w:rsid w:val="00D60F1E"/>
    <w:rsid w:val="00D672A7"/>
    <w:rsid w:val="00D73046"/>
    <w:rsid w:val="00D77CA7"/>
    <w:rsid w:val="00D81957"/>
    <w:rsid w:val="00D8257E"/>
    <w:rsid w:val="00D86E13"/>
    <w:rsid w:val="00D87F25"/>
    <w:rsid w:val="00D9275C"/>
    <w:rsid w:val="00DA4B17"/>
    <w:rsid w:val="00DA6321"/>
    <w:rsid w:val="00DA7DA2"/>
    <w:rsid w:val="00DB1FE7"/>
    <w:rsid w:val="00DB6352"/>
    <w:rsid w:val="00DB7F7A"/>
    <w:rsid w:val="00DC072D"/>
    <w:rsid w:val="00DD3BC6"/>
    <w:rsid w:val="00DD4D7E"/>
    <w:rsid w:val="00DE0FD4"/>
    <w:rsid w:val="00DE4C46"/>
    <w:rsid w:val="00DE73C1"/>
    <w:rsid w:val="00DF3220"/>
    <w:rsid w:val="00DF4579"/>
    <w:rsid w:val="00DF45F7"/>
    <w:rsid w:val="00DF62FF"/>
    <w:rsid w:val="00E03075"/>
    <w:rsid w:val="00E06B03"/>
    <w:rsid w:val="00E10116"/>
    <w:rsid w:val="00E14D5D"/>
    <w:rsid w:val="00E17431"/>
    <w:rsid w:val="00E17A45"/>
    <w:rsid w:val="00E211DB"/>
    <w:rsid w:val="00E2158D"/>
    <w:rsid w:val="00E21A7B"/>
    <w:rsid w:val="00E21D58"/>
    <w:rsid w:val="00E232D4"/>
    <w:rsid w:val="00E27832"/>
    <w:rsid w:val="00E302F3"/>
    <w:rsid w:val="00E31E70"/>
    <w:rsid w:val="00E36638"/>
    <w:rsid w:val="00E366FD"/>
    <w:rsid w:val="00E36A27"/>
    <w:rsid w:val="00E3719B"/>
    <w:rsid w:val="00E4328A"/>
    <w:rsid w:val="00E43AC2"/>
    <w:rsid w:val="00E50798"/>
    <w:rsid w:val="00E529A8"/>
    <w:rsid w:val="00E60DD0"/>
    <w:rsid w:val="00E62D86"/>
    <w:rsid w:val="00E64272"/>
    <w:rsid w:val="00E6490F"/>
    <w:rsid w:val="00E70168"/>
    <w:rsid w:val="00E70A74"/>
    <w:rsid w:val="00E72A2E"/>
    <w:rsid w:val="00E749B4"/>
    <w:rsid w:val="00E77933"/>
    <w:rsid w:val="00E82015"/>
    <w:rsid w:val="00E8672E"/>
    <w:rsid w:val="00E86B4D"/>
    <w:rsid w:val="00E87184"/>
    <w:rsid w:val="00E87305"/>
    <w:rsid w:val="00E91DD4"/>
    <w:rsid w:val="00EA3A81"/>
    <w:rsid w:val="00EA443F"/>
    <w:rsid w:val="00EA4FBF"/>
    <w:rsid w:val="00EB057A"/>
    <w:rsid w:val="00EB5C6F"/>
    <w:rsid w:val="00EB7D68"/>
    <w:rsid w:val="00EC1352"/>
    <w:rsid w:val="00EC3245"/>
    <w:rsid w:val="00EC41AA"/>
    <w:rsid w:val="00EC4ED2"/>
    <w:rsid w:val="00EC63AE"/>
    <w:rsid w:val="00EC7155"/>
    <w:rsid w:val="00ED0FBE"/>
    <w:rsid w:val="00ED22D9"/>
    <w:rsid w:val="00ED2773"/>
    <w:rsid w:val="00ED54A6"/>
    <w:rsid w:val="00ED57E2"/>
    <w:rsid w:val="00ED5898"/>
    <w:rsid w:val="00ED6098"/>
    <w:rsid w:val="00ED65C1"/>
    <w:rsid w:val="00EE7B82"/>
    <w:rsid w:val="00EF0D62"/>
    <w:rsid w:val="00EF1B0E"/>
    <w:rsid w:val="00EF260A"/>
    <w:rsid w:val="00EF2FED"/>
    <w:rsid w:val="00EF3050"/>
    <w:rsid w:val="00EF504B"/>
    <w:rsid w:val="00EF6BBE"/>
    <w:rsid w:val="00EF7915"/>
    <w:rsid w:val="00F00794"/>
    <w:rsid w:val="00F00809"/>
    <w:rsid w:val="00F00CC3"/>
    <w:rsid w:val="00F012A0"/>
    <w:rsid w:val="00F02244"/>
    <w:rsid w:val="00F02814"/>
    <w:rsid w:val="00F0291C"/>
    <w:rsid w:val="00F03BE4"/>
    <w:rsid w:val="00F04971"/>
    <w:rsid w:val="00F1121A"/>
    <w:rsid w:val="00F11579"/>
    <w:rsid w:val="00F12A81"/>
    <w:rsid w:val="00F14F58"/>
    <w:rsid w:val="00F150D6"/>
    <w:rsid w:val="00F23361"/>
    <w:rsid w:val="00F235B1"/>
    <w:rsid w:val="00F23C4E"/>
    <w:rsid w:val="00F24BCF"/>
    <w:rsid w:val="00F25392"/>
    <w:rsid w:val="00F27A68"/>
    <w:rsid w:val="00F30233"/>
    <w:rsid w:val="00F330CF"/>
    <w:rsid w:val="00F3686F"/>
    <w:rsid w:val="00F371F7"/>
    <w:rsid w:val="00F4247B"/>
    <w:rsid w:val="00F464CD"/>
    <w:rsid w:val="00F475A0"/>
    <w:rsid w:val="00F47C1B"/>
    <w:rsid w:val="00F50824"/>
    <w:rsid w:val="00F50AF8"/>
    <w:rsid w:val="00F518C3"/>
    <w:rsid w:val="00F52745"/>
    <w:rsid w:val="00F5595F"/>
    <w:rsid w:val="00F57270"/>
    <w:rsid w:val="00F6207B"/>
    <w:rsid w:val="00F6358C"/>
    <w:rsid w:val="00F6783D"/>
    <w:rsid w:val="00F707DA"/>
    <w:rsid w:val="00F7256E"/>
    <w:rsid w:val="00F7306B"/>
    <w:rsid w:val="00F73A55"/>
    <w:rsid w:val="00F76AA2"/>
    <w:rsid w:val="00F84107"/>
    <w:rsid w:val="00F84573"/>
    <w:rsid w:val="00F86451"/>
    <w:rsid w:val="00F876ED"/>
    <w:rsid w:val="00F907FC"/>
    <w:rsid w:val="00FA05DA"/>
    <w:rsid w:val="00FA106A"/>
    <w:rsid w:val="00FA4D3A"/>
    <w:rsid w:val="00FA570A"/>
    <w:rsid w:val="00FA5E52"/>
    <w:rsid w:val="00FA74FE"/>
    <w:rsid w:val="00FA7542"/>
    <w:rsid w:val="00FB44FF"/>
    <w:rsid w:val="00FC088D"/>
    <w:rsid w:val="00FC3BE2"/>
    <w:rsid w:val="00FC64A6"/>
    <w:rsid w:val="00FC6F6B"/>
    <w:rsid w:val="00FD3DDE"/>
    <w:rsid w:val="00FD5A14"/>
    <w:rsid w:val="00FD66D0"/>
    <w:rsid w:val="00FD7874"/>
    <w:rsid w:val="00FD7D8C"/>
    <w:rsid w:val="00FE3115"/>
    <w:rsid w:val="00FE5E35"/>
    <w:rsid w:val="00FE64D4"/>
    <w:rsid w:val="00FE6CB5"/>
    <w:rsid w:val="00FE7D6B"/>
    <w:rsid w:val="00FF144A"/>
    <w:rsid w:val="00FF1EB3"/>
    <w:rsid w:val="00FF2B26"/>
    <w:rsid w:val="00FF4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447CB809"/>
  <w15:chartTrackingRefBased/>
  <w15:docId w15:val="{88923344-7BE7-4F0E-9176-9D0CA4A3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F1E"/>
    <w:rPr>
      <w:sz w:val="24"/>
      <w:szCs w:val="24"/>
    </w:rPr>
  </w:style>
  <w:style w:type="paragraph" w:styleId="Heading1">
    <w:name w:val="heading 1"/>
    <w:basedOn w:val="Normal"/>
    <w:next w:val="Normal"/>
    <w:qFormat/>
    <w:rsid w:val="003C002D"/>
    <w:pPr>
      <w:keepNext/>
      <w:spacing w:line="360" w:lineRule="auto"/>
      <w:jc w:val="center"/>
      <w:outlineLvl w:val="0"/>
    </w:pPr>
    <w:rPr>
      <w:b/>
      <w:kern w:val="2"/>
      <w:sz w:val="28"/>
      <w:szCs w:val="20"/>
    </w:rPr>
  </w:style>
  <w:style w:type="paragraph" w:styleId="Heading2">
    <w:name w:val="heading 2"/>
    <w:basedOn w:val="Normal"/>
    <w:next w:val="Normal"/>
    <w:qFormat/>
    <w:rsid w:val="003C002D"/>
    <w:pPr>
      <w:keepNext/>
      <w:jc w:val="both"/>
      <w:outlineLvl w:val="1"/>
    </w:pPr>
    <w:rPr>
      <w:b/>
      <w:bCs/>
      <w:kern w:val="2"/>
      <w:sz w:val="20"/>
      <w:szCs w:val="20"/>
    </w:rPr>
  </w:style>
  <w:style w:type="paragraph" w:styleId="Heading3">
    <w:name w:val="heading 3"/>
    <w:basedOn w:val="Normal"/>
    <w:next w:val="Normal"/>
    <w:qFormat/>
    <w:rsid w:val="003C002D"/>
    <w:pPr>
      <w:keepNext/>
      <w:jc w:val="center"/>
      <w:outlineLvl w:val="2"/>
    </w:pPr>
    <w:rPr>
      <w:b/>
      <w:bCs/>
      <w:kern w:val="2"/>
      <w:sz w:val="20"/>
      <w:szCs w:val="20"/>
    </w:rPr>
  </w:style>
  <w:style w:type="paragraph" w:styleId="Heading4">
    <w:name w:val="heading 4"/>
    <w:basedOn w:val="Normal"/>
    <w:next w:val="Normal"/>
    <w:qFormat/>
    <w:rsid w:val="003C002D"/>
    <w:pPr>
      <w:keepNext/>
      <w:jc w:val="both"/>
      <w:outlineLvl w:val="3"/>
    </w:pPr>
    <w:rPr>
      <w:b/>
      <w:kern w:val="2"/>
      <w:sz w:val="21"/>
      <w:szCs w:val="20"/>
    </w:rPr>
  </w:style>
  <w:style w:type="paragraph" w:styleId="Heading5">
    <w:name w:val="heading 5"/>
    <w:basedOn w:val="Normal"/>
    <w:next w:val="Normal"/>
    <w:qFormat/>
    <w:rsid w:val="003C002D"/>
    <w:pPr>
      <w:keepNext/>
      <w:jc w:val="righ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rsid w:val="001519F5"/>
    <w:pPr>
      <w:numPr>
        <w:numId w:val="1"/>
      </w:numPr>
      <w:tabs>
        <w:tab w:val="clear" w:pos="360"/>
        <w:tab w:val="left" w:pos="1440"/>
      </w:tabs>
      <w:snapToGrid w:val="0"/>
      <w:spacing w:before="480" w:line="360" w:lineRule="auto"/>
      <w:jc w:val="both"/>
    </w:pPr>
    <w:rPr>
      <w:sz w:val="28"/>
      <w:szCs w:val="28"/>
    </w:rPr>
  </w:style>
  <w:style w:type="paragraph" w:customStyle="1" w:styleId="PARA-CONT">
    <w:name w:val="PARA-CON'T"/>
    <w:basedOn w:val="para"/>
    <w:next w:val="para"/>
    <w:rsid w:val="003C002D"/>
    <w:pPr>
      <w:numPr>
        <w:numId w:val="0"/>
      </w:numPr>
      <w:spacing w:before="240"/>
    </w:pPr>
  </w:style>
  <w:style w:type="paragraph" w:customStyle="1" w:styleId="points">
    <w:name w:val="points"/>
    <w:basedOn w:val="para"/>
    <w:rsid w:val="0073081E"/>
    <w:pPr>
      <w:numPr>
        <w:numId w:val="0"/>
      </w:numPr>
      <w:tabs>
        <w:tab w:val="left" w:pos="2160"/>
      </w:tabs>
      <w:spacing w:before="240"/>
      <w:ind w:left="1440" w:hanging="720"/>
    </w:pPr>
  </w:style>
  <w:style w:type="paragraph" w:customStyle="1" w:styleId="para-heading">
    <w:name w:val="para-heading"/>
    <w:basedOn w:val="para"/>
    <w:next w:val="para"/>
    <w:rsid w:val="001519F5"/>
    <w:pPr>
      <w:spacing w:before="120"/>
    </w:pPr>
  </w:style>
  <w:style w:type="paragraph" w:styleId="Header">
    <w:name w:val="header"/>
    <w:basedOn w:val="Normal"/>
    <w:link w:val="HeaderChar"/>
    <w:uiPriority w:val="99"/>
    <w:rsid w:val="003C002D"/>
    <w:pPr>
      <w:tabs>
        <w:tab w:val="center" w:pos="4153"/>
        <w:tab w:val="right" w:pos="8306"/>
      </w:tabs>
    </w:pPr>
  </w:style>
  <w:style w:type="paragraph" w:styleId="Footer">
    <w:name w:val="footer"/>
    <w:basedOn w:val="Normal"/>
    <w:link w:val="FooterChar"/>
    <w:uiPriority w:val="99"/>
    <w:rsid w:val="003C002D"/>
    <w:pPr>
      <w:tabs>
        <w:tab w:val="center" w:pos="4153"/>
        <w:tab w:val="right" w:pos="8306"/>
      </w:tabs>
    </w:pPr>
  </w:style>
  <w:style w:type="character" w:styleId="FootnoteReference">
    <w:name w:val="footnote reference"/>
    <w:uiPriority w:val="99"/>
    <w:semiHidden/>
    <w:rsid w:val="003C002D"/>
    <w:rPr>
      <w:vertAlign w:val="superscript"/>
    </w:rPr>
  </w:style>
  <w:style w:type="paragraph" w:customStyle="1" w:styleId="subheading">
    <w:name w:val="subheading"/>
    <w:next w:val="para-heading"/>
    <w:rsid w:val="008E0058"/>
    <w:pPr>
      <w:keepNext/>
      <w:snapToGrid w:val="0"/>
      <w:spacing w:before="600" w:after="240"/>
      <w:jc w:val="both"/>
    </w:pPr>
    <w:rPr>
      <w:rFonts w:eastAsia="MingLiU"/>
      <w:i/>
      <w:sz w:val="28"/>
      <w:szCs w:val="28"/>
    </w:rPr>
  </w:style>
  <w:style w:type="paragraph" w:customStyle="1" w:styleId="Quote1">
    <w:name w:val="Quote1"/>
    <w:rsid w:val="005D5A1E"/>
    <w:pPr>
      <w:tabs>
        <w:tab w:val="left" w:pos="2016"/>
      </w:tabs>
      <w:adjustRightInd w:val="0"/>
      <w:snapToGrid w:val="0"/>
      <w:spacing w:before="240" w:after="120"/>
      <w:ind w:left="1440" w:right="720"/>
      <w:jc w:val="both"/>
    </w:pPr>
    <w:rPr>
      <w:sz w:val="24"/>
      <w:lang w:val="en-GB"/>
    </w:rPr>
  </w:style>
  <w:style w:type="paragraph" w:styleId="FootnoteText">
    <w:name w:val="footnote text"/>
    <w:basedOn w:val="Normal"/>
    <w:link w:val="FootnoteTextChar"/>
    <w:uiPriority w:val="99"/>
    <w:semiHidden/>
    <w:rsid w:val="003C002D"/>
    <w:pPr>
      <w:jc w:val="both"/>
    </w:pPr>
    <w:rPr>
      <w:kern w:val="2"/>
      <w:sz w:val="20"/>
      <w:szCs w:val="20"/>
    </w:rPr>
  </w:style>
  <w:style w:type="character" w:styleId="PageNumber">
    <w:name w:val="page number"/>
    <w:basedOn w:val="DefaultParagraphFont"/>
    <w:semiHidden/>
    <w:rsid w:val="003C002D"/>
  </w:style>
  <w:style w:type="paragraph" w:customStyle="1" w:styleId="mainheadings">
    <w:name w:val="mainheadings"/>
    <w:next w:val="para-heading"/>
    <w:rsid w:val="00DA6321"/>
    <w:pPr>
      <w:keepNext/>
      <w:spacing w:before="600" w:after="240"/>
      <w:jc w:val="both"/>
    </w:pPr>
    <w:rPr>
      <w:rFonts w:eastAsia="MingLiU"/>
      <w:i/>
      <w:caps/>
      <w:noProof/>
      <w:sz w:val="28"/>
      <w:lang w:eastAsia="en-US"/>
    </w:rPr>
  </w:style>
  <w:style w:type="character" w:styleId="FollowedHyperlink">
    <w:name w:val="FollowedHyperlink"/>
    <w:semiHidden/>
    <w:rsid w:val="003C002D"/>
    <w:rPr>
      <w:color w:val="800080"/>
      <w:u w:val="single"/>
    </w:rPr>
  </w:style>
  <w:style w:type="paragraph" w:styleId="BodyTextIndent">
    <w:name w:val="Body Text Indent"/>
    <w:basedOn w:val="Normal"/>
    <w:link w:val="BodyTextIndentChar"/>
    <w:semiHidden/>
    <w:rsid w:val="003C002D"/>
    <w:pPr>
      <w:ind w:left="420" w:hanging="420"/>
      <w:jc w:val="both"/>
    </w:pPr>
    <w:rPr>
      <w:kern w:val="2"/>
      <w:sz w:val="28"/>
      <w:szCs w:val="20"/>
    </w:rPr>
  </w:style>
  <w:style w:type="paragraph" w:styleId="ListParagraph">
    <w:name w:val="List Paragraph"/>
    <w:basedOn w:val="Normal"/>
    <w:uiPriority w:val="34"/>
    <w:qFormat/>
    <w:rsid w:val="00E3719B"/>
    <w:pPr>
      <w:spacing w:after="200" w:line="276" w:lineRule="auto"/>
      <w:ind w:left="720"/>
      <w:contextualSpacing/>
    </w:pPr>
    <w:rPr>
      <w:szCs w:val="22"/>
    </w:rPr>
  </w:style>
  <w:style w:type="character" w:customStyle="1" w:styleId="FootnoteTextChar">
    <w:name w:val="Footnote Text Char"/>
    <w:link w:val="FootnoteText"/>
    <w:uiPriority w:val="99"/>
    <w:semiHidden/>
    <w:rsid w:val="00E3719B"/>
    <w:rPr>
      <w:kern w:val="2"/>
    </w:rPr>
  </w:style>
  <w:style w:type="paragraph" w:styleId="BalloonText">
    <w:name w:val="Balloon Text"/>
    <w:basedOn w:val="Normal"/>
    <w:link w:val="BalloonTextChar"/>
    <w:uiPriority w:val="99"/>
    <w:semiHidden/>
    <w:unhideWhenUsed/>
    <w:rsid w:val="00383CEA"/>
    <w:rPr>
      <w:rFonts w:ascii="Tahoma" w:hAnsi="Tahoma" w:cs="Tahoma"/>
      <w:sz w:val="16"/>
      <w:szCs w:val="16"/>
    </w:rPr>
  </w:style>
  <w:style w:type="character" w:customStyle="1" w:styleId="BalloonTextChar">
    <w:name w:val="Balloon Text Char"/>
    <w:link w:val="BalloonText"/>
    <w:uiPriority w:val="99"/>
    <w:semiHidden/>
    <w:rsid w:val="00383CEA"/>
    <w:rPr>
      <w:rFonts w:ascii="Tahoma" w:hAnsi="Tahoma" w:cs="Tahoma"/>
      <w:sz w:val="16"/>
      <w:szCs w:val="16"/>
    </w:rPr>
  </w:style>
  <w:style w:type="paragraph" w:styleId="NormalIndent">
    <w:name w:val="Normal Indent"/>
    <w:basedOn w:val="Normal"/>
    <w:semiHidden/>
    <w:unhideWhenUsed/>
    <w:rsid w:val="004678D0"/>
    <w:pPr>
      <w:tabs>
        <w:tab w:val="right" w:pos="9000"/>
      </w:tabs>
      <w:overflowPunct w:val="0"/>
      <w:autoSpaceDE w:val="0"/>
      <w:autoSpaceDN w:val="0"/>
      <w:adjustRightInd w:val="0"/>
      <w:snapToGrid w:val="0"/>
      <w:spacing w:after="360"/>
      <w:ind w:left="720"/>
      <w:jc w:val="both"/>
    </w:pPr>
    <w:rPr>
      <w:rFonts w:eastAsia="MingLiU"/>
      <w:szCs w:val="20"/>
      <w:lang w:val="en-GB" w:eastAsia="ja-JP"/>
    </w:rPr>
  </w:style>
  <w:style w:type="paragraph" w:customStyle="1" w:styleId="Hanging">
    <w:name w:val="Hanging"/>
    <w:basedOn w:val="Normal"/>
    <w:rsid w:val="004678D0"/>
    <w:pPr>
      <w:tabs>
        <w:tab w:val="left" w:pos="1440"/>
        <w:tab w:val="center" w:pos="4320"/>
        <w:tab w:val="right" w:pos="8453"/>
      </w:tabs>
      <w:spacing w:before="120" w:after="120" w:line="440" w:lineRule="exact"/>
      <w:ind w:left="1440" w:hanging="720"/>
      <w:jc w:val="both"/>
    </w:pPr>
    <w:rPr>
      <w:kern w:val="2"/>
      <w:sz w:val="28"/>
      <w:szCs w:val="20"/>
    </w:rPr>
  </w:style>
  <w:style w:type="paragraph" w:customStyle="1" w:styleId="Final">
    <w:name w:val="Final"/>
    <w:basedOn w:val="Normal"/>
    <w:rsid w:val="004678D0"/>
    <w:pPr>
      <w:tabs>
        <w:tab w:val="left" w:pos="1440"/>
        <w:tab w:val="center" w:pos="4320"/>
        <w:tab w:val="right" w:pos="9072"/>
      </w:tabs>
      <w:snapToGrid w:val="0"/>
      <w:spacing w:after="440" w:line="360" w:lineRule="auto"/>
    </w:pPr>
    <w:rPr>
      <w:sz w:val="28"/>
      <w:szCs w:val="20"/>
    </w:rPr>
  </w:style>
  <w:style w:type="numbering" w:customStyle="1" w:styleId="a1">
    <w:name w:val="(a)(1)"/>
    <w:uiPriority w:val="99"/>
    <w:rsid w:val="00F00CC3"/>
    <w:pPr>
      <w:numPr>
        <w:numId w:val="5"/>
      </w:numPr>
    </w:pPr>
  </w:style>
  <w:style w:type="character" w:customStyle="1" w:styleId="BodyTextIndentChar">
    <w:name w:val="Body Text Indent Char"/>
    <w:link w:val="BodyTextIndent"/>
    <w:semiHidden/>
    <w:rsid w:val="00664F70"/>
    <w:rPr>
      <w:kern w:val="2"/>
      <w:sz w:val="28"/>
    </w:rPr>
  </w:style>
  <w:style w:type="paragraph" w:styleId="NormalWeb">
    <w:name w:val="Normal (Web)"/>
    <w:basedOn w:val="Normal"/>
    <w:uiPriority w:val="99"/>
    <w:unhideWhenUsed/>
    <w:rsid w:val="002028F2"/>
    <w:pPr>
      <w:spacing w:before="100" w:beforeAutospacing="1" w:after="100" w:afterAutospacing="1"/>
    </w:pPr>
    <w:rPr>
      <w:rFonts w:eastAsia="Times New Roman"/>
      <w:color w:val="000000"/>
    </w:rPr>
  </w:style>
  <w:style w:type="paragraph" w:customStyle="1" w:styleId="Sub-sub-heading">
    <w:name w:val="Sub-sub-heading"/>
    <w:basedOn w:val="subheading"/>
    <w:next w:val="para-heading"/>
    <w:qFormat/>
    <w:rsid w:val="00FA05DA"/>
    <w:pPr>
      <w:spacing w:before="120"/>
    </w:pPr>
  </w:style>
  <w:style w:type="character" w:customStyle="1" w:styleId="HeaderChar">
    <w:name w:val="Header Char"/>
    <w:link w:val="Header"/>
    <w:uiPriority w:val="99"/>
    <w:rsid w:val="00DB1FE7"/>
    <w:rPr>
      <w:sz w:val="24"/>
      <w:szCs w:val="24"/>
    </w:rPr>
  </w:style>
  <w:style w:type="paragraph" w:customStyle="1" w:styleId="ONE">
    <w:name w:val="ONE"/>
    <w:basedOn w:val="Normal"/>
    <w:qFormat/>
    <w:rsid w:val="00D377C5"/>
    <w:pPr>
      <w:numPr>
        <w:numId w:val="2"/>
      </w:numPr>
      <w:tabs>
        <w:tab w:val="clear" w:pos="1800"/>
        <w:tab w:val="left" w:pos="1425"/>
      </w:tabs>
      <w:overflowPunct w:val="0"/>
      <w:autoSpaceDE w:val="0"/>
      <w:autoSpaceDN w:val="0"/>
      <w:adjustRightInd w:val="0"/>
      <w:spacing w:line="360" w:lineRule="auto"/>
      <w:ind w:left="0"/>
      <w:jc w:val="both"/>
      <w:textAlignment w:val="baseline"/>
    </w:pPr>
    <w:rPr>
      <w:rFonts w:eastAsia="PMingLiU"/>
      <w:sz w:val="28"/>
      <w:szCs w:val="20"/>
      <w:lang w:val="en-GB" w:eastAsia="en-US"/>
    </w:rPr>
  </w:style>
  <w:style w:type="paragraph" w:customStyle="1" w:styleId="Text1">
    <w:name w:val="Text 1"/>
    <w:basedOn w:val="Normal"/>
    <w:link w:val="Text1Char"/>
    <w:qFormat/>
    <w:rsid w:val="00096098"/>
    <w:pPr>
      <w:numPr>
        <w:numId w:val="3"/>
      </w:numPr>
      <w:spacing w:line="276" w:lineRule="auto"/>
      <w:contextualSpacing/>
      <w:jc w:val="both"/>
    </w:pPr>
    <w:rPr>
      <w:rFonts w:eastAsia="PMingLiU"/>
      <w:sz w:val="28"/>
      <w:szCs w:val="22"/>
      <w:lang w:val="en-GB" w:eastAsia="zh-TW"/>
    </w:rPr>
  </w:style>
  <w:style w:type="paragraph" w:customStyle="1" w:styleId="Text3">
    <w:name w:val="Text 3"/>
    <w:basedOn w:val="Text2"/>
    <w:qFormat/>
    <w:rsid w:val="00096098"/>
    <w:pPr>
      <w:numPr>
        <w:ilvl w:val="2"/>
      </w:numPr>
      <w:tabs>
        <w:tab w:val="num" w:pos="360"/>
      </w:tabs>
      <w:ind w:left="1800" w:hanging="720"/>
    </w:pPr>
  </w:style>
  <w:style w:type="character" w:customStyle="1" w:styleId="Text1Char">
    <w:name w:val="Text 1 Char"/>
    <w:link w:val="Text1"/>
    <w:rsid w:val="00096098"/>
    <w:rPr>
      <w:rFonts w:eastAsia="PMingLiU"/>
      <w:sz w:val="28"/>
      <w:szCs w:val="22"/>
      <w:lang w:val="en-GB" w:eastAsia="zh-TW"/>
    </w:rPr>
  </w:style>
  <w:style w:type="paragraph" w:customStyle="1" w:styleId="Text2">
    <w:name w:val="Text 2"/>
    <w:basedOn w:val="Text1"/>
    <w:link w:val="Text2Char"/>
    <w:qFormat/>
    <w:rsid w:val="00096098"/>
    <w:pPr>
      <w:numPr>
        <w:ilvl w:val="1"/>
      </w:numPr>
    </w:pPr>
  </w:style>
  <w:style w:type="paragraph" w:styleId="Quote">
    <w:name w:val="Quote"/>
    <w:basedOn w:val="Normal"/>
    <w:next w:val="Normal"/>
    <w:link w:val="QuoteChar"/>
    <w:uiPriority w:val="6"/>
    <w:qFormat/>
    <w:rsid w:val="00CA2591"/>
    <w:pPr>
      <w:spacing w:line="276" w:lineRule="auto"/>
      <w:ind w:left="1440" w:right="720"/>
      <w:contextualSpacing/>
      <w:jc w:val="both"/>
    </w:pPr>
    <w:rPr>
      <w:rFonts w:eastAsia="PMingLiU"/>
      <w:i/>
      <w:iCs/>
      <w:sz w:val="28"/>
      <w:szCs w:val="22"/>
      <w:lang w:val="en-GB" w:eastAsia="zh-TW"/>
    </w:rPr>
  </w:style>
  <w:style w:type="character" w:customStyle="1" w:styleId="QuoteChar">
    <w:name w:val="Quote Char"/>
    <w:basedOn w:val="DefaultParagraphFont"/>
    <w:link w:val="Quote"/>
    <w:uiPriority w:val="6"/>
    <w:rsid w:val="00CA2591"/>
    <w:rPr>
      <w:rFonts w:eastAsia="PMingLiU"/>
      <w:i/>
      <w:iCs/>
      <w:sz w:val="28"/>
      <w:szCs w:val="22"/>
      <w:lang w:val="en-GB" w:eastAsia="zh-TW"/>
    </w:rPr>
  </w:style>
  <w:style w:type="character" w:customStyle="1" w:styleId="Text2Char">
    <w:name w:val="Text 2 Char"/>
    <w:link w:val="Text2"/>
    <w:rsid w:val="00CA2591"/>
    <w:rPr>
      <w:rFonts w:eastAsia="PMingLiU"/>
      <w:sz w:val="28"/>
      <w:szCs w:val="22"/>
      <w:lang w:val="en-GB" w:eastAsia="zh-TW"/>
    </w:rPr>
  </w:style>
  <w:style w:type="paragraph" w:styleId="Subtitle">
    <w:name w:val="Subtitle"/>
    <w:basedOn w:val="Normal"/>
    <w:next w:val="Normal"/>
    <w:link w:val="SubtitleChar"/>
    <w:uiPriority w:val="11"/>
    <w:qFormat/>
    <w:rsid w:val="00A840BB"/>
    <w:pPr>
      <w:numPr>
        <w:ilvl w:val="1"/>
      </w:numPr>
      <w:spacing w:after="200" w:line="360"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A840BB"/>
    <w:rPr>
      <w:rFonts w:ascii="Cambria" w:hAnsi="Cambria"/>
      <w:i/>
      <w:iCs/>
      <w:color w:val="4F81BD"/>
      <w:spacing w:val="15"/>
      <w:sz w:val="24"/>
      <w:szCs w:val="24"/>
    </w:rPr>
  </w:style>
  <w:style w:type="paragraph" w:styleId="IntenseQuote">
    <w:name w:val="Intense Quote"/>
    <w:basedOn w:val="Normal"/>
    <w:next w:val="Normal"/>
    <w:link w:val="IntenseQuoteChar"/>
    <w:uiPriority w:val="30"/>
    <w:qFormat/>
    <w:rsid w:val="00A840BB"/>
    <w:pPr>
      <w:pBdr>
        <w:bottom w:val="single" w:sz="4" w:space="4" w:color="4F81BD"/>
      </w:pBdr>
      <w:spacing w:before="200" w:after="280" w:line="360" w:lineRule="auto"/>
      <w:ind w:left="936" w:right="936"/>
    </w:pPr>
    <w:rPr>
      <w:b/>
      <w:bCs/>
      <w:i/>
      <w:iCs/>
      <w:color w:val="4F81BD"/>
      <w:szCs w:val="28"/>
    </w:rPr>
  </w:style>
  <w:style w:type="character" w:customStyle="1" w:styleId="IntenseQuoteChar">
    <w:name w:val="Intense Quote Char"/>
    <w:basedOn w:val="DefaultParagraphFont"/>
    <w:link w:val="IntenseQuote"/>
    <w:uiPriority w:val="30"/>
    <w:rsid w:val="00A840BB"/>
    <w:rPr>
      <w:b/>
      <w:bCs/>
      <w:i/>
      <w:iCs/>
      <w:color w:val="4F81BD"/>
      <w:sz w:val="24"/>
      <w:szCs w:val="28"/>
    </w:rPr>
  </w:style>
  <w:style w:type="character" w:customStyle="1" w:styleId="FooterChar">
    <w:name w:val="Footer Char"/>
    <w:basedOn w:val="DefaultParagraphFont"/>
    <w:link w:val="Footer"/>
    <w:uiPriority w:val="99"/>
    <w:rsid w:val="00A840BB"/>
    <w:rPr>
      <w:sz w:val="24"/>
      <w:szCs w:val="24"/>
    </w:rPr>
  </w:style>
  <w:style w:type="table" w:styleId="TableGrid">
    <w:name w:val="Table Grid"/>
    <w:basedOn w:val="TableNormal"/>
    <w:uiPriority w:val="59"/>
    <w:rsid w:val="00A84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97397"/>
    <w:rPr>
      <w:color w:val="0044BB"/>
      <w:u w:val="single"/>
    </w:rPr>
  </w:style>
  <w:style w:type="paragraph" w:customStyle="1" w:styleId="Quote2">
    <w:name w:val="Quote2"/>
    <w:basedOn w:val="Normal"/>
    <w:rsid w:val="00197397"/>
    <w:pPr>
      <w:spacing w:before="100" w:beforeAutospacing="1" w:after="100" w:afterAutospacing="1"/>
    </w:pPr>
    <w:rPr>
      <w:rFonts w:eastAsia="Times New Roman"/>
      <w:color w:val="000000"/>
    </w:rPr>
  </w:style>
  <w:style w:type="numbering" w:customStyle="1" w:styleId="1a">
    <w:name w:val="(1)(a)"/>
    <w:uiPriority w:val="99"/>
    <w:rsid w:val="008D554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19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72807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725597">
      <w:bodyDiv w:val="1"/>
      <w:marLeft w:val="0"/>
      <w:marRight w:val="0"/>
      <w:marTop w:val="0"/>
      <w:marBottom w:val="0"/>
      <w:divBdr>
        <w:top w:val="none" w:sz="0" w:space="0" w:color="auto"/>
        <w:left w:val="none" w:sz="0" w:space="0" w:color="auto"/>
        <w:bottom w:val="none" w:sz="0" w:space="0" w:color="auto"/>
        <w:right w:val="none" w:sz="0" w:space="0" w:color="auto"/>
      </w:divBdr>
    </w:div>
    <w:div w:id="1057897703">
      <w:bodyDiv w:val="1"/>
      <w:marLeft w:val="0"/>
      <w:marRight w:val="0"/>
      <w:marTop w:val="0"/>
      <w:marBottom w:val="0"/>
      <w:divBdr>
        <w:top w:val="none" w:sz="0" w:space="0" w:color="auto"/>
        <w:left w:val="none" w:sz="0" w:space="0" w:color="auto"/>
        <w:bottom w:val="none" w:sz="0" w:space="0" w:color="auto"/>
        <w:right w:val="none" w:sz="0" w:space="0" w:color="auto"/>
      </w:divBdr>
    </w:div>
    <w:div w:id="1188719344">
      <w:bodyDiv w:val="1"/>
      <w:marLeft w:val="0"/>
      <w:marRight w:val="0"/>
      <w:marTop w:val="0"/>
      <w:marBottom w:val="0"/>
      <w:divBdr>
        <w:top w:val="none" w:sz="0" w:space="0" w:color="auto"/>
        <w:left w:val="none" w:sz="0" w:space="0" w:color="auto"/>
        <w:bottom w:val="none" w:sz="0" w:space="0" w:color="auto"/>
        <w:right w:val="none" w:sz="0" w:space="0" w:color="auto"/>
      </w:divBdr>
    </w:div>
    <w:div w:id="1362632881">
      <w:bodyDiv w:val="1"/>
      <w:marLeft w:val="0"/>
      <w:marRight w:val="0"/>
      <w:marTop w:val="0"/>
      <w:marBottom w:val="0"/>
      <w:divBdr>
        <w:top w:val="none" w:sz="0" w:space="0" w:color="auto"/>
        <w:left w:val="none" w:sz="0" w:space="0" w:color="auto"/>
        <w:bottom w:val="none" w:sz="0" w:space="0" w:color="auto"/>
        <w:right w:val="none" w:sz="0" w:space="0" w:color="auto"/>
      </w:divBdr>
    </w:div>
    <w:div w:id="1486819553">
      <w:bodyDiv w:val="1"/>
      <w:marLeft w:val="0"/>
      <w:marRight w:val="0"/>
      <w:marTop w:val="0"/>
      <w:marBottom w:val="0"/>
      <w:divBdr>
        <w:top w:val="none" w:sz="0" w:space="0" w:color="auto"/>
        <w:left w:val="none" w:sz="0" w:space="0" w:color="auto"/>
        <w:bottom w:val="none" w:sz="0" w:space="0" w:color="auto"/>
        <w:right w:val="none" w:sz="0" w:space="0" w:color="auto"/>
      </w:divBdr>
    </w:div>
    <w:div w:id="1708918834">
      <w:bodyDiv w:val="1"/>
      <w:marLeft w:val="0"/>
      <w:marRight w:val="0"/>
      <w:marTop w:val="0"/>
      <w:marBottom w:val="0"/>
      <w:divBdr>
        <w:top w:val="none" w:sz="0" w:space="0" w:color="auto"/>
        <w:left w:val="none" w:sz="0" w:space="0" w:color="auto"/>
        <w:bottom w:val="none" w:sz="0" w:space="0" w:color="auto"/>
        <w:right w:val="none" w:sz="0" w:space="0" w:color="auto"/>
      </w:divBdr>
    </w:div>
    <w:div w:id="1744331677">
      <w:bodyDiv w:val="1"/>
      <w:marLeft w:val="0"/>
      <w:marRight w:val="0"/>
      <w:marTop w:val="0"/>
      <w:marBottom w:val="0"/>
      <w:divBdr>
        <w:top w:val="none" w:sz="0" w:space="0" w:color="auto"/>
        <w:left w:val="none" w:sz="0" w:space="0" w:color="auto"/>
        <w:bottom w:val="none" w:sz="0" w:space="0" w:color="auto"/>
        <w:right w:val="none" w:sz="0" w:space="0" w:color="auto"/>
      </w:divBdr>
    </w:div>
    <w:div w:id="20974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BA6E8-670D-45AE-9626-4A5E799BB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3360</Words>
  <Characters>16013</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HCAP 8/2007</vt:lpstr>
    </vt:vector>
  </TitlesOfParts>
  <Company>Judiciary Hong Kong</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HCAP 8/2007</dc:title>
  <dc:subject/>
  <dc:creator>Judiciary</dc:creator>
  <cp:keywords/>
  <cp:lastModifiedBy>Windows User</cp:lastModifiedBy>
  <cp:revision>4</cp:revision>
  <cp:lastPrinted>2022-06-30T07:56:00Z</cp:lastPrinted>
  <dcterms:created xsi:type="dcterms:W3CDTF">2022-06-30T07:53:00Z</dcterms:created>
  <dcterms:modified xsi:type="dcterms:W3CDTF">2022-06-30T08:11:00Z</dcterms:modified>
</cp:coreProperties>
</file>