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124" w:rsidRDefault="00240F10" w:rsidP="00934212">
      <w:pPr>
        <w:ind w:right="-61"/>
        <w:jc w:val="right"/>
      </w:pPr>
      <w:bookmarkStart w:id="0" w:name="_GoBack"/>
      <w:bookmarkEnd w:id="0"/>
      <w:r>
        <w:tab/>
      </w:r>
      <w:r w:rsidR="005003BD">
        <w:t xml:space="preserve">CTEA </w:t>
      </w:r>
      <w:r w:rsidR="0098645B">
        <w:t>1</w:t>
      </w:r>
      <w:r w:rsidR="00B87124" w:rsidRPr="00C7081F">
        <w:t>/20</w:t>
      </w:r>
      <w:r w:rsidR="00173730">
        <w:t>2</w:t>
      </w:r>
      <w:r w:rsidR="0098645B">
        <w:t>3</w:t>
      </w:r>
    </w:p>
    <w:p w:rsidR="00B87124" w:rsidRPr="00CC7BA1" w:rsidRDefault="00CC009C" w:rsidP="00B87124">
      <w:pPr>
        <w:ind w:right="-61"/>
        <w:jc w:val="right"/>
      </w:pPr>
      <w:sdt>
        <w:sdtPr>
          <w:rPr>
            <w:rStyle w:val="PlaceholderText"/>
            <w:color w:val="000000" w:themeColor="text1"/>
          </w:rPr>
          <w:alias w:val="neutral citation number"/>
          <w:tag w:val="neutral citation number"/>
          <w:id w:val="210003420"/>
          <w:placeholder>
            <w:docPart w:val="12BDB78AA4754C8588D9A7B33433913E"/>
          </w:placeholder>
          <w:text/>
        </w:sdtPr>
        <w:sdtEndPr>
          <w:rPr>
            <w:rStyle w:val="PlaceholderText"/>
          </w:rPr>
        </w:sdtEndPr>
        <w:sdtContent>
          <w:r w:rsidR="00B87124">
            <w:rPr>
              <w:rStyle w:val="PlaceholderText"/>
              <w:color w:val="000000" w:themeColor="text1"/>
            </w:rPr>
            <w:t>[202</w:t>
          </w:r>
          <w:r w:rsidR="005003BD">
            <w:rPr>
              <w:rStyle w:val="PlaceholderText"/>
              <w:color w:val="000000" w:themeColor="text1"/>
            </w:rPr>
            <w:t>4</w:t>
          </w:r>
          <w:r w:rsidR="00B87124">
            <w:rPr>
              <w:rStyle w:val="PlaceholderText"/>
              <w:color w:val="000000" w:themeColor="text1"/>
            </w:rPr>
            <w:t>] HKCT</w:t>
          </w:r>
        </w:sdtContent>
      </w:sdt>
      <w:r w:rsidR="00DD1A96">
        <w:rPr>
          <w:rStyle w:val="PlaceholderText"/>
          <w:color w:val="000000" w:themeColor="text1"/>
        </w:rPr>
        <w:t xml:space="preserve"> 2</w:t>
      </w:r>
    </w:p>
    <w:p w:rsidR="00B87124" w:rsidRPr="008C5EED" w:rsidRDefault="00B87124" w:rsidP="00B87124">
      <w:pPr>
        <w:tabs>
          <w:tab w:val="left" w:pos="1560"/>
        </w:tabs>
        <w:spacing w:before="240" w:after="120" w:line="276" w:lineRule="auto"/>
        <w:ind w:right="29"/>
        <w:jc w:val="center"/>
        <w:rPr>
          <w:b/>
        </w:rPr>
      </w:pPr>
      <w:r w:rsidRPr="008C5EED">
        <w:rPr>
          <w:b/>
        </w:rPr>
        <w:t>IN THE COMPETITION TRIBUNAL OF THE</w:t>
      </w:r>
    </w:p>
    <w:p w:rsidR="00B87124" w:rsidRPr="008C5EED" w:rsidRDefault="00B87124" w:rsidP="00B87124">
      <w:pPr>
        <w:pStyle w:val="Heading1"/>
        <w:spacing w:after="120" w:line="276" w:lineRule="auto"/>
        <w:ind w:right="29"/>
      </w:pPr>
      <w:r w:rsidRPr="008C5EED">
        <w:t>HONG KONG SPECIAL ADMINISTRATIVE REGION</w:t>
      </w:r>
    </w:p>
    <w:p w:rsidR="00B87124" w:rsidRPr="008C5EED" w:rsidRDefault="00B87124" w:rsidP="00B87124">
      <w:pPr>
        <w:spacing w:after="120" w:line="276" w:lineRule="auto"/>
        <w:ind w:right="-511" w:hanging="1260"/>
        <w:jc w:val="center"/>
        <w:rPr>
          <w:b/>
        </w:rPr>
      </w:pPr>
      <w:r w:rsidRPr="008C5EED">
        <w:rPr>
          <w:b/>
          <w:color w:val="000000"/>
          <w:szCs w:val="28"/>
        </w:rPr>
        <w:t>COMPETITION TRIBUNAL ENFORCEMENT ACTION NO</w:t>
      </w:r>
      <w:r w:rsidR="005003BD">
        <w:rPr>
          <w:b/>
        </w:rPr>
        <w:t xml:space="preserve"> </w:t>
      </w:r>
      <w:r w:rsidR="0098645B">
        <w:rPr>
          <w:b/>
        </w:rPr>
        <w:t>1</w:t>
      </w:r>
      <w:r w:rsidRPr="008C5EED">
        <w:rPr>
          <w:b/>
        </w:rPr>
        <w:t xml:space="preserve"> OF 20</w:t>
      </w:r>
      <w:r w:rsidR="00173730">
        <w:rPr>
          <w:b/>
        </w:rPr>
        <w:t>2</w:t>
      </w:r>
      <w:r w:rsidR="0098645B">
        <w:rPr>
          <w:b/>
        </w:rPr>
        <w:t>3</w:t>
      </w:r>
    </w:p>
    <w:p w:rsidR="00B87124" w:rsidRDefault="00B87124" w:rsidP="00B87124">
      <w:pPr>
        <w:snapToGrid w:val="0"/>
        <w:ind w:right="29"/>
        <w:jc w:val="center"/>
      </w:pPr>
      <w:r w:rsidRPr="00C7081F">
        <w:t>_____</w:t>
      </w:r>
      <w:r>
        <w:t>_______</w:t>
      </w:r>
      <w:r w:rsidRPr="00C7081F">
        <w:t>____</w:t>
      </w:r>
    </w:p>
    <w:p w:rsidR="00B87124" w:rsidRDefault="00B87124" w:rsidP="00B87124">
      <w:pPr>
        <w:pStyle w:val="Header"/>
        <w:tabs>
          <w:tab w:val="clear" w:pos="4320"/>
          <w:tab w:val="left" w:pos="-817"/>
          <w:tab w:val="center" w:pos="6570"/>
        </w:tabs>
        <w:spacing w:before="240" w:line="276" w:lineRule="auto"/>
        <w:ind w:right="-331"/>
        <w:rPr>
          <w:szCs w:val="28"/>
          <w:lang w:val="en-US" w:eastAsia="zh-TW"/>
        </w:rPr>
      </w:pPr>
      <w:r>
        <w:rPr>
          <w:szCs w:val="28"/>
          <w:lang w:val="en-US" w:eastAsia="zh-TW"/>
        </w:rPr>
        <w:t>BETWEEN</w:t>
      </w:r>
    </w:p>
    <w:p w:rsidR="00B87124" w:rsidRDefault="00B87124" w:rsidP="00B87124">
      <w:pPr>
        <w:pStyle w:val="Header"/>
        <w:tabs>
          <w:tab w:val="clear" w:pos="4320"/>
          <w:tab w:val="left" w:pos="-817"/>
        </w:tabs>
        <w:spacing w:before="240" w:line="276" w:lineRule="auto"/>
        <w:ind w:left="446" w:right="-331" w:hanging="446"/>
        <w:jc w:val="left"/>
        <w:rPr>
          <w:szCs w:val="28"/>
          <w:lang w:val="en-US" w:eastAsia="zh-TW"/>
        </w:rPr>
      </w:pPr>
      <w:r>
        <w:rPr>
          <w:szCs w:val="28"/>
          <w:lang w:val="en-US" w:eastAsia="zh-TW"/>
        </w:rPr>
        <w:tab/>
        <w:t>COMPETITION COMMISSION</w:t>
      </w:r>
      <w:r>
        <w:rPr>
          <w:szCs w:val="28"/>
          <w:lang w:val="en-US" w:eastAsia="zh-TW"/>
        </w:rPr>
        <w:tab/>
        <w:t>Applicant</w:t>
      </w:r>
    </w:p>
    <w:p w:rsidR="00B87124" w:rsidRDefault="00B87124" w:rsidP="00B87124">
      <w:pPr>
        <w:pStyle w:val="Header"/>
        <w:tabs>
          <w:tab w:val="clear" w:pos="4320"/>
          <w:tab w:val="left" w:pos="-817"/>
        </w:tabs>
        <w:spacing w:before="240" w:after="120" w:line="276" w:lineRule="auto"/>
        <w:ind w:right="-331"/>
        <w:jc w:val="center"/>
        <w:rPr>
          <w:szCs w:val="28"/>
          <w:lang w:val="en-US" w:eastAsia="zh-TW"/>
        </w:rPr>
      </w:pPr>
      <w:r>
        <w:rPr>
          <w:szCs w:val="28"/>
          <w:lang w:val="en-US" w:eastAsia="zh-TW"/>
        </w:rPr>
        <w:t>and</w:t>
      </w:r>
    </w:p>
    <w:p w:rsidR="00B87124" w:rsidRPr="005418A6" w:rsidRDefault="00B87124" w:rsidP="00B87124">
      <w:pPr>
        <w:pStyle w:val="Header"/>
        <w:tabs>
          <w:tab w:val="clear" w:pos="4320"/>
          <w:tab w:val="left" w:pos="-817"/>
          <w:tab w:val="center" w:pos="6570"/>
        </w:tabs>
        <w:spacing w:before="240" w:line="300" w:lineRule="exact"/>
        <w:ind w:left="446" w:right="-331" w:hanging="446"/>
        <w:rPr>
          <w:rFonts w:ascii="宋体" w:eastAsia="宋体" w:hAnsi="宋体"/>
          <w:szCs w:val="28"/>
          <w:lang w:val="en-US" w:eastAsia="zh-TW"/>
        </w:rPr>
      </w:pPr>
      <w:r>
        <w:rPr>
          <w:szCs w:val="28"/>
          <w:lang w:val="en-US" w:eastAsia="zh-TW"/>
        </w:rPr>
        <w:tab/>
      </w:r>
      <w:r w:rsidR="0098645B">
        <w:rPr>
          <w:szCs w:val="28"/>
          <w:lang w:val="en-US" w:eastAsia="zh-TW"/>
        </w:rPr>
        <w:t xml:space="preserve">MULTISOFT </w:t>
      </w:r>
      <w:r w:rsidR="005003BD">
        <w:rPr>
          <w:szCs w:val="28"/>
          <w:lang w:val="en-US" w:eastAsia="zh-TW"/>
        </w:rPr>
        <w:t>LIMITED</w:t>
      </w:r>
      <w:r>
        <w:rPr>
          <w:szCs w:val="28"/>
          <w:lang w:val="en-US" w:eastAsia="zh-TW"/>
        </w:rPr>
        <w:tab/>
      </w:r>
      <w:r>
        <w:rPr>
          <w:szCs w:val="28"/>
          <w:lang w:val="en-US" w:eastAsia="zh-TW"/>
        </w:rPr>
        <w:tab/>
        <w:t>1</w:t>
      </w:r>
      <w:r w:rsidRPr="003B3596">
        <w:rPr>
          <w:szCs w:val="28"/>
          <w:vertAlign w:val="superscript"/>
          <w:lang w:val="en-US" w:eastAsia="zh-TW"/>
        </w:rPr>
        <w:t>st</w:t>
      </w:r>
      <w:r w:rsidR="00173730">
        <w:rPr>
          <w:szCs w:val="28"/>
          <w:lang w:val="en-US" w:eastAsia="zh-TW"/>
        </w:rPr>
        <w:t xml:space="preserve"> Respondent</w:t>
      </w:r>
    </w:p>
    <w:p w:rsidR="00B87124" w:rsidRDefault="00B87124" w:rsidP="00B87124">
      <w:pPr>
        <w:pStyle w:val="Header"/>
        <w:tabs>
          <w:tab w:val="clear" w:pos="4320"/>
          <w:tab w:val="left" w:pos="-817"/>
        </w:tabs>
        <w:spacing w:before="360" w:line="300" w:lineRule="exact"/>
        <w:ind w:left="446" w:right="-331" w:hanging="446"/>
        <w:jc w:val="left"/>
        <w:rPr>
          <w:szCs w:val="28"/>
          <w:lang w:val="en-US" w:eastAsia="zh-TW"/>
        </w:rPr>
      </w:pPr>
      <w:r>
        <w:rPr>
          <w:szCs w:val="28"/>
          <w:lang w:val="en-US" w:eastAsia="zh-TW"/>
        </w:rPr>
        <w:tab/>
      </w:r>
      <w:r w:rsidR="0098645B">
        <w:rPr>
          <w:szCs w:val="28"/>
          <w:lang w:val="en-US" w:eastAsia="zh-TW"/>
        </w:rPr>
        <w:t>MTT GROUP HOLDINGS LIMITED</w:t>
      </w:r>
      <w:r w:rsidR="005003BD">
        <w:rPr>
          <w:szCs w:val="28"/>
          <w:lang w:val="en-US" w:eastAsia="zh-TW"/>
        </w:rPr>
        <w:tab/>
      </w:r>
      <w:r>
        <w:rPr>
          <w:szCs w:val="28"/>
          <w:lang w:val="en-US" w:eastAsia="zh-TW"/>
        </w:rPr>
        <w:t>2</w:t>
      </w:r>
      <w:r w:rsidRPr="003B3596">
        <w:rPr>
          <w:szCs w:val="28"/>
          <w:vertAlign w:val="superscript"/>
          <w:lang w:val="en-US" w:eastAsia="zh-TW"/>
        </w:rPr>
        <w:t>nd</w:t>
      </w:r>
      <w:r w:rsidR="00173730">
        <w:rPr>
          <w:szCs w:val="28"/>
          <w:lang w:val="en-US" w:eastAsia="zh-TW"/>
        </w:rPr>
        <w:t xml:space="preserve"> Respondent</w:t>
      </w:r>
    </w:p>
    <w:p w:rsidR="00B87124" w:rsidRDefault="00B87124" w:rsidP="00B87124">
      <w:pPr>
        <w:pStyle w:val="Header"/>
        <w:tabs>
          <w:tab w:val="clear" w:pos="4320"/>
          <w:tab w:val="left" w:pos="-817"/>
        </w:tabs>
        <w:spacing w:before="360" w:line="300" w:lineRule="exact"/>
        <w:ind w:left="446" w:right="-331" w:hanging="446"/>
        <w:rPr>
          <w:szCs w:val="28"/>
          <w:lang w:val="en-US" w:eastAsia="zh-TW"/>
        </w:rPr>
      </w:pPr>
      <w:r>
        <w:rPr>
          <w:szCs w:val="28"/>
          <w:lang w:val="en-US" w:eastAsia="zh-TW"/>
        </w:rPr>
        <w:tab/>
      </w:r>
      <w:r w:rsidR="0098645B">
        <w:rPr>
          <w:szCs w:val="28"/>
          <w:lang w:val="en-US" w:eastAsia="zh-TW"/>
        </w:rPr>
        <w:t>BP ENTERPRISE COMPANY LIMITED</w:t>
      </w:r>
      <w:r>
        <w:rPr>
          <w:szCs w:val="28"/>
          <w:lang w:val="en-US" w:eastAsia="zh-TW"/>
        </w:rPr>
        <w:tab/>
        <w:t>3</w:t>
      </w:r>
      <w:r w:rsidRPr="008C04F2">
        <w:rPr>
          <w:szCs w:val="28"/>
          <w:vertAlign w:val="superscript"/>
          <w:lang w:val="en-US" w:eastAsia="zh-TW"/>
        </w:rPr>
        <w:t>rd</w:t>
      </w:r>
      <w:r w:rsidR="0098645B">
        <w:rPr>
          <w:szCs w:val="28"/>
          <w:lang w:val="en-US" w:eastAsia="zh-TW"/>
        </w:rPr>
        <w:t xml:space="preserve"> Respondent</w:t>
      </w:r>
    </w:p>
    <w:p w:rsidR="00B87124" w:rsidRDefault="00B87124" w:rsidP="00B87124">
      <w:pPr>
        <w:pStyle w:val="Header"/>
        <w:tabs>
          <w:tab w:val="clear" w:pos="4320"/>
          <w:tab w:val="left" w:pos="-817"/>
        </w:tabs>
        <w:spacing w:before="360" w:line="300" w:lineRule="exact"/>
        <w:ind w:left="446" w:right="-331" w:hanging="446"/>
        <w:rPr>
          <w:szCs w:val="28"/>
          <w:lang w:val="en-US" w:eastAsia="zh-TW"/>
        </w:rPr>
      </w:pPr>
      <w:r>
        <w:rPr>
          <w:szCs w:val="28"/>
          <w:lang w:val="en-US" w:eastAsia="zh-TW"/>
        </w:rPr>
        <w:tab/>
      </w:r>
      <w:r w:rsidR="0098645B">
        <w:rPr>
          <w:szCs w:val="28"/>
          <w:lang w:val="en-US" w:eastAsia="zh-TW"/>
        </w:rPr>
        <w:t>NOBLE NURSING HOME COMPANY LIMITED</w:t>
      </w:r>
      <w:r>
        <w:rPr>
          <w:szCs w:val="28"/>
          <w:lang w:val="en-US" w:eastAsia="zh-TW"/>
        </w:rPr>
        <w:tab/>
        <w:t>4</w:t>
      </w:r>
      <w:r w:rsidRPr="008C04F2">
        <w:rPr>
          <w:szCs w:val="28"/>
          <w:vertAlign w:val="superscript"/>
          <w:lang w:val="en-US" w:eastAsia="zh-TW"/>
        </w:rPr>
        <w:t>th</w:t>
      </w:r>
      <w:r>
        <w:rPr>
          <w:szCs w:val="28"/>
          <w:lang w:val="en-US" w:eastAsia="zh-TW"/>
        </w:rPr>
        <w:t xml:space="preserve"> Respondent</w:t>
      </w:r>
    </w:p>
    <w:p w:rsidR="0098645B" w:rsidRDefault="0098645B" w:rsidP="00B87124">
      <w:pPr>
        <w:pStyle w:val="Header"/>
        <w:tabs>
          <w:tab w:val="clear" w:pos="4320"/>
          <w:tab w:val="left" w:pos="-817"/>
        </w:tabs>
        <w:spacing w:before="360" w:line="300" w:lineRule="exact"/>
        <w:ind w:left="446" w:right="-331" w:hanging="446"/>
        <w:rPr>
          <w:szCs w:val="28"/>
          <w:lang w:val="en-US" w:eastAsia="zh-TW"/>
        </w:rPr>
      </w:pPr>
      <w:r>
        <w:rPr>
          <w:szCs w:val="28"/>
          <w:lang w:val="en-US" w:eastAsia="zh-TW"/>
        </w:rPr>
        <w:tab/>
        <w:t>KWEK STUDIO LIMITED</w:t>
      </w:r>
      <w:r>
        <w:rPr>
          <w:szCs w:val="28"/>
          <w:lang w:val="en-US" w:eastAsia="zh-TW"/>
        </w:rPr>
        <w:tab/>
        <w:t>5</w:t>
      </w:r>
      <w:r w:rsidRPr="0098645B">
        <w:rPr>
          <w:szCs w:val="28"/>
          <w:vertAlign w:val="superscript"/>
          <w:lang w:val="en-US" w:eastAsia="zh-TW"/>
        </w:rPr>
        <w:t>th</w:t>
      </w:r>
      <w:r>
        <w:rPr>
          <w:szCs w:val="28"/>
          <w:lang w:val="en-US" w:eastAsia="zh-TW"/>
        </w:rPr>
        <w:t xml:space="preserve"> Respondent</w:t>
      </w:r>
    </w:p>
    <w:p w:rsidR="0098645B" w:rsidRDefault="0098645B" w:rsidP="00B87124">
      <w:pPr>
        <w:pStyle w:val="Header"/>
        <w:tabs>
          <w:tab w:val="clear" w:pos="4320"/>
          <w:tab w:val="left" w:pos="-817"/>
        </w:tabs>
        <w:spacing w:before="360" w:line="300" w:lineRule="exact"/>
        <w:ind w:left="446" w:right="-331" w:hanging="446"/>
        <w:rPr>
          <w:szCs w:val="28"/>
          <w:lang w:val="en-US" w:eastAsia="zh-TW"/>
        </w:rPr>
      </w:pPr>
      <w:r>
        <w:rPr>
          <w:szCs w:val="28"/>
          <w:lang w:val="en-US" w:eastAsia="zh-TW"/>
        </w:rPr>
        <w:tab/>
        <w:t>AU YEUNG KIT YEE</w:t>
      </w:r>
      <w:r>
        <w:rPr>
          <w:szCs w:val="28"/>
          <w:lang w:val="en-US" w:eastAsia="zh-TW"/>
        </w:rPr>
        <w:tab/>
        <w:t>6</w:t>
      </w:r>
      <w:r w:rsidRPr="0098645B">
        <w:rPr>
          <w:szCs w:val="28"/>
          <w:vertAlign w:val="superscript"/>
          <w:lang w:val="en-US" w:eastAsia="zh-TW"/>
        </w:rPr>
        <w:t>th</w:t>
      </w:r>
      <w:r>
        <w:rPr>
          <w:szCs w:val="28"/>
          <w:lang w:val="en-US" w:eastAsia="zh-TW"/>
        </w:rPr>
        <w:t xml:space="preserve"> Respondent</w:t>
      </w:r>
      <w:r>
        <w:rPr>
          <w:szCs w:val="28"/>
          <w:lang w:val="en-US" w:eastAsia="zh-TW"/>
        </w:rPr>
        <w:br/>
        <w:t>(trading as YAT YING HONG and in her personal capacity)</w:t>
      </w:r>
    </w:p>
    <w:p w:rsidR="0098645B" w:rsidRDefault="0098645B" w:rsidP="00B87124">
      <w:pPr>
        <w:pStyle w:val="Header"/>
        <w:tabs>
          <w:tab w:val="clear" w:pos="4320"/>
          <w:tab w:val="left" w:pos="-817"/>
        </w:tabs>
        <w:spacing w:before="360" w:line="300" w:lineRule="exact"/>
        <w:ind w:left="446" w:right="-331" w:hanging="446"/>
        <w:rPr>
          <w:szCs w:val="28"/>
          <w:lang w:val="en-US" w:eastAsia="zh-TW"/>
        </w:rPr>
      </w:pPr>
      <w:r>
        <w:rPr>
          <w:szCs w:val="28"/>
          <w:lang w:val="en-US" w:eastAsia="zh-TW"/>
        </w:rPr>
        <w:tab/>
        <w:t>FAN SING CHI</w:t>
      </w:r>
      <w:r>
        <w:rPr>
          <w:szCs w:val="28"/>
          <w:lang w:val="en-US" w:eastAsia="zh-TW"/>
        </w:rPr>
        <w:tab/>
        <w:t>7</w:t>
      </w:r>
      <w:r w:rsidRPr="0098645B">
        <w:rPr>
          <w:szCs w:val="28"/>
          <w:vertAlign w:val="superscript"/>
          <w:lang w:val="en-US" w:eastAsia="zh-TW"/>
        </w:rPr>
        <w:t>th</w:t>
      </w:r>
      <w:r>
        <w:rPr>
          <w:szCs w:val="28"/>
          <w:lang w:val="en-US" w:eastAsia="zh-TW"/>
        </w:rPr>
        <w:t xml:space="preserve"> Respondent</w:t>
      </w:r>
    </w:p>
    <w:p w:rsidR="0098645B" w:rsidRPr="003666C3" w:rsidRDefault="0098645B" w:rsidP="00B87124">
      <w:pPr>
        <w:pStyle w:val="Header"/>
        <w:tabs>
          <w:tab w:val="clear" w:pos="4320"/>
          <w:tab w:val="left" w:pos="-817"/>
        </w:tabs>
        <w:spacing w:before="360" w:line="300" w:lineRule="exact"/>
        <w:ind w:left="446" w:right="-331" w:hanging="446"/>
        <w:rPr>
          <w:rFonts w:ascii="宋体" w:eastAsia="宋体" w:hAnsi="宋体"/>
          <w:szCs w:val="28"/>
          <w:lang w:val="en-US" w:eastAsia="zh-TW"/>
        </w:rPr>
      </w:pPr>
      <w:r>
        <w:rPr>
          <w:szCs w:val="28"/>
          <w:lang w:val="en-US" w:eastAsia="zh-TW"/>
        </w:rPr>
        <w:tab/>
        <w:t>TANG WAI CHUN</w:t>
      </w:r>
      <w:r>
        <w:rPr>
          <w:szCs w:val="28"/>
          <w:lang w:val="en-US" w:eastAsia="zh-TW"/>
        </w:rPr>
        <w:tab/>
        <w:t>8</w:t>
      </w:r>
      <w:r w:rsidRPr="0098645B">
        <w:rPr>
          <w:szCs w:val="28"/>
          <w:vertAlign w:val="superscript"/>
          <w:lang w:val="en-US" w:eastAsia="zh-TW"/>
        </w:rPr>
        <w:t>th</w:t>
      </w:r>
      <w:r>
        <w:rPr>
          <w:szCs w:val="28"/>
          <w:lang w:val="en-US" w:eastAsia="zh-TW"/>
        </w:rPr>
        <w:t xml:space="preserve"> Respondent</w:t>
      </w:r>
    </w:p>
    <w:p w:rsidR="00B87124" w:rsidRPr="00492E94" w:rsidRDefault="00B87124" w:rsidP="000E1E12">
      <w:pPr>
        <w:tabs>
          <w:tab w:val="left" w:pos="4320"/>
        </w:tabs>
        <w:spacing w:after="120"/>
        <w:ind w:left="0" w:right="29" w:firstLine="0"/>
        <w:jc w:val="center"/>
      </w:pPr>
      <w:r w:rsidRPr="00492E94">
        <w:t>________________</w:t>
      </w:r>
    </w:p>
    <w:p w:rsidR="00B87124" w:rsidRPr="000E0FC4" w:rsidRDefault="00B87124" w:rsidP="00B87124">
      <w:pPr>
        <w:spacing w:before="240" w:after="200"/>
        <w:ind w:left="0" w:right="29" w:firstLine="0"/>
      </w:pPr>
      <w:r w:rsidRPr="000E0FC4">
        <w:t>Before:</w:t>
      </w:r>
      <w:r>
        <w:t xml:space="preserve"> </w:t>
      </w:r>
      <w:r w:rsidRPr="000E0FC4">
        <w:t>Hon Harris J</w:t>
      </w:r>
      <w:r w:rsidR="00C04FF1">
        <w:t>, President of the Competition Tribunal in C</w:t>
      </w:r>
      <w:r w:rsidR="00F81E5C">
        <w:t>ourt</w:t>
      </w:r>
    </w:p>
    <w:p w:rsidR="00B87124" w:rsidRPr="001C2A4E" w:rsidRDefault="00C04FF1" w:rsidP="00B87124">
      <w:pPr>
        <w:tabs>
          <w:tab w:val="left" w:pos="1985"/>
        </w:tabs>
        <w:spacing w:after="200"/>
        <w:ind w:left="0" w:right="29" w:firstLine="0"/>
        <w:rPr>
          <w:highlight w:val="yellow"/>
        </w:rPr>
      </w:pPr>
      <w:r>
        <w:t>Date</w:t>
      </w:r>
      <w:r w:rsidR="00B87124" w:rsidRPr="000E0FC4">
        <w:t xml:space="preserve"> of Hearing:</w:t>
      </w:r>
      <w:r w:rsidR="00B87124" w:rsidRPr="000E0FC4">
        <w:rPr>
          <w:rFonts w:hint="eastAsia"/>
        </w:rPr>
        <w:t xml:space="preserve"> </w:t>
      </w:r>
      <w:r w:rsidR="00411602">
        <w:t xml:space="preserve"> 7 June</w:t>
      </w:r>
      <w:r w:rsidR="005C2D47">
        <w:t xml:space="preserve"> 2024</w:t>
      </w:r>
    </w:p>
    <w:p w:rsidR="00956AB1" w:rsidRDefault="00B87124" w:rsidP="00F81E5C">
      <w:pPr>
        <w:tabs>
          <w:tab w:val="left" w:pos="1985"/>
        </w:tabs>
        <w:spacing w:after="200"/>
        <w:ind w:left="0" w:right="29" w:firstLine="0"/>
      </w:pPr>
      <w:r w:rsidRPr="000E0FC4">
        <w:t xml:space="preserve">Date of </w:t>
      </w:r>
      <w:r w:rsidR="00F81E5C">
        <w:t>Judgment</w:t>
      </w:r>
      <w:r w:rsidRPr="000E0FC4">
        <w:t>:</w:t>
      </w:r>
      <w:r w:rsidR="00C04FF1">
        <w:t xml:space="preserve"> </w:t>
      </w:r>
      <w:r w:rsidR="00F81E5C">
        <w:t xml:space="preserve"> 7 June 2024</w:t>
      </w:r>
    </w:p>
    <w:p w:rsidR="00F81E5C" w:rsidRDefault="00F81E5C" w:rsidP="000E1E12">
      <w:pPr>
        <w:tabs>
          <w:tab w:val="left" w:pos="1985"/>
        </w:tabs>
        <w:ind w:left="0" w:right="29" w:firstLine="0"/>
      </w:pPr>
      <w:r w:rsidRPr="000E0FC4">
        <w:t>Date of</w:t>
      </w:r>
      <w:r>
        <w:t xml:space="preserve"> Reasons for</w:t>
      </w:r>
      <w:r w:rsidRPr="000E0FC4">
        <w:t xml:space="preserve"> </w:t>
      </w:r>
      <w:r>
        <w:t>Judgment</w:t>
      </w:r>
      <w:r w:rsidRPr="000E0FC4">
        <w:t>:</w:t>
      </w:r>
      <w:r>
        <w:t xml:space="preserve">  </w:t>
      </w:r>
      <w:r w:rsidR="00DD1A96">
        <w:t xml:space="preserve">30 </w:t>
      </w:r>
      <w:r>
        <w:t>Ju</w:t>
      </w:r>
      <w:r w:rsidR="003B2F8D">
        <w:t>ly</w:t>
      </w:r>
      <w:r>
        <w:t xml:space="preserve"> 2024</w:t>
      </w:r>
    </w:p>
    <w:p w:rsidR="00C133AD" w:rsidRPr="00616777" w:rsidRDefault="00F81E5C" w:rsidP="00B33AAD">
      <w:pPr>
        <w:ind w:left="0" w:right="29" w:firstLine="0"/>
        <w:jc w:val="center"/>
        <w:rPr>
          <w:bCs/>
          <w:color w:val="000000" w:themeColor="text1"/>
        </w:rPr>
      </w:pPr>
      <w:r>
        <w:rPr>
          <w:color w:val="000000" w:themeColor="text1"/>
        </w:rPr>
        <w:t>__________________</w:t>
      </w:r>
      <w:r w:rsidR="00393203" w:rsidRPr="00616777">
        <w:rPr>
          <w:color w:val="000000" w:themeColor="text1"/>
        </w:rPr>
        <w:t>____</w:t>
      </w:r>
      <w:r w:rsidR="00805705">
        <w:rPr>
          <w:color w:val="000000" w:themeColor="text1"/>
        </w:rPr>
        <w:t>_</w:t>
      </w:r>
      <w:r w:rsidR="000B66FC">
        <w:rPr>
          <w:color w:val="000000" w:themeColor="text1"/>
        </w:rPr>
        <w:t>_</w:t>
      </w:r>
      <w:r w:rsidR="00805705">
        <w:rPr>
          <w:color w:val="000000" w:themeColor="text1"/>
        </w:rPr>
        <w:t>_</w:t>
      </w:r>
      <w:r w:rsidR="00393203" w:rsidRPr="00616777">
        <w:rPr>
          <w:color w:val="000000" w:themeColor="text1"/>
        </w:rPr>
        <w:t>__</w:t>
      </w:r>
      <w:r w:rsidR="00D77773">
        <w:rPr>
          <w:color w:val="000000" w:themeColor="text1"/>
        </w:rPr>
        <w:t>__</w:t>
      </w:r>
      <w:r w:rsidR="00393203" w:rsidRPr="00616777">
        <w:rPr>
          <w:color w:val="000000" w:themeColor="text1"/>
        </w:rPr>
        <w:t>_____</w:t>
      </w:r>
    </w:p>
    <w:p w:rsidR="00C133AD" w:rsidRPr="00F4562F" w:rsidRDefault="00F81E5C" w:rsidP="00705EA4">
      <w:pPr>
        <w:spacing w:before="300"/>
        <w:ind w:left="0" w:right="29" w:firstLine="0"/>
        <w:jc w:val="center"/>
        <w:rPr>
          <w:bCs/>
        </w:rPr>
      </w:pPr>
      <w:r>
        <w:rPr>
          <w:bCs/>
        </w:rPr>
        <w:t>R E A S O N S  F O R  J U D G M E N T</w:t>
      </w:r>
    </w:p>
    <w:p w:rsidR="00C133AD" w:rsidRDefault="00393203" w:rsidP="00D77773">
      <w:pPr>
        <w:tabs>
          <w:tab w:val="left" w:pos="1800"/>
        </w:tabs>
        <w:spacing w:after="480"/>
        <w:ind w:left="0" w:right="29" w:firstLine="0"/>
        <w:jc w:val="center"/>
      </w:pPr>
      <w:r w:rsidRPr="00F4562F">
        <w:t>____</w:t>
      </w:r>
      <w:r w:rsidR="00956AB1">
        <w:t>__</w:t>
      </w:r>
      <w:r w:rsidR="000B66FC">
        <w:t>_____</w:t>
      </w:r>
      <w:r w:rsidR="00D77773">
        <w:t>___</w:t>
      </w:r>
      <w:r w:rsidR="00F81E5C">
        <w:t>__________________</w:t>
      </w:r>
      <w:r w:rsidRPr="00F4562F">
        <w:t>__</w:t>
      </w:r>
    </w:p>
    <w:p w:rsidR="00C7205C" w:rsidRPr="00C7205C" w:rsidRDefault="00C7205C" w:rsidP="00C7205C">
      <w:pPr>
        <w:pStyle w:val="H1"/>
        <w:rPr>
          <w:b/>
        </w:rPr>
      </w:pPr>
      <w:r w:rsidRPr="00C7205C">
        <w:rPr>
          <w:b/>
        </w:rPr>
        <w:lastRenderedPageBreak/>
        <w:t>Introduction</w:t>
      </w:r>
    </w:p>
    <w:p w:rsidR="004465E1" w:rsidRPr="004465E1" w:rsidRDefault="004465E1" w:rsidP="004465E1">
      <w:pPr>
        <w:pStyle w:val="Final"/>
        <w:spacing w:after="0"/>
      </w:pPr>
      <w:r w:rsidRPr="00176B8D">
        <w:rPr>
          <w:rFonts w:eastAsia="PMingLiU"/>
          <w:color w:val="000000"/>
          <w:szCs w:val="28"/>
        </w:rPr>
        <w:t>Before the Tribunal are four applications:</w:t>
      </w:r>
    </w:p>
    <w:p w:rsidR="004465E1" w:rsidRPr="004465E1" w:rsidRDefault="004465E1" w:rsidP="004465E1">
      <w:pPr>
        <w:pStyle w:val="HC-Hanging"/>
        <w:ind w:left="1440"/>
      </w:pPr>
      <w:r w:rsidRPr="00176B8D">
        <w:rPr>
          <w:rFonts w:eastAsia="PMingLiU"/>
          <w:color w:val="000000"/>
        </w:rPr>
        <w:t xml:space="preserve">Three </w:t>
      </w:r>
      <w:r w:rsidRPr="00176B8D">
        <w:rPr>
          <w:rFonts w:eastAsia="PMingLiU"/>
          <w:i/>
          <w:iCs/>
          <w:color w:val="000000"/>
        </w:rPr>
        <w:t xml:space="preserve">Kam Kwong </w:t>
      </w:r>
      <w:r w:rsidRPr="00176B8D">
        <w:rPr>
          <w:rFonts w:eastAsia="PMingLiU"/>
          <w:color w:val="000000"/>
        </w:rPr>
        <w:t>applications by way of summonses dated 19</w:t>
      </w:r>
      <w:r>
        <w:rPr>
          <w:rFonts w:eastAsia="PMingLiU"/>
          <w:color w:val="000000"/>
        </w:rPr>
        <w:t> </w:t>
      </w:r>
      <w:r w:rsidRPr="00176B8D">
        <w:rPr>
          <w:rFonts w:eastAsia="PMingLiU"/>
          <w:color w:val="000000"/>
        </w:rPr>
        <w:t>April</w:t>
      </w:r>
      <w:r>
        <w:rPr>
          <w:rFonts w:eastAsia="PMingLiU"/>
          <w:color w:val="000000"/>
        </w:rPr>
        <w:t> </w:t>
      </w:r>
      <w:r w:rsidRPr="00176B8D">
        <w:rPr>
          <w:rFonts w:eastAsia="PMingLiU"/>
          <w:color w:val="000000"/>
        </w:rPr>
        <w:t>2024</w:t>
      </w:r>
      <w:r>
        <w:rPr>
          <w:rFonts w:eastAsia="PMingLiU"/>
          <w:color w:val="000000"/>
        </w:rPr>
        <w:t xml:space="preserve">, pursuant to </w:t>
      </w:r>
      <w:r w:rsidRPr="004465E1">
        <w:rPr>
          <w:rFonts w:eastAsia="PMingLiU"/>
          <w:i/>
          <w:color w:val="000000"/>
        </w:rPr>
        <w:t>rule 39</w:t>
      </w:r>
      <w:r w:rsidRPr="00176B8D">
        <w:rPr>
          <w:rFonts w:eastAsia="PMingLiU"/>
          <w:color w:val="000000"/>
        </w:rPr>
        <w:t xml:space="preserve"> of the </w:t>
      </w:r>
      <w:r w:rsidRPr="004465E1">
        <w:rPr>
          <w:rFonts w:eastAsia="PMingLiU"/>
          <w:i/>
          <w:color w:val="000000"/>
        </w:rPr>
        <w:t>Competition Tribunal Rules</w:t>
      </w:r>
      <w:r w:rsidRPr="00176B8D">
        <w:rPr>
          <w:rFonts w:eastAsia="PMingLiU"/>
          <w:color w:val="000000"/>
        </w:rPr>
        <w:t xml:space="preserve"> </w:t>
      </w:r>
      <w:r>
        <w:rPr>
          <w:rFonts w:eastAsia="PMingLiU"/>
          <w:color w:val="000000"/>
        </w:rPr>
        <w:t>(Cap. </w:t>
      </w:r>
      <w:r w:rsidRPr="00176B8D">
        <w:rPr>
          <w:rFonts w:eastAsia="PMingLiU"/>
          <w:color w:val="000000"/>
        </w:rPr>
        <w:t>619D) (“</w:t>
      </w:r>
      <w:r w:rsidRPr="00176B8D">
        <w:rPr>
          <w:rFonts w:eastAsia="PMingLiU"/>
          <w:b/>
          <w:bCs/>
          <w:color w:val="000000"/>
        </w:rPr>
        <w:t>CTR</w:t>
      </w:r>
      <w:r w:rsidRPr="00176B8D">
        <w:rPr>
          <w:rFonts w:eastAsia="PMingLiU"/>
          <w:color w:val="000000"/>
        </w:rPr>
        <w:t xml:space="preserve">”) </w:t>
      </w:r>
      <w:r>
        <w:rPr>
          <w:rFonts w:eastAsia="PMingLiU"/>
          <w:color w:val="000000"/>
        </w:rPr>
        <w:t>and [</w:t>
      </w:r>
      <w:r w:rsidRPr="00176B8D">
        <w:rPr>
          <w:rFonts w:eastAsia="PMingLiU"/>
          <w:color w:val="000000"/>
        </w:rPr>
        <w:t>72</w:t>
      </w:r>
      <w:r>
        <w:rPr>
          <w:rFonts w:eastAsia="PMingLiU"/>
          <w:color w:val="000000"/>
        </w:rPr>
        <w:t>]</w:t>
      </w:r>
      <w:r w:rsidRPr="00176B8D">
        <w:rPr>
          <w:rFonts w:eastAsia="PMingLiU"/>
          <w:color w:val="000000"/>
        </w:rPr>
        <w:t xml:space="preserve"> of the </w:t>
      </w:r>
      <w:r w:rsidRPr="004465E1">
        <w:rPr>
          <w:rFonts w:eastAsia="PMingLiU"/>
          <w:i/>
          <w:color w:val="000000"/>
        </w:rPr>
        <w:t>Competition Tribunal Practice Direction No. 1</w:t>
      </w:r>
      <w:r w:rsidRPr="00176B8D">
        <w:rPr>
          <w:rFonts w:eastAsia="PMingLiU"/>
          <w:color w:val="000000"/>
        </w:rPr>
        <w:t>,</w:t>
      </w:r>
      <w:r w:rsidRPr="00176B8D">
        <w:rPr>
          <w:rFonts w:eastAsia="PMingLiU"/>
          <w:b/>
          <w:bCs/>
          <w:color w:val="000000"/>
        </w:rPr>
        <w:t xml:space="preserve"> </w:t>
      </w:r>
      <w:r w:rsidRPr="00176B8D">
        <w:rPr>
          <w:rFonts w:eastAsia="PMingLiU"/>
          <w:color w:val="000000"/>
        </w:rPr>
        <w:t xml:space="preserve">for approval to dispose of </w:t>
      </w:r>
      <w:r>
        <w:rPr>
          <w:rFonts w:eastAsia="PMingLiU"/>
          <w:color w:val="000000"/>
        </w:rPr>
        <w:t xml:space="preserve">these </w:t>
      </w:r>
      <w:r w:rsidRPr="00176B8D">
        <w:rPr>
          <w:rFonts w:eastAsia="PMingLiU"/>
          <w:color w:val="000000"/>
        </w:rPr>
        <w:t xml:space="preserve">proceedings by </w:t>
      </w:r>
      <w:r w:rsidR="00CC33E6">
        <w:rPr>
          <w:rFonts w:eastAsia="PMingLiU"/>
          <w:color w:val="000000"/>
        </w:rPr>
        <w:t>agreement</w:t>
      </w:r>
      <w:r w:rsidRPr="00176B8D">
        <w:rPr>
          <w:rFonts w:eastAsia="PMingLiU"/>
          <w:color w:val="000000"/>
        </w:rPr>
        <w:t>, respectively between the Commission and:</w:t>
      </w:r>
    </w:p>
    <w:p w:rsidR="004465E1" w:rsidRDefault="004465E1" w:rsidP="004465E1">
      <w:pPr>
        <w:pStyle w:val="HC-Hanging"/>
        <w:numPr>
          <w:ilvl w:val="0"/>
          <w:numId w:val="0"/>
        </w:numPr>
        <w:ind w:left="2160" w:hanging="720"/>
        <w:rPr>
          <w:rFonts w:eastAsia="PMingLiU"/>
          <w:color w:val="000000"/>
        </w:rPr>
      </w:pPr>
      <w:r>
        <w:rPr>
          <w:rFonts w:eastAsia="PMingLiU"/>
          <w:color w:val="000000"/>
        </w:rPr>
        <w:t>(a)</w:t>
      </w:r>
      <w:r>
        <w:rPr>
          <w:rFonts w:eastAsia="PMingLiU"/>
          <w:color w:val="000000"/>
        </w:rPr>
        <w:tab/>
      </w:r>
      <w:r w:rsidR="00CC33E6">
        <w:rPr>
          <w:rFonts w:eastAsia="PMingLiU"/>
          <w:color w:val="000000"/>
        </w:rPr>
        <w:t>The 1</w:t>
      </w:r>
      <w:r w:rsidR="00CC33E6" w:rsidRPr="00CC33E6">
        <w:rPr>
          <w:rFonts w:eastAsia="PMingLiU"/>
          <w:color w:val="000000"/>
          <w:vertAlign w:val="superscript"/>
        </w:rPr>
        <w:t>st</w:t>
      </w:r>
      <w:r w:rsidR="00CC33E6">
        <w:rPr>
          <w:rFonts w:eastAsia="PMingLiU"/>
          <w:color w:val="000000"/>
        </w:rPr>
        <w:t xml:space="preserve"> Respondent and 2</w:t>
      </w:r>
      <w:r w:rsidR="00CC33E6" w:rsidRPr="00CC33E6">
        <w:rPr>
          <w:rFonts w:eastAsia="PMingLiU"/>
          <w:color w:val="000000"/>
          <w:vertAlign w:val="superscript"/>
        </w:rPr>
        <w:t>nd</w:t>
      </w:r>
      <w:r w:rsidR="00CC33E6">
        <w:rPr>
          <w:rFonts w:eastAsia="PMingLiU"/>
          <w:color w:val="000000"/>
        </w:rPr>
        <w:t xml:space="preserve"> Respondent;</w:t>
      </w:r>
    </w:p>
    <w:p w:rsidR="004465E1" w:rsidRDefault="004465E1" w:rsidP="004465E1">
      <w:pPr>
        <w:pStyle w:val="HC-Hanging"/>
        <w:numPr>
          <w:ilvl w:val="0"/>
          <w:numId w:val="0"/>
        </w:numPr>
        <w:ind w:left="2160" w:hanging="720"/>
        <w:rPr>
          <w:rFonts w:eastAsia="PMingLiU"/>
          <w:color w:val="000000"/>
        </w:rPr>
      </w:pPr>
      <w:r>
        <w:rPr>
          <w:rFonts w:eastAsia="PMingLiU"/>
          <w:color w:val="000000"/>
        </w:rPr>
        <w:t>(b)</w:t>
      </w:r>
      <w:r>
        <w:rPr>
          <w:rFonts w:eastAsia="PMingLiU"/>
          <w:color w:val="000000"/>
        </w:rPr>
        <w:tab/>
      </w:r>
      <w:r w:rsidR="00CC33E6">
        <w:rPr>
          <w:rFonts w:eastAsia="PMingLiU"/>
          <w:color w:val="000000"/>
        </w:rPr>
        <w:t>The 3</w:t>
      </w:r>
      <w:r w:rsidR="00CC33E6" w:rsidRPr="00CC33E6">
        <w:rPr>
          <w:rFonts w:eastAsia="PMingLiU"/>
          <w:color w:val="000000"/>
          <w:vertAlign w:val="superscript"/>
        </w:rPr>
        <w:t>rd</w:t>
      </w:r>
      <w:r w:rsidR="00CC33E6">
        <w:rPr>
          <w:rFonts w:eastAsia="PMingLiU"/>
          <w:color w:val="000000"/>
        </w:rPr>
        <w:t xml:space="preserve"> Respondent and 4</w:t>
      </w:r>
      <w:r w:rsidR="00CC33E6" w:rsidRPr="00CC33E6">
        <w:rPr>
          <w:rFonts w:eastAsia="PMingLiU"/>
          <w:color w:val="000000"/>
          <w:vertAlign w:val="superscript"/>
        </w:rPr>
        <w:t>th</w:t>
      </w:r>
      <w:r w:rsidR="00CC33E6">
        <w:rPr>
          <w:rFonts w:eastAsia="PMingLiU"/>
          <w:color w:val="000000"/>
        </w:rPr>
        <w:t xml:space="preserve"> Respondent</w:t>
      </w:r>
      <w:r w:rsidRPr="00176B8D">
        <w:rPr>
          <w:rFonts w:eastAsia="PMingLiU"/>
          <w:color w:val="000000"/>
        </w:rPr>
        <w:t>;</w:t>
      </w:r>
    </w:p>
    <w:p w:rsidR="004465E1" w:rsidRDefault="004465E1" w:rsidP="004465E1">
      <w:pPr>
        <w:pStyle w:val="HC-Hanging"/>
        <w:numPr>
          <w:ilvl w:val="0"/>
          <w:numId w:val="0"/>
        </w:numPr>
        <w:ind w:left="2160" w:hanging="720"/>
        <w:rPr>
          <w:rFonts w:eastAsia="PMingLiU"/>
          <w:color w:val="000000"/>
        </w:rPr>
      </w:pPr>
      <w:r>
        <w:rPr>
          <w:rFonts w:eastAsia="PMingLiU"/>
          <w:color w:val="000000"/>
        </w:rPr>
        <w:t>(c)</w:t>
      </w:r>
      <w:r>
        <w:rPr>
          <w:rFonts w:eastAsia="PMingLiU"/>
          <w:color w:val="000000"/>
        </w:rPr>
        <w:tab/>
      </w:r>
      <w:r w:rsidR="00CC33E6">
        <w:rPr>
          <w:rFonts w:eastAsia="PMingLiU"/>
          <w:color w:val="000000"/>
        </w:rPr>
        <w:t>The 5</w:t>
      </w:r>
      <w:r w:rsidR="00CC33E6" w:rsidRPr="00CC33E6">
        <w:rPr>
          <w:rFonts w:eastAsia="PMingLiU"/>
          <w:color w:val="000000"/>
          <w:vertAlign w:val="superscript"/>
        </w:rPr>
        <w:t>th</w:t>
      </w:r>
      <w:r w:rsidR="00CC33E6">
        <w:rPr>
          <w:rFonts w:eastAsia="PMingLiU"/>
          <w:color w:val="000000"/>
        </w:rPr>
        <w:t xml:space="preserve"> Respondent and 8</w:t>
      </w:r>
      <w:r w:rsidR="00CC33E6" w:rsidRPr="00CC33E6">
        <w:rPr>
          <w:rFonts w:eastAsia="PMingLiU"/>
          <w:color w:val="000000"/>
          <w:vertAlign w:val="superscript"/>
        </w:rPr>
        <w:t>th</w:t>
      </w:r>
      <w:r w:rsidR="00CC33E6">
        <w:rPr>
          <w:rFonts w:eastAsia="PMingLiU"/>
          <w:color w:val="000000"/>
        </w:rPr>
        <w:t xml:space="preserve"> Respondent.</w:t>
      </w:r>
    </w:p>
    <w:p w:rsidR="004465E1" w:rsidRDefault="004465E1" w:rsidP="004465E1">
      <w:pPr>
        <w:pStyle w:val="HC-Hanging"/>
        <w:numPr>
          <w:ilvl w:val="0"/>
          <w:numId w:val="0"/>
        </w:numPr>
        <w:ind w:left="1440" w:hanging="720"/>
        <w:rPr>
          <w:rFonts w:eastAsia="PMingLiU"/>
          <w:color w:val="000000"/>
        </w:rPr>
      </w:pPr>
      <w:r>
        <w:t>(2)</w:t>
      </w:r>
      <w:r>
        <w:tab/>
      </w:r>
      <w:r w:rsidRPr="00176B8D">
        <w:rPr>
          <w:rFonts w:eastAsia="PMingLiU"/>
          <w:color w:val="000000"/>
        </w:rPr>
        <w:t>An application by the Commis</w:t>
      </w:r>
      <w:r>
        <w:rPr>
          <w:rFonts w:eastAsia="PMingLiU"/>
          <w:color w:val="000000"/>
        </w:rPr>
        <w:t>sion by way of summons dated 19 </w:t>
      </w:r>
      <w:r w:rsidRPr="00176B8D">
        <w:rPr>
          <w:rFonts w:eastAsia="PMingLiU"/>
          <w:color w:val="000000"/>
        </w:rPr>
        <w:t>April</w:t>
      </w:r>
      <w:r>
        <w:rPr>
          <w:rFonts w:eastAsia="PMingLiU"/>
          <w:color w:val="000000"/>
        </w:rPr>
        <w:t> </w:t>
      </w:r>
      <w:r w:rsidRPr="00176B8D">
        <w:rPr>
          <w:rFonts w:eastAsia="PMingLiU"/>
          <w:color w:val="000000"/>
        </w:rPr>
        <w:t xml:space="preserve">2024 pursuant to </w:t>
      </w:r>
      <w:r w:rsidRPr="004465E1">
        <w:rPr>
          <w:rFonts w:eastAsia="PMingLiU"/>
          <w:i/>
          <w:color w:val="000000"/>
        </w:rPr>
        <w:t>rule 76</w:t>
      </w:r>
      <w:r w:rsidRPr="00176B8D">
        <w:rPr>
          <w:rFonts w:eastAsia="PMingLiU"/>
          <w:color w:val="000000"/>
        </w:rPr>
        <w:t xml:space="preserve"> of the </w:t>
      </w:r>
      <w:r w:rsidRPr="004465E1">
        <w:rPr>
          <w:rFonts w:eastAsia="PMingLiU"/>
          <w:i/>
          <w:color w:val="000000"/>
        </w:rPr>
        <w:t>CTR</w:t>
      </w:r>
      <w:r w:rsidRPr="00176B8D">
        <w:rPr>
          <w:rFonts w:eastAsia="PMingLiU"/>
          <w:color w:val="000000"/>
        </w:rPr>
        <w:t xml:space="preserve"> for an order granting the relief sought in the application against </w:t>
      </w:r>
      <w:r w:rsidR="00F606ED">
        <w:rPr>
          <w:rFonts w:eastAsia="PMingLiU"/>
          <w:color w:val="000000"/>
        </w:rPr>
        <w:t>the </w:t>
      </w:r>
      <w:r w:rsidR="00CC33E6">
        <w:rPr>
          <w:rFonts w:eastAsia="PMingLiU"/>
          <w:color w:val="000000"/>
        </w:rPr>
        <w:t>6</w:t>
      </w:r>
      <w:r w:rsidR="00CC33E6" w:rsidRPr="00CC33E6">
        <w:rPr>
          <w:rFonts w:eastAsia="PMingLiU"/>
          <w:color w:val="000000"/>
          <w:vertAlign w:val="superscript"/>
        </w:rPr>
        <w:t>th</w:t>
      </w:r>
      <w:r w:rsidR="00CC33E6">
        <w:rPr>
          <w:rFonts w:eastAsia="PMingLiU"/>
          <w:color w:val="000000"/>
        </w:rPr>
        <w:t xml:space="preserve"> Respondent </w:t>
      </w:r>
      <w:r w:rsidRPr="00176B8D">
        <w:rPr>
          <w:rFonts w:eastAsia="PMingLiU"/>
          <w:color w:val="000000"/>
        </w:rPr>
        <w:t xml:space="preserve">and </w:t>
      </w:r>
      <w:r w:rsidR="00CC33E6">
        <w:rPr>
          <w:rFonts w:eastAsia="PMingLiU"/>
          <w:color w:val="000000"/>
        </w:rPr>
        <w:t>the 7</w:t>
      </w:r>
      <w:r w:rsidR="00CC33E6" w:rsidRPr="00CC33E6">
        <w:rPr>
          <w:rFonts w:eastAsia="PMingLiU"/>
          <w:color w:val="000000"/>
          <w:vertAlign w:val="superscript"/>
        </w:rPr>
        <w:t>th</w:t>
      </w:r>
      <w:r w:rsidR="00CC33E6">
        <w:rPr>
          <w:rFonts w:eastAsia="PMingLiU"/>
          <w:color w:val="000000"/>
        </w:rPr>
        <w:t> Respondent</w:t>
      </w:r>
      <w:r>
        <w:rPr>
          <w:rFonts w:eastAsia="PMingLiU"/>
          <w:color w:val="000000"/>
        </w:rPr>
        <w:t xml:space="preserve"> (“</w:t>
      </w:r>
      <w:r>
        <w:rPr>
          <w:rFonts w:eastAsia="PMingLiU"/>
          <w:b/>
          <w:bCs/>
          <w:color w:val="000000"/>
        </w:rPr>
        <w:t>CTR 76 Summons</w:t>
      </w:r>
      <w:r>
        <w:rPr>
          <w:rFonts w:eastAsia="PMingLiU"/>
          <w:color w:val="000000"/>
        </w:rPr>
        <w:t>”)</w:t>
      </w:r>
      <w:r w:rsidRPr="00176B8D">
        <w:rPr>
          <w:rFonts w:eastAsia="PMingLiU"/>
          <w:color w:val="000000"/>
        </w:rPr>
        <w:t xml:space="preserve">.  The </w:t>
      </w:r>
      <w:r>
        <w:rPr>
          <w:rFonts w:eastAsia="PMingLiU"/>
          <w:color w:val="000000"/>
        </w:rPr>
        <w:t>application is supported by the Affirmation of Wong Kam Hung dated 22 January 2024 (“</w:t>
      </w:r>
      <w:r>
        <w:rPr>
          <w:rFonts w:eastAsia="PMingLiU"/>
          <w:b/>
          <w:bCs/>
          <w:color w:val="000000"/>
        </w:rPr>
        <w:t>Wong 1</w:t>
      </w:r>
      <w:r w:rsidRPr="00830CE9">
        <w:rPr>
          <w:rFonts w:eastAsia="PMingLiU"/>
          <w:b/>
          <w:bCs/>
          <w:color w:val="000000"/>
          <w:vertAlign w:val="superscript"/>
        </w:rPr>
        <w:t>st</w:t>
      </w:r>
      <w:r>
        <w:rPr>
          <w:rFonts w:eastAsia="PMingLiU"/>
          <w:color w:val="000000"/>
        </w:rPr>
        <w:t>”)</w:t>
      </w:r>
      <w:r w:rsidR="00CC33E6">
        <w:rPr>
          <w:rFonts w:eastAsia="PMingLiU"/>
          <w:color w:val="000000"/>
        </w:rPr>
        <w:t>.</w:t>
      </w:r>
    </w:p>
    <w:p w:rsidR="004465E1" w:rsidRDefault="004465E1" w:rsidP="004465E1">
      <w:pPr>
        <w:pStyle w:val="HC-Hanging"/>
        <w:numPr>
          <w:ilvl w:val="0"/>
          <w:numId w:val="0"/>
        </w:numPr>
        <w:ind w:left="1440" w:hanging="720"/>
      </w:pPr>
    </w:p>
    <w:p w:rsidR="004465E1" w:rsidRPr="004465E1" w:rsidRDefault="00F606ED" w:rsidP="009F0836">
      <w:pPr>
        <w:pStyle w:val="Final"/>
      </w:pPr>
      <w:r>
        <w:rPr>
          <w:rFonts w:eastAsia="PMingLiU"/>
          <w:color w:val="000000"/>
          <w:szCs w:val="28"/>
        </w:rPr>
        <w:t>T</w:t>
      </w:r>
      <w:r w:rsidR="004465E1" w:rsidRPr="00176B8D">
        <w:rPr>
          <w:rFonts w:eastAsia="PMingLiU"/>
          <w:color w:val="000000"/>
          <w:szCs w:val="28"/>
        </w:rPr>
        <w:t xml:space="preserve">he Commission and the Respondents (save for </w:t>
      </w:r>
      <w:r>
        <w:rPr>
          <w:rFonts w:eastAsia="PMingLiU"/>
          <w:color w:val="000000"/>
        </w:rPr>
        <w:t>the 6</w:t>
      </w:r>
      <w:r w:rsidRPr="00CC33E6">
        <w:rPr>
          <w:rFonts w:eastAsia="PMingLiU"/>
          <w:color w:val="000000"/>
          <w:vertAlign w:val="superscript"/>
        </w:rPr>
        <w:t>th</w:t>
      </w:r>
      <w:r>
        <w:rPr>
          <w:rFonts w:eastAsia="PMingLiU"/>
          <w:color w:val="000000"/>
        </w:rPr>
        <w:t xml:space="preserve"> Respondent </w:t>
      </w:r>
      <w:r w:rsidRPr="00176B8D">
        <w:rPr>
          <w:rFonts w:eastAsia="PMingLiU"/>
          <w:color w:val="000000"/>
        </w:rPr>
        <w:t xml:space="preserve">and </w:t>
      </w:r>
      <w:r>
        <w:rPr>
          <w:rFonts w:eastAsia="PMingLiU"/>
          <w:color w:val="000000"/>
        </w:rPr>
        <w:t>the 7</w:t>
      </w:r>
      <w:r w:rsidRPr="00CC33E6">
        <w:rPr>
          <w:rFonts w:eastAsia="PMingLiU"/>
          <w:color w:val="000000"/>
          <w:vertAlign w:val="superscript"/>
        </w:rPr>
        <w:t>th</w:t>
      </w:r>
      <w:r>
        <w:rPr>
          <w:rFonts w:eastAsia="PMingLiU"/>
          <w:color w:val="000000"/>
        </w:rPr>
        <w:t> Respondent</w:t>
      </w:r>
      <w:r w:rsidR="004465E1" w:rsidRPr="00176B8D">
        <w:rPr>
          <w:rFonts w:eastAsia="PMingLiU"/>
          <w:color w:val="000000"/>
          <w:szCs w:val="28"/>
        </w:rPr>
        <w:t>) have come to agreement on both issues of liability and penalty.</w:t>
      </w:r>
      <w:r w:rsidR="00EC6838">
        <w:rPr>
          <w:rFonts w:eastAsia="PMingLiU"/>
          <w:color w:val="000000"/>
          <w:szCs w:val="28"/>
        </w:rPr>
        <w:t xml:space="preserve">  Their respective Statements of Agreed Facts are appended to these reasons.</w:t>
      </w:r>
    </w:p>
    <w:p w:rsidR="004465E1" w:rsidRPr="004465E1" w:rsidRDefault="004465E1" w:rsidP="009F0836">
      <w:pPr>
        <w:pStyle w:val="Final"/>
      </w:pPr>
      <w:r>
        <w:rPr>
          <w:rFonts w:eastAsia="PMingLiU"/>
          <w:color w:val="000000"/>
          <w:szCs w:val="28"/>
        </w:rPr>
        <w:t xml:space="preserve">The CTR 76 Summons against </w:t>
      </w:r>
      <w:r w:rsidR="00F606ED">
        <w:rPr>
          <w:rFonts w:eastAsia="PMingLiU"/>
          <w:color w:val="000000"/>
        </w:rPr>
        <w:t>the 6</w:t>
      </w:r>
      <w:r w:rsidR="00F606ED" w:rsidRPr="00CC33E6">
        <w:rPr>
          <w:rFonts w:eastAsia="PMingLiU"/>
          <w:color w:val="000000"/>
          <w:vertAlign w:val="superscript"/>
        </w:rPr>
        <w:t>th</w:t>
      </w:r>
      <w:r w:rsidR="00F606ED">
        <w:rPr>
          <w:rFonts w:eastAsia="PMingLiU"/>
          <w:color w:val="000000"/>
        </w:rPr>
        <w:t xml:space="preserve"> Respondent </w:t>
      </w:r>
      <w:r w:rsidR="00F606ED" w:rsidRPr="00176B8D">
        <w:rPr>
          <w:rFonts w:eastAsia="PMingLiU"/>
          <w:color w:val="000000"/>
        </w:rPr>
        <w:t xml:space="preserve">and </w:t>
      </w:r>
      <w:r w:rsidR="00F606ED">
        <w:rPr>
          <w:rFonts w:eastAsia="PMingLiU"/>
          <w:color w:val="000000"/>
        </w:rPr>
        <w:t>the 7</w:t>
      </w:r>
      <w:r w:rsidR="00F606ED" w:rsidRPr="00CC33E6">
        <w:rPr>
          <w:rFonts w:eastAsia="PMingLiU"/>
          <w:color w:val="000000"/>
          <w:vertAlign w:val="superscript"/>
        </w:rPr>
        <w:t>th</w:t>
      </w:r>
      <w:r w:rsidR="00F606ED">
        <w:rPr>
          <w:rFonts w:eastAsia="PMingLiU"/>
          <w:color w:val="000000"/>
        </w:rPr>
        <w:t> Respondent</w:t>
      </w:r>
      <w:r>
        <w:rPr>
          <w:rFonts w:eastAsia="PMingLiU"/>
          <w:color w:val="000000"/>
          <w:szCs w:val="28"/>
        </w:rPr>
        <w:t xml:space="preserve"> </w:t>
      </w:r>
      <w:r w:rsidR="00F606ED">
        <w:rPr>
          <w:rFonts w:eastAsia="PMingLiU"/>
          <w:color w:val="000000"/>
          <w:szCs w:val="28"/>
        </w:rPr>
        <w:t>was</w:t>
      </w:r>
      <w:r>
        <w:rPr>
          <w:rFonts w:eastAsia="PMingLiU"/>
          <w:color w:val="000000"/>
          <w:szCs w:val="28"/>
        </w:rPr>
        <w:t xml:space="preserve"> listed for directions at this hearing.  </w:t>
      </w:r>
      <w:r w:rsidR="00F606ED">
        <w:rPr>
          <w:rFonts w:eastAsia="PMingLiU"/>
          <w:color w:val="000000"/>
          <w:szCs w:val="28"/>
        </w:rPr>
        <w:t>Howev</w:t>
      </w:r>
      <w:r w:rsidR="002B1822">
        <w:rPr>
          <w:rFonts w:eastAsia="PMingLiU"/>
          <w:color w:val="000000"/>
          <w:szCs w:val="28"/>
        </w:rPr>
        <w:t>er, before me the Commission argu</w:t>
      </w:r>
      <w:r w:rsidR="00F606ED">
        <w:rPr>
          <w:rFonts w:eastAsia="PMingLiU"/>
          <w:color w:val="000000"/>
          <w:szCs w:val="28"/>
        </w:rPr>
        <w:t xml:space="preserve">ed </w:t>
      </w:r>
      <w:r w:rsidRPr="00176B8D">
        <w:rPr>
          <w:rFonts w:eastAsia="PMingLiU"/>
          <w:color w:val="000000"/>
          <w:szCs w:val="28"/>
        </w:rPr>
        <w:t xml:space="preserve">that, given </w:t>
      </w:r>
      <w:r>
        <w:rPr>
          <w:rFonts w:eastAsia="PMingLiU"/>
          <w:b/>
          <w:color w:val="000000"/>
          <w:szCs w:val="28"/>
        </w:rPr>
        <w:t>(1)</w:t>
      </w:r>
      <w:r>
        <w:rPr>
          <w:rFonts w:eastAsia="PMingLiU"/>
          <w:color w:val="000000"/>
          <w:szCs w:val="28"/>
        </w:rPr>
        <w:t xml:space="preserve"> the express statutory powers of the Tribunal to make an order granting the reliefs sought in default of filing of a response,</w:t>
      </w:r>
      <w:r w:rsidRPr="00176B8D">
        <w:rPr>
          <w:rFonts w:eastAsia="PMingLiU"/>
          <w:b/>
          <w:bCs/>
          <w:color w:val="000000"/>
          <w:szCs w:val="28"/>
        </w:rPr>
        <w:t xml:space="preserve"> (</w:t>
      </w:r>
      <w:r>
        <w:rPr>
          <w:rFonts w:eastAsia="PMingLiU"/>
          <w:b/>
          <w:bCs/>
          <w:color w:val="000000"/>
          <w:szCs w:val="28"/>
        </w:rPr>
        <w:t>2</w:t>
      </w:r>
      <w:r w:rsidRPr="00176B8D">
        <w:rPr>
          <w:rFonts w:eastAsia="PMingLiU"/>
          <w:b/>
          <w:bCs/>
          <w:color w:val="000000"/>
          <w:szCs w:val="28"/>
        </w:rPr>
        <w:t>)</w:t>
      </w:r>
      <w:r w:rsidRPr="00176B8D">
        <w:rPr>
          <w:rFonts w:eastAsia="PMingLiU"/>
          <w:color w:val="000000"/>
          <w:szCs w:val="28"/>
        </w:rPr>
        <w:t xml:space="preserve"> </w:t>
      </w:r>
      <w:r w:rsidR="00F606ED">
        <w:rPr>
          <w:rFonts w:eastAsia="PMingLiU"/>
          <w:color w:val="000000"/>
        </w:rPr>
        <w:t>the 6</w:t>
      </w:r>
      <w:r w:rsidR="00F606ED" w:rsidRPr="00CC33E6">
        <w:rPr>
          <w:rFonts w:eastAsia="PMingLiU"/>
          <w:color w:val="000000"/>
          <w:vertAlign w:val="superscript"/>
        </w:rPr>
        <w:t>th</w:t>
      </w:r>
      <w:r w:rsidR="00F606ED">
        <w:rPr>
          <w:rFonts w:eastAsia="PMingLiU"/>
          <w:color w:val="000000"/>
        </w:rPr>
        <w:t xml:space="preserve"> Respondent </w:t>
      </w:r>
      <w:r w:rsidR="00F606ED" w:rsidRPr="00176B8D">
        <w:rPr>
          <w:rFonts w:eastAsia="PMingLiU"/>
          <w:color w:val="000000"/>
        </w:rPr>
        <w:t xml:space="preserve">and </w:t>
      </w:r>
      <w:r w:rsidR="00F606ED">
        <w:rPr>
          <w:rFonts w:eastAsia="PMingLiU"/>
          <w:color w:val="000000"/>
        </w:rPr>
        <w:t>the 7</w:t>
      </w:r>
      <w:r w:rsidR="00F606ED" w:rsidRPr="00CC33E6">
        <w:rPr>
          <w:rFonts w:eastAsia="PMingLiU"/>
          <w:color w:val="000000"/>
          <w:vertAlign w:val="superscript"/>
        </w:rPr>
        <w:t>th</w:t>
      </w:r>
      <w:r w:rsidR="00F606ED">
        <w:rPr>
          <w:rFonts w:eastAsia="PMingLiU"/>
          <w:color w:val="000000"/>
        </w:rPr>
        <w:t> Respondent</w:t>
      </w:r>
      <w:r w:rsidRPr="00176B8D">
        <w:rPr>
          <w:rFonts w:eastAsia="PMingLiU"/>
          <w:color w:val="000000"/>
          <w:szCs w:val="28"/>
        </w:rPr>
        <w:t xml:space="preserve">’s </w:t>
      </w:r>
      <w:r>
        <w:rPr>
          <w:rFonts w:eastAsia="PMingLiU"/>
          <w:color w:val="000000"/>
          <w:szCs w:val="28"/>
        </w:rPr>
        <w:t xml:space="preserve">default in </w:t>
      </w:r>
      <w:r>
        <w:rPr>
          <w:rFonts w:eastAsia="PMingLiU"/>
          <w:color w:val="000000"/>
          <w:szCs w:val="28"/>
        </w:rPr>
        <w:lastRenderedPageBreak/>
        <w:t>filing a response and</w:t>
      </w:r>
      <w:r w:rsidR="00EA69A0">
        <w:rPr>
          <w:rFonts w:eastAsia="PMingLiU"/>
          <w:color w:val="000000"/>
          <w:szCs w:val="28"/>
        </w:rPr>
        <w:t xml:space="preserve"> apparent</w:t>
      </w:r>
      <w:r w:rsidR="00F606ED">
        <w:rPr>
          <w:rFonts w:eastAsia="PMingLiU"/>
          <w:color w:val="000000"/>
          <w:szCs w:val="28"/>
        </w:rPr>
        <w:t xml:space="preserve"> </w:t>
      </w:r>
      <w:r w:rsidRPr="00176B8D">
        <w:rPr>
          <w:rFonts w:eastAsia="PMingLiU"/>
          <w:color w:val="000000"/>
          <w:szCs w:val="28"/>
        </w:rPr>
        <w:t xml:space="preserve">lack of intention to participate in the proceedings, </w:t>
      </w:r>
      <w:r w:rsidRPr="00176B8D">
        <w:rPr>
          <w:rFonts w:eastAsia="PMingLiU"/>
          <w:b/>
          <w:bCs/>
          <w:color w:val="000000"/>
          <w:szCs w:val="28"/>
        </w:rPr>
        <w:t>(</w:t>
      </w:r>
      <w:r>
        <w:rPr>
          <w:rFonts w:eastAsia="PMingLiU"/>
          <w:b/>
          <w:bCs/>
          <w:color w:val="000000"/>
          <w:szCs w:val="28"/>
        </w:rPr>
        <w:t>3</w:t>
      </w:r>
      <w:r w:rsidRPr="00176B8D">
        <w:rPr>
          <w:rFonts w:eastAsia="PMingLiU"/>
          <w:b/>
          <w:bCs/>
          <w:color w:val="000000"/>
          <w:szCs w:val="28"/>
        </w:rPr>
        <w:t xml:space="preserve">) </w:t>
      </w:r>
      <w:r w:rsidRPr="00176B8D">
        <w:rPr>
          <w:rFonts w:eastAsia="PMingLiU"/>
          <w:color w:val="000000"/>
          <w:szCs w:val="28"/>
        </w:rPr>
        <w:t>the Commission’s clear case against them, based on the Commission’s pleaded case</w:t>
      </w:r>
      <w:r>
        <w:rPr>
          <w:rFonts w:eastAsia="PMingLiU"/>
          <w:color w:val="000000"/>
          <w:szCs w:val="28"/>
        </w:rPr>
        <w:t xml:space="preserve"> in its Originating Notice of Application (“</w:t>
      </w:r>
      <w:r w:rsidRPr="0041235F">
        <w:rPr>
          <w:rFonts w:eastAsia="PMingLiU"/>
          <w:b/>
          <w:color w:val="000000"/>
          <w:szCs w:val="28"/>
        </w:rPr>
        <w:t>ONA</w:t>
      </w:r>
      <w:r>
        <w:rPr>
          <w:rFonts w:eastAsia="PMingLiU"/>
          <w:color w:val="000000"/>
          <w:szCs w:val="28"/>
        </w:rPr>
        <w:t>”)</w:t>
      </w:r>
      <w:r w:rsidRPr="00176B8D">
        <w:rPr>
          <w:rFonts w:eastAsia="PMingLiU"/>
          <w:color w:val="000000"/>
          <w:szCs w:val="28"/>
        </w:rPr>
        <w:t xml:space="preserve">, and </w:t>
      </w:r>
      <w:r w:rsidRPr="00176B8D">
        <w:rPr>
          <w:rFonts w:eastAsia="PMingLiU"/>
          <w:b/>
          <w:bCs/>
          <w:color w:val="000000"/>
          <w:szCs w:val="28"/>
        </w:rPr>
        <w:t>(</w:t>
      </w:r>
      <w:r>
        <w:rPr>
          <w:rFonts w:eastAsia="PMingLiU"/>
          <w:b/>
          <w:bCs/>
          <w:color w:val="000000"/>
          <w:szCs w:val="28"/>
        </w:rPr>
        <w:t>4</w:t>
      </w:r>
      <w:r w:rsidRPr="00176B8D">
        <w:rPr>
          <w:rFonts w:eastAsia="PMingLiU"/>
          <w:b/>
          <w:bCs/>
          <w:color w:val="000000"/>
          <w:szCs w:val="28"/>
        </w:rPr>
        <w:t xml:space="preserve">) </w:t>
      </w:r>
      <w:r w:rsidRPr="00176B8D">
        <w:rPr>
          <w:rFonts w:eastAsia="PMingLiU"/>
          <w:color w:val="000000"/>
          <w:szCs w:val="28"/>
        </w:rPr>
        <w:t>the public interest in effectively allocating the Commission</w:t>
      </w:r>
      <w:r>
        <w:rPr>
          <w:rFonts w:eastAsia="PMingLiU"/>
          <w:color w:val="000000"/>
          <w:szCs w:val="28"/>
        </w:rPr>
        <w:t>’s</w:t>
      </w:r>
      <w:r w:rsidRPr="00176B8D">
        <w:rPr>
          <w:rFonts w:eastAsia="PMingLiU"/>
          <w:color w:val="000000"/>
          <w:szCs w:val="28"/>
        </w:rPr>
        <w:t xml:space="preserve"> and the </w:t>
      </w:r>
      <w:r>
        <w:rPr>
          <w:rFonts w:eastAsia="PMingLiU"/>
          <w:color w:val="000000"/>
          <w:szCs w:val="28"/>
        </w:rPr>
        <w:t>Tribunal’s</w:t>
      </w:r>
      <w:r w:rsidRPr="00176B8D">
        <w:rPr>
          <w:rFonts w:eastAsia="PMingLiU"/>
          <w:color w:val="000000"/>
          <w:szCs w:val="28"/>
        </w:rPr>
        <w:t xml:space="preserve"> time and resources, </w:t>
      </w:r>
      <w:r>
        <w:rPr>
          <w:rFonts w:eastAsia="PMingLiU"/>
          <w:color w:val="000000"/>
          <w:szCs w:val="28"/>
        </w:rPr>
        <w:t xml:space="preserve">it is appropriate for </w:t>
      </w:r>
      <w:r w:rsidRPr="00176B8D">
        <w:rPr>
          <w:rFonts w:eastAsia="PMingLiU"/>
          <w:color w:val="000000"/>
          <w:szCs w:val="28"/>
        </w:rPr>
        <w:t>th</w:t>
      </w:r>
      <w:r w:rsidR="005E7D3F">
        <w:rPr>
          <w:rFonts w:eastAsia="PMingLiU"/>
          <w:color w:val="000000"/>
          <w:szCs w:val="28"/>
        </w:rPr>
        <w:t>e</w:t>
      </w:r>
      <w:r w:rsidRPr="00176B8D">
        <w:rPr>
          <w:rFonts w:eastAsia="PMingLiU"/>
          <w:color w:val="000000"/>
          <w:szCs w:val="28"/>
        </w:rPr>
        <w:t xml:space="preserve"> </w:t>
      </w:r>
      <w:r>
        <w:rPr>
          <w:rFonts w:eastAsia="PMingLiU"/>
          <w:color w:val="000000"/>
          <w:szCs w:val="28"/>
        </w:rPr>
        <w:t>Tribunal</w:t>
      </w:r>
      <w:r w:rsidRPr="00176B8D">
        <w:rPr>
          <w:rFonts w:eastAsia="PMingLiU"/>
          <w:color w:val="000000"/>
          <w:szCs w:val="28"/>
        </w:rPr>
        <w:t xml:space="preserve"> </w:t>
      </w:r>
      <w:r>
        <w:rPr>
          <w:rFonts w:eastAsia="PMingLiU"/>
          <w:color w:val="000000"/>
          <w:szCs w:val="28"/>
        </w:rPr>
        <w:t>to</w:t>
      </w:r>
      <w:r w:rsidRPr="00176B8D">
        <w:rPr>
          <w:rFonts w:eastAsia="PMingLiU"/>
          <w:color w:val="000000"/>
          <w:szCs w:val="28"/>
        </w:rPr>
        <w:t xml:space="preserve"> grant the reliefs sought against </w:t>
      </w:r>
      <w:r w:rsidR="00A57804">
        <w:rPr>
          <w:rFonts w:eastAsia="PMingLiU"/>
          <w:color w:val="000000"/>
        </w:rPr>
        <w:t>the 6</w:t>
      </w:r>
      <w:r w:rsidR="00A57804" w:rsidRPr="00CC33E6">
        <w:rPr>
          <w:rFonts w:eastAsia="PMingLiU"/>
          <w:color w:val="000000"/>
          <w:vertAlign w:val="superscript"/>
        </w:rPr>
        <w:t>th</w:t>
      </w:r>
      <w:r w:rsidR="00A57804">
        <w:rPr>
          <w:rFonts w:eastAsia="PMingLiU"/>
          <w:color w:val="000000"/>
        </w:rPr>
        <w:t xml:space="preserve"> Respondent </w:t>
      </w:r>
      <w:r w:rsidR="00A57804" w:rsidRPr="00176B8D">
        <w:rPr>
          <w:rFonts w:eastAsia="PMingLiU"/>
          <w:color w:val="000000"/>
        </w:rPr>
        <w:t xml:space="preserve">and </w:t>
      </w:r>
      <w:r w:rsidR="00A57804">
        <w:rPr>
          <w:rFonts w:eastAsia="PMingLiU"/>
          <w:color w:val="000000"/>
        </w:rPr>
        <w:t>the 7</w:t>
      </w:r>
      <w:r w:rsidR="00A57804" w:rsidRPr="00CC33E6">
        <w:rPr>
          <w:rFonts w:eastAsia="PMingLiU"/>
          <w:color w:val="000000"/>
          <w:vertAlign w:val="superscript"/>
        </w:rPr>
        <w:t>th</w:t>
      </w:r>
      <w:r w:rsidR="00A57804">
        <w:rPr>
          <w:rFonts w:eastAsia="PMingLiU"/>
          <w:color w:val="000000"/>
        </w:rPr>
        <w:t> Respondent</w:t>
      </w:r>
      <w:r w:rsidRPr="00176B8D">
        <w:rPr>
          <w:rFonts w:eastAsia="PMingLiU"/>
          <w:color w:val="000000"/>
          <w:szCs w:val="28"/>
        </w:rPr>
        <w:t xml:space="preserve"> </w:t>
      </w:r>
      <w:r>
        <w:rPr>
          <w:rFonts w:eastAsia="PMingLiU"/>
          <w:color w:val="000000"/>
          <w:szCs w:val="28"/>
        </w:rPr>
        <w:t xml:space="preserve">under </w:t>
      </w:r>
      <w:r w:rsidRPr="004465E1">
        <w:rPr>
          <w:rFonts w:eastAsia="PMingLiU"/>
          <w:i/>
          <w:color w:val="000000"/>
          <w:szCs w:val="28"/>
        </w:rPr>
        <w:t>rule 76</w:t>
      </w:r>
      <w:r>
        <w:rPr>
          <w:rFonts w:eastAsia="PMingLiU"/>
          <w:color w:val="000000"/>
          <w:szCs w:val="28"/>
        </w:rPr>
        <w:t xml:space="preserve"> of the </w:t>
      </w:r>
      <w:r w:rsidRPr="004465E1">
        <w:rPr>
          <w:rFonts w:eastAsia="PMingLiU"/>
          <w:i/>
          <w:color w:val="000000"/>
          <w:szCs w:val="28"/>
        </w:rPr>
        <w:t>CTR</w:t>
      </w:r>
      <w:r>
        <w:rPr>
          <w:rFonts w:eastAsia="PMingLiU"/>
          <w:color w:val="000000"/>
          <w:szCs w:val="28"/>
        </w:rPr>
        <w:t xml:space="preserve"> </w:t>
      </w:r>
      <w:r w:rsidRPr="00176B8D">
        <w:rPr>
          <w:rFonts w:eastAsia="PMingLiU"/>
          <w:color w:val="000000"/>
          <w:szCs w:val="28"/>
        </w:rPr>
        <w:t>in a manner akin to the grant of a default judgment</w:t>
      </w:r>
      <w:r w:rsidRPr="007177EE">
        <w:rPr>
          <w:rFonts w:eastAsia="PMingLiU"/>
          <w:color w:val="000000"/>
          <w:szCs w:val="28"/>
        </w:rPr>
        <w:t xml:space="preserve"> </w:t>
      </w:r>
      <w:r>
        <w:rPr>
          <w:rFonts w:eastAsia="PMingLiU"/>
          <w:color w:val="000000"/>
          <w:szCs w:val="28"/>
        </w:rPr>
        <w:t>in other civil proceedings in the High Court</w:t>
      </w:r>
      <w:r w:rsidRPr="00176B8D">
        <w:rPr>
          <w:rFonts w:eastAsia="PMingLiU"/>
          <w:color w:val="000000"/>
          <w:szCs w:val="28"/>
        </w:rPr>
        <w:t>.</w:t>
      </w:r>
    </w:p>
    <w:p w:rsidR="004465E1" w:rsidRPr="004465E1" w:rsidRDefault="004465E1" w:rsidP="009F0836">
      <w:pPr>
        <w:pStyle w:val="Final"/>
      </w:pPr>
      <w:r w:rsidRPr="00176B8D">
        <w:rPr>
          <w:rFonts w:eastAsia="Times New Roman"/>
          <w:szCs w:val="28"/>
        </w:rPr>
        <w:t>The Commission’s case as pleaded in the ONA can be briefly summarised as follows.</w:t>
      </w:r>
    </w:p>
    <w:p w:rsidR="004465E1" w:rsidRPr="004465E1" w:rsidRDefault="004465E1" w:rsidP="004465E1">
      <w:pPr>
        <w:pStyle w:val="Final"/>
        <w:spacing w:after="0"/>
      </w:pPr>
      <w:r>
        <w:rPr>
          <w:rFonts w:eastAsia="Times New Roman"/>
          <w:color w:val="000000"/>
          <w:szCs w:val="28"/>
        </w:rPr>
        <w:t>At all material times ([</w:t>
      </w:r>
      <w:r w:rsidRPr="00176B8D">
        <w:rPr>
          <w:rFonts w:eastAsia="Times New Roman"/>
          <w:color w:val="000000"/>
          <w:szCs w:val="28"/>
        </w:rPr>
        <w:t>3</w:t>
      </w:r>
      <w:r>
        <w:rPr>
          <w:rFonts w:eastAsia="Times New Roman"/>
          <w:color w:val="000000"/>
          <w:szCs w:val="28"/>
        </w:rPr>
        <w:t>]</w:t>
      </w:r>
      <w:r w:rsidRPr="00176B8D">
        <w:rPr>
          <w:rFonts w:eastAsia="Times New Roman"/>
          <w:color w:val="000000"/>
          <w:szCs w:val="28"/>
        </w:rPr>
        <w:t xml:space="preserve">, </w:t>
      </w:r>
      <w:r>
        <w:rPr>
          <w:rFonts w:eastAsia="Times New Roman"/>
          <w:color w:val="000000"/>
          <w:szCs w:val="28"/>
        </w:rPr>
        <w:t>[</w:t>
      </w:r>
      <w:r w:rsidRPr="00176B8D">
        <w:rPr>
          <w:rFonts w:eastAsia="Times New Roman"/>
          <w:color w:val="000000"/>
          <w:szCs w:val="28"/>
        </w:rPr>
        <w:t>59</w:t>
      </w:r>
      <w:r>
        <w:rPr>
          <w:rFonts w:eastAsia="Times New Roman"/>
          <w:color w:val="000000"/>
          <w:szCs w:val="28"/>
        </w:rPr>
        <w:t>]</w:t>
      </w:r>
      <w:r w:rsidR="006E3BC5">
        <w:rPr>
          <w:rFonts w:eastAsia="Times New Roman"/>
          <w:color w:val="000000"/>
          <w:szCs w:val="28"/>
        </w:rPr>
        <w:t>–</w:t>
      </w:r>
      <w:r>
        <w:rPr>
          <w:rFonts w:eastAsia="Times New Roman"/>
          <w:color w:val="000000"/>
          <w:szCs w:val="28"/>
        </w:rPr>
        <w:t>[</w:t>
      </w:r>
      <w:r w:rsidRPr="00176B8D">
        <w:rPr>
          <w:rFonts w:eastAsia="Times New Roman"/>
          <w:color w:val="000000"/>
          <w:szCs w:val="28"/>
        </w:rPr>
        <w:t>76</w:t>
      </w:r>
      <w:r>
        <w:rPr>
          <w:rFonts w:eastAsia="Times New Roman"/>
          <w:color w:val="000000"/>
          <w:szCs w:val="28"/>
        </w:rPr>
        <w:t>]</w:t>
      </w:r>
      <w:r w:rsidRPr="00176B8D">
        <w:rPr>
          <w:rFonts w:eastAsia="Times New Roman"/>
          <w:color w:val="000000"/>
          <w:szCs w:val="28"/>
        </w:rPr>
        <w:t xml:space="preserve"> of ONA):</w:t>
      </w:r>
    </w:p>
    <w:p w:rsidR="004465E1" w:rsidRPr="006E00A6" w:rsidRDefault="00634483" w:rsidP="004465E1">
      <w:pPr>
        <w:pStyle w:val="HC-Hanging"/>
        <w:ind w:left="1440"/>
      </w:pPr>
      <w:r>
        <w:rPr>
          <w:rFonts w:eastAsia="Times New Roman"/>
          <w:lang w:val="en-GB"/>
        </w:rPr>
        <w:t>The 1</w:t>
      </w:r>
      <w:r w:rsidRPr="00634483">
        <w:rPr>
          <w:rFonts w:eastAsia="Times New Roman"/>
          <w:vertAlign w:val="superscript"/>
          <w:lang w:val="en-GB"/>
        </w:rPr>
        <w:t>st</w:t>
      </w:r>
      <w:r>
        <w:rPr>
          <w:rFonts w:eastAsia="Times New Roman"/>
          <w:lang w:val="en-GB"/>
        </w:rPr>
        <w:t xml:space="preserve"> Respondent</w:t>
      </w:r>
      <w:r w:rsidR="004465E1" w:rsidRPr="00176B8D">
        <w:rPr>
          <w:rFonts w:eastAsia="Times New Roman"/>
          <w:lang w:val="en-GB"/>
        </w:rPr>
        <w:t xml:space="preserve"> (</w:t>
      </w:r>
      <w:r w:rsidR="004465E1">
        <w:rPr>
          <w:rFonts w:eastAsia="Times New Roman"/>
          <w:lang w:val="en-GB"/>
        </w:rPr>
        <w:t xml:space="preserve">or </w:t>
      </w:r>
      <w:r w:rsidR="004465E1" w:rsidRPr="00176B8D">
        <w:rPr>
          <w:rFonts w:eastAsia="Times New Roman"/>
          <w:lang w:val="en-GB"/>
        </w:rPr>
        <w:t>“</w:t>
      </w:r>
      <w:r w:rsidR="004465E1" w:rsidRPr="00176B8D">
        <w:rPr>
          <w:rFonts w:eastAsia="Times New Roman"/>
          <w:b/>
          <w:bCs/>
          <w:lang w:val="en-GB"/>
        </w:rPr>
        <w:t>ML</w:t>
      </w:r>
      <w:r w:rsidR="004465E1" w:rsidRPr="00176B8D">
        <w:rPr>
          <w:rFonts w:eastAsia="Times New Roman"/>
          <w:lang w:val="en-GB"/>
        </w:rPr>
        <w:t xml:space="preserve">”) </w:t>
      </w:r>
      <w:r>
        <w:rPr>
          <w:rFonts w:eastAsia="Times New Roman"/>
          <w:lang w:val="en-GB"/>
        </w:rPr>
        <w:t>was</w:t>
      </w:r>
      <w:r w:rsidR="004465E1" w:rsidRPr="00176B8D">
        <w:rPr>
          <w:rFonts w:eastAsia="Times New Roman"/>
          <w:lang w:val="en-GB"/>
        </w:rPr>
        <w:t xml:space="preserve"> a wholly owned indirect subsidiary of </w:t>
      </w:r>
      <w:r>
        <w:rPr>
          <w:rFonts w:eastAsia="Times New Roman"/>
          <w:lang w:val="en-GB"/>
        </w:rPr>
        <w:t>the 2</w:t>
      </w:r>
      <w:r w:rsidRPr="00634483">
        <w:rPr>
          <w:rFonts w:eastAsia="Times New Roman"/>
          <w:vertAlign w:val="superscript"/>
          <w:lang w:val="en-GB"/>
        </w:rPr>
        <w:t>nd</w:t>
      </w:r>
      <w:r>
        <w:rPr>
          <w:rFonts w:eastAsia="Times New Roman"/>
          <w:lang w:val="en-GB"/>
        </w:rPr>
        <w:t> Respondent</w:t>
      </w:r>
      <w:r w:rsidR="004465E1" w:rsidRPr="00176B8D">
        <w:rPr>
          <w:rFonts w:eastAsia="Times New Roman"/>
          <w:lang w:val="en-GB"/>
        </w:rPr>
        <w:t xml:space="preserve"> (</w:t>
      </w:r>
      <w:r w:rsidR="004465E1">
        <w:rPr>
          <w:rFonts w:eastAsia="Times New Roman"/>
          <w:lang w:val="en-GB"/>
        </w:rPr>
        <w:t xml:space="preserve">or </w:t>
      </w:r>
      <w:r w:rsidR="004465E1" w:rsidRPr="00176B8D">
        <w:rPr>
          <w:rFonts w:eastAsia="Times New Roman"/>
          <w:lang w:val="en-GB"/>
        </w:rPr>
        <w:t>“</w:t>
      </w:r>
      <w:r w:rsidR="004465E1" w:rsidRPr="00176B8D">
        <w:rPr>
          <w:rFonts w:eastAsia="Times New Roman"/>
          <w:b/>
          <w:bCs/>
          <w:lang w:val="en-GB"/>
        </w:rPr>
        <w:t>MTT</w:t>
      </w:r>
      <w:r w:rsidR="004465E1" w:rsidRPr="00176B8D">
        <w:rPr>
          <w:rFonts w:eastAsia="Times New Roman"/>
          <w:lang w:val="en-GB"/>
        </w:rPr>
        <w:t>”), the latter of which has been listed on the Ho</w:t>
      </w:r>
      <w:r w:rsidR="006E00A6">
        <w:rPr>
          <w:rFonts w:eastAsia="Times New Roman"/>
          <w:lang w:val="en-GB"/>
        </w:rPr>
        <w:t>ng Kong Stock Exchange since 26 </w:t>
      </w:r>
      <w:r w:rsidR="004465E1" w:rsidRPr="00176B8D">
        <w:rPr>
          <w:rFonts w:eastAsia="Times New Roman"/>
          <w:lang w:val="en-GB"/>
        </w:rPr>
        <w:t>September</w:t>
      </w:r>
      <w:r w:rsidR="006E00A6">
        <w:rPr>
          <w:rFonts w:eastAsia="Times New Roman"/>
          <w:lang w:val="en-GB"/>
        </w:rPr>
        <w:t> </w:t>
      </w:r>
      <w:r w:rsidR="004465E1" w:rsidRPr="00176B8D">
        <w:rPr>
          <w:rFonts w:eastAsia="Times New Roman"/>
          <w:lang w:val="en-GB"/>
        </w:rPr>
        <w:t>2022.  The undertaking of which ML and MTT form part is “</w:t>
      </w:r>
      <w:r w:rsidR="004465E1" w:rsidRPr="006E00A6">
        <w:rPr>
          <w:rFonts w:eastAsia="Times New Roman"/>
          <w:bCs/>
          <w:lang w:val="en-GB"/>
        </w:rPr>
        <w:t>Multisoft</w:t>
      </w:r>
      <w:r w:rsidR="004465E1" w:rsidRPr="00176B8D">
        <w:rPr>
          <w:rFonts w:eastAsia="Times New Roman"/>
          <w:lang w:val="en-GB"/>
        </w:rPr>
        <w:t>”, which is engaged in the business of providing IT enterprise solutions, specialising in systems, networking, security and cloud services;</w:t>
      </w:r>
    </w:p>
    <w:p w:rsidR="006E00A6" w:rsidRPr="006E00A6" w:rsidRDefault="006A0261" w:rsidP="004465E1">
      <w:pPr>
        <w:pStyle w:val="HC-Hanging"/>
        <w:ind w:left="1440"/>
      </w:pPr>
      <w:r>
        <w:rPr>
          <w:rFonts w:eastAsia="Times New Roman"/>
          <w:lang w:val="en-GB"/>
        </w:rPr>
        <w:t>The 3</w:t>
      </w:r>
      <w:r w:rsidRPr="006A0261">
        <w:rPr>
          <w:rFonts w:eastAsia="Times New Roman"/>
          <w:vertAlign w:val="superscript"/>
          <w:lang w:val="en-GB"/>
        </w:rPr>
        <w:t>rd</w:t>
      </w:r>
      <w:r>
        <w:rPr>
          <w:rFonts w:eastAsia="Times New Roman"/>
          <w:lang w:val="en-GB"/>
        </w:rPr>
        <w:t> Respondent</w:t>
      </w:r>
      <w:r w:rsidR="006E00A6" w:rsidRPr="00176B8D">
        <w:rPr>
          <w:rFonts w:eastAsia="Times New Roman"/>
          <w:lang w:val="en-GB"/>
        </w:rPr>
        <w:t xml:space="preserve"> (</w:t>
      </w:r>
      <w:r w:rsidR="006E00A6">
        <w:rPr>
          <w:rFonts w:eastAsia="Times New Roman"/>
          <w:lang w:val="en-GB"/>
        </w:rPr>
        <w:t xml:space="preserve">or </w:t>
      </w:r>
      <w:r w:rsidR="006E00A6" w:rsidRPr="00176B8D">
        <w:rPr>
          <w:rFonts w:eastAsia="Times New Roman"/>
          <w:lang w:val="en-GB"/>
        </w:rPr>
        <w:t>“</w:t>
      </w:r>
      <w:r w:rsidR="006E00A6" w:rsidRPr="00176B8D">
        <w:rPr>
          <w:rFonts w:eastAsia="Times New Roman"/>
          <w:b/>
          <w:bCs/>
          <w:lang w:val="en-GB"/>
        </w:rPr>
        <w:t>BP</w:t>
      </w:r>
      <w:r w:rsidR="006E00A6" w:rsidRPr="00176B8D">
        <w:rPr>
          <w:rFonts w:eastAsia="Times New Roman"/>
          <w:lang w:val="en-GB"/>
        </w:rPr>
        <w:t xml:space="preserve">”) and </w:t>
      </w:r>
      <w:r>
        <w:rPr>
          <w:rFonts w:eastAsia="Times New Roman"/>
          <w:lang w:val="en-GB"/>
        </w:rPr>
        <w:t>the 4</w:t>
      </w:r>
      <w:r w:rsidRPr="006A0261">
        <w:rPr>
          <w:rFonts w:eastAsia="Times New Roman"/>
          <w:vertAlign w:val="superscript"/>
          <w:lang w:val="en-GB"/>
        </w:rPr>
        <w:t>th</w:t>
      </w:r>
      <w:r>
        <w:rPr>
          <w:rFonts w:eastAsia="Times New Roman"/>
          <w:lang w:val="en-GB"/>
        </w:rPr>
        <w:t> Respondent</w:t>
      </w:r>
      <w:r w:rsidR="006E00A6" w:rsidRPr="00176B8D">
        <w:rPr>
          <w:rFonts w:eastAsia="Times New Roman"/>
          <w:lang w:val="en-GB"/>
        </w:rPr>
        <w:t xml:space="preserve"> (</w:t>
      </w:r>
      <w:r w:rsidR="006E00A6">
        <w:rPr>
          <w:rFonts w:eastAsia="Times New Roman"/>
          <w:lang w:val="en-GB"/>
        </w:rPr>
        <w:t xml:space="preserve">or </w:t>
      </w:r>
      <w:r w:rsidR="006E00A6" w:rsidRPr="00176B8D">
        <w:rPr>
          <w:rFonts w:eastAsia="Times New Roman"/>
          <w:lang w:val="en-GB"/>
        </w:rPr>
        <w:t>“</w:t>
      </w:r>
      <w:r w:rsidR="006E00A6" w:rsidRPr="00176B8D">
        <w:rPr>
          <w:rFonts w:eastAsia="Times New Roman"/>
          <w:b/>
          <w:bCs/>
          <w:lang w:val="en-GB"/>
        </w:rPr>
        <w:t>Noble</w:t>
      </w:r>
      <w:r w:rsidR="006E00A6" w:rsidRPr="00176B8D">
        <w:rPr>
          <w:rFonts w:eastAsia="Times New Roman"/>
          <w:lang w:val="en-GB"/>
        </w:rPr>
        <w:t>”) are owned and controlled by the same person, namely the BP/Noble Director.  Both are also IT service providers;</w:t>
      </w:r>
    </w:p>
    <w:p w:rsidR="006E00A6" w:rsidRPr="006E00A6" w:rsidRDefault="006A0261" w:rsidP="004465E1">
      <w:pPr>
        <w:pStyle w:val="HC-Hanging"/>
        <w:ind w:left="1440"/>
      </w:pPr>
      <w:r>
        <w:rPr>
          <w:rFonts w:eastAsia="Times New Roman"/>
          <w:lang w:val="en-GB"/>
        </w:rPr>
        <w:t>The 5</w:t>
      </w:r>
      <w:r w:rsidRPr="006A0261">
        <w:rPr>
          <w:rFonts w:eastAsia="Times New Roman"/>
          <w:vertAlign w:val="superscript"/>
          <w:lang w:val="en-GB"/>
        </w:rPr>
        <w:t>th</w:t>
      </w:r>
      <w:r>
        <w:rPr>
          <w:rFonts w:eastAsia="Times New Roman"/>
          <w:lang w:val="en-GB"/>
        </w:rPr>
        <w:t> Respondent</w:t>
      </w:r>
      <w:r w:rsidR="006E00A6" w:rsidRPr="00176B8D">
        <w:rPr>
          <w:rFonts w:eastAsia="Times New Roman"/>
          <w:lang w:val="en-GB"/>
        </w:rPr>
        <w:t xml:space="preserve"> (</w:t>
      </w:r>
      <w:r w:rsidR="006E00A6">
        <w:rPr>
          <w:rFonts w:eastAsia="Times New Roman"/>
          <w:lang w:val="en-GB"/>
        </w:rPr>
        <w:t xml:space="preserve">or </w:t>
      </w:r>
      <w:r w:rsidR="006E00A6" w:rsidRPr="00176B8D">
        <w:rPr>
          <w:rFonts w:eastAsia="Times New Roman"/>
          <w:lang w:val="en-GB"/>
        </w:rPr>
        <w:t>“</w:t>
      </w:r>
      <w:r w:rsidR="006E00A6" w:rsidRPr="00176B8D">
        <w:rPr>
          <w:rFonts w:eastAsia="Times New Roman"/>
          <w:b/>
          <w:bCs/>
          <w:lang w:val="en-GB"/>
        </w:rPr>
        <w:t>KWEK</w:t>
      </w:r>
      <w:r w:rsidR="006E00A6" w:rsidRPr="00176B8D">
        <w:rPr>
          <w:rFonts w:eastAsia="Times New Roman"/>
          <w:lang w:val="en-GB"/>
        </w:rPr>
        <w:t xml:space="preserve">”) is a company initially set up for developing a mobile application, and had no other business operations until its shareholder director, </w:t>
      </w:r>
      <w:r>
        <w:rPr>
          <w:rFonts w:eastAsia="Times New Roman"/>
          <w:lang w:val="en-GB"/>
        </w:rPr>
        <w:t>the 8</w:t>
      </w:r>
      <w:r w:rsidRPr="006A0261">
        <w:rPr>
          <w:rFonts w:eastAsia="Times New Roman"/>
          <w:vertAlign w:val="superscript"/>
          <w:lang w:val="en-GB"/>
        </w:rPr>
        <w:t>th</w:t>
      </w:r>
      <w:r>
        <w:rPr>
          <w:rFonts w:eastAsia="Times New Roman"/>
          <w:lang w:val="en-GB"/>
        </w:rPr>
        <w:t> Respondent</w:t>
      </w:r>
      <w:r w:rsidR="006E00A6" w:rsidRPr="00176B8D">
        <w:rPr>
          <w:rFonts w:eastAsia="Times New Roman"/>
          <w:lang w:val="en-GB"/>
        </w:rPr>
        <w:t xml:space="preserve"> (</w:t>
      </w:r>
      <w:r w:rsidR="006E00A6">
        <w:rPr>
          <w:rFonts w:eastAsia="Times New Roman"/>
          <w:lang w:val="en-GB"/>
        </w:rPr>
        <w:t xml:space="preserve">or </w:t>
      </w:r>
      <w:r w:rsidR="006E00A6" w:rsidRPr="00176B8D">
        <w:rPr>
          <w:rFonts w:eastAsia="Times New Roman"/>
          <w:lang w:val="en-GB"/>
        </w:rPr>
        <w:t>“</w:t>
      </w:r>
      <w:r w:rsidR="006E00A6" w:rsidRPr="00176B8D">
        <w:rPr>
          <w:rFonts w:eastAsia="Times New Roman"/>
          <w:b/>
          <w:bCs/>
          <w:lang w:val="en-GB"/>
        </w:rPr>
        <w:t>Koki</w:t>
      </w:r>
      <w:r w:rsidR="006E00A6">
        <w:rPr>
          <w:rFonts w:eastAsia="Times New Roman"/>
          <w:b/>
          <w:bCs/>
          <w:lang w:val="en-GB"/>
        </w:rPr>
        <w:t> </w:t>
      </w:r>
      <w:r w:rsidR="006E00A6" w:rsidRPr="00176B8D">
        <w:rPr>
          <w:rFonts w:eastAsia="Times New Roman"/>
          <w:b/>
          <w:bCs/>
          <w:lang w:val="en-GB"/>
        </w:rPr>
        <w:t>Tang</w:t>
      </w:r>
      <w:r w:rsidR="006E00A6" w:rsidRPr="00176B8D">
        <w:rPr>
          <w:rFonts w:eastAsia="Times New Roman"/>
          <w:lang w:val="en-GB"/>
        </w:rPr>
        <w:t>”) used it to issue quotations pursuant to the Collusive Conduct described in the ONA;</w:t>
      </w:r>
    </w:p>
    <w:p w:rsidR="006E00A6" w:rsidRPr="006E00A6" w:rsidRDefault="006A0261" w:rsidP="004465E1">
      <w:pPr>
        <w:pStyle w:val="HC-Hanging"/>
        <w:ind w:left="1440"/>
      </w:pPr>
      <w:r>
        <w:rPr>
          <w:rFonts w:eastAsia="Times New Roman"/>
        </w:rPr>
        <w:t>The 6</w:t>
      </w:r>
      <w:r w:rsidRPr="006A0261">
        <w:rPr>
          <w:rFonts w:eastAsia="Times New Roman"/>
          <w:vertAlign w:val="superscript"/>
        </w:rPr>
        <w:t>th</w:t>
      </w:r>
      <w:r>
        <w:rPr>
          <w:rFonts w:eastAsia="Times New Roman"/>
        </w:rPr>
        <w:t> Respondent</w:t>
      </w:r>
      <w:r w:rsidR="006E00A6" w:rsidRPr="00176B8D">
        <w:rPr>
          <w:rFonts w:eastAsia="Times New Roman"/>
          <w:lang w:val="en-GB"/>
        </w:rPr>
        <w:t xml:space="preserve"> (</w:t>
      </w:r>
      <w:r w:rsidR="006E00A6">
        <w:rPr>
          <w:rFonts w:eastAsia="Times New Roman"/>
          <w:lang w:val="en-GB"/>
        </w:rPr>
        <w:t xml:space="preserve">or </w:t>
      </w:r>
      <w:r w:rsidR="006E00A6" w:rsidRPr="00176B8D">
        <w:rPr>
          <w:rFonts w:eastAsia="Times New Roman"/>
          <w:lang w:val="en-GB"/>
        </w:rPr>
        <w:t>“</w:t>
      </w:r>
      <w:r w:rsidR="006E00A6" w:rsidRPr="00176B8D">
        <w:rPr>
          <w:rFonts w:eastAsia="Times New Roman"/>
          <w:b/>
          <w:bCs/>
          <w:lang w:val="en-GB"/>
        </w:rPr>
        <w:t>Agnes Au Yeung</w:t>
      </w:r>
      <w:r w:rsidR="006E00A6" w:rsidRPr="00176B8D">
        <w:rPr>
          <w:rFonts w:eastAsia="Times New Roman"/>
          <w:lang w:val="en-GB"/>
        </w:rPr>
        <w:t>”) is and was at all material times an individual and</w:t>
      </w:r>
      <w:r w:rsidR="006E00A6">
        <w:rPr>
          <w:rFonts w:eastAsia="Times New Roman"/>
          <w:lang w:val="en-GB"/>
        </w:rPr>
        <w:t xml:space="preserve"> sole proprietor trading as Yat </w:t>
      </w:r>
      <w:r w:rsidR="006E00A6" w:rsidRPr="00176B8D">
        <w:rPr>
          <w:rFonts w:eastAsia="Times New Roman"/>
          <w:lang w:val="en-GB"/>
        </w:rPr>
        <w:t>Ying</w:t>
      </w:r>
      <w:r w:rsidR="006E00A6">
        <w:rPr>
          <w:rFonts w:eastAsia="Times New Roman"/>
          <w:lang w:val="en-GB"/>
        </w:rPr>
        <w:t> </w:t>
      </w:r>
      <w:r w:rsidR="006E00A6" w:rsidRPr="00176B8D">
        <w:rPr>
          <w:rFonts w:eastAsia="Times New Roman"/>
          <w:lang w:val="en-GB"/>
        </w:rPr>
        <w:t>Hong (</w:t>
      </w:r>
      <w:r w:rsidR="006E00A6">
        <w:rPr>
          <w:rFonts w:eastAsia="Times New Roman"/>
          <w:lang w:val="en-GB"/>
        </w:rPr>
        <w:t xml:space="preserve">or </w:t>
      </w:r>
      <w:r w:rsidR="006E00A6" w:rsidRPr="00176B8D">
        <w:rPr>
          <w:rFonts w:eastAsia="Times New Roman"/>
          <w:lang w:val="en-GB"/>
        </w:rPr>
        <w:t>“</w:t>
      </w:r>
      <w:r w:rsidR="006E00A6" w:rsidRPr="00176B8D">
        <w:rPr>
          <w:rFonts w:eastAsia="Times New Roman"/>
          <w:b/>
          <w:bCs/>
          <w:lang w:val="en-GB"/>
        </w:rPr>
        <w:t>Yat</w:t>
      </w:r>
      <w:r w:rsidR="006E00A6">
        <w:rPr>
          <w:rFonts w:eastAsia="Times New Roman"/>
          <w:b/>
          <w:bCs/>
          <w:lang w:val="en-GB"/>
        </w:rPr>
        <w:t> </w:t>
      </w:r>
      <w:r w:rsidR="006E00A6" w:rsidRPr="00176B8D">
        <w:rPr>
          <w:rFonts w:eastAsia="Times New Roman"/>
          <w:b/>
          <w:bCs/>
          <w:lang w:val="en-GB"/>
        </w:rPr>
        <w:t>Ying</w:t>
      </w:r>
      <w:r w:rsidR="006E00A6" w:rsidRPr="00176B8D">
        <w:rPr>
          <w:rFonts w:eastAsia="Times New Roman"/>
          <w:lang w:val="en-GB"/>
        </w:rPr>
        <w:t>”), and assisted in the running of BP/ Noble’s business;</w:t>
      </w:r>
    </w:p>
    <w:p w:rsidR="006E00A6" w:rsidRPr="006E00A6" w:rsidRDefault="006A0261" w:rsidP="004465E1">
      <w:pPr>
        <w:pStyle w:val="HC-Hanging"/>
        <w:ind w:left="1440"/>
      </w:pPr>
      <w:r>
        <w:rPr>
          <w:rFonts w:eastAsia="Times New Roman"/>
          <w:lang w:val="en-GB"/>
        </w:rPr>
        <w:t>The 7</w:t>
      </w:r>
      <w:r w:rsidRPr="006A0261">
        <w:rPr>
          <w:rFonts w:eastAsia="Times New Roman"/>
          <w:vertAlign w:val="superscript"/>
          <w:lang w:val="en-GB"/>
        </w:rPr>
        <w:t>th</w:t>
      </w:r>
      <w:r>
        <w:rPr>
          <w:rFonts w:eastAsia="Times New Roman"/>
          <w:lang w:val="en-GB"/>
        </w:rPr>
        <w:t> Respondent</w:t>
      </w:r>
      <w:r w:rsidR="006E00A6" w:rsidRPr="00176B8D">
        <w:rPr>
          <w:rFonts w:eastAsia="Times New Roman"/>
          <w:lang w:val="en-GB"/>
        </w:rPr>
        <w:t xml:space="preserve"> (</w:t>
      </w:r>
      <w:r w:rsidR="006E00A6">
        <w:rPr>
          <w:rFonts w:eastAsia="Times New Roman"/>
          <w:lang w:val="en-GB"/>
        </w:rPr>
        <w:t xml:space="preserve">or </w:t>
      </w:r>
      <w:r w:rsidR="006E00A6" w:rsidRPr="00176B8D">
        <w:rPr>
          <w:rFonts w:eastAsia="Times New Roman"/>
          <w:lang w:val="en-GB"/>
        </w:rPr>
        <w:t>“</w:t>
      </w:r>
      <w:r w:rsidR="006E00A6" w:rsidRPr="00176B8D">
        <w:rPr>
          <w:rFonts w:eastAsia="Times New Roman"/>
          <w:b/>
          <w:bCs/>
          <w:lang w:val="en-GB"/>
        </w:rPr>
        <w:t>Joe Fan</w:t>
      </w:r>
      <w:r w:rsidR="006E00A6" w:rsidRPr="00176B8D">
        <w:rPr>
          <w:rFonts w:eastAsia="Times New Roman"/>
          <w:lang w:val="en-GB"/>
        </w:rPr>
        <w:t>”) is and was at all material times the husband of Agnes Au Yeung, and also</w:t>
      </w:r>
      <w:r w:rsidR="006E00A6">
        <w:rPr>
          <w:rFonts w:eastAsia="Times New Roman"/>
          <w:lang w:val="en-GB"/>
        </w:rPr>
        <w:t xml:space="preserve"> assisted in the running of Yat </w:t>
      </w:r>
      <w:r w:rsidR="006E00A6" w:rsidRPr="00176B8D">
        <w:rPr>
          <w:rFonts w:eastAsia="Times New Roman"/>
          <w:lang w:val="en-GB"/>
        </w:rPr>
        <w:t>Ying and BP/ Noble’s businesses.</w:t>
      </w:r>
    </w:p>
    <w:p w:rsidR="006E00A6" w:rsidRDefault="006E00A6" w:rsidP="006E00A6">
      <w:pPr>
        <w:pStyle w:val="HC-Hanging"/>
        <w:numPr>
          <w:ilvl w:val="0"/>
          <w:numId w:val="0"/>
        </w:numPr>
        <w:ind w:left="1440"/>
      </w:pPr>
    </w:p>
    <w:p w:rsidR="004465E1" w:rsidRPr="006E00A6" w:rsidRDefault="006E00A6" w:rsidP="009F0836">
      <w:pPr>
        <w:pStyle w:val="Final"/>
      </w:pPr>
      <w:r w:rsidRPr="00176B8D">
        <w:rPr>
          <w:rFonts w:eastAsia="Times New Roman"/>
          <w:szCs w:val="28"/>
        </w:rPr>
        <w:t>The Collusive Conduct took place in the context of the Distance Business Programme (“</w:t>
      </w:r>
      <w:r w:rsidRPr="00176B8D">
        <w:rPr>
          <w:rFonts w:eastAsia="Times New Roman"/>
          <w:b/>
          <w:bCs/>
          <w:szCs w:val="28"/>
        </w:rPr>
        <w:t>D-Biz</w:t>
      </w:r>
      <w:r w:rsidRPr="00176B8D">
        <w:rPr>
          <w:rFonts w:eastAsia="Times New Roman"/>
          <w:szCs w:val="28"/>
        </w:rPr>
        <w:t xml:space="preserve">”), whereby public funds </w:t>
      </w:r>
      <w:r w:rsidR="006A0261">
        <w:rPr>
          <w:rFonts w:eastAsia="Times New Roman"/>
          <w:szCs w:val="28"/>
        </w:rPr>
        <w:t>were</w:t>
      </w:r>
      <w:r w:rsidRPr="00176B8D">
        <w:rPr>
          <w:rFonts w:eastAsia="Times New Roman"/>
          <w:szCs w:val="28"/>
        </w:rPr>
        <w:t xml:space="preserve"> used to support local enterprises to adopt IT solutions to continue their businesses and services during the COVID-19 epidemic.  For funding applications involving a non-subscription based IT solution, the applicant is required to obtain quotations from at least two IT service providers and to select the service provider which had submitted the lowest value conforming quotation to provide the relevant IT solution (“</w:t>
      </w:r>
      <w:r w:rsidRPr="00176B8D">
        <w:rPr>
          <w:rFonts w:eastAsia="Times New Roman"/>
          <w:b/>
          <w:bCs/>
          <w:szCs w:val="28"/>
        </w:rPr>
        <w:t>Two-Quotation Requirement</w:t>
      </w:r>
      <w:r w:rsidRPr="00176B8D">
        <w:rPr>
          <w:rFonts w:eastAsia="Times New Roman"/>
          <w:szCs w:val="28"/>
        </w:rPr>
        <w:t>”)</w:t>
      </w:r>
      <w:r>
        <w:rPr>
          <w:rFonts w:eastAsia="Times New Roman"/>
          <w:szCs w:val="28"/>
        </w:rPr>
        <w:t>.</w:t>
      </w:r>
    </w:p>
    <w:p w:rsidR="006E00A6" w:rsidRPr="00A01DBC" w:rsidRDefault="00A01DBC" w:rsidP="009F0836">
      <w:pPr>
        <w:pStyle w:val="Final"/>
      </w:pPr>
      <w:r w:rsidRPr="00176B8D">
        <w:rPr>
          <w:rFonts w:eastAsia="Times New Roman"/>
          <w:szCs w:val="28"/>
        </w:rPr>
        <w:t xml:space="preserve">The Commission’s case is that after </w:t>
      </w:r>
      <w:r>
        <w:rPr>
          <w:rFonts w:eastAsia="Times New Roman"/>
          <w:szCs w:val="28"/>
        </w:rPr>
        <w:t xml:space="preserve">the </w:t>
      </w:r>
      <w:r w:rsidRPr="00176B8D">
        <w:rPr>
          <w:rFonts w:eastAsia="Times New Roman"/>
          <w:szCs w:val="28"/>
        </w:rPr>
        <w:t xml:space="preserve">parties reached an agreement at or </w:t>
      </w:r>
      <w:r>
        <w:rPr>
          <w:rFonts w:eastAsia="Times New Roman"/>
          <w:szCs w:val="28"/>
        </w:rPr>
        <w:t>following</w:t>
      </w:r>
      <w:r w:rsidRPr="00176B8D">
        <w:rPr>
          <w:rFonts w:eastAsia="Times New Roman"/>
          <w:szCs w:val="28"/>
        </w:rPr>
        <w:t xml:space="preserve"> Agnes A</w:t>
      </w:r>
      <w:r>
        <w:rPr>
          <w:rFonts w:eastAsia="Times New Roman"/>
          <w:szCs w:val="28"/>
        </w:rPr>
        <w:t>u Yeung’s birthday party in May 2020, each of Multisoft, Yat </w:t>
      </w:r>
      <w:r w:rsidRPr="00176B8D">
        <w:rPr>
          <w:rFonts w:eastAsia="Times New Roman"/>
          <w:szCs w:val="28"/>
        </w:rPr>
        <w:t>Ying, KWEK and BP/ Noble (</w:t>
      </w:r>
      <w:r>
        <w:rPr>
          <w:rFonts w:eastAsia="Times New Roman"/>
          <w:szCs w:val="28"/>
        </w:rPr>
        <w:t xml:space="preserve">collectively, </w:t>
      </w:r>
      <w:r w:rsidRPr="00176B8D">
        <w:rPr>
          <w:rFonts w:eastAsia="Times New Roman"/>
          <w:szCs w:val="28"/>
        </w:rPr>
        <w:t>the “</w:t>
      </w:r>
      <w:r w:rsidRPr="00176B8D">
        <w:rPr>
          <w:rFonts w:eastAsia="Times New Roman"/>
          <w:b/>
          <w:bCs/>
          <w:szCs w:val="28"/>
        </w:rPr>
        <w:t>Subject Undertakings</w:t>
      </w:r>
      <w:r w:rsidRPr="00176B8D">
        <w:rPr>
          <w:rFonts w:eastAsia="Times New Roman"/>
          <w:szCs w:val="28"/>
        </w:rPr>
        <w:t>”) engaged in the Collusive Conduct whereby in order to enable a prospective customer of Yat</w:t>
      </w:r>
      <w:r>
        <w:rPr>
          <w:rFonts w:eastAsia="Times New Roman"/>
          <w:szCs w:val="28"/>
        </w:rPr>
        <w:t> </w:t>
      </w:r>
      <w:r w:rsidRPr="00176B8D">
        <w:rPr>
          <w:rFonts w:eastAsia="Times New Roman"/>
          <w:szCs w:val="28"/>
        </w:rPr>
        <w:t>Ying or BP/ Noble to satisfy the Two-Quotation Requirement when making an application, a second cover bid from one of the other Subject Undertakings was</w:t>
      </w:r>
      <w:r>
        <w:rPr>
          <w:rFonts w:eastAsia="Times New Roman"/>
          <w:szCs w:val="28"/>
        </w:rPr>
        <w:t xml:space="preserve"> provided.  In other words, Yat </w:t>
      </w:r>
      <w:r w:rsidRPr="00176B8D">
        <w:rPr>
          <w:rFonts w:eastAsia="Times New Roman"/>
          <w:szCs w:val="28"/>
        </w:rPr>
        <w:t>Ying or BP/ Noble would become the “selected service provider” while Multisoft and KWEK would become the “non-selected service provider”</w:t>
      </w:r>
      <w:r>
        <w:rPr>
          <w:rFonts w:eastAsia="Times New Roman"/>
          <w:szCs w:val="28"/>
        </w:rPr>
        <w:t>.</w:t>
      </w:r>
    </w:p>
    <w:p w:rsidR="00A01DBC" w:rsidRPr="00A01DBC" w:rsidRDefault="00A01DBC" w:rsidP="00A01DBC">
      <w:pPr>
        <w:pStyle w:val="Final"/>
        <w:spacing w:after="0"/>
      </w:pPr>
      <w:r w:rsidRPr="00176B8D">
        <w:rPr>
          <w:rFonts w:eastAsia="Times New Roman"/>
          <w:szCs w:val="28"/>
        </w:rPr>
        <w:t>The Collusive Conduct comprised two batches of applications (</w:t>
      </w:r>
      <w:r>
        <w:rPr>
          <w:rFonts w:eastAsia="Times New Roman"/>
          <w:szCs w:val="28"/>
        </w:rPr>
        <w:t>[</w:t>
      </w:r>
      <w:r w:rsidRPr="00176B8D">
        <w:rPr>
          <w:rFonts w:eastAsia="Times New Roman"/>
          <w:szCs w:val="28"/>
        </w:rPr>
        <w:t>85</w:t>
      </w:r>
      <w:r>
        <w:rPr>
          <w:rFonts w:eastAsia="Times New Roman"/>
          <w:szCs w:val="28"/>
        </w:rPr>
        <w:t>]</w:t>
      </w:r>
      <w:r w:rsidRPr="00176B8D">
        <w:rPr>
          <w:rFonts w:eastAsia="Times New Roman"/>
          <w:szCs w:val="28"/>
        </w:rPr>
        <w:t xml:space="preserve">, </w:t>
      </w:r>
      <w:r>
        <w:rPr>
          <w:rFonts w:eastAsia="Times New Roman"/>
          <w:szCs w:val="28"/>
        </w:rPr>
        <w:t>[</w:t>
      </w:r>
      <w:r w:rsidRPr="00176B8D">
        <w:rPr>
          <w:rFonts w:eastAsia="Times New Roman"/>
          <w:szCs w:val="28"/>
        </w:rPr>
        <w:t>96</w:t>
      </w:r>
      <w:r>
        <w:rPr>
          <w:rFonts w:eastAsia="Times New Roman"/>
          <w:szCs w:val="28"/>
        </w:rPr>
        <w:t>]</w:t>
      </w:r>
      <w:r w:rsidR="006A0261">
        <w:rPr>
          <w:rFonts w:eastAsia="Times New Roman"/>
          <w:szCs w:val="28"/>
        </w:rPr>
        <w:t>–</w:t>
      </w:r>
      <w:r>
        <w:rPr>
          <w:rFonts w:eastAsia="Times New Roman"/>
          <w:szCs w:val="28"/>
        </w:rPr>
        <w:t>[</w:t>
      </w:r>
      <w:r w:rsidRPr="00176B8D">
        <w:rPr>
          <w:rFonts w:eastAsia="Times New Roman"/>
          <w:szCs w:val="28"/>
        </w:rPr>
        <w:t>100</w:t>
      </w:r>
      <w:r>
        <w:rPr>
          <w:rFonts w:eastAsia="Times New Roman"/>
          <w:szCs w:val="28"/>
        </w:rPr>
        <w:t>]</w:t>
      </w:r>
      <w:r w:rsidRPr="00176B8D">
        <w:rPr>
          <w:rFonts w:eastAsia="Times New Roman"/>
          <w:szCs w:val="28"/>
        </w:rPr>
        <w:t xml:space="preserve"> of ONA):</w:t>
      </w:r>
    </w:p>
    <w:p w:rsidR="00A01DBC" w:rsidRPr="00A01DBC" w:rsidRDefault="00A01DBC" w:rsidP="00A01DBC">
      <w:pPr>
        <w:pStyle w:val="HC-Hanging"/>
        <w:ind w:left="1440"/>
      </w:pPr>
      <w:r w:rsidRPr="00176B8D">
        <w:rPr>
          <w:rFonts w:eastAsia="Times New Roman"/>
          <w:lang w:val="en-GB"/>
        </w:rPr>
        <w:t>In Batch 1, each of the Subject Undertakings participated in the implementation of the arrangemen</w:t>
      </w:r>
      <w:r w:rsidR="006A0261">
        <w:rPr>
          <w:rFonts w:eastAsia="Times New Roman"/>
          <w:lang w:val="en-GB"/>
        </w:rPr>
        <w:t>ts discussed at or around Agnes </w:t>
      </w:r>
      <w:r w:rsidRPr="00176B8D">
        <w:rPr>
          <w:rFonts w:eastAsia="Times New Roman"/>
          <w:lang w:val="en-GB"/>
        </w:rPr>
        <w:t>Au</w:t>
      </w:r>
      <w:r w:rsidR="006A0261">
        <w:rPr>
          <w:rFonts w:eastAsia="Times New Roman"/>
          <w:lang w:val="en-GB"/>
        </w:rPr>
        <w:t> </w:t>
      </w:r>
      <w:r w:rsidRPr="00176B8D">
        <w:rPr>
          <w:rFonts w:eastAsia="Times New Roman"/>
          <w:lang w:val="en-GB"/>
        </w:rPr>
        <w:t>Yeung’s birthday party such that Multisoft or KWEK would provide a cover bid to pair up with a lower quotation from Yat Ying or BP/ Noble in support of applications by prospectiv</w:t>
      </w:r>
      <w:r>
        <w:rPr>
          <w:rFonts w:eastAsia="Times New Roman"/>
          <w:lang w:val="en-GB"/>
        </w:rPr>
        <w:t>e customers identified by Agnes </w:t>
      </w:r>
      <w:r w:rsidRPr="00176B8D">
        <w:rPr>
          <w:rFonts w:eastAsia="Times New Roman"/>
          <w:lang w:val="en-GB"/>
        </w:rPr>
        <w:t>Au</w:t>
      </w:r>
      <w:r>
        <w:rPr>
          <w:rFonts w:eastAsia="Times New Roman"/>
          <w:lang w:val="en-GB"/>
        </w:rPr>
        <w:t> </w:t>
      </w:r>
      <w:r w:rsidRPr="00176B8D">
        <w:rPr>
          <w:rFonts w:eastAsia="Times New Roman"/>
          <w:lang w:val="en-GB"/>
        </w:rPr>
        <w:t>Yeung and the BP/ Nob</w:t>
      </w:r>
      <w:r w:rsidR="006A0261">
        <w:rPr>
          <w:rFonts w:eastAsia="Times New Roman"/>
          <w:lang w:val="en-GB"/>
        </w:rPr>
        <w:t>le Director for D-Biz funding.</w:t>
      </w:r>
    </w:p>
    <w:p w:rsidR="00A01DBC" w:rsidRPr="00A01DBC" w:rsidRDefault="00A01DBC" w:rsidP="00A01DBC">
      <w:pPr>
        <w:pStyle w:val="HC-Hanging"/>
        <w:ind w:left="1440"/>
      </w:pPr>
      <w:r w:rsidRPr="00176B8D">
        <w:rPr>
          <w:rFonts w:eastAsia="Times New Roman"/>
          <w:lang w:val="en-GB"/>
        </w:rPr>
        <w:t>In Batch</w:t>
      </w:r>
      <w:r>
        <w:rPr>
          <w:rFonts w:eastAsia="Times New Roman"/>
          <w:lang w:val="en-GB"/>
        </w:rPr>
        <w:t> </w:t>
      </w:r>
      <w:r w:rsidRPr="00176B8D">
        <w:rPr>
          <w:rFonts w:eastAsia="Times New Roman"/>
          <w:lang w:val="en-GB"/>
        </w:rPr>
        <w:t>2, Yat Ying and BP/ Noble (through Joe</w:t>
      </w:r>
      <w:r>
        <w:rPr>
          <w:rFonts w:eastAsia="Times New Roman"/>
          <w:lang w:val="en-GB"/>
        </w:rPr>
        <w:t> </w:t>
      </w:r>
      <w:r w:rsidRPr="00176B8D">
        <w:rPr>
          <w:rFonts w:eastAsia="Times New Roman"/>
          <w:lang w:val="en-GB"/>
        </w:rPr>
        <w:t xml:space="preserve">Fan and Agnes Au Yeung, sometimes on the BP/ Noble Director’s instruction) </w:t>
      </w:r>
      <w:r w:rsidRPr="00176B8D">
        <w:rPr>
          <w:rFonts w:eastAsia="Times New Roman"/>
          <w:b/>
          <w:bCs/>
          <w:lang w:val="en-GB"/>
        </w:rPr>
        <w:t xml:space="preserve">(i) </w:t>
      </w:r>
      <w:r w:rsidRPr="00176B8D">
        <w:rPr>
          <w:rFonts w:eastAsia="Times New Roman"/>
          <w:lang w:val="en-GB"/>
        </w:rPr>
        <w:t xml:space="preserve">used KWEK’s headed paper to create cover bids without KWEK’s knowledge or consent, </w:t>
      </w:r>
      <w:r w:rsidRPr="00176B8D">
        <w:rPr>
          <w:rFonts w:eastAsia="Times New Roman"/>
          <w:b/>
          <w:bCs/>
          <w:lang w:val="en-GB"/>
        </w:rPr>
        <w:t xml:space="preserve">(ii) </w:t>
      </w:r>
      <w:r w:rsidRPr="00176B8D">
        <w:rPr>
          <w:rFonts w:eastAsia="Times New Roman"/>
          <w:lang w:val="en-GB"/>
        </w:rPr>
        <w:t xml:space="preserve">used each other (i.e. Yat Ying or BP or Noble) </w:t>
      </w:r>
      <w:r>
        <w:rPr>
          <w:rFonts w:eastAsia="Times New Roman"/>
          <w:lang w:val="en-GB"/>
        </w:rPr>
        <w:t>as</w:t>
      </w:r>
      <w:r w:rsidRPr="00176B8D">
        <w:rPr>
          <w:rFonts w:eastAsia="Times New Roman"/>
          <w:lang w:val="en-GB"/>
        </w:rPr>
        <w:t xml:space="preserve"> cover bids, or </w:t>
      </w:r>
      <w:r w:rsidRPr="00176B8D">
        <w:rPr>
          <w:rFonts w:eastAsia="Times New Roman"/>
          <w:b/>
          <w:bCs/>
          <w:lang w:val="en-GB"/>
        </w:rPr>
        <w:t>(iii)</w:t>
      </w:r>
      <w:r w:rsidRPr="00176B8D">
        <w:rPr>
          <w:rFonts w:eastAsia="Times New Roman"/>
          <w:lang w:val="en-GB"/>
        </w:rPr>
        <w:t xml:space="preserve"> reused KWEK</w:t>
      </w:r>
      <w:r>
        <w:rPr>
          <w:rFonts w:eastAsia="Times New Roman"/>
          <w:lang w:val="en-GB"/>
        </w:rPr>
        <w:t>’s</w:t>
      </w:r>
      <w:r w:rsidRPr="00176B8D">
        <w:rPr>
          <w:rFonts w:eastAsia="Times New Roman"/>
          <w:lang w:val="en-GB"/>
        </w:rPr>
        <w:t xml:space="preserve"> and Multis</w:t>
      </w:r>
      <w:r>
        <w:rPr>
          <w:rFonts w:eastAsia="Times New Roman"/>
          <w:lang w:val="en-GB"/>
        </w:rPr>
        <w:t>oft’s cover bids from the Batch </w:t>
      </w:r>
      <w:r w:rsidRPr="00176B8D">
        <w:rPr>
          <w:rFonts w:eastAsia="Times New Roman"/>
          <w:lang w:val="en-GB"/>
        </w:rPr>
        <w:t>1 applications for customers witho</w:t>
      </w:r>
      <w:r w:rsidR="00B241DA">
        <w:rPr>
          <w:rFonts w:eastAsia="Times New Roman"/>
          <w:lang w:val="en-GB"/>
        </w:rPr>
        <w:t>ut their knowledge or consent.</w:t>
      </w:r>
    </w:p>
    <w:p w:rsidR="00A01DBC" w:rsidRDefault="00A01DBC" w:rsidP="00A01DBC">
      <w:pPr>
        <w:pStyle w:val="HC-Hanging"/>
        <w:numPr>
          <w:ilvl w:val="0"/>
          <w:numId w:val="0"/>
        </w:numPr>
        <w:ind w:left="1440"/>
      </w:pPr>
    </w:p>
    <w:p w:rsidR="004465E1" w:rsidRPr="00A01DBC" w:rsidRDefault="00B241DA" w:rsidP="009F0836">
      <w:pPr>
        <w:pStyle w:val="Final"/>
      </w:pPr>
      <w:r>
        <w:rPr>
          <w:rFonts w:eastAsia="Times New Roman"/>
          <w:szCs w:val="28"/>
          <w:lang w:val="en-US"/>
        </w:rPr>
        <w:t>It is not in dispute that i</w:t>
      </w:r>
      <w:r w:rsidR="00A01DBC" w:rsidRPr="00176B8D">
        <w:rPr>
          <w:rFonts w:eastAsia="Times New Roman"/>
          <w:szCs w:val="28"/>
        </w:rPr>
        <w:t>n doing so, each of ML,</w:t>
      </w:r>
      <w:r w:rsidR="00A01DBC">
        <w:rPr>
          <w:rFonts w:eastAsia="Times New Roman"/>
          <w:szCs w:val="28"/>
        </w:rPr>
        <w:t xml:space="preserve"> MTT, BP, Noble, KWEK and Agnes </w:t>
      </w:r>
      <w:r w:rsidR="00A01DBC" w:rsidRPr="00176B8D">
        <w:rPr>
          <w:rFonts w:eastAsia="Times New Roman"/>
          <w:szCs w:val="28"/>
        </w:rPr>
        <w:t>Au</w:t>
      </w:r>
      <w:r w:rsidR="00A01DBC">
        <w:rPr>
          <w:rFonts w:eastAsia="Times New Roman"/>
          <w:szCs w:val="28"/>
        </w:rPr>
        <w:t> </w:t>
      </w:r>
      <w:r w:rsidR="00A01DBC" w:rsidRPr="00176B8D">
        <w:rPr>
          <w:rFonts w:eastAsia="Times New Roman"/>
          <w:szCs w:val="28"/>
        </w:rPr>
        <w:t>Yeung (trading as Yat</w:t>
      </w:r>
      <w:r w:rsidR="00A01DBC">
        <w:rPr>
          <w:rFonts w:eastAsia="Times New Roman"/>
          <w:szCs w:val="28"/>
        </w:rPr>
        <w:t> </w:t>
      </w:r>
      <w:r w:rsidR="00A01DBC" w:rsidRPr="00176B8D">
        <w:rPr>
          <w:rFonts w:eastAsia="Times New Roman"/>
          <w:szCs w:val="28"/>
        </w:rPr>
        <w:t xml:space="preserve">Ying) contravened the First Conduct Rule under </w:t>
      </w:r>
      <w:r w:rsidR="00A01DBC" w:rsidRPr="00A01DBC">
        <w:rPr>
          <w:rFonts w:eastAsia="Times New Roman"/>
          <w:i/>
          <w:szCs w:val="28"/>
        </w:rPr>
        <w:t>section 6</w:t>
      </w:r>
      <w:r w:rsidR="00A01DBC" w:rsidRPr="00176B8D">
        <w:rPr>
          <w:rFonts w:eastAsia="Times New Roman"/>
          <w:szCs w:val="28"/>
        </w:rPr>
        <w:t xml:space="preserve"> of the </w:t>
      </w:r>
      <w:r w:rsidR="00A01DBC" w:rsidRPr="00A01DBC">
        <w:rPr>
          <w:rFonts w:eastAsia="Times New Roman"/>
          <w:i/>
          <w:szCs w:val="28"/>
        </w:rPr>
        <w:t>Competition Ordinance</w:t>
      </w:r>
      <w:r w:rsidR="00A01DBC" w:rsidRPr="00176B8D">
        <w:rPr>
          <w:rFonts w:eastAsia="Times New Roman"/>
          <w:szCs w:val="28"/>
        </w:rPr>
        <w:t xml:space="preserve"> </w:t>
      </w:r>
      <w:r w:rsidR="00A01DBC">
        <w:rPr>
          <w:rFonts w:eastAsia="Times New Roman"/>
          <w:szCs w:val="28"/>
        </w:rPr>
        <w:t>(Cap. 619) (“</w:t>
      </w:r>
      <w:r w:rsidR="00A01DBC" w:rsidRPr="00701B83">
        <w:rPr>
          <w:rFonts w:eastAsia="Times New Roman"/>
          <w:b/>
          <w:szCs w:val="28"/>
        </w:rPr>
        <w:t>Ordinance</w:t>
      </w:r>
      <w:r w:rsidR="00A01DBC">
        <w:rPr>
          <w:rFonts w:eastAsia="Times New Roman"/>
          <w:szCs w:val="28"/>
        </w:rPr>
        <w:t>”)</w:t>
      </w:r>
      <w:r w:rsidR="00A01DBC" w:rsidRPr="0002251A">
        <w:rPr>
          <w:color w:val="000000"/>
        </w:rPr>
        <w:t xml:space="preserve"> </w:t>
      </w:r>
      <w:r w:rsidR="00A01DBC" w:rsidRPr="00176B8D">
        <w:rPr>
          <w:rFonts w:eastAsia="Times New Roman"/>
          <w:szCs w:val="28"/>
        </w:rPr>
        <w:t>by making and/or giving effect to an agreement or engag</w:t>
      </w:r>
      <w:r>
        <w:rPr>
          <w:rFonts w:eastAsia="Times New Roman"/>
          <w:szCs w:val="28"/>
        </w:rPr>
        <w:t>ing</w:t>
      </w:r>
      <w:r w:rsidR="00A01DBC" w:rsidRPr="00176B8D">
        <w:rPr>
          <w:rFonts w:eastAsia="Times New Roman"/>
          <w:szCs w:val="28"/>
        </w:rPr>
        <w:t xml:space="preserve"> in a concerted practice involving price-fixing, customer allocation, bid-rigging and/or information-sharing, with the object of preventing, restricting or distorting competition in Hong Kong</w:t>
      </w:r>
      <w:r w:rsidR="00A01DBC">
        <w:rPr>
          <w:rFonts w:eastAsia="Times New Roman"/>
          <w:szCs w:val="28"/>
        </w:rPr>
        <w:t>.</w:t>
      </w:r>
    </w:p>
    <w:p w:rsidR="00A01DBC" w:rsidRPr="0054489C" w:rsidRDefault="00850468" w:rsidP="00850468">
      <w:pPr>
        <w:pStyle w:val="H1"/>
        <w:rPr>
          <w:b/>
        </w:rPr>
      </w:pPr>
      <w:r w:rsidRPr="0054489C">
        <w:rPr>
          <w:b/>
          <w:bCs/>
        </w:rPr>
        <w:t xml:space="preserve">Kam Kwong </w:t>
      </w:r>
      <w:r w:rsidRPr="0054489C">
        <w:rPr>
          <w:b/>
          <w:bCs/>
          <w:iCs/>
        </w:rPr>
        <w:t>Applications</w:t>
      </w:r>
    </w:p>
    <w:p w:rsidR="004465E1" w:rsidRPr="00850468" w:rsidRDefault="00A01DBC" w:rsidP="009F0836">
      <w:pPr>
        <w:pStyle w:val="Final"/>
      </w:pPr>
      <w:r>
        <w:rPr>
          <w:rFonts w:eastAsia="PMingLiU"/>
          <w:color w:val="000000"/>
          <w:szCs w:val="28"/>
        </w:rPr>
        <w:t xml:space="preserve">The </w:t>
      </w:r>
      <w:r>
        <w:rPr>
          <w:rFonts w:eastAsia="PMingLiU"/>
          <w:i/>
          <w:iCs/>
          <w:color w:val="000000"/>
          <w:szCs w:val="28"/>
        </w:rPr>
        <w:t xml:space="preserve">Kam Kwong </w:t>
      </w:r>
      <w:r>
        <w:rPr>
          <w:rFonts w:eastAsia="PMingLiU"/>
          <w:color w:val="000000"/>
          <w:szCs w:val="28"/>
        </w:rPr>
        <w:t xml:space="preserve">procedure </w:t>
      </w:r>
      <w:r w:rsidR="00300832">
        <w:rPr>
          <w:rFonts w:eastAsia="PMingLiU"/>
          <w:color w:val="000000"/>
          <w:szCs w:val="28"/>
        </w:rPr>
        <w:t>explained and adopted</w:t>
      </w:r>
      <w:r w:rsidR="00BD4AA6">
        <w:rPr>
          <w:rFonts w:eastAsia="PMingLiU"/>
          <w:color w:val="000000"/>
          <w:szCs w:val="28"/>
        </w:rPr>
        <w:t xml:space="preserve"> by the</w:t>
      </w:r>
      <w:r>
        <w:rPr>
          <w:rFonts w:eastAsia="PMingLiU"/>
          <w:color w:val="000000"/>
          <w:szCs w:val="28"/>
        </w:rPr>
        <w:t xml:space="preserve"> Tribunal in </w:t>
      </w:r>
      <w:r w:rsidRPr="00850468">
        <w:rPr>
          <w:rFonts w:eastAsia="PMingLiU"/>
          <w:bCs/>
          <w:i/>
          <w:iCs/>
          <w:color w:val="000000"/>
          <w:szCs w:val="28"/>
        </w:rPr>
        <w:t>Competition Commission v Kam K</w:t>
      </w:r>
      <w:r w:rsidR="00850468" w:rsidRPr="00850468">
        <w:rPr>
          <w:rFonts w:eastAsia="PMingLiU"/>
          <w:bCs/>
          <w:i/>
          <w:iCs/>
          <w:color w:val="000000"/>
          <w:szCs w:val="28"/>
        </w:rPr>
        <w:t>wong Engineering Co Ltd and Ors</w:t>
      </w:r>
      <w:r w:rsidR="00850468" w:rsidRPr="00850468">
        <w:rPr>
          <w:rStyle w:val="FootnoteReference"/>
          <w:rFonts w:eastAsia="PMingLiU"/>
          <w:bCs/>
          <w:iCs/>
          <w:color w:val="000000"/>
          <w:szCs w:val="28"/>
        </w:rPr>
        <w:footnoteReference w:id="1"/>
      </w:r>
      <w:r>
        <w:rPr>
          <w:rFonts w:eastAsia="PMingLiU"/>
          <w:color w:val="000000"/>
          <w:szCs w:val="28"/>
        </w:rPr>
        <w:t xml:space="preserve"> has been applied on </w:t>
      </w:r>
      <w:r w:rsidR="000A6691">
        <w:rPr>
          <w:rFonts w:eastAsia="PMingLiU"/>
          <w:color w:val="000000"/>
          <w:szCs w:val="28"/>
        </w:rPr>
        <w:t>a number of</w:t>
      </w:r>
      <w:r>
        <w:rPr>
          <w:rFonts w:eastAsia="PMingLiU"/>
          <w:color w:val="000000"/>
          <w:szCs w:val="28"/>
        </w:rPr>
        <w:t xml:space="preserve"> occasions in relation to liability, declaration</w:t>
      </w:r>
      <w:r w:rsidR="00300832">
        <w:rPr>
          <w:rFonts w:eastAsia="PMingLiU"/>
          <w:color w:val="000000"/>
          <w:szCs w:val="28"/>
        </w:rPr>
        <w:t>s</w:t>
      </w:r>
      <w:r>
        <w:rPr>
          <w:rFonts w:eastAsia="PMingLiU"/>
          <w:color w:val="000000"/>
          <w:szCs w:val="28"/>
        </w:rPr>
        <w:t xml:space="preserve"> of contravention, pecuniary penalties and disqualification order</w:t>
      </w:r>
      <w:r w:rsidR="00300832">
        <w:rPr>
          <w:rFonts w:eastAsia="PMingLiU"/>
          <w:color w:val="000000"/>
          <w:szCs w:val="28"/>
        </w:rPr>
        <w:t>s</w:t>
      </w:r>
      <w:r>
        <w:rPr>
          <w:rFonts w:eastAsia="PMingLiU"/>
          <w:color w:val="000000"/>
          <w:szCs w:val="28"/>
        </w:rPr>
        <w:t xml:space="preserve"> alike to dispose of proceedings by </w:t>
      </w:r>
      <w:r w:rsidR="00300832">
        <w:rPr>
          <w:rFonts w:eastAsia="PMingLiU"/>
          <w:color w:val="000000"/>
          <w:szCs w:val="28"/>
        </w:rPr>
        <w:t>agreement</w:t>
      </w:r>
      <w:r>
        <w:rPr>
          <w:rFonts w:eastAsia="PMingLiU"/>
          <w:color w:val="000000"/>
          <w:szCs w:val="28"/>
        </w:rPr>
        <w:t xml:space="preserve">: see for example </w:t>
      </w:r>
      <w:r w:rsidRPr="00850468">
        <w:rPr>
          <w:rFonts w:eastAsia="PMingLiU"/>
          <w:bCs/>
          <w:i/>
          <w:iCs/>
          <w:color w:val="000000"/>
          <w:szCs w:val="28"/>
        </w:rPr>
        <w:t>Competition Commission v Quadient Technologies Hong Kong Ltd and Ors</w:t>
      </w:r>
      <w:r w:rsidR="00850468" w:rsidRPr="00850468">
        <w:rPr>
          <w:rStyle w:val="FootnoteReference"/>
          <w:rFonts w:eastAsia="PMingLiU"/>
          <w:bCs/>
          <w:iCs/>
          <w:color w:val="000000"/>
          <w:szCs w:val="28"/>
        </w:rPr>
        <w:footnoteReference w:id="2"/>
      </w:r>
      <w:r>
        <w:rPr>
          <w:rFonts w:eastAsia="PMingLiU"/>
          <w:color w:val="000000"/>
          <w:szCs w:val="28"/>
        </w:rPr>
        <w:t xml:space="preserve">; </w:t>
      </w:r>
      <w:r w:rsidRPr="00850468">
        <w:rPr>
          <w:rFonts w:eastAsia="PMingLiU"/>
          <w:bCs/>
          <w:i/>
          <w:iCs/>
          <w:color w:val="000000"/>
          <w:szCs w:val="28"/>
        </w:rPr>
        <w:t>Competition Commission v Quantr Ltd and Ors</w:t>
      </w:r>
      <w:r w:rsidR="00850468" w:rsidRPr="00850468">
        <w:rPr>
          <w:rStyle w:val="FootnoteReference"/>
          <w:rFonts w:eastAsia="PMingLiU"/>
          <w:bCs/>
          <w:iCs/>
          <w:color w:val="000000"/>
          <w:szCs w:val="28"/>
        </w:rPr>
        <w:footnoteReference w:id="3"/>
      </w:r>
      <w:r>
        <w:rPr>
          <w:rFonts w:eastAsia="PMingLiU"/>
          <w:color w:val="000000"/>
          <w:szCs w:val="28"/>
        </w:rPr>
        <w:t xml:space="preserve">; </w:t>
      </w:r>
      <w:r w:rsidRPr="00850468">
        <w:rPr>
          <w:rFonts w:eastAsia="PMingLiU"/>
          <w:bCs/>
          <w:i/>
          <w:iCs/>
          <w:color w:val="000000"/>
          <w:szCs w:val="28"/>
        </w:rPr>
        <w:t>Competition Commission v Nutanix Hong Kong Ltd</w:t>
      </w:r>
      <w:r w:rsidR="00850468" w:rsidRPr="00850468">
        <w:rPr>
          <w:rStyle w:val="FootnoteReference"/>
          <w:rFonts w:eastAsia="PMingLiU"/>
          <w:bCs/>
          <w:iCs/>
          <w:color w:val="000000"/>
          <w:szCs w:val="28"/>
        </w:rPr>
        <w:footnoteReference w:id="4"/>
      </w:r>
      <w:r>
        <w:rPr>
          <w:rFonts w:eastAsia="PMingLiU"/>
          <w:color w:val="000000"/>
          <w:szCs w:val="28"/>
        </w:rPr>
        <w:t>.</w:t>
      </w:r>
    </w:p>
    <w:p w:rsidR="00850468" w:rsidRPr="0054489C" w:rsidRDefault="0054489C" w:rsidP="009F0836">
      <w:pPr>
        <w:pStyle w:val="Final"/>
      </w:pPr>
      <w:r>
        <w:rPr>
          <w:rFonts w:eastAsia="PMingLiU"/>
          <w:color w:val="000000"/>
          <w:szCs w:val="28"/>
        </w:rPr>
        <w:t xml:space="preserve">The </w:t>
      </w:r>
      <w:r w:rsidRPr="00CB4ECD">
        <w:rPr>
          <w:rFonts w:eastAsia="PMingLiU"/>
          <w:color w:val="000000"/>
          <w:szCs w:val="28"/>
        </w:rPr>
        <w:t>Tribunal must be satisfied that it has the power to make the orders proposed and that the orders are appropriate. Once satisfied, the Tribunal exercise</w:t>
      </w:r>
      <w:r w:rsidR="009C63BA">
        <w:rPr>
          <w:rFonts w:eastAsia="PMingLiU"/>
          <w:color w:val="000000"/>
          <w:szCs w:val="28"/>
        </w:rPr>
        <w:t>s</w:t>
      </w:r>
      <w:r w:rsidRPr="00CB4ECD">
        <w:rPr>
          <w:rFonts w:eastAsia="PMingLiU"/>
          <w:color w:val="000000"/>
          <w:szCs w:val="28"/>
        </w:rPr>
        <w:t xml:space="preserve"> a degree of restraint when scrutini</w:t>
      </w:r>
      <w:r>
        <w:rPr>
          <w:rFonts w:eastAsia="PMingLiU"/>
          <w:color w:val="000000"/>
          <w:szCs w:val="28"/>
        </w:rPr>
        <w:t>s</w:t>
      </w:r>
      <w:r w:rsidRPr="00CB4ECD">
        <w:rPr>
          <w:rFonts w:eastAsia="PMingLiU"/>
          <w:color w:val="000000"/>
          <w:szCs w:val="28"/>
        </w:rPr>
        <w:t>ing the proposed settlement terms, particularly when both parties are legally represented and are able to evaluate the desirability of settlement.</w:t>
      </w:r>
      <w:r>
        <w:rPr>
          <w:rFonts w:eastAsia="PMingLiU"/>
          <w:color w:val="000000"/>
          <w:szCs w:val="28"/>
        </w:rPr>
        <w:t xml:space="preserve">  It will not </w:t>
      </w:r>
      <w:r w:rsidRPr="00CB4ECD">
        <w:rPr>
          <w:rFonts w:eastAsia="PMingLiU"/>
          <w:color w:val="000000"/>
          <w:szCs w:val="28"/>
        </w:rPr>
        <w:t>search out reasons to disagree with an agreement that the Commission, which has expertise in the subject matter of the proceedings, and Respondents consider appropriate</w:t>
      </w:r>
      <w:r>
        <w:rPr>
          <w:rFonts w:eastAsia="PMingLiU"/>
          <w:color w:val="000000"/>
          <w:szCs w:val="28"/>
        </w:rPr>
        <w:t xml:space="preserve">: </w:t>
      </w:r>
      <w:r w:rsidRPr="0054489C">
        <w:rPr>
          <w:rFonts w:eastAsia="PMingLiU"/>
          <w:bCs/>
          <w:i/>
          <w:iCs/>
          <w:color w:val="000000"/>
          <w:szCs w:val="28"/>
        </w:rPr>
        <w:t>Quadient</w:t>
      </w:r>
      <w:r>
        <w:rPr>
          <w:rFonts w:eastAsia="PMingLiU"/>
          <w:bCs/>
          <w:i/>
          <w:iCs/>
          <w:color w:val="000000"/>
          <w:szCs w:val="28"/>
        </w:rPr>
        <w:t xml:space="preserve"> </w:t>
      </w:r>
      <w:r>
        <w:rPr>
          <w:rFonts w:eastAsia="PMingLiU"/>
          <w:color w:val="000000"/>
          <w:szCs w:val="28"/>
        </w:rPr>
        <w:t xml:space="preserve">at [40]; </w:t>
      </w:r>
      <w:r w:rsidRPr="0054489C">
        <w:rPr>
          <w:rFonts w:eastAsia="PMingLiU"/>
          <w:bCs/>
          <w:i/>
          <w:iCs/>
          <w:color w:val="000000"/>
          <w:szCs w:val="28"/>
        </w:rPr>
        <w:t>Quantr</w:t>
      </w:r>
      <w:r>
        <w:rPr>
          <w:rFonts w:eastAsia="PMingLiU"/>
          <w:color w:val="000000"/>
          <w:szCs w:val="28"/>
        </w:rPr>
        <w:t xml:space="preserve"> at [5(2)] and </w:t>
      </w:r>
      <w:r w:rsidRPr="0054489C">
        <w:rPr>
          <w:rFonts w:eastAsia="PMingLiU"/>
          <w:bCs/>
          <w:i/>
          <w:iCs/>
          <w:color w:val="000000"/>
          <w:szCs w:val="28"/>
        </w:rPr>
        <w:t>Nutanix</w:t>
      </w:r>
      <w:r>
        <w:rPr>
          <w:rFonts w:eastAsia="PMingLiU"/>
          <w:color w:val="000000"/>
          <w:szCs w:val="28"/>
        </w:rPr>
        <w:t xml:space="preserve"> at </w:t>
      </w:r>
      <w:r w:rsidR="00EF7320">
        <w:rPr>
          <w:rFonts w:eastAsia="PMingLiU"/>
          <w:color w:val="000000"/>
          <w:szCs w:val="28"/>
        </w:rPr>
        <w:t xml:space="preserve"> </w:t>
      </w:r>
      <w:r>
        <w:rPr>
          <w:rFonts w:eastAsia="PMingLiU"/>
          <w:color w:val="000000"/>
          <w:szCs w:val="28"/>
        </w:rPr>
        <w:t>[5]–[6]</w:t>
      </w:r>
      <w:r w:rsidRPr="00CB4ECD">
        <w:rPr>
          <w:rFonts w:eastAsia="PMingLiU"/>
          <w:color w:val="000000"/>
          <w:szCs w:val="28"/>
        </w:rPr>
        <w:t>.</w:t>
      </w:r>
    </w:p>
    <w:p w:rsidR="0054489C" w:rsidRPr="0054489C" w:rsidRDefault="0054489C" w:rsidP="009F0836">
      <w:pPr>
        <w:pStyle w:val="Final"/>
      </w:pPr>
      <w:r>
        <w:rPr>
          <w:rFonts w:eastAsia="PMingLiU"/>
          <w:color w:val="000000"/>
          <w:szCs w:val="28"/>
        </w:rPr>
        <w:t xml:space="preserve">In </w:t>
      </w:r>
      <w:r w:rsidRPr="00CB4ECD">
        <w:rPr>
          <w:rFonts w:eastAsia="PMingLiU"/>
          <w:color w:val="000000"/>
          <w:szCs w:val="28"/>
        </w:rPr>
        <w:t xml:space="preserve">deciding whether </w:t>
      </w:r>
      <w:r w:rsidR="00F30889">
        <w:rPr>
          <w:rFonts w:eastAsia="PMingLiU"/>
          <w:color w:val="000000"/>
          <w:szCs w:val="28"/>
        </w:rPr>
        <w:t>an</w:t>
      </w:r>
      <w:r w:rsidRPr="00CB4ECD">
        <w:rPr>
          <w:rFonts w:eastAsia="PMingLiU"/>
          <w:color w:val="000000"/>
          <w:szCs w:val="28"/>
        </w:rPr>
        <w:t xml:space="preserve"> agreed order </w:t>
      </w:r>
      <w:r w:rsidR="00F30889">
        <w:rPr>
          <w:rFonts w:eastAsia="PMingLiU"/>
          <w:color w:val="000000"/>
          <w:szCs w:val="28"/>
        </w:rPr>
        <w:t>should be granted</w:t>
      </w:r>
      <w:r w:rsidRPr="00CB4ECD">
        <w:rPr>
          <w:rFonts w:eastAsia="PMingLiU"/>
          <w:color w:val="000000"/>
          <w:szCs w:val="28"/>
        </w:rPr>
        <w:t>, the Tribunal treat</w:t>
      </w:r>
      <w:r w:rsidR="00EA69A0">
        <w:rPr>
          <w:rFonts w:eastAsia="PMingLiU"/>
          <w:color w:val="000000"/>
          <w:szCs w:val="28"/>
        </w:rPr>
        <w:t>s</w:t>
      </w:r>
      <w:r w:rsidRPr="00CB4ECD">
        <w:rPr>
          <w:rFonts w:eastAsia="PMingLiU"/>
          <w:color w:val="000000"/>
          <w:szCs w:val="28"/>
        </w:rPr>
        <w:t xml:space="preserve"> the consent of the respondent as an admission of all facts necessary to the granting of relief sought against it. The same applies to declarations sought by </w:t>
      </w:r>
      <w:r w:rsidR="00F30889">
        <w:rPr>
          <w:rFonts w:eastAsia="PMingLiU"/>
          <w:color w:val="000000"/>
          <w:szCs w:val="28"/>
        </w:rPr>
        <w:t>agreement</w:t>
      </w:r>
      <w:r>
        <w:rPr>
          <w:rFonts w:eastAsia="PMingLiU"/>
          <w:color w:val="000000"/>
          <w:szCs w:val="28"/>
        </w:rPr>
        <w:t xml:space="preserve">: </w:t>
      </w:r>
      <w:r w:rsidRPr="0054489C">
        <w:rPr>
          <w:rFonts w:eastAsia="PMingLiU"/>
          <w:bCs/>
          <w:i/>
          <w:iCs/>
          <w:color w:val="000000"/>
          <w:szCs w:val="28"/>
        </w:rPr>
        <w:t>Quantr</w:t>
      </w:r>
      <w:r>
        <w:rPr>
          <w:rFonts w:eastAsia="PMingLiU"/>
          <w:color w:val="000000"/>
          <w:szCs w:val="28"/>
        </w:rPr>
        <w:t xml:space="preserve"> at [5(3)].</w:t>
      </w:r>
    </w:p>
    <w:p w:rsidR="0054489C" w:rsidRPr="0054489C" w:rsidRDefault="0054489C" w:rsidP="009F0836">
      <w:pPr>
        <w:pStyle w:val="Final"/>
      </w:pPr>
      <w:r>
        <w:rPr>
          <w:rFonts w:eastAsia="PMingLiU"/>
          <w:color w:val="000000"/>
          <w:szCs w:val="28"/>
        </w:rPr>
        <w:t xml:space="preserve">Where a declaration is sought, the court has to be satisfied that: </w:t>
      </w:r>
      <w:r>
        <w:rPr>
          <w:rFonts w:eastAsia="PMingLiU"/>
          <w:b/>
          <w:bCs/>
          <w:color w:val="000000"/>
          <w:szCs w:val="28"/>
        </w:rPr>
        <w:t xml:space="preserve">(i) </w:t>
      </w:r>
      <w:r>
        <w:rPr>
          <w:rFonts w:eastAsia="PMingLiU"/>
          <w:color w:val="000000"/>
          <w:szCs w:val="28"/>
        </w:rPr>
        <w:t xml:space="preserve">the applicant </w:t>
      </w:r>
      <w:r w:rsidRPr="00802664">
        <w:rPr>
          <w:rFonts w:eastAsia="PMingLiU"/>
          <w:color w:val="000000"/>
          <w:szCs w:val="28"/>
        </w:rPr>
        <w:t>has a real (as opposed to an abstract or hypothetical) interest in the sub</w:t>
      </w:r>
      <w:r>
        <w:rPr>
          <w:rFonts w:eastAsia="PMingLiU"/>
          <w:color w:val="000000"/>
          <w:szCs w:val="28"/>
        </w:rPr>
        <w:t xml:space="preserve">ject matter of the declaration; </w:t>
      </w:r>
      <w:r w:rsidRPr="00802664">
        <w:rPr>
          <w:rFonts w:eastAsia="PMingLiU"/>
          <w:b/>
          <w:bCs/>
          <w:color w:val="000000"/>
          <w:szCs w:val="28"/>
        </w:rPr>
        <w:t>(ii)</w:t>
      </w:r>
      <w:r>
        <w:rPr>
          <w:rFonts w:eastAsia="PMingLiU"/>
          <w:b/>
          <w:bCs/>
          <w:color w:val="000000"/>
          <w:szCs w:val="28"/>
        </w:rPr>
        <w:t xml:space="preserve"> </w:t>
      </w:r>
      <w:r w:rsidRPr="00802664">
        <w:rPr>
          <w:rFonts w:eastAsia="PMingLiU"/>
          <w:color w:val="000000"/>
          <w:szCs w:val="28"/>
        </w:rPr>
        <w:t>that he has a real interest in obtaining a declaration</w:t>
      </w:r>
      <w:r>
        <w:rPr>
          <w:rFonts w:eastAsia="PMingLiU"/>
          <w:color w:val="000000"/>
          <w:szCs w:val="28"/>
        </w:rPr>
        <w:t xml:space="preserve"> against the adverse party; and </w:t>
      </w:r>
      <w:r w:rsidRPr="00802664">
        <w:rPr>
          <w:rFonts w:eastAsia="PMingLiU"/>
          <w:b/>
          <w:bCs/>
          <w:color w:val="000000"/>
          <w:szCs w:val="28"/>
        </w:rPr>
        <w:t>(iii)</w:t>
      </w:r>
      <w:r>
        <w:rPr>
          <w:rFonts w:eastAsia="PMingLiU"/>
          <w:b/>
          <w:bCs/>
          <w:color w:val="000000"/>
          <w:szCs w:val="28"/>
        </w:rPr>
        <w:t xml:space="preserve"> </w:t>
      </w:r>
      <w:r w:rsidRPr="00802664">
        <w:rPr>
          <w:rFonts w:eastAsia="PMingLiU"/>
          <w:color w:val="000000"/>
          <w:szCs w:val="28"/>
        </w:rPr>
        <w:t>that the adverse party is a proper contradictor</w:t>
      </w:r>
      <w:r>
        <w:rPr>
          <w:rFonts w:eastAsia="PMingLiU"/>
          <w:color w:val="000000"/>
          <w:szCs w:val="28"/>
        </w:rPr>
        <w:t xml:space="preserve">: </w:t>
      </w:r>
      <w:r w:rsidRPr="0054489C">
        <w:rPr>
          <w:rFonts w:eastAsia="PMingLiU"/>
          <w:bCs/>
          <w:i/>
          <w:iCs/>
          <w:color w:val="000000"/>
          <w:szCs w:val="28"/>
        </w:rPr>
        <w:t>Kam Kwong</w:t>
      </w:r>
      <w:r>
        <w:rPr>
          <w:rFonts w:eastAsia="PMingLiU"/>
          <w:bCs/>
          <w:i/>
          <w:iCs/>
          <w:color w:val="000000"/>
          <w:szCs w:val="28"/>
        </w:rPr>
        <w:t xml:space="preserve"> </w:t>
      </w:r>
      <w:r>
        <w:rPr>
          <w:rFonts w:eastAsia="PMingLiU"/>
          <w:color w:val="000000"/>
          <w:szCs w:val="28"/>
        </w:rPr>
        <w:t>at [38].</w:t>
      </w:r>
    </w:p>
    <w:p w:rsidR="0054489C" w:rsidRPr="0054489C" w:rsidRDefault="0054489C" w:rsidP="0054489C">
      <w:pPr>
        <w:pStyle w:val="Final"/>
        <w:spacing w:after="0"/>
      </w:pPr>
      <w:bookmarkStart w:id="1" w:name="_Ref167373913"/>
      <w:r w:rsidRPr="00441068">
        <w:rPr>
          <w:rFonts w:eastAsia="PMingLiU"/>
          <w:color w:val="000000"/>
          <w:szCs w:val="28"/>
        </w:rPr>
        <w:t>As to the amount of penalty</w:t>
      </w:r>
      <w:r>
        <w:rPr>
          <w:rFonts w:eastAsia="PMingLiU"/>
          <w:color w:val="000000"/>
          <w:szCs w:val="28"/>
        </w:rPr>
        <w:t>:</w:t>
      </w:r>
      <w:bookmarkEnd w:id="1"/>
    </w:p>
    <w:p w:rsidR="0054489C" w:rsidRPr="0054489C" w:rsidRDefault="0054489C" w:rsidP="0054489C">
      <w:pPr>
        <w:pStyle w:val="HC-Hanging"/>
        <w:ind w:left="1440"/>
      </w:pPr>
      <w:r>
        <w:rPr>
          <w:rFonts w:eastAsia="PMingLiU"/>
          <w:color w:val="000000"/>
        </w:rPr>
        <w:t xml:space="preserve">The Tribunal must have regard to the following mandatory considerations set out in </w:t>
      </w:r>
      <w:r w:rsidRPr="0054489C">
        <w:rPr>
          <w:rFonts w:eastAsia="PMingLiU"/>
          <w:i/>
          <w:color w:val="000000"/>
        </w:rPr>
        <w:t>section 93(2)</w:t>
      </w:r>
      <w:r>
        <w:rPr>
          <w:rFonts w:eastAsia="PMingLiU"/>
          <w:color w:val="000000"/>
        </w:rPr>
        <w:t xml:space="preserve"> of the </w:t>
      </w:r>
      <w:r w:rsidRPr="0054489C">
        <w:rPr>
          <w:rFonts w:eastAsia="PMingLiU"/>
          <w:i/>
          <w:color w:val="000000"/>
        </w:rPr>
        <w:t>Ordinance</w:t>
      </w:r>
      <w:r>
        <w:rPr>
          <w:rFonts w:eastAsia="PMingLiU"/>
          <w:color w:val="000000"/>
        </w:rPr>
        <w:t>, which include:</w:t>
      </w:r>
    </w:p>
    <w:p w:rsidR="0054489C" w:rsidRDefault="0054489C" w:rsidP="0054489C">
      <w:pPr>
        <w:pStyle w:val="HC-Hanging"/>
        <w:numPr>
          <w:ilvl w:val="0"/>
          <w:numId w:val="0"/>
        </w:numPr>
        <w:ind w:left="2160" w:hanging="720"/>
        <w:rPr>
          <w:rFonts w:eastAsia="PMingLiU"/>
          <w:color w:val="000000"/>
        </w:rPr>
      </w:pPr>
      <w:r>
        <w:rPr>
          <w:rFonts w:eastAsia="PMingLiU"/>
          <w:color w:val="000000"/>
        </w:rPr>
        <w:t>(a)</w:t>
      </w:r>
      <w:r>
        <w:rPr>
          <w:rFonts w:eastAsia="PMingLiU"/>
          <w:color w:val="000000"/>
        </w:rPr>
        <w:tab/>
        <w:t xml:space="preserve">The </w:t>
      </w:r>
      <w:r w:rsidRPr="00CF41BA">
        <w:rPr>
          <w:rFonts w:eastAsia="PMingLiU"/>
          <w:color w:val="000000"/>
        </w:rPr>
        <w:t>nature and extent of the conduct that constitutes the contravention;</w:t>
      </w:r>
    </w:p>
    <w:p w:rsidR="0054489C" w:rsidRDefault="0054489C" w:rsidP="0054489C">
      <w:pPr>
        <w:pStyle w:val="HC-Hanging"/>
        <w:numPr>
          <w:ilvl w:val="0"/>
          <w:numId w:val="0"/>
        </w:numPr>
        <w:ind w:left="2160" w:hanging="720"/>
        <w:rPr>
          <w:rFonts w:eastAsia="PMingLiU"/>
          <w:color w:val="000000"/>
        </w:rPr>
      </w:pPr>
      <w:r>
        <w:rPr>
          <w:rFonts w:eastAsia="PMingLiU"/>
          <w:color w:val="000000"/>
        </w:rPr>
        <w:t>(b)</w:t>
      </w:r>
      <w:r>
        <w:rPr>
          <w:rFonts w:eastAsia="PMingLiU"/>
          <w:color w:val="000000"/>
        </w:rPr>
        <w:tab/>
        <w:t xml:space="preserve">The </w:t>
      </w:r>
      <w:r w:rsidRPr="00CF41BA">
        <w:rPr>
          <w:rFonts w:eastAsia="PMingLiU"/>
          <w:color w:val="000000"/>
        </w:rPr>
        <w:t>loss or damage, if any, caused by the conduct;</w:t>
      </w:r>
    </w:p>
    <w:p w:rsidR="0054489C" w:rsidRDefault="0054489C" w:rsidP="0054489C">
      <w:pPr>
        <w:pStyle w:val="HC-Hanging"/>
        <w:numPr>
          <w:ilvl w:val="0"/>
          <w:numId w:val="0"/>
        </w:numPr>
        <w:ind w:left="2160" w:hanging="720"/>
        <w:rPr>
          <w:rFonts w:eastAsia="PMingLiU"/>
          <w:color w:val="000000"/>
        </w:rPr>
      </w:pPr>
      <w:r>
        <w:rPr>
          <w:rFonts w:eastAsia="PMingLiU"/>
          <w:color w:val="000000"/>
        </w:rPr>
        <w:t>(c)</w:t>
      </w:r>
      <w:r>
        <w:rPr>
          <w:rFonts w:eastAsia="PMingLiU"/>
          <w:color w:val="000000"/>
        </w:rPr>
        <w:tab/>
        <w:t>T</w:t>
      </w:r>
      <w:r w:rsidRPr="00CF41BA">
        <w:rPr>
          <w:rFonts w:eastAsia="PMingLiU"/>
          <w:color w:val="000000"/>
        </w:rPr>
        <w:t>he circumstance in which the conduct took place; and</w:t>
      </w:r>
    </w:p>
    <w:p w:rsidR="0054489C" w:rsidRDefault="0054489C" w:rsidP="0054489C">
      <w:pPr>
        <w:pStyle w:val="HC-Hanging"/>
        <w:numPr>
          <w:ilvl w:val="0"/>
          <w:numId w:val="0"/>
        </w:numPr>
        <w:ind w:left="2160" w:hanging="720"/>
        <w:rPr>
          <w:rFonts w:eastAsia="PMingLiU"/>
          <w:color w:val="000000"/>
        </w:rPr>
      </w:pPr>
      <w:r>
        <w:rPr>
          <w:rFonts w:eastAsia="PMingLiU"/>
          <w:color w:val="000000"/>
        </w:rPr>
        <w:t>(d)</w:t>
      </w:r>
      <w:r>
        <w:rPr>
          <w:rFonts w:eastAsia="PMingLiU"/>
          <w:color w:val="000000"/>
        </w:rPr>
        <w:tab/>
        <w:t>W</w:t>
      </w:r>
      <w:r w:rsidRPr="00CF41BA">
        <w:rPr>
          <w:rFonts w:eastAsia="PMingLiU"/>
          <w:color w:val="000000"/>
        </w:rPr>
        <w:t xml:space="preserve">hether the person has previously been found by the Tribunal to have contravened </w:t>
      </w:r>
      <w:r>
        <w:rPr>
          <w:rFonts w:eastAsia="PMingLiU"/>
          <w:color w:val="000000"/>
        </w:rPr>
        <w:t>the</w:t>
      </w:r>
      <w:r w:rsidRPr="00CF41BA">
        <w:rPr>
          <w:rFonts w:eastAsia="PMingLiU"/>
          <w:color w:val="000000"/>
        </w:rPr>
        <w:t xml:space="preserve"> </w:t>
      </w:r>
      <w:r w:rsidRPr="0054489C">
        <w:rPr>
          <w:rFonts w:eastAsia="PMingLiU"/>
          <w:i/>
          <w:color w:val="000000"/>
        </w:rPr>
        <w:t>Ordinance</w:t>
      </w:r>
      <w:r w:rsidRPr="00CF41BA">
        <w:rPr>
          <w:rFonts w:eastAsia="PMingLiU"/>
          <w:color w:val="000000"/>
        </w:rPr>
        <w:t>.</w:t>
      </w:r>
    </w:p>
    <w:p w:rsidR="0054489C" w:rsidRDefault="0054489C" w:rsidP="0054489C">
      <w:pPr>
        <w:pStyle w:val="HC-Hanging"/>
        <w:numPr>
          <w:ilvl w:val="0"/>
          <w:numId w:val="0"/>
        </w:numPr>
        <w:ind w:left="1440" w:hanging="720"/>
        <w:rPr>
          <w:rFonts w:eastAsia="PMingLiU"/>
          <w:color w:val="000000"/>
        </w:rPr>
      </w:pPr>
      <w:r>
        <w:rPr>
          <w:rFonts w:eastAsia="PMingLiU"/>
          <w:color w:val="000000"/>
        </w:rPr>
        <w:t>(2)</w:t>
      </w:r>
      <w:r>
        <w:rPr>
          <w:rFonts w:eastAsia="PMingLiU"/>
          <w:color w:val="000000"/>
        </w:rPr>
        <w:tab/>
        <w:t>In relation to undertakings which have contravened a competition rule, t</w:t>
      </w:r>
      <w:r w:rsidRPr="00441068">
        <w:rPr>
          <w:rFonts w:eastAsia="PMingLiU"/>
          <w:color w:val="000000"/>
        </w:rPr>
        <w:t xml:space="preserve">he Tribunal </w:t>
      </w:r>
      <w:r>
        <w:rPr>
          <w:rFonts w:eastAsia="PMingLiU"/>
          <w:color w:val="000000"/>
        </w:rPr>
        <w:t xml:space="preserve">also </w:t>
      </w:r>
      <w:r w:rsidRPr="00441068">
        <w:rPr>
          <w:rFonts w:eastAsia="PMingLiU"/>
          <w:color w:val="000000"/>
        </w:rPr>
        <w:t>adopts a structured methodological approach</w:t>
      </w:r>
      <w:r>
        <w:rPr>
          <w:rFonts w:eastAsia="PMingLiU"/>
          <w:color w:val="000000"/>
        </w:rPr>
        <w:t xml:space="preserve"> explained in </w:t>
      </w:r>
      <w:r w:rsidRPr="0054489C">
        <w:rPr>
          <w:rFonts w:eastAsia="PMingLiU"/>
          <w:bCs/>
          <w:i/>
          <w:iCs/>
          <w:color w:val="000000"/>
        </w:rPr>
        <w:t>Competition Commission v W Hing Construction Company Ltd and Ors</w:t>
      </w:r>
      <w:r w:rsidRPr="00415263">
        <w:rPr>
          <w:rStyle w:val="FootnoteReference"/>
          <w:rFonts w:eastAsia="PMingLiU"/>
          <w:bCs/>
          <w:iCs/>
          <w:color w:val="000000"/>
        </w:rPr>
        <w:footnoteReference w:id="5"/>
      </w:r>
      <w:r w:rsidR="00415263">
        <w:rPr>
          <w:rFonts w:eastAsia="PMingLiU"/>
          <w:b/>
          <w:bCs/>
          <w:i/>
          <w:iCs/>
          <w:color w:val="000000"/>
        </w:rPr>
        <w:t xml:space="preserve"> </w:t>
      </w:r>
      <w:r>
        <w:rPr>
          <w:rFonts w:eastAsia="PMingLiU"/>
          <w:color w:val="000000"/>
        </w:rPr>
        <w:t xml:space="preserve">at </w:t>
      </w:r>
      <w:r w:rsidR="00415263">
        <w:rPr>
          <w:rFonts w:eastAsia="PMingLiU"/>
          <w:color w:val="000000"/>
        </w:rPr>
        <w:t>[</w:t>
      </w:r>
      <w:r>
        <w:rPr>
          <w:rFonts w:eastAsia="PMingLiU"/>
          <w:color w:val="000000"/>
        </w:rPr>
        <w:t>46</w:t>
      </w:r>
      <w:r w:rsidR="00415263">
        <w:rPr>
          <w:rFonts w:eastAsia="PMingLiU"/>
          <w:color w:val="000000"/>
        </w:rPr>
        <w:t>]–[</w:t>
      </w:r>
      <w:r>
        <w:rPr>
          <w:rFonts w:eastAsia="PMingLiU"/>
          <w:color w:val="000000"/>
        </w:rPr>
        <w:t>74</w:t>
      </w:r>
      <w:r w:rsidR="00415263">
        <w:rPr>
          <w:rFonts w:eastAsia="PMingLiU"/>
          <w:color w:val="000000"/>
        </w:rPr>
        <w:t>]</w:t>
      </w:r>
      <w:r>
        <w:rPr>
          <w:rFonts w:eastAsia="PMingLiU"/>
          <w:color w:val="000000"/>
        </w:rPr>
        <w:t>,</w:t>
      </w:r>
      <w:r w:rsidR="00415263">
        <w:rPr>
          <w:rFonts w:eastAsia="PMingLiU"/>
          <w:color w:val="000000"/>
        </w:rPr>
        <w:t xml:space="preserve"> which involves four</w:t>
      </w:r>
      <w:r w:rsidRPr="00441068">
        <w:rPr>
          <w:rFonts w:eastAsia="PMingLiU"/>
          <w:color w:val="000000"/>
        </w:rPr>
        <w:t xml:space="preserve"> main steps:</w:t>
      </w:r>
    </w:p>
    <w:p w:rsidR="00415263" w:rsidRDefault="00415263" w:rsidP="00415263">
      <w:pPr>
        <w:pStyle w:val="HC-Hanging"/>
        <w:numPr>
          <w:ilvl w:val="0"/>
          <w:numId w:val="0"/>
        </w:numPr>
        <w:ind w:left="2160" w:hanging="1440"/>
        <w:rPr>
          <w:rFonts w:eastAsia="PMingLiU"/>
          <w:color w:val="000000"/>
        </w:rPr>
      </w:pPr>
      <w:r>
        <w:rPr>
          <w:rFonts w:eastAsia="PMingLiU"/>
          <w:color w:val="000000"/>
        </w:rPr>
        <w:tab/>
        <w:t>(a)</w:t>
      </w:r>
      <w:r>
        <w:rPr>
          <w:rFonts w:eastAsia="PMingLiU"/>
          <w:color w:val="000000"/>
        </w:rPr>
        <w:tab/>
      </w:r>
      <w:r w:rsidRPr="004543CD">
        <w:rPr>
          <w:rFonts w:eastAsia="PMingLiU"/>
          <w:b/>
          <w:bCs/>
          <w:color w:val="000000"/>
        </w:rPr>
        <w:t>Step 1</w:t>
      </w:r>
      <w:r>
        <w:rPr>
          <w:rFonts w:eastAsia="PMingLiU"/>
          <w:color w:val="000000"/>
        </w:rPr>
        <w:t xml:space="preserve">: </w:t>
      </w:r>
      <w:r w:rsidRPr="00441068">
        <w:rPr>
          <w:rFonts w:eastAsia="PMingLiU"/>
          <w:color w:val="000000"/>
        </w:rPr>
        <w:t>determining the “Base Amount”. This involves identifying the value of the undertaking’s sales directly or indirectly related to the contravention within Hong Kong in the financial year in question (“</w:t>
      </w:r>
      <w:r>
        <w:rPr>
          <w:rFonts w:eastAsia="PMingLiU"/>
          <w:b/>
          <w:bCs/>
          <w:color w:val="000000"/>
        </w:rPr>
        <w:t>VOS</w:t>
      </w:r>
      <w:r w:rsidRPr="00441068">
        <w:rPr>
          <w:rFonts w:eastAsia="PMingLiU"/>
          <w:color w:val="000000"/>
        </w:rPr>
        <w:t xml:space="preserve">”) and applies a “Gravity Percentage” of 15% to 30% </w:t>
      </w:r>
      <w:r>
        <w:rPr>
          <w:rFonts w:eastAsia="PMingLiU"/>
          <w:color w:val="000000"/>
        </w:rPr>
        <w:t xml:space="preserve">(for “serious anti-competitive conduct” as defined in </w:t>
      </w:r>
      <w:r w:rsidR="00D410E7">
        <w:rPr>
          <w:rFonts w:eastAsia="PMingLiU"/>
          <w:i/>
          <w:color w:val="000000"/>
        </w:rPr>
        <w:t>section </w:t>
      </w:r>
      <w:r w:rsidRPr="00415263">
        <w:rPr>
          <w:rFonts w:eastAsia="PMingLiU"/>
          <w:i/>
          <w:color w:val="000000"/>
        </w:rPr>
        <w:t>2(1)</w:t>
      </w:r>
      <w:r>
        <w:rPr>
          <w:rFonts w:eastAsia="PMingLiU"/>
          <w:color w:val="000000"/>
        </w:rPr>
        <w:t xml:space="preserve"> of the </w:t>
      </w:r>
      <w:r w:rsidRPr="00415263">
        <w:rPr>
          <w:rFonts w:eastAsia="PMingLiU"/>
          <w:i/>
          <w:color w:val="000000"/>
        </w:rPr>
        <w:t>Ordinance</w:t>
      </w:r>
      <w:r>
        <w:rPr>
          <w:rFonts w:eastAsia="PMingLiU"/>
          <w:color w:val="000000"/>
        </w:rPr>
        <w:t xml:space="preserve">) </w:t>
      </w:r>
      <w:r w:rsidRPr="00441068">
        <w:rPr>
          <w:rFonts w:eastAsia="PMingLiU"/>
          <w:color w:val="000000"/>
        </w:rPr>
        <w:t>and multiplied by the number of years of the undertaking’s participation in the contravention</w:t>
      </w:r>
      <w:r>
        <w:rPr>
          <w:rFonts w:eastAsia="PMingLiU"/>
          <w:color w:val="000000"/>
        </w:rPr>
        <w:t>;</w:t>
      </w:r>
    </w:p>
    <w:p w:rsidR="00415263" w:rsidRDefault="00415263" w:rsidP="00415263">
      <w:pPr>
        <w:pStyle w:val="HC-Hanging"/>
        <w:numPr>
          <w:ilvl w:val="0"/>
          <w:numId w:val="0"/>
        </w:numPr>
        <w:ind w:left="2160" w:hanging="1440"/>
        <w:rPr>
          <w:rFonts w:eastAsia="PMingLiU"/>
          <w:color w:val="000000"/>
        </w:rPr>
      </w:pPr>
      <w:r>
        <w:rPr>
          <w:rFonts w:eastAsia="PMingLiU"/>
          <w:color w:val="000000"/>
        </w:rPr>
        <w:tab/>
        <w:t>(b)</w:t>
      </w:r>
      <w:r>
        <w:rPr>
          <w:rFonts w:eastAsia="PMingLiU"/>
          <w:color w:val="000000"/>
        </w:rPr>
        <w:tab/>
      </w:r>
      <w:r w:rsidR="00C06B1F" w:rsidRPr="004543CD">
        <w:rPr>
          <w:rFonts w:eastAsia="PMingLiU"/>
          <w:b/>
          <w:bCs/>
          <w:color w:val="000000"/>
        </w:rPr>
        <w:t>Step 2</w:t>
      </w:r>
      <w:r w:rsidR="00C06B1F" w:rsidRPr="00441068">
        <w:rPr>
          <w:rFonts w:eastAsia="PMingLiU"/>
          <w:color w:val="000000"/>
        </w:rPr>
        <w:t>: making adjustments for aggravating, mitigating and other factors</w:t>
      </w:r>
      <w:r w:rsidR="00C06B1F">
        <w:rPr>
          <w:rFonts w:eastAsia="PMingLiU"/>
          <w:color w:val="000000"/>
        </w:rPr>
        <w:t>;</w:t>
      </w:r>
    </w:p>
    <w:p w:rsidR="00435B09" w:rsidRDefault="00435B09" w:rsidP="00415263">
      <w:pPr>
        <w:pStyle w:val="HC-Hanging"/>
        <w:numPr>
          <w:ilvl w:val="0"/>
          <w:numId w:val="0"/>
        </w:numPr>
        <w:ind w:left="2160" w:hanging="1440"/>
        <w:rPr>
          <w:rFonts w:eastAsia="PMingLiU"/>
          <w:color w:val="000000"/>
        </w:rPr>
      </w:pPr>
      <w:r>
        <w:rPr>
          <w:rFonts w:eastAsia="PMingLiU"/>
          <w:color w:val="000000"/>
        </w:rPr>
        <w:tab/>
        <w:t>(c)</w:t>
      </w:r>
      <w:r>
        <w:rPr>
          <w:rFonts w:eastAsia="PMingLiU"/>
          <w:color w:val="000000"/>
        </w:rPr>
        <w:tab/>
      </w:r>
      <w:r w:rsidRPr="004543CD">
        <w:rPr>
          <w:rFonts w:eastAsia="PMingLiU"/>
          <w:b/>
          <w:bCs/>
          <w:color w:val="000000"/>
        </w:rPr>
        <w:t>Step 3</w:t>
      </w:r>
      <w:r w:rsidRPr="00441068">
        <w:rPr>
          <w:rFonts w:eastAsia="PMingLiU"/>
          <w:color w:val="000000"/>
        </w:rPr>
        <w:t>: applying the statutory cap</w:t>
      </w:r>
      <w:r>
        <w:rPr>
          <w:rFonts w:eastAsia="PMingLiU"/>
          <w:color w:val="000000"/>
        </w:rPr>
        <w:t xml:space="preserve">, which is </w:t>
      </w:r>
      <w:r w:rsidRPr="004009CE">
        <w:rPr>
          <w:rFonts w:eastAsia="PMingLiU"/>
          <w:color w:val="000000"/>
        </w:rPr>
        <w:t>10% of the total turnover of the undertaking in Hong Kong for each year in which the Contravention occurred, up to a maximum of three years</w:t>
      </w:r>
      <w:r>
        <w:rPr>
          <w:rFonts w:eastAsia="PMingLiU"/>
          <w:color w:val="000000"/>
        </w:rPr>
        <w:t>;</w:t>
      </w:r>
    </w:p>
    <w:p w:rsidR="00435B09" w:rsidRDefault="00435B09" w:rsidP="00415263">
      <w:pPr>
        <w:pStyle w:val="HC-Hanging"/>
        <w:numPr>
          <w:ilvl w:val="0"/>
          <w:numId w:val="0"/>
        </w:numPr>
        <w:ind w:left="2160" w:hanging="1440"/>
        <w:rPr>
          <w:rFonts w:eastAsia="PMingLiU"/>
          <w:color w:val="000000"/>
        </w:rPr>
      </w:pPr>
      <w:r>
        <w:rPr>
          <w:rFonts w:eastAsia="PMingLiU"/>
          <w:color w:val="000000"/>
        </w:rPr>
        <w:tab/>
        <w:t>(d)</w:t>
      </w:r>
      <w:r>
        <w:rPr>
          <w:rFonts w:eastAsia="PMingLiU"/>
          <w:color w:val="000000"/>
        </w:rPr>
        <w:tab/>
      </w:r>
      <w:r w:rsidRPr="004543CD">
        <w:rPr>
          <w:rFonts w:eastAsia="PMingLiU"/>
          <w:b/>
          <w:bCs/>
          <w:color w:val="000000"/>
        </w:rPr>
        <w:t>Step 4</w:t>
      </w:r>
      <w:r w:rsidRPr="00441068">
        <w:rPr>
          <w:rFonts w:eastAsia="PMingLiU"/>
          <w:color w:val="000000"/>
        </w:rPr>
        <w:t xml:space="preserve">: applying </w:t>
      </w:r>
      <w:r w:rsidR="00AE712B">
        <w:rPr>
          <w:rFonts w:eastAsia="PMingLiU"/>
          <w:color w:val="000000"/>
        </w:rPr>
        <w:t xml:space="preserve">a </w:t>
      </w:r>
      <w:r w:rsidRPr="00441068">
        <w:rPr>
          <w:rFonts w:eastAsia="PMingLiU"/>
          <w:color w:val="000000"/>
        </w:rPr>
        <w:t xml:space="preserve">cooperation reduction and considering </w:t>
      </w:r>
      <w:r w:rsidR="00AE712B">
        <w:rPr>
          <w:rFonts w:eastAsia="PMingLiU"/>
          <w:color w:val="000000"/>
        </w:rPr>
        <w:t xml:space="preserve">any </w:t>
      </w:r>
      <w:r w:rsidRPr="00441068">
        <w:rPr>
          <w:rFonts w:eastAsia="PMingLiU"/>
          <w:color w:val="000000"/>
        </w:rPr>
        <w:t>plea of inability to pay.</w:t>
      </w:r>
    </w:p>
    <w:p w:rsidR="00435B09" w:rsidRDefault="00435B09" w:rsidP="00AE712B">
      <w:pPr>
        <w:pStyle w:val="HC-Hanging"/>
        <w:numPr>
          <w:ilvl w:val="0"/>
          <w:numId w:val="0"/>
        </w:numPr>
        <w:spacing w:before="240"/>
        <w:ind w:left="1440" w:hanging="720"/>
      </w:pPr>
    </w:p>
    <w:p w:rsidR="004465E1" w:rsidRPr="00435B09" w:rsidRDefault="00435B09" w:rsidP="009F0836">
      <w:pPr>
        <w:pStyle w:val="Final"/>
      </w:pPr>
      <w:r>
        <w:rPr>
          <w:rFonts w:eastAsia="PMingLiU"/>
          <w:color w:val="000000"/>
          <w:szCs w:val="28"/>
        </w:rPr>
        <w:t xml:space="preserve">In line with the above approach of restraint in scrutinising proposed settlement terms, while the Tribunal will </w:t>
      </w:r>
      <w:r w:rsidRPr="00441068">
        <w:rPr>
          <w:rFonts w:eastAsia="PMingLiU"/>
          <w:color w:val="000000"/>
          <w:szCs w:val="28"/>
        </w:rPr>
        <w:t>assess if the amount of the agreed penalty is “appropriate” having regard to the circumstances of the case and t</w:t>
      </w:r>
      <w:r>
        <w:rPr>
          <w:rFonts w:eastAsia="PMingLiU"/>
          <w:color w:val="000000"/>
          <w:szCs w:val="28"/>
        </w:rPr>
        <w:t xml:space="preserve">he matters specified in </w:t>
      </w:r>
      <w:r w:rsidRPr="00435B09">
        <w:rPr>
          <w:rFonts w:eastAsia="PMingLiU"/>
          <w:i/>
          <w:color w:val="000000"/>
          <w:szCs w:val="28"/>
        </w:rPr>
        <w:t>section 93(2)(a)</w:t>
      </w:r>
      <w:r>
        <w:rPr>
          <w:rFonts w:eastAsia="PMingLiU"/>
          <w:i/>
          <w:color w:val="000000"/>
          <w:szCs w:val="28"/>
        </w:rPr>
        <w:t>–</w:t>
      </w:r>
      <w:r w:rsidRPr="00435B09">
        <w:rPr>
          <w:rFonts w:eastAsia="PMingLiU"/>
          <w:i/>
          <w:color w:val="000000"/>
          <w:szCs w:val="28"/>
        </w:rPr>
        <w:t>(d)</w:t>
      </w:r>
      <w:r>
        <w:rPr>
          <w:rFonts w:eastAsia="PMingLiU"/>
          <w:color w:val="000000"/>
          <w:szCs w:val="28"/>
        </w:rPr>
        <w:t xml:space="preserve"> of the </w:t>
      </w:r>
      <w:r w:rsidRPr="00435B09">
        <w:rPr>
          <w:rFonts w:eastAsia="PMingLiU"/>
          <w:i/>
          <w:color w:val="000000"/>
          <w:szCs w:val="28"/>
        </w:rPr>
        <w:t>Ordinance</w:t>
      </w:r>
      <w:r>
        <w:rPr>
          <w:rFonts w:eastAsia="PMingLiU"/>
          <w:color w:val="000000"/>
          <w:szCs w:val="28"/>
        </w:rPr>
        <w:t>,</w:t>
      </w:r>
      <w:r w:rsidRPr="00441068">
        <w:rPr>
          <w:rFonts w:eastAsia="PMingLiU"/>
          <w:color w:val="000000"/>
          <w:szCs w:val="28"/>
        </w:rPr>
        <w:t xml:space="preserve"> where </w:t>
      </w:r>
      <w:r>
        <w:rPr>
          <w:rFonts w:eastAsia="PMingLiU"/>
          <w:color w:val="000000"/>
          <w:szCs w:val="28"/>
        </w:rPr>
        <w:t xml:space="preserve">the proposed penalty </w:t>
      </w:r>
      <w:r w:rsidRPr="00441068">
        <w:rPr>
          <w:rFonts w:eastAsia="PMingLiU"/>
          <w:color w:val="000000"/>
          <w:szCs w:val="28"/>
        </w:rPr>
        <w:t xml:space="preserve">is within a proper range and does not appear to the Tribunal to be manifestly excessive or inadequate, or otherwise contrary to public interest, the Tribunal </w:t>
      </w:r>
      <w:r w:rsidR="00736DE2">
        <w:rPr>
          <w:rFonts w:eastAsia="PMingLiU"/>
          <w:color w:val="000000"/>
          <w:szCs w:val="28"/>
        </w:rPr>
        <w:t xml:space="preserve">is </w:t>
      </w:r>
      <w:r w:rsidRPr="00441068">
        <w:rPr>
          <w:rFonts w:eastAsia="PMingLiU"/>
          <w:color w:val="000000"/>
          <w:szCs w:val="28"/>
        </w:rPr>
        <w:t>unlikely to depart from it, and should not do so merely because the Tribunal might itself have been disposed to select some other figure</w:t>
      </w:r>
      <w:r>
        <w:rPr>
          <w:rFonts w:eastAsia="PMingLiU"/>
          <w:color w:val="000000"/>
          <w:szCs w:val="28"/>
        </w:rPr>
        <w:t xml:space="preserve">: </w:t>
      </w:r>
      <w:r w:rsidRPr="00435B09">
        <w:rPr>
          <w:rFonts w:eastAsia="PMingLiU"/>
          <w:bCs/>
          <w:i/>
          <w:iCs/>
          <w:color w:val="000000"/>
          <w:szCs w:val="28"/>
        </w:rPr>
        <w:t>Nutanix</w:t>
      </w:r>
      <w:r>
        <w:rPr>
          <w:rFonts w:eastAsia="PMingLiU"/>
          <w:b/>
          <w:bCs/>
          <w:i/>
          <w:iCs/>
          <w:color w:val="000000"/>
          <w:szCs w:val="28"/>
        </w:rPr>
        <w:t xml:space="preserve"> </w:t>
      </w:r>
      <w:r>
        <w:rPr>
          <w:rFonts w:eastAsia="PMingLiU"/>
          <w:color w:val="000000"/>
          <w:szCs w:val="28"/>
        </w:rPr>
        <w:t>at [6].</w:t>
      </w:r>
    </w:p>
    <w:p w:rsidR="00F34195" w:rsidRPr="00B91147" w:rsidRDefault="00B91147" w:rsidP="00B91147">
      <w:pPr>
        <w:pStyle w:val="Final"/>
        <w:spacing w:after="0"/>
      </w:pPr>
      <w:r>
        <w:rPr>
          <w:rFonts w:eastAsia="PMingLiU"/>
          <w:color w:val="000000"/>
          <w:szCs w:val="28"/>
        </w:rPr>
        <w:t>The agreed draft order</w:t>
      </w:r>
      <w:r w:rsidR="00D410E7">
        <w:rPr>
          <w:rFonts w:eastAsia="PMingLiU"/>
          <w:color w:val="000000"/>
          <w:szCs w:val="28"/>
        </w:rPr>
        <w:t xml:space="preserve"> submitted to the Tribunal</w:t>
      </w:r>
      <w:r>
        <w:rPr>
          <w:rFonts w:eastAsia="PMingLiU"/>
          <w:color w:val="000000"/>
          <w:szCs w:val="28"/>
        </w:rPr>
        <w:t xml:space="preserve"> includes the following relief:</w:t>
      </w:r>
    </w:p>
    <w:p w:rsidR="00B91147" w:rsidRPr="00B91147" w:rsidRDefault="00B91147" w:rsidP="00B91147">
      <w:pPr>
        <w:pStyle w:val="HC-Hanging"/>
        <w:ind w:left="1440"/>
      </w:pPr>
      <w:r>
        <w:rPr>
          <w:rFonts w:eastAsia="PMingLiU"/>
          <w:color w:val="000000"/>
        </w:rPr>
        <w:t xml:space="preserve">A declaration of contravention by </w:t>
      </w:r>
      <w:r w:rsidR="00CB18BE">
        <w:rPr>
          <w:rFonts w:eastAsia="PMingLiU"/>
          <w:color w:val="000000"/>
        </w:rPr>
        <w:t>the 1</w:t>
      </w:r>
      <w:r w:rsidR="00CB18BE" w:rsidRPr="00CB18BE">
        <w:rPr>
          <w:rFonts w:eastAsia="PMingLiU"/>
          <w:color w:val="000000"/>
          <w:vertAlign w:val="superscript"/>
        </w:rPr>
        <w:t>st</w:t>
      </w:r>
      <w:r w:rsidR="00CB18BE">
        <w:rPr>
          <w:rFonts w:eastAsia="PMingLiU"/>
          <w:color w:val="000000"/>
        </w:rPr>
        <w:t> Respondent</w:t>
      </w:r>
      <w:r>
        <w:rPr>
          <w:rFonts w:eastAsia="PMingLiU"/>
          <w:color w:val="000000"/>
        </w:rPr>
        <w:t>;</w:t>
      </w:r>
    </w:p>
    <w:p w:rsidR="00B91147" w:rsidRPr="00B91147" w:rsidRDefault="00B91147" w:rsidP="00B91147">
      <w:pPr>
        <w:pStyle w:val="HC-Hanging"/>
        <w:ind w:left="1440"/>
      </w:pPr>
      <w:r>
        <w:rPr>
          <w:rFonts w:eastAsia="PMingLiU"/>
          <w:color w:val="000000"/>
        </w:rPr>
        <w:t xml:space="preserve">A pecuniary penalty of HK$1,190,000 to be paid by </w:t>
      </w:r>
      <w:r w:rsidR="00CB18BE">
        <w:rPr>
          <w:rFonts w:eastAsia="PMingLiU"/>
          <w:color w:val="000000"/>
        </w:rPr>
        <w:t>the 1</w:t>
      </w:r>
      <w:r w:rsidR="00CB18BE" w:rsidRPr="00CB18BE">
        <w:rPr>
          <w:rFonts w:eastAsia="PMingLiU"/>
          <w:color w:val="000000"/>
          <w:vertAlign w:val="superscript"/>
        </w:rPr>
        <w:t>st</w:t>
      </w:r>
      <w:r w:rsidR="00CB18BE">
        <w:rPr>
          <w:rFonts w:eastAsia="PMingLiU"/>
          <w:color w:val="000000"/>
        </w:rPr>
        <w:t> Respondent</w:t>
      </w:r>
      <w:r>
        <w:rPr>
          <w:rFonts w:eastAsia="PMingLiU"/>
          <w:color w:val="000000"/>
        </w:rPr>
        <w:t>;</w:t>
      </w:r>
    </w:p>
    <w:p w:rsidR="00B91147" w:rsidRPr="00B91147" w:rsidRDefault="00B91147" w:rsidP="00B91147">
      <w:pPr>
        <w:pStyle w:val="HC-Hanging"/>
        <w:ind w:left="1440"/>
      </w:pPr>
      <w:r>
        <w:rPr>
          <w:rFonts w:eastAsia="PMingLiU"/>
          <w:color w:val="000000"/>
        </w:rPr>
        <w:t xml:space="preserve">An order for </w:t>
      </w:r>
      <w:r w:rsidR="00CB18BE">
        <w:rPr>
          <w:rFonts w:eastAsia="PMingLiU"/>
          <w:color w:val="000000"/>
        </w:rPr>
        <w:t>the 1</w:t>
      </w:r>
      <w:r w:rsidR="00CB18BE" w:rsidRPr="00CB18BE">
        <w:rPr>
          <w:rFonts w:eastAsia="PMingLiU"/>
          <w:color w:val="000000"/>
          <w:vertAlign w:val="superscript"/>
        </w:rPr>
        <w:t>st</w:t>
      </w:r>
      <w:r w:rsidR="00CB18BE">
        <w:rPr>
          <w:rFonts w:eastAsia="PMingLiU"/>
          <w:color w:val="000000"/>
        </w:rPr>
        <w:t> Respondent</w:t>
      </w:r>
      <w:r>
        <w:rPr>
          <w:rFonts w:eastAsia="PMingLiU"/>
          <w:color w:val="000000"/>
        </w:rPr>
        <w:t xml:space="preserve"> to adopt and to implement, to the reasonable satisfaction of the Commission, an effective competition compliance scheme;</w:t>
      </w:r>
    </w:p>
    <w:p w:rsidR="00B91147" w:rsidRPr="00B91147" w:rsidRDefault="00B91147" w:rsidP="00B91147">
      <w:pPr>
        <w:pStyle w:val="HC-Hanging"/>
        <w:ind w:left="1440"/>
      </w:pPr>
      <w:r>
        <w:rPr>
          <w:rFonts w:eastAsia="PMingLiU"/>
          <w:color w:val="000000"/>
        </w:rPr>
        <w:t xml:space="preserve">An order for </w:t>
      </w:r>
      <w:r w:rsidR="00CB18BE">
        <w:rPr>
          <w:rFonts w:eastAsia="PMingLiU"/>
          <w:color w:val="000000"/>
        </w:rPr>
        <w:t>the 1</w:t>
      </w:r>
      <w:r w:rsidR="00CB18BE" w:rsidRPr="00CB18BE">
        <w:rPr>
          <w:rFonts w:eastAsia="PMingLiU"/>
          <w:color w:val="000000"/>
          <w:vertAlign w:val="superscript"/>
        </w:rPr>
        <w:t>st</w:t>
      </w:r>
      <w:r w:rsidR="00CB18BE">
        <w:rPr>
          <w:rFonts w:eastAsia="PMingLiU"/>
          <w:color w:val="000000"/>
        </w:rPr>
        <w:t> Respondent</w:t>
      </w:r>
      <w:r>
        <w:rPr>
          <w:rFonts w:eastAsia="PMingLiU"/>
          <w:color w:val="000000"/>
        </w:rPr>
        <w:t xml:space="preserve"> to pay its share of the Commission’s investigation costs of HK$155,000;</w:t>
      </w:r>
    </w:p>
    <w:p w:rsidR="00B91147" w:rsidRPr="00B91147" w:rsidRDefault="00B91147" w:rsidP="00B91147">
      <w:pPr>
        <w:pStyle w:val="HC-Hanging"/>
        <w:ind w:left="1440"/>
      </w:pPr>
      <w:r>
        <w:rPr>
          <w:rFonts w:eastAsia="PMingLiU"/>
          <w:color w:val="000000"/>
        </w:rPr>
        <w:t xml:space="preserve">Payment of the Commission’s costs of and incidental to the application in these proceedings </w:t>
      </w:r>
      <w:r w:rsidRPr="00B91147">
        <w:rPr>
          <w:rFonts w:eastAsia="PMingLiU"/>
          <w:color w:val="000000"/>
        </w:rPr>
        <w:t>vis-à-vis</w:t>
      </w:r>
      <w:r>
        <w:rPr>
          <w:rFonts w:eastAsia="PMingLiU"/>
          <w:color w:val="000000"/>
        </w:rPr>
        <w:t xml:space="preserve"> </w:t>
      </w:r>
      <w:r w:rsidR="00CB18BE">
        <w:rPr>
          <w:rFonts w:eastAsia="PMingLiU"/>
          <w:color w:val="000000"/>
        </w:rPr>
        <w:t>the 1</w:t>
      </w:r>
      <w:r w:rsidR="00CB18BE" w:rsidRPr="00CB18BE">
        <w:rPr>
          <w:rFonts w:eastAsia="PMingLiU"/>
          <w:color w:val="000000"/>
          <w:vertAlign w:val="superscript"/>
        </w:rPr>
        <w:t>st</w:t>
      </w:r>
      <w:r w:rsidR="00CB18BE">
        <w:rPr>
          <w:rFonts w:eastAsia="PMingLiU"/>
          <w:color w:val="000000"/>
        </w:rPr>
        <w:t xml:space="preserve"> Respondent </w:t>
      </w:r>
      <w:r>
        <w:rPr>
          <w:rFonts w:eastAsia="PMingLiU"/>
          <w:color w:val="000000"/>
        </w:rPr>
        <w:t xml:space="preserve">and </w:t>
      </w:r>
      <w:r w:rsidR="00CB18BE">
        <w:rPr>
          <w:rFonts w:eastAsia="PMingLiU"/>
          <w:color w:val="000000"/>
        </w:rPr>
        <w:t>the 2</w:t>
      </w:r>
      <w:r w:rsidR="00CB18BE" w:rsidRPr="00CB18BE">
        <w:rPr>
          <w:rFonts w:eastAsia="PMingLiU"/>
          <w:color w:val="000000"/>
          <w:vertAlign w:val="superscript"/>
        </w:rPr>
        <w:t>nd</w:t>
      </w:r>
      <w:r w:rsidR="00CB18BE">
        <w:rPr>
          <w:rFonts w:eastAsia="PMingLiU"/>
          <w:color w:val="000000"/>
        </w:rPr>
        <w:t> Respondent</w:t>
      </w:r>
      <w:r>
        <w:rPr>
          <w:rFonts w:eastAsia="PMingLiU"/>
          <w:color w:val="000000"/>
        </w:rPr>
        <w:t>; and</w:t>
      </w:r>
    </w:p>
    <w:p w:rsidR="00B91147" w:rsidRPr="00B91147" w:rsidRDefault="00B91147" w:rsidP="00B91147">
      <w:pPr>
        <w:pStyle w:val="HC-Hanging"/>
        <w:ind w:left="1440"/>
      </w:pPr>
      <w:r>
        <w:rPr>
          <w:rFonts w:eastAsia="PMingLiU"/>
          <w:color w:val="000000"/>
        </w:rPr>
        <w:t xml:space="preserve">Stay of these proceedings against </w:t>
      </w:r>
      <w:r w:rsidR="00CB18BE">
        <w:rPr>
          <w:rFonts w:eastAsia="PMingLiU"/>
          <w:color w:val="000000"/>
        </w:rPr>
        <w:t>the 2</w:t>
      </w:r>
      <w:r w:rsidR="00CB18BE" w:rsidRPr="00CB18BE">
        <w:rPr>
          <w:rFonts w:eastAsia="PMingLiU"/>
          <w:color w:val="000000"/>
          <w:vertAlign w:val="superscript"/>
        </w:rPr>
        <w:t>nd</w:t>
      </w:r>
      <w:r w:rsidR="00CB18BE">
        <w:rPr>
          <w:rFonts w:eastAsia="PMingLiU"/>
          <w:color w:val="000000"/>
        </w:rPr>
        <w:t> Respondent</w:t>
      </w:r>
      <w:r>
        <w:rPr>
          <w:rFonts w:eastAsia="PMingLiU"/>
          <w:color w:val="000000"/>
        </w:rPr>
        <w:t xml:space="preserve">, with liberty to restore in the event of any non-compliance </w:t>
      </w:r>
      <w:r w:rsidR="00CB18BE">
        <w:rPr>
          <w:rFonts w:eastAsia="PMingLiU"/>
          <w:color w:val="000000"/>
        </w:rPr>
        <w:t xml:space="preserve">with </w:t>
      </w:r>
      <w:r>
        <w:rPr>
          <w:rFonts w:eastAsia="PMingLiU"/>
          <w:color w:val="000000"/>
        </w:rPr>
        <w:t xml:space="preserve">the terms set out in the schedule to the order, i.e. </w:t>
      </w:r>
      <w:r w:rsidR="00CB18BE">
        <w:rPr>
          <w:rFonts w:eastAsia="PMingLiU"/>
          <w:color w:val="000000"/>
        </w:rPr>
        <w:t>the 2</w:t>
      </w:r>
      <w:r w:rsidR="00CB18BE" w:rsidRPr="00CB18BE">
        <w:rPr>
          <w:rFonts w:eastAsia="PMingLiU"/>
          <w:color w:val="000000"/>
          <w:vertAlign w:val="superscript"/>
        </w:rPr>
        <w:t>nd</w:t>
      </w:r>
      <w:r w:rsidR="00CB18BE">
        <w:rPr>
          <w:rFonts w:eastAsia="PMingLiU"/>
          <w:color w:val="000000"/>
        </w:rPr>
        <w:t> Respondent</w:t>
      </w:r>
      <w:r>
        <w:rPr>
          <w:rFonts w:eastAsia="PMingLiU"/>
          <w:color w:val="000000"/>
        </w:rPr>
        <w:t xml:space="preserve">’s guarantee of </w:t>
      </w:r>
      <w:r w:rsidR="00CB18BE">
        <w:rPr>
          <w:rFonts w:eastAsia="PMingLiU"/>
          <w:color w:val="000000"/>
        </w:rPr>
        <w:t>the 1</w:t>
      </w:r>
      <w:r w:rsidR="00CB18BE" w:rsidRPr="00CB18BE">
        <w:rPr>
          <w:rFonts w:eastAsia="PMingLiU"/>
          <w:color w:val="000000"/>
          <w:vertAlign w:val="superscript"/>
        </w:rPr>
        <w:t>st</w:t>
      </w:r>
      <w:r w:rsidR="00CB18BE">
        <w:rPr>
          <w:rFonts w:eastAsia="PMingLiU"/>
          <w:color w:val="000000"/>
        </w:rPr>
        <w:t> Respondent</w:t>
      </w:r>
      <w:r>
        <w:rPr>
          <w:rFonts w:eastAsia="PMingLiU"/>
          <w:color w:val="000000"/>
        </w:rPr>
        <w:t>’s monetary liabilities above.</w:t>
      </w:r>
    </w:p>
    <w:p w:rsidR="00B91147" w:rsidRDefault="00B91147" w:rsidP="00B91147">
      <w:pPr>
        <w:pStyle w:val="HC-Hanging"/>
        <w:numPr>
          <w:ilvl w:val="0"/>
          <w:numId w:val="0"/>
        </w:numPr>
        <w:ind w:left="1440"/>
      </w:pPr>
    </w:p>
    <w:p w:rsidR="004465E1" w:rsidRPr="00C2764F" w:rsidRDefault="00B91147" w:rsidP="009F0836">
      <w:pPr>
        <w:pStyle w:val="Final"/>
      </w:pPr>
      <w:r>
        <w:rPr>
          <w:rFonts w:eastAsia="PMingLiU"/>
          <w:color w:val="000000"/>
          <w:szCs w:val="28"/>
        </w:rPr>
        <w:t>In the following</w:t>
      </w:r>
      <w:r w:rsidR="00CB18BE">
        <w:rPr>
          <w:rFonts w:eastAsia="PMingLiU"/>
          <w:color w:val="000000"/>
          <w:szCs w:val="28"/>
        </w:rPr>
        <w:t xml:space="preserve"> paragraphs</w:t>
      </w:r>
      <w:r>
        <w:rPr>
          <w:rFonts w:eastAsia="PMingLiU"/>
          <w:color w:val="000000"/>
          <w:szCs w:val="28"/>
        </w:rPr>
        <w:t xml:space="preserve">, </w:t>
      </w:r>
      <w:r w:rsidR="00CB18BE">
        <w:rPr>
          <w:rFonts w:eastAsia="PMingLiU"/>
          <w:color w:val="000000"/>
          <w:szCs w:val="28"/>
        </w:rPr>
        <w:t xml:space="preserve">I </w:t>
      </w:r>
      <w:r>
        <w:rPr>
          <w:rFonts w:eastAsia="PMingLiU"/>
          <w:color w:val="000000"/>
          <w:szCs w:val="28"/>
        </w:rPr>
        <w:t>will briefly address the legal basis for the Tribunal to make the orders proposed in (1), (2), (3) and (4) above.</w:t>
      </w:r>
    </w:p>
    <w:p w:rsidR="00C2764F" w:rsidRPr="00C2764F" w:rsidRDefault="00C2764F" w:rsidP="00C2764F">
      <w:pPr>
        <w:pStyle w:val="H1"/>
        <w:rPr>
          <w:b/>
        </w:rPr>
      </w:pPr>
      <w:r w:rsidRPr="00C2764F">
        <w:rPr>
          <w:rFonts w:eastAsia="PMingLiU"/>
          <w:b/>
          <w:iCs/>
          <w:color w:val="000000"/>
        </w:rPr>
        <w:t>Declaration of contravention</w:t>
      </w:r>
    </w:p>
    <w:p w:rsidR="00B91147" w:rsidRPr="00C2764F" w:rsidRDefault="00766BCB" w:rsidP="00C2764F">
      <w:pPr>
        <w:pStyle w:val="Final"/>
        <w:spacing w:after="0"/>
      </w:pPr>
      <w:bookmarkStart w:id="2" w:name="_Ref167078781"/>
      <w:r>
        <w:rPr>
          <w:rFonts w:eastAsia="PMingLiU"/>
          <w:color w:val="000000"/>
          <w:szCs w:val="28"/>
        </w:rPr>
        <w:t>I accept that i</w:t>
      </w:r>
      <w:r w:rsidR="00C2764F">
        <w:rPr>
          <w:rFonts w:eastAsia="PMingLiU"/>
          <w:color w:val="000000"/>
          <w:szCs w:val="28"/>
        </w:rPr>
        <w:t>t is appropriate for th</w:t>
      </w:r>
      <w:r>
        <w:rPr>
          <w:rFonts w:eastAsia="PMingLiU"/>
          <w:color w:val="000000"/>
          <w:szCs w:val="28"/>
        </w:rPr>
        <w:t>e</w:t>
      </w:r>
      <w:r w:rsidR="00C2764F">
        <w:rPr>
          <w:rFonts w:eastAsia="PMingLiU"/>
          <w:color w:val="000000"/>
          <w:szCs w:val="28"/>
        </w:rPr>
        <w:t xml:space="preserve"> Tribunal to grant the proposed declaration, because:</w:t>
      </w:r>
      <w:bookmarkEnd w:id="2"/>
    </w:p>
    <w:p w:rsidR="00C2764F" w:rsidRPr="00C2764F" w:rsidRDefault="00C2764F" w:rsidP="00C2764F">
      <w:pPr>
        <w:pStyle w:val="HC-Hanging"/>
        <w:ind w:left="1440"/>
      </w:pPr>
      <w:r>
        <w:rPr>
          <w:rFonts w:eastAsia="PMingLiU"/>
          <w:color w:val="000000"/>
        </w:rPr>
        <w:t xml:space="preserve">There is a </w:t>
      </w:r>
      <w:r w:rsidRPr="00CF007A">
        <w:rPr>
          <w:rFonts w:eastAsia="PMingLiU"/>
          <w:color w:val="000000"/>
        </w:rPr>
        <w:t>significant legal controversy which is being resolved</w:t>
      </w:r>
      <w:r>
        <w:rPr>
          <w:rFonts w:eastAsia="PMingLiU"/>
          <w:color w:val="000000"/>
        </w:rPr>
        <w:t xml:space="preserve">, namely whether </w:t>
      </w:r>
      <w:r w:rsidR="00766BCB">
        <w:rPr>
          <w:rFonts w:eastAsia="PMingLiU"/>
          <w:color w:val="000000"/>
        </w:rPr>
        <w:t>the 1</w:t>
      </w:r>
      <w:r w:rsidR="00766BCB" w:rsidRPr="00766BCB">
        <w:rPr>
          <w:rFonts w:eastAsia="PMingLiU"/>
          <w:color w:val="000000"/>
          <w:vertAlign w:val="superscript"/>
        </w:rPr>
        <w:t>st</w:t>
      </w:r>
      <w:r w:rsidR="00766BCB">
        <w:rPr>
          <w:rFonts w:eastAsia="PMingLiU"/>
          <w:color w:val="000000"/>
        </w:rPr>
        <w:t> Respondent</w:t>
      </w:r>
      <w:r>
        <w:rPr>
          <w:rFonts w:eastAsia="PMingLiU"/>
          <w:color w:val="000000"/>
        </w:rPr>
        <w:t xml:space="preserve"> has contravened the First Conduct Rule;</w:t>
      </w:r>
    </w:p>
    <w:p w:rsidR="00C2764F" w:rsidRPr="00F947FA" w:rsidRDefault="00C2764F" w:rsidP="00C2764F">
      <w:pPr>
        <w:pStyle w:val="HC-Hanging"/>
        <w:ind w:left="1440"/>
      </w:pPr>
      <w:r>
        <w:rPr>
          <w:rFonts w:eastAsia="PMingLiU"/>
          <w:color w:val="000000"/>
        </w:rPr>
        <w:t xml:space="preserve">The Commission, </w:t>
      </w:r>
      <w:r w:rsidRPr="00CF007A">
        <w:rPr>
          <w:rFonts w:eastAsia="PMingLiU"/>
          <w:color w:val="000000"/>
        </w:rPr>
        <w:t>as a regulator tasked with investigating conduct that may contravene the competition rules and enforc</w:t>
      </w:r>
      <w:r w:rsidR="00766BCB">
        <w:rPr>
          <w:rFonts w:eastAsia="PMingLiU"/>
          <w:color w:val="000000"/>
        </w:rPr>
        <w:t>ing</w:t>
      </w:r>
      <w:r w:rsidRPr="00CF007A">
        <w:rPr>
          <w:rFonts w:eastAsia="PMingLiU"/>
          <w:color w:val="000000"/>
        </w:rPr>
        <w:t xml:space="preserve"> provisions designed to regulate economic activity for the public welfare, has a legitimate interest in the </w:t>
      </w:r>
      <w:r w:rsidR="00766BCB">
        <w:rPr>
          <w:rFonts w:eastAsia="PMingLiU"/>
          <w:color w:val="000000"/>
        </w:rPr>
        <w:t>declaration being granted</w:t>
      </w:r>
      <w:r>
        <w:rPr>
          <w:rFonts w:eastAsia="PMingLiU"/>
          <w:color w:val="000000"/>
        </w:rPr>
        <w:t xml:space="preserve">.  A declaration will establish the Commission’s claim that </w:t>
      </w:r>
      <w:r w:rsidR="00766BCB">
        <w:rPr>
          <w:rFonts w:eastAsia="PMingLiU"/>
          <w:color w:val="000000"/>
        </w:rPr>
        <w:t>the 1</w:t>
      </w:r>
      <w:r w:rsidR="00766BCB" w:rsidRPr="00766BCB">
        <w:rPr>
          <w:rFonts w:eastAsia="PMingLiU"/>
          <w:color w:val="000000"/>
          <w:vertAlign w:val="superscript"/>
        </w:rPr>
        <w:t>st</w:t>
      </w:r>
      <w:r w:rsidR="00766BCB">
        <w:rPr>
          <w:rFonts w:eastAsia="PMingLiU"/>
          <w:color w:val="000000"/>
        </w:rPr>
        <w:t> Respondent</w:t>
      </w:r>
      <w:r>
        <w:rPr>
          <w:rFonts w:eastAsia="PMingLiU"/>
          <w:color w:val="000000"/>
        </w:rPr>
        <w:t xml:space="preserve"> has contravened the FCR and serves to record the Tribunal’s disapproval of the contravention, which in turn is likely to deter other persons from contravening the </w:t>
      </w:r>
      <w:r w:rsidRPr="00C2764F">
        <w:rPr>
          <w:rFonts w:eastAsia="PMingLiU"/>
          <w:i/>
          <w:color w:val="000000"/>
        </w:rPr>
        <w:t>Ordinance</w:t>
      </w:r>
      <w:r>
        <w:rPr>
          <w:rFonts w:eastAsia="PMingLiU"/>
          <w:color w:val="000000"/>
        </w:rPr>
        <w:t>;</w:t>
      </w:r>
    </w:p>
    <w:p w:rsidR="00F947FA" w:rsidRPr="00F947FA" w:rsidRDefault="00766BCB" w:rsidP="00C2764F">
      <w:pPr>
        <w:pStyle w:val="HC-Hanging"/>
        <w:ind w:left="1440"/>
      </w:pPr>
      <w:r>
        <w:rPr>
          <w:rFonts w:eastAsia="PMingLiU"/>
          <w:color w:val="000000"/>
        </w:rPr>
        <w:t>The 1</w:t>
      </w:r>
      <w:r w:rsidRPr="00766BCB">
        <w:rPr>
          <w:rFonts w:eastAsia="PMingLiU"/>
          <w:color w:val="000000"/>
          <w:vertAlign w:val="superscript"/>
        </w:rPr>
        <w:t>st</w:t>
      </w:r>
      <w:r>
        <w:rPr>
          <w:rFonts w:eastAsia="PMingLiU"/>
          <w:color w:val="000000"/>
        </w:rPr>
        <w:t> Respondent</w:t>
      </w:r>
      <w:r w:rsidR="00F947FA">
        <w:rPr>
          <w:rFonts w:eastAsia="PMingLiU"/>
          <w:color w:val="000000"/>
        </w:rPr>
        <w:t xml:space="preserve"> is a proper contradictor, albeit the declaration is made by consent.</w:t>
      </w:r>
    </w:p>
    <w:p w:rsidR="00F947FA" w:rsidRDefault="00F947FA" w:rsidP="00B6784B">
      <w:pPr>
        <w:pStyle w:val="HC-Hanging"/>
        <w:numPr>
          <w:ilvl w:val="0"/>
          <w:numId w:val="0"/>
        </w:numPr>
        <w:spacing w:before="240" w:after="480"/>
        <w:ind w:left="720"/>
        <w:rPr>
          <w:rFonts w:eastAsia="PMingLiU"/>
          <w:color w:val="000000"/>
        </w:rPr>
      </w:pPr>
      <w:r>
        <w:rPr>
          <w:rFonts w:eastAsia="PMingLiU"/>
          <w:color w:val="000000"/>
        </w:rPr>
        <w:t xml:space="preserve">See: </w:t>
      </w:r>
      <w:r w:rsidRPr="00F947FA">
        <w:rPr>
          <w:rFonts w:eastAsia="PMingLiU"/>
          <w:bCs/>
          <w:i/>
          <w:iCs/>
          <w:color w:val="000000"/>
        </w:rPr>
        <w:t>Kam Kwong</w:t>
      </w:r>
      <w:r>
        <w:rPr>
          <w:rFonts w:eastAsia="PMingLiU"/>
          <w:b/>
          <w:bCs/>
          <w:color w:val="000000"/>
        </w:rPr>
        <w:t xml:space="preserve"> </w:t>
      </w:r>
      <w:r>
        <w:rPr>
          <w:rFonts w:eastAsia="PMingLiU"/>
          <w:color w:val="000000"/>
        </w:rPr>
        <w:t>at [38]–[39].</w:t>
      </w:r>
    </w:p>
    <w:p w:rsidR="00904394" w:rsidRPr="00904394" w:rsidRDefault="00904394" w:rsidP="00904394">
      <w:pPr>
        <w:pStyle w:val="H1"/>
        <w:rPr>
          <w:b/>
        </w:rPr>
      </w:pPr>
      <w:r w:rsidRPr="00904394">
        <w:rPr>
          <w:b/>
        </w:rPr>
        <w:t>Penalties for the 1</w:t>
      </w:r>
      <w:r w:rsidRPr="00904394">
        <w:rPr>
          <w:b/>
          <w:vertAlign w:val="superscript"/>
        </w:rPr>
        <w:t>st</w:t>
      </w:r>
      <w:r w:rsidRPr="00904394">
        <w:rPr>
          <w:b/>
        </w:rPr>
        <w:t xml:space="preserve"> and 2</w:t>
      </w:r>
      <w:r w:rsidRPr="00904394">
        <w:rPr>
          <w:b/>
          <w:vertAlign w:val="superscript"/>
        </w:rPr>
        <w:t>nd</w:t>
      </w:r>
      <w:r w:rsidRPr="00904394">
        <w:rPr>
          <w:b/>
        </w:rPr>
        <w:t xml:space="preserve"> Respondents</w:t>
      </w:r>
    </w:p>
    <w:p w:rsidR="004465E1" w:rsidRPr="00F947FA" w:rsidRDefault="00F947FA" w:rsidP="00C31AF9">
      <w:pPr>
        <w:pStyle w:val="Final"/>
        <w:spacing w:after="0"/>
      </w:pPr>
      <w:r>
        <w:rPr>
          <w:rFonts w:eastAsia="PMingLiU"/>
          <w:color w:val="000000"/>
          <w:szCs w:val="28"/>
        </w:rPr>
        <w:t xml:space="preserve">As to the agreed pecuniary penalty of HK$1,190,000 for </w:t>
      </w:r>
      <w:r w:rsidR="00EC6108">
        <w:rPr>
          <w:rFonts w:eastAsia="PMingLiU"/>
          <w:color w:val="000000"/>
          <w:szCs w:val="28"/>
        </w:rPr>
        <w:t>the 1</w:t>
      </w:r>
      <w:r w:rsidR="00EC6108" w:rsidRPr="00EC6108">
        <w:rPr>
          <w:rFonts w:eastAsia="PMingLiU"/>
          <w:color w:val="000000"/>
          <w:szCs w:val="28"/>
          <w:vertAlign w:val="superscript"/>
        </w:rPr>
        <w:t>st</w:t>
      </w:r>
      <w:r w:rsidR="00EC6108">
        <w:rPr>
          <w:rFonts w:eastAsia="PMingLiU"/>
          <w:color w:val="000000"/>
          <w:szCs w:val="28"/>
        </w:rPr>
        <w:t> Respondent</w:t>
      </w:r>
      <w:r>
        <w:rPr>
          <w:rFonts w:eastAsia="PMingLiU"/>
          <w:color w:val="000000"/>
          <w:szCs w:val="28"/>
        </w:rPr>
        <w:t xml:space="preserve">, which is guaranteed by </w:t>
      </w:r>
      <w:r w:rsidR="00EC6108">
        <w:rPr>
          <w:rFonts w:eastAsia="PMingLiU"/>
          <w:color w:val="000000"/>
          <w:szCs w:val="28"/>
        </w:rPr>
        <w:t>the 2</w:t>
      </w:r>
      <w:r w:rsidR="00EC6108" w:rsidRPr="00EC6108">
        <w:rPr>
          <w:rFonts w:eastAsia="PMingLiU"/>
          <w:color w:val="000000"/>
          <w:szCs w:val="28"/>
          <w:vertAlign w:val="superscript"/>
        </w:rPr>
        <w:t>nd</w:t>
      </w:r>
      <w:r w:rsidR="00EC6108">
        <w:rPr>
          <w:rFonts w:eastAsia="PMingLiU"/>
          <w:color w:val="000000"/>
          <w:szCs w:val="28"/>
        </w:rPr>
        <w:t> Respondent</w:t>
      </w:r>
      <w:r>
        <w:rPr>
          <w:rFonts w:eastAsia="PMingLiU"/>
          <w:color w:val="000000"/>
          <w:szCs w:val="28"/>
        </w:rPr>
        <w:t>, this was arrived at as follows:</w:t>
      </w:r>
    </w:p>
    <w:p w:rsidR="00F947FA" w:rsidRPr="00F947FA" w:rsidRDefault="00F947FA" w:rsidP="00F947FA">
      <w:pPr>
        <w:pStyle w:val="HC-Hanging"/>
        <w:ind w:left="1440"/>
      </w:pPr>
      <w:r>
        <w:rPr>
          <w:rFonts w:eastAsia="PMingLiU"/>
          <w:b/>
          <w:bCs/>
          <w:color w:val="000000"/>
        </w:rPr>
        <w:t>Step 1</w:t>
      </w:r>
      <w:r>
        <w:rPr>
          <w:rFonts w:eastAsia="PMingLiU"/>
          <w:color w:val="000000"/>
        </w:rPr>
        <w:t>: In determining the Base Amount:</w:t>
      </w:r>
    </w:p>
    <w:p w:rsidR="00F947FA" w:rsidRDefault="00F947FA" w:rsidP="00F947FA">
      <w:pPr>
        <w:pStyle w:val="HC-Hanging"/>
        <w:numPr>
          <w:ilvl w:val="0"/>
          <w:numId w:val="0"/>
        </w:numPr>
        <w:ind w:left="2160" w:hanging="720"/>
        <w:rPr>
          <w:rFonts w:eastAsia="PMingLiU"/>
          <w:color w:val="000000"/>
          <w:lang w:val="en-GB"/>
        </w:rPr>
      </w:pPr>
      <w:r w:rsidRPr="00F947FA">
        <w:rPr>
          <w:rFonts w:eastAsia="PMingLiU"/>
          <w:bCs/>
          <w:color w:val="000000"/>
        </w:rPr>
        <w:t>(a)</w:t>
      </w:r>
      <w:r>
        <w:rPr>
          <w:rFonts w:eastAsia="PMingLiU"/>
          <w:b/>
          <w:bCs/>
          <w:color w:val="000000"/>
        </w:rPr>
        <w:tab/>
      </w:r>
      <w:r>
        <w:rPr>
          <w:rFonts w:eastAsia="PMingLiU"/>
          <w:color w:val="000000"/>
        </w:rPr>
        <w:t xml:space="preserve">In accordance with [2.3] of the RPP Policy, the relevant VOS is </w:t>
      </w:r>
      <w:r w:rsidRPr="0010210A">
        <w:rPr>
          <w:rFonts w:eastAsia="PMingLiU"/>
          <w:color w:val="000000"/>
          <w:lang w:val="en-GB"/>
        </w:rPr>
        <w:t xml:space="preserve">the value of the undertaking’s sales directly and/or indirectly related to the </w:t>
      </w:r>
      <w:r>
        <w:rPr>
          <w:rFonts w:eastAsia="PMingLiU"/>
          <w:color w:val="000000"/>
          <w:lang w:val="en-GB"/>
        </w:rPr>
        <w:t>c</w:t>
      </w:r>
      <w:r w:rsidRPr="0010210A">
        <w:rPr>
          <w:rFonts w:eastAsia="PMingLiU"/>
          <w:color w:val="000000"/>
          <w:lang w:val="en-GB"/>
        </w:rPr>
        <w:t>ontravention, and will normally be based on the last full financial year of the undertaking’s participation in the Contravention.</w:t>
      </w:r>
    </w:p>
    <w:p w:rsidR="00F947FA" w:rsidRDefault="00F947FA" w:rsidP="00F947FA">
      <w:pPr>
        <w:pStyle w:val="HC-Hanging"/>
        <w:numPr>
          <w:ilvl w:val="0"/>
          <w:numId w:val="0"/>
        </w:numPr>
        <w:ind w:left="2160" w:hanging="720"/>
        <w:rPr>
          <w:rFonts w:eastAsia="PMingLiU"/>
          <w:color w:val="000000"/>
          <w:lang w:val="en-GB"/>
        </w:rPr>
      </w:pPr>
      <w:r>
        <w:rPr>
          <w:rFonts w:eastAsia="PMingLiU"/>
          <w:color w:val="000000"/>
          <w:lang w:val="en-GB"/>
        </w:rPr>
        <w:t>(b)</w:t>
      </w:r>
      <w:r>
        <w:rPr>
          <w:rFonts w:eastAsia="PMingLiU"/>
          <w:color w:val="000000"/>
          <w:lang w:val="en-GB"/>
        </w:rPr>
        <w:tab/>
      </w:r>
      <w:r w:rsidRPr="0010210A">
        <w:rPr>
          <w:rFonts w:eastAsia="PMingLiU"/>
          <w:color w:val="000000"/>
          <w:lang w:val="en-GB"/>
        </w:rPr>
        <w:t>Considering</w:t>
      </w:r>
      <w:r>
        <w:rPr>
          <w:rFonts w:eastAsia="PMingLiU"/>
          <w:color w:val="000000"/>
          <w:lang w:val="en-GB"/>
        </w:rPr>
        <w:t xml:space="preserve"> </w:t>
      </w:r>
      <w:r>
        <w:rPr>
          <w:rFonts w:eastAsia="PMingLiU"/>
          <w:b/>
          <w:bCs/>
          <w:color w:val="000000"/>
          <w:lang w:val="en-GB"/>
        </w:rPr>
        <w:t>(i)</w:t>
      </w:r>
      <w:r w:rsidRPr="0010210A">
        <w:rPr>
          <w:rFonts w:eastAsia="PMingLiU"/>
          <w:color w:val="000000"/>
          <w:lang w:val="en-GB"/>
        </w:rPr>
        <w:t xml:space="preserve"> the relevant period of the </w:t>
      </w:r>
      <w:r>
        <w:rPr>
          <w:rFonts w:eastAsia="PMingLiU"/>
          <w:color w:val="000000"/>
          <w:lang w:val="en-GB"/>
        </w:rPr>
        <w:t>c</w:t>
      </w:r>
      <w:r w:rsidRPr="0010210A">
        <w:rPr>
          <w:rFonts w:eastAsia="PMingLiU"/>
          <w:color w:val="000000"/>
          <w:lang w:val="en-GB"/>
        </w:rPr>
        <w:t xml:space="preserve">ontravention of </w:t>
      </w:r>
      <w:r>
        <w:rPr>
          <w:rFonts w:eastAsia="PMingLiU"/>
          <w:color w:val="000000"/>
          <w:lang w:val="en-GB"/>
        </w:rPr>
        <w:t>ML</w:t>
      </w:r>
      <w:r w:rsidRPr="0010210A">
        <w:rPr>
          <w:rFonts w:eastAsia="PMingLiU"/>
          <w:color w:val="000000"/>
          <w:lang w:val="en-GB"/>
        </w:rPr>
        <w:t xml:space="preserve"> </w:t>
      </w:r>
      <w:r w:rsidR="00EC6108">
        <w:rPr>
          <w:rFonts w:eastAsia="PMingLiU"/>
          <w:color w:val="000000"/>
          <w:lang w:val="en-GB"/>
        </w:rPr>
        <w:t>is</w:t>
      </w:r>
      <w:r w:rsidRPr="0010210A">
        <w:rPr>
          <w:rFonts w:eastAsia="PMingLiU"/>
          <w:color w:val="000000"/>
          <w:lang w:val="en-GB"/>
        </w:rPr>
        <w:t xml:space="preserve"> 9</w:t>
      </w:r>
      <w:r>
        <w:rPr>
          <w:rFonts w:eastAsia="PMingLiU"/>
          <w:color w:val="000000"/>
          <w:lang w:val="en-GB"/>
        </w:rPr>
        <w:t> </w:t>
      </w:r>
      <w:r w:rsidRPr="0010210A">
        <w:rPr>
          <w:rFonts w:eastAsia="PMingLiU"/>
          <w:color w:val="000000"/>
          <w:lang w:val="en-GB"/>
        </w:rPr>
        <w:t>May</w:t>
      </w:r>
      <w:r>
        <w:rPr>
          <w:rFonts w:eastAsia="PMingLiU"/>
          <w:color w:val="000000"/>
          <w:lang w:val="en-GB"/>
        </w:rPr>
        <w:t> </w:t>
      </w:r>
      <w:r w:rsidRPr="0010210A">
        <w:rPr>
          <w:rFonts w:eastAsia="PMingLiU"/>
          <w:color w:val="000000"/>
          <w:lang w:val="en-GB"/>
        </w:rPr>
        <w:t>2020 to 19</w:t>
      </w:r>
      <w:r>
        <w:rPr>
          <w:rFonts w:eastAsia="PMingLiU"/>
          <w:color w:val="000000"/>
          <w:lang w:val="en-GB"/>
        </w:rPr>
        <w:t> April </w:t>
      </w:r>
      <w:r w:rsidRPr="0010210A">
        <w:rPr>
          <w:rFonts w:eastAsia="PMingLiU"/>
          <w:color w:val="000000"/>
          <w:lang w:val="en-GB"/>
        </w:rPr>
        <w:t>2021 and</w:t>
      </w:r>
      <w:r>
        <w:rPr>
          <w:rFonts w:eastAsia="PMingLiU"/>
          <w:color w:val="000000"/>
          <w:lang w:val="en-GB"/>
        </w:rPr>
        <w:t xml:space="preserve"> </w:t>
      </w:r>
      <w:r>
        <w:rPr>
          <w:rFonts w:eastAsia="PMingLiU"/>
          <w:b/>
          <w:bCs/>
          <w:color w:val="000000"/>
          <w:lang w:val="en-GB"/>
        </w:rPr>
        <w:t>(ii)</w:t>
      </w:r>
      <w:r w:rsidRPr="0010210A">
        <w:rPr>
          <w:rFonts w:eastAsia="PMingLiU"/>
          <w:color w:val="000000"/>
          <w:lang w:val="en-GB"/>
        </w:rPr>
        <w:t xml:space="preserve"> </w:t>
      </w:r>
      <w:r w:rsidR="00EC6108">
        <w:rPr>
          <w:rFonts w:eastAsia="PMingLiU"/>
          <w:color w:val="000000"/>
          <w:lang w:val="en-GB"/>
        </w:rPr>
        <w:t>the 1</w:t>
      </w:r>
      <w:r w:rsidR="00EC6108" w:rsidRPr="00EC6108">
        <w:rPr>
          <w:rFonts w:eastAsia="PMingLiU"/>
          <w:color w:val="000000"/>
          <w:vertAlign w:val="superscript"/>
          <w:lang w:val="en-GB"/>
        </w:rPr>
        <w:t>st</w:t>
      </w:r>
      <w:r w:rsidR="00EC6108">
        <w:rPr>
          <w:rFonts w:eastAsia="PMingLiU"/>
          <w:color w:val="000000"/>
          <w:lang w:val="en-GB"/>
        </w:rPr>
        <w:t> Respondent</w:t>
      </w:r>
      <w:r>
        <w:rPr>
          <w:rFonts w:eastAsia="PMingLiU"/>
          <w:color w:val="000000"/>
          <w:lang w:val="en-GB"/>
        </w:rPr>
        <w:t xml:space="preserve">’s </w:t>
      </w:r>
      <w:r w:rsidRPr="0010210A">
        <w:rPr>
          <w:rFonts w:eastAsia="PMingLiU"/>
          <w:color w:val="000000"/>
          <w:lang w:val="en-GB"/>
        </w:rPr>
        <w:t xml:space="preserve">financial year </w:t>
      </w:r>
      <w:r>
        <w:rPr>
          <w:rFonts w:eastAsia="PMingLiU"/>
          <w:color w:val="000000"/>
          <w:lang w:val="en-GB"/>
        </w:rPr>
        <w:t xml:space="preserve">running from </w:t>
      </w:r>
      <w:r w:rsidRPr="0010210A">
        <w:rPr>
          <w:rFonts w:eastAsia="PMingLiU"/>
          <w:color w:val="000000"/>
          <w:lang w:val="en-GB"/>
        </w:rPr>
        <w:t>1</w:t>
      </w:r>
      <w:r>
        <w:rPr>
          <w:rFonts w:eastAsia="PMingLiU"/>
          <w:color w:val="000000"/>
          <w:lang w:val="en-GB"/>
        </w:rPr>
        <w:t> </w:t>
      </w:r>
      <w:r w:rsidRPr="0010210A">
        <w:rPr>
          <w:rFonts w:eastAsia="PMingLiU"/>
          <w:color w:val="000000"/>
          <w:lang w:val="en-GB"/>
        </w:rPr>
        <w:t>April to 31</w:t>
      </w:r>
      <w:r>
        <w:rPr>
          <w:rFonts w:eastAsia="PMingLiU"/>
          <w:color w:val="000000"/>
          <w:lang w:val="en-GB"/>
        </w:rPr>
        <w:t> </w:t>
      </w:r>
      <w:r w:rsidRPr="0010210A">
        <w:rPr>
          <w:rFonts w:eastAsia="PMingLiU"/>
          <w:color w:val="000000"/>
          <w:lang w:val="en-GB"/>
        </w:rPr>
        <w:t>March, there is no</w:t>
      </w:r>
      <w:r>
        <w:rPr>
          <w:rFonts w:eastAsia="PMingLiU"/>
          <w:color w:val="000000"/>
          <w:lang w:val="en-GB"/>
        </w:rPr>
        <w:t>t a</w:t>
      </w:r>
      <w:r w:rsidRPr="0010210A">
        <w:rPr>
          <w:rFonts w:eastAsia="PMingLiU"/>
          <w:color w:val="000000"/>
          <w:lang w:val="en-GB"/>
        </w:rPr>
        <w:t xml:space="preserve"> full financial year in which </w:t>
      </w:r>
      <w:r w:rsidR="00EC6108">
        <w:rPr>
          <w:rFonts w:eastAsia="PMingLiU"/>
          <w:color w:val="000000"/>
          <w:lang w:val="en-GB"/>
        </w:rPr>
        <w:t>the 1</w:t>
      </w:r>
      <w:r w:rsidR="00EC6108" w:rsidRPr="00EC6108">
        <w:rPr>
          <w:rFonts w:eastAsia="PMingLiU"/>
          <w:color w:val="000000"/>
          <w:vertAlign w:val="superscript"/>
          <w:lang w:val="en-GB"/>
        </w:rPr>
        <w:t>st</w:t>
      </w:r>
      <w:r w:rsidR="00EC6108">
        <w:rPr>
          <w:rFonts w:eastAsia="PMingLiU"/>
          <w:color w:val="000000"/>
          <w:lang w:val="en-GB"/>
        </w:rPr>
        <w:t> Respondent</w:t>
      </w:r>
      <w:r w:rsidRPr="0010210A">
        <w:rPr>
          <w:rFonts w:eastAsia="PMingLiU"/>
          <w:color w:val="000000"/>
          <w:lang w:val="en-GB"/>
        </w:rPr>
        <w:t xml:space="preserve"> participated in the </w:t>
      </w:r>
      <w:r>
        <w:rPr>
          <w:rFonts w:eastAsia="PMingLiU"/>
          <w:color w:val="000000"/>
          <w:lang w:val="en-GB"/>
        </w:rPr>
        <w:t>c</w:t>
      </w:r>
      <w:r w:rsidR="00EC6108">
        <w:rPr>
          <w:rFonts w:eastAsia="PMingLiU"/>
          <w:color w:val="000000"/>
          <w:lang w:val="en-GB"/>
        </w:rPr>
        <w:t>ontravention per the </w:t>
      </w:r>
      <w:r w:rsidRPr="0010210A">
        <w:rPr>
          <w:rFonts w:eastAsia="PMingLiU"/>
          <w:color w:val="000000"/>
          <w:lang w:val="en-GB"/>
        </w:rPr>
        <w:t>RPP Policy</w:t>
      </w:r>
      <w:r>
        <w:rPr>
          <w:rFonts w:eastAsia="PMingLiU"/>
          <w:color w:val="000000"/>
          <w:lang w:val="en-GB"/>
        </w:rPr>
        <w:t xml:space="preserve">: [36(2)] of </w:t>
      </w:r>
      <w:r w:rsidR="00EC6108">
        <w:rPr>
          <w:rFonts w:eastAsia="PMingLiU"/>
          <w:color w:val="000000"/>
          <w:lang w:val="en-GB"/>
        </w:rPr>
        <w:t>the 1</w:t>
      </w:r>
      <w:r w:rsidR="00EC6108" w:rsidRPr="00EC6108">
        <w:rPr>
          <w:rFonts w:eastAsia="PMingLiU"/>
          <w:color w:val="000000"/>
          <w:vertAlign w:val="superscript"/>
          <w:lang w:val="en-GB"/>
        </w:rPr>
        <w:t>st</w:t>
      </w:r>
      <w:r w:rsidR="00EC6108">
        <w:rPr>
          <w:rFonts w:eastAsia="PMingLiU"/>
          <w:color w:val="000000"/>
          <w:lang w:val="en-GB"/>
        </w:rPr>
        <w:t> Respondent</w:t>
      </w:r>
      <w:r>
        <w:rPr>
          <w:rFonts w:eastAsia="PMingLiU"/>
          <w:color w:val="000000"/>
          <w:lang w:val="en-GB"/>
        </w:rPr>
        <w:t>/</w:t>
      </w:r>
      <w:r w:rsidR="001D59F9">
        <w:rPr>
          <w:rFonts w:eastAsia="PMingLiU"/>
          <w:color w:val="000000"/>
          <w:lang w:val="en-GB"/>
        </w:rPr>
        <w:t xml:space="preserve"> </w:t>
      </w:r>
      <w:r w:rsidR="00EC6108">
        <w:rPr>
          <w:rFonts w:eastAsia="PMingLiU"/>
          <w:color w:val="000000"/>
          <w:lang w:val="en-GB"/>
        </w:rPr>
        <w:t>the 2</w:t>
      </w:r>
      <w:r w:rsidR="00EC6108" w:rsidRPr="00EC6108">
        <w:rPr>
          <w:rFonts w:eastAsia="PMingLiU"/>
          <w:color w:val="000000"/>
          <w:vertAlign w:val="superscript"/>
          <w:lang w:val="en-GB"/>
        </w:rPr>
        <w:t>nd</w:t>
      </w:r>
      <w:r w:rsidR="00EC6108">
        <w:rPr>
          <w:rFonts w:eastAsia="PMingLiU"/>
          <w:color w:val="000000"/>
          <w:lang w:val="en-GB"/>
        </w:rPr>
        <w:t> Respondent</w:t>
      </w:r>
      <w:r>
        <w:rPr>
          <w:rFonts w:eastAsia="PMingLiU"/>
          <w:color w:val="000000"/>
          <w:lang w:val="en-GB"/>
        </w:rPr>
        <w:t xml:space="preserve"> Statement</w:t>
      </w:r>
      <w:r w:rsidRPr="0010210A">
        <w:rPr>
          <w:rFonts w:eastAsia="PMingLiU"/>
          <w:color w:val="000000"/>
          <w:lang w:val="en-GB"/>
        </w:rPr>
        <w:t xml:space="preserve">. </w:t>
      </w:r>
      <w:r>
        <w:rPr>
          <w:rFonts w:eastAsia="PMingLiU"/>
          <w:color w:val="000000"/>
          <w:lang w:val="en-GB"/>
        </w:rPr>
        <w:t xml:space="preserve"> However, since the contravention largely fell within the financial year of</w:t>
      </w:r>
      <w:r w:rsidRPr="0010210A">
        <w:rPr>
          <w:rFonts w:eastAsia="PMingLiU"/>
          <w:color w:val="000000"/>
          <w:lang w:val="en-GB"/>
        </w:rPr>
        <w:t xml:space="preserve"> 1</w:t>
      </w:r>
      <w:r>
        <w:rPr>
          <w:rFonts w:eastAsia="PMingLiU"/>
          <w:color w:val="000000"/>
          <w:lang w:val="en-GB"/>
        </w:rPr>
        <w:t> </w:t>
      </w:r>
      <w:r w:rsidRPr="0010210A">
        <w:rPr>
          <w:rFonts w:eastAsia="PMingLiU"/>
          <w:color w:val="000000"/>
          <w:lang w:val="en-GB"/>
        </w:rPr>
        <w:t>April</w:t>
      </w:r>
      <w:r>
        <w:rPr>
          <w:rFonts w:eastAsia="PMingLiU"/>
          <w:color w:val="000000"/>
          <w:lang w:val="en-GB"/>
        </w:rPr>
        <w:t> </w:t>
      </w:r>
      <w:r w:rsidRPr="0010210A">
        <w:rPr>
          <w:rFonts w:eastAsia="PMingLiU"/>
          <w:color w:val="000000"/>
          <w:lang w:val="en-GB"/>
        </w:rPr>
        <w:t>2020 to 31</w:t>
      </w:r>
      <w:r>
        <w:rPr>
          <w:rFonts w:eastAsia="PMingLiU"/>
          <w:color w:val="000000"/>
          <w:lang w:val="en-GB"/>
        </w:rPr>
        <w:t> </w:t>
      </w:r>
      <w:r w:rsidRPr="0010210A">
        <w:rPr>
          <w:rFonts w:eastAsia="PMingLiU"/>
          <w:color w:val="000000"/>
          <w:lang w:val="en-GB"/>
        </w:rPr>
        <w:t>March</w:t>
      </w:r>
      <w:r>
        <w:rPr>
          <w:rFonts w:eastAsia="PMingLiU"/>
          <w:color w:val="000000"/>
          <w:lang w:val="en-GB"/>
        </w:rPr>
        <w:t> </w:t>
      </w:r>
      <w:r w:rsidRPr="0010210A">
        <w:rPr>
          <w:rFonts w:eastAsia="PMingLiU"/>
          <w:color w:val="000000"/>
          <w:lang w:val="en-GB"/>
        </w:rPr>
        <w:t xml:space="preserve">2021, </w:t>
      </w:r>
      <w:r>
        <w:rPr>
          <w:rFonts w:eastAsia="PMingLiU"/>
          <w:color w:val="000000"/>
          <w:lang w:val="en-GB"/>
        </w:rPr>
        <w:t xml:space="preserve">the Commission </w:t>
      </w:r>
      <w:r w:rsidR="00EA69A0">
        <w:rPr>
          <w:rFonts w:eastAsia="PMingLiU"/>
          <w:color w:val="000000"/>
          <w:lang w:val="en-GB"/>
        </w:rPr>
        <w:t xml:space="preserve">has </w:t>
      </w:r>
      <w:r>
        <w:rPr>
          <w:rFonts w:eastAsia="PMingLiU"/>
          <w:color w:val="000000"/>
          <w:lang w:val="en-GB"/>
        </w:rPr>
        <w:t>adopt</w:t>
      </w:r>
      <w:r w:rsidR="00EA69A0">
        <w:rPr>
          <w:rFonts w:eastAsia="PMingLiU"/>
          <w:color w:val="000000"/>
          <w:lang w:val="en-GB"/>
        </w:rPr>
        <w:t>ed</w:t>
      </w:r>
      <w:r>
        <w:rPr>
          <w:rFonts w:eastAsia="PMingLiU"/>
          <w:color w:val="000000"/>
          <w:lang w:val="en-GB"/>
        </w:rPr>
        <w:t xml:space="preserve"> that</w:t>
      </w:r>
      <w:r w:rsidRPr="0010210A">
        <w:rPr>
          <w:rFonts w:eastAsia="PMingLiU"/>
          <w:color w:val="000000"/>
          <w:lang w:val="en-GB"/>
        </w:rPr>
        <w:t xml:space="preserve"> </w:t>
      </w:r>
      <w:r>
        <w:rPr>
          <w:rFonts w:eastAsia="PMingLiU"/>
          <w:color w:val="000000"/>
          <w:lang w:val="en-GB"/>
        </w:rPr>
        <w:t>financial year for the purpose of calculating the VOS</w:t>
      </w:r>
      <w:r w:rsidRPr="0010210A">
        <w:rPr>
          <w:rFonts w:eastAsia="PMingLiU"/>
          <w:color w:val="000000"/>
          <w:lang w:val="en-GB"/>
        </w:rPr>
        <w:t>.</w:t>
      </w:r>
      <w:r>
        <w:rPr>
          <w:rFonts w:eastAsia="PMingLiU"/>
          <w:color w:val="000000"/>
          <w:lang w:val="en-GB"/>
        </w:rPr>
        <w:t xml:space="preserve">  The duration multiplier of one is also used.</w:t>
      </w:r>
    </w:p>
    <w:p w:rsidR="00F947FA" w:rsidRDefault="00F947FA" w:rsidP="00F947FA">
      <w:pPr>
        <w:pStyle w:val="HC-Hanging"/>
        <w:numPr>
          <w:ilvl w:val="0"/>
          <w:numId w:val="0"/>
        </w:numPr>
        <w:ind w:left="2160" w:hanging="720"/>
        <w:rPr>
          <w:rFonts w:eastAsia="PMingLiU"/>
          <w:color w:val="000000"/>
          <w:lang w:val="en-GB"/>
        </w:rPr>
      </w:pPr>
      <w:r>
        <w:rPr>
          <w:rFonts w:eastAsia="PMingLiU"/>
          <w:color w:val="000000"/>
          <w:lang w:val="en-GB"/>
        </w:rPr>
        <w:t>(c)</w:t>
      </w:r>
      <w:r>
        <w:rPr>
          <w:rFonts w:eastAsia="PMingLiU"/>
          <w:color w:val="000000"/>
          <w:lang w:val="en-GB"/>
        </w:rPr>
        <w:tab/>
      </w:r>
      <w:r w:rsidR="001D59F9">
        <w:rPr>
          <w:rFonts w:eastAsia="PMingLiU"/>
          <w:color w:val="000000"/>
          <w:lang w:val="en-GB"/>
        </w:rPr>
        <w:t>The 1</w:t>
      </w:r>
      <w:r w:rsidR="001D59F9" w:rsidRPr="00EC6108">
        <w:rPr>
          <w:rFonts w:eastAsia="PMingLiU"/>
          <w:color w:val="000000"/>
          <w:vertAlign w:val="superscript"/>
          <w:lang w:val="en-GB"/>
        </w:rPr>
        <w:t>st</w:t>
      </w:r>
      <w:r w:rsidR="001D59F9">
        <w:rPr>
          <w:rFonts w:eastAsia="PMingLiU"/>
          <w:color w:val="000000"/>
          <w:lang w:val="en-GB"/>
        </w:rPr>
        <w:t> Respondent</w:t>
      </w:r>
      <w:r>
        <w:rPr>
          <w:rFonts w:eastAsia="PMingLiU"/>
          <w:color w:val="000000"/>
          <w:lang w:val="en-GB"/>
        </w:rPr>
        <w:t xml:space="preserve"> did not generate any VOS directly from the contravention, since it only provided cover bids.  However, the Commission considered there to be VOS indirectly related to the contravention consisting of </w:t>
      </w:r>
      <w:r w:rsidRPr="0010210A">
        <w:rPr>
          <w:rFonts w:eastAsia="PMingLiU"/>
          <w:color w:val="000000"/>
          <w:lang w:val="en-GB"/>
        </w:rPr>
        <w:t xml:space="preserve">HK$1,321,791.76 (from bids under D-Biz against other undertakings that are not part of this </w:t>
      </w:r>
      <w:r>
        <w:rPr>
          <w:rFonts w:eastAsia="PMingLiU"/>
          <w:color w:val="000000"/>
          <w:lang w:val="en-GB"/>
        </w:rPr>
        <w:t>c</w:t>
      </w:r>
      <w:r w:rsidRPr="0010210A">
        <w:rPr>
          <w:rFonts w:eastAsia="PMingLiU"/>
          <w:color w:val="000000"/>
          <w:lang w:val="en-GB"/>
        </w:rPr>
        <w:t>ontravention) and HK$982,392.56 (from businesses outside its awards under D-Biz but in the same markets as those services provided in D-Biz)</w:t>
      </w:r>
      <w:r>
        <w:rPr>
          <w:rFonts w:eastAsia="PMingLiU"/>
          <w:color w:val="000000"/>
          <w:lang w:val="en-GB"/>
        </w:rPr>
        <w:t>.  Thus, the Commission adopted the total of HK$2,304,184.32 as the VOS for the period.</w:t>
      </w:r>
    </w:p>
    <w:p w:rsidR="00A21250" w:rsidRDefault="00A21250" w:rsidP="00F947FA">
      <w:pPr>
        <w:pStyle w:val="HC-Hanging"/>
        <w:numPr>
          <w:ilvl w:val="0"/>
          <w:numId w:val="0"/>
        </w:numPr>
        <w:ind w:left="2160" w:hanging="720"/>
        <w:rPr>
          <w:rFonts w:eastAsia="PMingLiU"/>
          <w:color w:val="000000"/>
          <w:lang w:val="en-GB"/>
        </w:rPr>
      </w:pPr>
      <w:r>
        <w:rPr>
          <w:rFonts w:eastAsia="PMingLiU"/>
          <w:color w:val="000000"/>
          <w:lang w:val="en-GB"/>
        </w:rPr>
        <w:t>(d)</w:t>
      </w:r>
      <w:r>
        <w:rPr>
          <w:rFonts w:eastAsia="PMingLiU"/>
          <w:color w:val="000000"/>
          <w:lang w:val="en-GB"/>
        </w:rPr>
        <w:tab/>
      </w:r>
      <w:r>
        <w:rPr>
          <w:rFonts w:eastAsia="PMingLiU"/>
          <w:color w:val="000000"/>
          <w:lang w:val="en-HK"/>
        </w:rPr>
        <w:t xml:space="preserve">A moderate gravity percentage of 24% </w:t>
      </w:r>
      <w:r w:rsidR="001D59F9">
        <w:rPr>
          <w:rFonts w:eastAsia="PMingLiU"/>
          <w:color w:val="000000"/>
          <w:lang w:val="en-HK"/>
        </w:rPr>
        <w:t>has been agreed</w:t>
      </w:r>
      <w:r>
        <w:rPr>
          <w:rFonts w:eastAsia="PMingLiU"/>
          <w:color w:val="000000"/>
          <w:lang w:val="en-HK"/>
        </w:rPr>
        <w:t xml:space="preserve"> (i.e. the same percentage adopted for other Respondents in the </w:t>
      </w:r>
      <w:r>
        <w:rPr>
          <w:rFonts w:eastAsia="PMingLiU"/>
          <w:i/>
          <w:iCs/>
          <w:color w:val="000000"/>
          <w:lang w:val="en-HK"/>
        </w:rPr>
        <w:t xml:space="preserve">Kam Kwong </w:t>
      </w:r>
      <w:r>
        <w:rPr>
          <w:rFonts w:eastAsia="PMingLiU"/>
          <w:color w:val="000000"/>
          <w:lang w:val="en-HK"/>
        </w:rPr>
        <w:t xml:space="preserve">applications), taking into account various factors set out in [2.6] of the RPP Policy such as </w:t>
      </w:r>
      <w:r>
        <w:rPr>
          <w:rFonts w:eastAsia="PMingLiU"/>
          <w:b/>
          <w:bCs/>
          <w:color w:val="000000"/>
          <w:lang w:val="en-HK"/>
        </w:rPr>
        <w:t xml:space="preserve">(i) </w:t>
      </w:r>
      <w:r>
        <w:rPr>
          <w:rFonts w:eastAsia="PMingLiU"/>
          <w:color w:val="000000"/>
          <w:lang w:val="en-HK"/>
        </w:rPr>
        <w:t xml:space="preserve">the serious anti-competitive conduct involved, </w:t>
      </w:r>
      <w:r>
        <w:rPr>
          <w:rFonts w:eastAsia="PMingLiU"/>
          <w:b/>
          <w:bCs/>
          <w:color w:val="000000"/>
          <w:lang w:val="en-HK"/>
        </w:rPr>
        <w:t xml:space="preserve">(ii) </w:t>
      </w:r>
      <w:r>
        <w:rPr>
          <w:rFonts w:eastAsia="PMingLiU"/>
          <w:color w:val="000000"/>
          <w:lang w:val="en-HK"/>
        </w:rPr>
        <w:t xml:space="preserve">the lack of evidence that the subject undertakings </w:t>
      </w:r>
      <w:r w:rsidRPr="00873236">
        <w:rPr>
          <w:rFonts w:eastAsia="PMingLiU"/>
          <w:color w:val="000000"/>
          <w:lang w:val="en-GB"/>
        </w:rPr>
        <w:t>accounted for a significant proportion of the market or have high combined shares</w:t>
      </w:r>
      <w:r>
        <w:rPr>
          <w:rFonts w:eastAsia="PMingLiU"/>
          <w:color w:val="000000"/>
          <w:lang w:val="en-GB"/>
        </w:rPr>
        <w:t xml:space="preserve">, </w:t>
      </w:r>
      <w:r>
        <w:rPr>
          <w:rFonts w:eastAsia="PMingLiU"/>
          <w:b/>
          <w:bCs/>
          <w:color w:val="000000"/>
          <w:lang w:val="en-GB"/>
        </w:rPr>
        <w:t xml:space="preserve">(iii) </w:t>
      </w:r>
      <w:r>
        <w:rPr>
          <w:rFonts w:eastAsia="PMingLiU"/>
          <w:color w:val="000000"/>
          <w:lang w:val="en-GB"/>
        </w:rPr>
        <w:t xml:space="preserve">the subject undertakings’ active contravention of the First Conduct Rule (going beyond mere involvement in the contravention), and </w:t>
      </w:r>
      <w:r>
        <w:rPr>
          <w:rFonts w:eastAsia="PMingLiU"/>
          <w:b/>
          <w:bCs/>
          <w:color w:val="000000"/>
          <w:lang w:val="en-GB"/>
        </w:rPr>
        <w:t xml:space="preserve">(iv) </w:t>
      </w:r>
      <w:r>
        <w:rPr>
          <w:rFonts w:eastAsia="PMingLiU"/>
          <w:color w:val="000000"/>
          <w:lang w:val="en-GB"/>
        </w:rPr>
        <w:t>the exploitation of public funding.</w:t>
      </w:r>
    </w:p>
    <w:p w:rsidR="00A21250" w:rsidRDefault="00A21250" w:rsidP="00F947FA">
      <w:pPr>
        <w:pStyle w:val="HC-Hanging"/>
        <w:numPr>
          <w:ilvl w:val="0"/>
          <w:numId w:val="0"/>
        </w:numPr>
        <w:ind w:left="2160" w:hanging="720"/>
        <w:rPr>
          <w:rFonts w:eastAsia="PMingLiU"/>
          <w:color w:val="000000"/>
        </w:rPr>
      </w:pPr>
      <w:r>
        <w:rPr>
          <w:rFonts w:eastAsia="PMingLiU"/>
          <w:color w:val="000000"/>
          <w:lang w:val="en-GB"/>
        </w:rPr>
        <w:t>(e)</w:t>
      </w:r>
      <w:r>
        <w:rPr>
          <w:rFonts w:eastAsia="PMingLiU"/>
          <w:color w:val="000000"/>
          <w:lang w:val="en-GB"/>
        </w:rPr>
        <w:tab/>
      </w:r>
      <w:r>
        <w:rPr>
          <w:rFonts w:eastAsia="PMingLiU"/>
          <w:color w:val="000000"/>
        </w:rPr>
        <w:t>Therefore, the Step 1 figure is HK$2,304,184.32 x 0.24 x 1 = HK$553,004.24;</w:t>
      </w:r>
    </w:p>
    <w:p w:rsidR="00A21250" w:rsidRDefault="00A21250" w:rsidP="00A21250">
      <w:pPr>
        <w:pStyle w:val="HC-Hanging"/>
        <w:numPr>
          <w:ilvl w:val="0"/>
          <w:numId w:val="0"/>
        </w:numPr>
        <w:ind w:left="1800" w:hanging="1080"/>
        <w:rPr>
          <w:rFonts w:eastAsia="PMingLiU"/>
          <w:color w:val="000000"/>
        </w:rPr>
      </w:pPr>
      <w:r>
        <w:rPr>
          <w:rFonts w:eastAsia="PMingLiU"/>
          <w:color w:val="000000"/>
        </w:rPr>
        <w:t>(2)</w:t>
      </w:r>
      <w:r>
        <w:rPr>
          <w:rFonts w:eastAsia="PMingLiU"/>
          <w:color w:val="000000"/>
        </w:rPr>
        <w:tab/>
      </w:r>
      <w:r>
        <w:rPr>
          <w:rFonts w:eastAsia="PMingLiU"/>
          <w:b/>
          <w:bCs/>
          <w:color w:val="000000"/>
        </w:rPr>
        <w:t>Step 2</w:t>
      </w:r>
      <w:r>
        <w:rPr>
          <w:rFonts w:eastAsia="PMingLiU"/>
          <w:color w:val="000000"/>
        </w:rPr>
        <w:t>: Aggravating and mitigating factors:</w:t>
      </w:r>
    </w:p>
    <w:p w:rsidR="00A21250" w:rsidRDefault="00A21250" w:rsidP="00A21250">
      <w:pPr>
        <w:pStyle w:val="HC-Hanging"/>
        <w:numPr>
          <w:ilvl w:val="0"/>
          <w:numId w:val="0"/>
        </w:numPr>
        <w:ind w:left="2160" w:hanging="1440"/>
        <w:rPr>
          <w:rFonts w:eastAsia="PMingLiU"/>
          <w:color w:val="000000"/>
        </w:rPr>
      </w:pPr>
      <w:r>
        <w:rPr>
          <w:rFonts w:eastAsia="PMingLiU"/>
          <w:color w:val="000000"/>
        </w:rPr>
        <w:tab/>
        <w:t>(a)</w:t>
      </w:r>
      <w:r>
        <w:rPr>
          <w:rFonts w:eastAsia="PMingLiU"/>
          <w:color w:val="000000"/>
        </w:rPr>
        <w:tab/>
        <w:t xml:space="preserve">There are two aggravating factors relating to the mandatory considerations under </w:t>
      </w:r>
      <w:r w:rsidRPr="00A21250">
        <w:rPr>
          <w:rFonts w:eastAsia="PMingLiU"/>
          <w:i/>
          <w:color w:val="000000"/>
        </w:rPr>
        <w:t>section 93(2)</w:t>
      </w:r>
      <w:r>
        <w:rPr>
          <w:rFonts w:eastAsia="PMingLiU"/>
          <w:color w:val="000000"/>
        </w:rPr>
        <w:t xml:space="preserve"> of the </w:t>
      </w:r>
      <w:r w:rsidRPr="00A21250">
        <w:rPr>
          <w:rFonts w:eastAsia="PMingLiU"/>
          <w:i/>
          <w:color w:val="000000"/>
        </w:rPr>
        <w:t>Ordinance</w:t>
      </w:r>
      <w:r>
        <w:rPr>
          <w:rFonts w:eastAsia="PMingLiU"/>
          <w:color w:val="000000"/>
        </w:rPr>
        <w:t>:</w:t>
      </w:r>
    </w:p>
    <w:p w:rsidR="00A21250" w:rsidRDefault="00A21250" w:rsidP="00A21250">
      <w:pPr>
        <w:pStyle w:val="HC-Hanging"/>
        <w:numPr>
          <w:ilvl w:val="0"/>
          <w:numId w:val="0"/>
        </w:numPr>
        <w:ind w:left="2880" w:hanging="720"/>
        <w:rPr>
          <w:rFonts w:eastAsia="PMingLiU"/>
          <w:color w:val="000000"/>
        </w:rPr>
      </w:pPr>
      <w:r>
        <w:rPr>
          <w:rFonts w:eastAsia="PMingLiU"/>
          <w:color w:val="000000"/>
        </w:rPr>
        <w:t>(i)</w:t>
      </w:r>
      <w:r>
        <w:rPr>
          <w:rFonts w:eastAsia="PMingLiU"/>
          <w:color w:val="000000"/>
        </w:rPr>
        <w:tab/>
        <w:t xml:space="preserve">The penalty sought is increased by 50% due to participation of Vincent Wu, who was </w:t>
      </w:r>
      <w:r w:rsidR="001D59F9">
        <w:rPr>
          <w:rFonts w:eastAsia="PMingLiU"/>
          <w:color w:val="000000"/>
        </w:rPr>
        <w:t>the 1</w:t>
      </w:r>
      <w:r w:rsidR="001D59F9" w:rsidRPr="001D59F9">
        <w:rPr>
          <w:rFonts w:eastAsia="PMingLiU"/>
          <w:color w:val="000000"/>
          <w:vertAlign w:val="superscript"/>
        </w:rPr>
        <w:t>st</w:t>
      </w:r>
      <w:r w:rsidR="001D59F9">
        <w:rPr>
          <w:rFonts w:eastAsia="PMingLiU"/>
          <w:color w:val="000000"/>
        </w:rPr>
        <w:t> Respondent</w:t>
      </w:r>
      <w:r>
        <w:rPr>
          <w:rFonts w:eastAsia="PMingLiU"/>
          <w:color w:val="000000"/>
        </w:rPr>
        <w:t>’s director/ senior management;</w:t>
      </w:r>
    </w:p>
    <w:p w:rsidR="00A21250" w:rsidRDefault="00A21250" w:rsidP="00A21250">
      <w:pPr>
        <w:pStyle w:val="HC-Hanging"/>
        <w:numPr>
          <w:ilvl w:val="0"/>
          <w:numId w:val="0"/>
        </w:numPr>
        <w:ind w:left="2880" w:hanging="720"/>
        <w:rPr>
          <w:rFonts w:eastAsia="PMingLiU"/>
          <w:color w:val="000000"/>
        </w:rPr>
      </w:pPr>
      <w:r>
        <w:rPr>
          <w:rFonts w:eastAsia="PMingLiU"/>
          <w:color w:val="000000"/>
        </w:rPr>
        <w:t>(ii)</w:t>
      </w:r>
      <w:r>
        <w:rPr>
          <w:rFonts w:eastAsia="PMingLiU"/>
          <w:color w:val="000000"/>
        </w:rPr>
        <w:tab/>
        <w:t>An uplift of 25% is also applied for non-compliance with non-collusion clauses (“</w:t>
      </w:r>
      <w:r>
        <w:rPr>
          <w:rFonts w:eastAsia="PMingLiU"/>
          <w:b/>
          <w:bCs/>
          <w:color w:val="000000"/>
        </w:rPr>
        <w:t>NCC</w:t>
      </w:r>
      <w:r>
        <w:rPr>
          <w:rFonts w:eastAsia="PMingLiU"/>
          <w:color w:val="000000"/>
        </w:rPr>
        <w:t>”) which all applicants submitting their quotations and applications for D-Biz were required to sign;</w:t>
      </w:r>
    </w:p>
    <w:p w:rsidR="00A21250" w:rsidRDefault="00A21250" w:rsidP="00A21250">
      <w:pPr>
        <w:pStyle w:val="HC-Hanging"/>
        <w:numPr>
          <w:ilvl w:val="0"/>
          <w:numId w:val="0"/>
        </w:numPr>
        <w:ind w:left="2160" w:hanging="720"/>
        <w:rPr>
          <w:rFonts w:eastAsia="PMingLiU"/>
          <w:color w:val="000000"/>
        </w:rPr>
      </w:pPr>
      <w:r>
        <w:rPr>
          <w:rFonts w:eastAsia="PMingLiU"/>
          <w:color w:val="000000"/>
        </w:rPr>
        <w:t>(b)</w:t>
      </w:r>
      <w:r>
        <w:rPr>
          <w:rFonts w:eastAsia="PMingLiU"/>
          <w:color w:val="000000"/>
        </w:rPr>
        <w:tab/>
        <w:t>The above increase of 75% raises the penalty figure to HK$967,757.42;</w:t>
      </w:r>
    </w:p>
    <w:p w:rsidR="00A21250" w:rsidRDefault="00A21250" w:rsidP="00A21250">
      <w:pPr>
        <w:pStyle w:val="HC-Hanging"/>
        <w:numPr>
          <w:ilvl w:val="0"/>
          <w:numId w:val="0"/>
        </w:numPr>
        <w:ind w:left="2160" w:hanging="720"/>
        <w:rPr>
          <w:rFonts w:eastAsia="PMingLiU"/>
          <w:color w:val="000000"/>
        </w:rPr>
      </w:pPr>
      <w:r>
        <w:rPr>
          <w:rFonts w:eastAsia="PMingLiU"/>
          <w:color w:val="000000"/>
        </w:rPr>
        <w:t>(c)</w:t>
      </w:r>
      <w:r>
        <w:rPr>
          <w:rFonts w:eastAsia="PMingLiU"/>
          <w:color w:val="000000"/>
        </w:rPr>
        <w:tab/>
      </w:r>
      <w:r w:rsidR="001D59F9">
        <w:rPr>
          <w:rFonts w:eastAsia="PMingLiU"/>
          <w:color w:val="000000"/>
        </w:rPr>
        <w:t>The 1</w:t>
      </w:r>
      <w:r w:rsidR="001D59F9" w:rsidRPr="001D59F9">
        <w:rPr>
          <w:rFonts w:eastAsia="PMingLiU"/>
          <w:color w:val="000000"/>
          <w:vertAlign w:val="superscript"/>
        </w:rPr>
        <w:t>st</w:t>
      </w:r>
      <w:r w:rsidR="001D59F9">
        <w:rPr>
          <w:rFonts w:eastAsia="PMingLiU"/>
          <w:color w:val="000000"/>
        </w:rPr>
        <w:t xml:space="preserve"> Respondent</w:t>
      </w:r>
      <w:r>
        <w:rPr>
          <w:rFonts w:eastAsia="PMingLiU"/>
          <w:color w:val="000000"/>
        </w:rPr>
        <w:t xml:space="preserve"> and </w:t>
      </w:r>
      <w:r w:rsidR="001D59F9">
        <w:rPr>
          <w:rFonts w:eastAsia="PMingLiU"/>
          <w:color w:val="000000"/>
        </w:rPr>
        <w:t>the 2</w:t>
      </w:r>
      <w:r w:rsidR="001D59F9" w:rsidRPr="001D59F9">
        <w:rPr>
          <w:rFonts w:eastAsia="PMingLiU"/>
          <w:color w:val="000000"/>
          <w:vertAlign w:val="superscript"/>
        </w:rPr>
        <w:t>nd</w:t>
      </w:r>
      <w:r w:rsidR="001D59F9">
        <w:rPr>
          <w:rFonts w:eastAsia="PMingLiU"/>
          <w:color w:val="000000"/>
        </w:rPr>
        <w:t> Respondent</w:t>
      </w:r>
      <w:r>
        <w:rPr>
          <w:rFonts w:eastAsia="PMingLiU"/>
          <w:color w:val="000000"/>
        </w:rPr>
        <w:t xml:space="preserve"> have not </w:t>
      </w:r>
      <w:r w:rsidRPr="00B92077">
        <w:rPr>
          <w:color w:val="000000"/>
          <w:lang w:val="en-HK"/>
        </w:rPr>
        <w:t xml:space="preserve">been found by the Tribunal to have contravened the </w:t>
      </w:r>
      <w:r w:rsidRPr="00A21250">
        <w:rPr>
          <w:i/>
          <w:color w:val="000000"/>
          <w:lang w:val="en-HK"/>
        </w:rPr>
        <w:t>Ordinance</w:t>
      </w:r>
      <w:r>
        <w:rPr>
          <w:rFonts w:eastAsia="PMingLiU"/>
          <w:color w:val="000000"/>
        </w:rPr>
        <w:t xml:space="preserve"> previously;</w:t>
      </w:r>
    </w:p>
    <w:p w:rsidR="00A21250" w:rsidRDefault="00A21250" w:rsidP="00A21250">
      <w:pPr>
        <w:pStyle w:val="HC-Hanging"/>
        <w:numPr>
          <w:ilvl w:val="0"/>
          <w:numId w:val="0"/>
        </w:numPr>
        <w:ind w:left="2160" w:hanging="720"/>
        <w:rPr>
          <w:rFonts w:eastAsia="PMingLiU"/>
          <w:color w:val="000000"/>
        </w:rPr>
      </w:pPr>
      <w:r>
        <w:rPr>
          <w:rFonts w:eastAsia="PMingLiU"/>
          <w:color w:val="000000"/>
        </w:rPr>
        <w:t>(d)</w:t>
      </w:r>
      <w:r>
        <w:rPr>
          <w:rFonts w:eastAsia="PMingLiU"/>
          <w:color w:val="000000"/>
        </w:rPr>
        <w:tab/>
      </w:r>
      <w:r w:rsidR="00E47A0C">
        <w:rPr>
          <w:rFonts w:eastAsia="PMingLiU"/>
          <w:color w:val="000000"/>
        </w:rPr>
        <w:t xml:space="preserve">The turnover of </w:t>
      </w:r>
      <w:r w:rsidR="009613CD">
        <w:rPr>
          <w:rFonts w:eastAsia="PMingLiU"/>
          <w:color w:val="000000"/>
        </w:rPr>
        <w:t>the 1</w:t>
      </w:r>
      <w:r w:rsidR="009613CD" w:rsidRPr="009613CD">
        <w:rPr>
          <w:rFonts w:eastAsia="PMingLiU"/>
          <w:color w:val="000000"/>
          <w:vertAlign w:val="superscript"/>
        </w:rPr>
        <w:t>st</w:t>
      </w:r>
      <w:r w:rsidR="009613CD">
        <w:rPr>
          <w:rFonts w:eastAsia="PMingLiU"/>
          <w:color w:val="000000"/>
        </w:rPr>
        <w:t> Respondent</w:t>
      </w:r>
      <w:r w:rsidR="00E47A0C">
        <w:rPr>
          <w:rFonts w:eastAsia="PMingLiU"/>
          <w:color w:val="000000"/>
        </w:rPr>
        <w:t xml:space="preserve"> during the relevant period was as follows: [36(2)] of </w:t>
      </w:r>
      <w:r w:rsidR="001D59F9">
        <w:rPr>
          <w:rFonts w:eastAsia="PMingLiU"/>
          <w:color w:val="000000"/>
          <w:lang w:val="en-GB"/>
        </w:rPr>
        <w:t>the 1</w:t>
      </w:r>
      <w:r w:rsidR="001D59F9" w:rsidRPr="00EC6108">
        <w:rPr>
          <w:rFonts w:eastAsia="PMingLiU"/>
          <w:color w:val="000000"/>
          <w:vertAlign w:val="superscript"/>
          <w:lang w:val="en-GB"/>
        </w:rPr>
        <w:t>st</w:t>
      </w:r>
      <w:r w:rsidR="001D59F9">
        <w:rPr>
          <w:rFonts w:eastAsia="PMingLiU"/>
          <w:color w:val="000000"/>
          <w:lang w:val="en-GB"/>
        </w:rPr>
        <w:t> Respondent/ the 2</w:t>
      </w:r>
      <w:r w:rsidR="001D59F9" w:rsidRPr="00EC6108">
        <w:rPr>
          <w:rFonts w:eastAsia="PMingLiU"/>
          <w:color w:val="000000"/>
          <w:vertAlign w:val="superscript"/>
          <w:lang w:val="en-GB"/>
        </w:rPr>
        <w:t>nd</w:t>
      </w:r>
      <w:r w:rsidR="001D59F9">
        <w:rPr>
          <w:rFonts w:eastAsia="PMingLiU"/>
          <w:color w:val="000000"/>
          <w:lang w:val="en-GB"/>
        </w:rPr>
        <w:t> Respondent</w:t>
      </w:r>
      <w:r w:rsidR="00E47A0C">
        <w:rPr>
          <w:rFonts w:eastAsia="PMingLiU"/>
          <w:color w:val="000000"/>
        </w:rPr>
        <w:t xml:space="preserve"> Statement:</w:t>
      </w:r>
    </w:p>
    <w:p w:rsidR="00E47A0C" w:rsidRPr="00AB7D43" w:rsidRDefault="00E47A0C" w:rsidP="00A21250">
      <w:pPr>
        <w:pStyle w:val="HC-Hanging"/>
        <w:numPr>
          <w:ilvl w:val="0"/>
          <w:numId w:val="0"/>
        </w:numPr>
        <w:ind w:left="2160" w:hanging="720"/>
        <w:rPr>
          <w:rFonts w:eastAsia="PMingLiU"/>
          <w:color w:val="000000"/>
          <w:sz w:val="20"/>
        </w:rPr>
      </w:pPr>
    </w:p>
    <w:tbl>
      <w:tblPr>
        <w:tblStyle w:val="TableGrid"/>
        <w:tblW w:w="5894" w:type="dxa"/>
        <w:tblInd w:w="2222" w:type="dxa"/>
        <w:tblLook w:val="04A0" w:firstRow="1" w:lastRow="0" w:firstColumn="1" w:lastColumn="0" w:noHBand="0" w:noVBand="1"/>
      </w:tblPr>
      <w:tblGrid>
        <w:gridCol w:w="3364"/>
        <w:gridCol w:w="2530"/>
      </w:tblGrid>
      <w:tr w:rsidR="00E47A0C" w:rsidRPr="002749DA" w:rsidTr="00191520">
        <w:tc>
          <w:tcPr>
            <w:tcW w:w="3364" w:type="dxa"/>
          </w:tcPr>
          <w:p w:rsidR="00E47A0C" w:rsidRPr="002749DA" w:rsidRDefault="00E47A0C" w:rsidP="00191520">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b/>
                <w:bCs/>
                <w:color w:val="000000"/>
              </w:rPr>
              <w:t>Financial Year</w:t>
            </w:r>
          </w:p>
        </w:tc>
        <w:tc>
          <w:tcPr>
            <w:tcW w:w="2530" w:type="dxa"/>
          </w:tcPr>
          <w:p w:rsidR="00E47A0C" w:rsidRPr="002749DA" w:rsidRDefault="00E47A0C" w:rsidP="00191520">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b/>
                <w:bCs/>
                <w:color w:val="000000"/>
              </w:rPr>
              <w:t>Turnover (minus tax)</w:t>
            </w:r>
          </w:p>
        </w:tc>
      </w:tr>
      <w:tr w:rsidR="00E47A0C" w:rsidRPr="002749DA" w:rsidTr="00191520">
        <w:tc>
          <w:tcPr>
            <w:tcW w:w="3364" w:type="dxa"/>
            <w:vAlign w:val="bottom"/>
          </w:tcPr>
          <w:p w:rsidR="00E47A0C" w:rsidRPr="002749DA" w:rsidRDefault="00E47A0C" w:rsidP="00191520">
            <w:pPr>
              <w:pStyle w:val="ListI"/>
              <w:tabs>
                <w:tab w:val="left" w:pos="540"/>
              </w:tabs>
              <w:jc w:val="center"/>
              <w:rPr>
                <w:rFonts w:ascii="Times New Roman" w:hAnsi="Times New Roman" w:cs="Times New Roman"/>
                <w:color w:val="000000"/>
              </w:rPr>
            </w:pPr>
            <w:r w:rsidRPr="002749DA">
              <w:rPr>
                <w:rFonts w:ascii="Times New Roman" w:hAnsi="Times New Roman" w:cs="Times New Roman"/>
                <w:color w:val="000000"/>
              </w:rPr>
              <w:t>1 April 2020 to 31 March 2021</w:t>
            </w:r>
          </w:p>
        </w:tc>
        <w:tc>
          <w:tcPr>
            <w:tcW w:w="2530" w:type="dxa"/>
          </w:tcPr>
          <w:p w:rsidR="00E47A0C" w:rsidRPr="002749DA" w:rsidRDefault="00E47A0C" w:rsidP="00191520">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rPr>
              <w:t>HK$</w:t>
            </w:r>
            <w:r>
              <w:rPr>
                <w:rFonts w:ascii="Times New Roman" w:hAnsi="Times New Roman" w:cs="Times New Roman"/>
                <w:lang w:val="en-GB"/>
              </w:rPr>
              <w:t>169,667,681</w:t>
            </w:r>
          </w:p>
        </w:tc>
      </w:tr>
      <w:tr w:rsidR="00E47A0C" w:rsidRPr="002749DA" w:rsidTr="00191520">
        <w:tc>
          <w:tcPr>
            <w:tcW w:w="3364" w:type="dxa"/>
            <w:vAlign w:val="bottom"/>
          </w:tcPr>
          <w:p w:rsidR="00E47A0C" w:rsidRPr="002749DA" w:rsidRDefault="00E47A0C" w:rsidP="00191520">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color w:val="000000"/>
              </w:rPr>
              <w:t>1 April 2021 to 31 March 2022</w:t>
            </w:r>
          </w:p>
        </w:tc>
        <w:tc>
          <w:tcPr>
            <w:tcW w:w="2530" w:type="dxa"/>
          </w:tcPr>
          <w:p w:rsidR="00E47A0C" w:rsidRPr="002749DA" w:rsidRDefault="00E47A0C" w:rsidP="00191520">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noProof/>
                <w:lang w:val="en-GB" w:eastAsia="zh-CN"/>
              </w:rPr>
              <w:t>HK$</w:t>
            </w:r>
            <w:r>
              <w:rPr>
                <w:rFonts w:ascii="Times New Roman" w:hAnsi="Times New Roman" w:cs="Times New Roman"/>
                <w:noProof/>
                <w:lang w:val="en-GB" w:eastAsia="zh-CN"/>
              </w:rPr>
              <w:t>197,272,214</w:t>
            </w:r>
          </w:p>
        </w:tc>
      </w:tr>
    </w:tbl>
    <w:p w:rsidR="00E47A0C" w:rsidRDefault="00E47A0C" w:rsidP="00E47A0C">
      <w:pPr>
        <w:pStyle w:val="HC-Hanging"/>
        <w:numPr>
          <w:ilvl w:val="0"/>
          <w:numId w:val="0"/>
        </w:numPr>
        <w:spacing w:before="360"/>
        <w:ind w:left="2160" w:hanging="720"/>
        <w:rPr>
          <w:rFonts w:eastAsia="PMingLiU"/>
          <w:color w:val="000000"/>
          <w:lang w:val="en-GB"/>
        </w:rPr>
      </w:pPr>
      <w:r>
        <w:t>(e)</w:t>
      </w:r>
      <w:r>
        <w:tab/>
      </w:r>
      <w:r>
        <w:rPr>
          <w:rFonts w:eastAsia="PMingLiU"/>
          <w:color w:val="000000"/>
        </w:rPr>
        <w:t xml:space="preserve">The penalty sought only represents around 0.57% and 0.49% of </w:t>
      </w:r>
      <w:r w:rsidR="00BB2424">
        <w:rPr>
          <w:rFonts w:eastAsia="PMingLiU"/>
          <w:color w:val="000000"/>
        </w:rPr>
        <w:t>the 1</w:t>
      </w:r>
      <w:r w:rsidR="00BB2424" w:rsidRPr="00BB2424">
        <w:rPr>
          <w:rFonts w:eastAsia="PMingLiU"/>
          <w:color w:val="000000"/>
          <w:vertAlign w:val="superscript"/>
        </w:rPr>
        <w:t>st</w:t>
      </w:r>
      <w:r w:rsidR="00BB2424">
        <w:rPr>
          <w:rFonts w:eastAsia="PMingLiU"/>
          <w:color w:val="000000"/>
        </w:rPr>
        <w:t> Respondent</w:t>
      </w:r>
      <w:r>
        <w:rPr>
          <w:rFonts w:eastAsia="PMingLiU"/>
          <w:color w:val="000000"/>
        </w:rPr>
        <w:t>’s turnovers in the above financial years.  The Commission</w:t>
      </w:r>
      <w:r w:rsidR="00BB2424">
        <w:rPr>
          <w:rFonts w:eastAsia="PMingLiU"/>
          <w:color w:val="000000"/>
        </w:rPr>
        <w:t>,</w:t>
      </w:r>
      <w:r>
        <w:rPr>
          <w:rFonts w:eastAsia="PMingLiU"/>
          <w:color w:val="000000"/>
        </w:rPr>
        <w:t xml:space="preserve"> therefore</w:t>
      </w:r>
      <w:r w:rsidR="00BB2424">
        <w:rPr>
          <w:rFonts w:eastAsia="PMingLiU"/>
          <w:color w:val="000000"/>
        </w:rPr>
        <w:t>,</w:t>
      </w:r>
      <w:r>
        <w:rPr>
          <w:rFonts w:eastAsia="PMingLiU"/>
          <w:color w:val="000000"/>
        </w:rPr>
        <w:t xml:space="preserve"> sought to </w:t>
      </w:r>
      <w:r w:rsidR="00BB2424">
        <w:rPr>
          <w:rFonts w:eastAsia="PMingLiU"/>
          <w:color w:val="000000"/>
        </w:rPr>
        <w:t>increase</w:t>
      </w:r>
      <w:r>
        <w:rPr>
          <w:rFonts w:eastAsia="PMingLiU"/>
          <w:color w:val="000000"/>
        </w:rPr>
        <w:t xml:space="preserve"> the penalty by 50% to </w:t>
      </w:r>
      <w:r w:rsidRPr="004009CE">
        <w:rPr>
          <w:rFonts w:eastAsia="PMingLiU"/>
          <w:color w:val="000000"/>
          <w:lang w:val="en-GB"/>
        </w:rPr>
        <w:t xml:space="preserve">HK$1,451,636.12, to achieve </w:t>
      </w:r>
      <w:r w:rsidR="00BB2424">
        <w:rPr>
          <w:rFonts w:eastAsia="PMingLiU"/>
          <w:color w:val="000000"/>
          <w:lang w:val="en-GB"/>
        </w:rPr>
        <w:t>a</w:t>
      </w:r>
      <w:r w:rsidRPr="004009CE">
        <w:rPr>
          <w:rFonts w:eastAsia="PMingLiU"/>
          <w:color w:val="000000"/>
          <w:lang w:val="en-GB"/>
        </w:rPr>
        <w:t xml:space="preserve"> deterrent effect to promote the effectiveness of the competition regime.</w:t>
      </w:r>
    </w:p>
    <w:p w:rsidR="00E47A0C" w:rsidRDefault="00E47A0C" w:rsidP="00E47A0C">
      <w:pPr>
        <w:pStyle w:val="HC-Hanging"/>
        <w:numPr>
          <w:ilvl w:val="0"/>
          <w:numId w:val="0"/>
        </w:numPr>
        <w:spacing w:before="360"/>
        <w:ind w:left="1440" w:hanging="720"/>
        <w:rPr>
          <w:rFonts w:eastAsia="PMingLiU"/>
          <w:color w:val="000000"/>
          <w:lang w:val="en-GB"/>
        </w:rPr>
      </w:pPr>
      <w:r>
        <w:rPr>
          <w:rFonts w:eastAsia="PMingLiU"/>
          <w:color w:val="000000"/>
          <w:lang w:val="en-GB"/>
        </w:rPr>
        <w:t>(3)</w:t>
      </w:r>
      <w:r>
        <w:rPr>
          <w:rFonts w:eastAsia="PMingLiU"/>
          <w:color w:val="000000"/>
          <w:lang w:val="en-GB"/>
        </w:rPr>
        <w:tab/>
      </w:r>
      <w:r>
        <w:rPr>
          <w:rFonts w:eastAsia="PMingLiU"/>
          <w:b/>
          <w:bCs/>
          <w:color w:val="000000"/>
        </w:rPr>
        <w:t>Step 3</w:t>
      </w:r>
      <w:r>
        <w:rPr>
          <w:rFonts w:eastAsia="PMingLiU"/>
          <w:color w:val="000000"/>
        </w:rPr>
        <w:t xml:space="preserve">: the Step 2 figure of </w:t>
      </w:r>
      <w:r w:rsidRPr="004009CE">
        <w:rPr>
          <w:rFonts w:eastAsia="PMingLiU"/>
          <w:color w:val="000000"/>
          <w:lang w:val="en-GB"/>
        </w:rPr>
        <w:t>HK$1,451,636.12</w:t>
      </w:r>
      <w:r>
        <w:rPr>
          <w:rFonts w:eastAsia="PMingLiU"/>
          <w:color w:val="000000"/>
          <w:lang w:val="en-GB"/>
        </w:rPr>
        <w:t xml:space="preserve"> does not exceed the statutory cap;</w:t>
      </w:r>
    </w:p>
    <w:p w:rsidR="00E47A0C" w:rsidRDefault="00E47A0C" w:rsidP="00E47A0C">
      <w:pPr>
        <w:pStyle w:val="HC-Hanging"/>
        <w:numPr>
          <w:ilvl w:val="0"/>
          <w:numId w:val="0"/>
        </w:numPr>
        <w:spacing w:before="360"/>
        <w:ind w:left="1440" w:hanging="720"/>
        <w:rPr>
          <w:rFonts w:eastAsia="PMingLiU"/>
          <w:color w:val="000000"/>
        </w:rPr>
      </w:pPr>
      <w:r>
        <w:rPr>
          <w:rFonts w:eastAsia="PMingLiU"/>
          <w:color w:val="000000"/>
          <w:lang w:val="en-GB"/>
        </w:rPr>
        <w:t>(4)</w:t>
      </w:r>
      <w:r>
        <w:rPr>
          <w:rFonts w:eastAsia="PMingLiU"/>
          <w:color w:val="000000"/>
          <w:lang w:val="en-GB"/>
        </w:rPr>
        <w:tab/>
      </w:r>
      <w:r>
        <w:rPr>
          <w:rFonts w:eastAsia="PMingLiU"/>
          <w:b/>
          <w:bCs/>
          <w:color w:val="000000"/>
        </w:rPr>
        <w:t>Step 4</w:t>
      </w:r>
      <w:r>
        <w:rPr>
          <w:rFonts w:eastAsia="PMingLiU"/>
          <w:color w:val="000000"/>
        </w:rPr>
        <w:t xml:space="preserve">: A cooperation discount of 18% is applied, bringing the final figure to HK$1,190,000 (rounded down to the nearest thousand), which is agreed by </w:t>
      </w:r>
      <w:r w:rsidR="00BB2424">
        <w:rPr>
          <w:rFonts w:eastAsia="PMingLiU"/>
          <w:color w:val="000000"/>
        </w:rPr>
        <w:t>the 1</w:t>
      </w:r>
      <w:r w:rsidR="00BB2424" w:rsidRPr="00BB2424">
        <w:rPr>
          <w:rFonts w:eastAsia="PMingLiU"/>
          <w:color w:val="000000"/>
          <w:vertAlign w:val="superscript"/>
        </w:rPr>
        <w:t>st</w:t>
      </w:r>
      <w:r w:rsidR="00BB2424">
        <w:rPr>
          <w:rFonts w:eastAsia="PMingLiU"/>
          <w:color w:val="000000"/>
        </w:rPr>
        <w:t> Respondent</w:t>
      </w:r>
      <w:r>
        <w:rPr>
          <w:rFonts w:eastAsia="PMingLiU"/>
          <w:color w:val="000000"/>
        </w:rPr>
        <w:t>.</w:t>
      </w:r>
    </w:p>
    <w:p w:rsidR="0090322F" w:rsidRDefault="0090322F" w:rsidP="00E47A0C">
      <w:pPr>
        <w:pStyle w:val="H1"/>
        <w:rPr>
          <w:rFonts w:eastAsia="PMingLiU"/>
          <w:b/>
          <w:iCs/>
          <w:color w:val="000000"/>
        </w:rPr>
      </w:pPr>
      <w:bookmarkStart w:id="3" w:name="_Ref167078796"/>
    </w:p>
    <w:p w:rsidR="00E47A0C" w:rsidRPr="00E47A0C" w:rsidRDefault="00E47A0C" w:rsidP="00E47A0C">
      <w:pPr>
        <w:pStyle w:val="H1"/>
        <w:rPr>
          <w:b/>
        </w:rPr>
      </w:pPr>
      <w:r w:rsidRPr="00E47A0C">
        <w:rPr>
          <w:rFonts w:eastAsia="PMingLiU"/>
          <w:b/>
          <w:iCs/>
          <w:color w:val="000000"/>
        </w:rPr>
        <w:t>Adoption and implementation of competition compliance scheme</w:t>
      </w:r>
    </w:p>
    <w:p w:rsidR="004465E1" w:rsidRDefault="00E47A0C" w:rsidP="009F0836">
      <w:pPr>
        <w:pStyle w:val="Final"/>
      </w:pPr>
      <w:r>
        <w:rPr>
          <w:rFonts w:eastAsia="PMingLiU"/>
          <w:color w:val="000000"/>
          <w:szCs w:val="28"/>
          <w:lang w:val="en-HK"/>
        </w:rPr>
        <w:t xml:space="preserve">The Tribunal has the broad power to grant an order requiring any person who has contravened or been involved in the contravention to do any act or thing: [1(c)] of Schedule 3 of the </w:t>
      </w:r>
      <w:r w:rsidRPr="00E47A0C">
        <w:rPr>
          <w:rFonts w:eastAsia="PMingLiU"/>
          <w:i/>
          <w:color w:val="000000"/>
          <w:szCs w:val="28"/>
          <w:lang w:val="en-HK"/>
        </w:rPr>
        <w:t>Ordinance</w:t>
      </w:r>
      <w:r>
        <w:rPr>
          <w:rFonts w:eastAsia="PMingLiU"/>
          <w:color w:val="000000"/>
          <w:szCs w:val="28"/>
          <w:lang w:val="en-HK"/>
        </w:rPr>
        <w:t>.</w:t>
      </w:r>
      <w:bookmarkEnd w:id="3"/>
    </w:p>
    <w:p w:rsidR="004465E1" w:rsidRPr="00904C30" w:rsidRDefault="00904C30" w:rsidP="009F0836">
      <w:pPr>
        <w:pStyle w:val="Final"/>
      </w:pPr>
      <w:r>
        <w:rPr>
          <w:rFonts w:eastAsia="PMingLiU"/>
          <w:color w:val="000000"/>
          <w:szCs w:val="28"/>
          <w:lang w:val="en-HK"/>
        </w:rPr>
        <w:t>The adoption and implementation of a competition compliance programme is a common undertaking required from the respondents in a cooperation agreement: [28(e)] of the Commission’s Cooperation and Settlement Policy for Undertakings Engaged in Cartel Conduct (“</w:t>
      </w:r>
      <w:r>
        <w:rPr>
          <w:rFonts w:eastAsia="PMingLiU"/>
          <w:b/>
          <w:bCs/>
          <w:color w:val="000000"/>
          <w:szCs w:val="28"/>
          <w:lang w:val="en-HK"/>
        </w:rPr>
        <w:t>Cooperation Policy</w:t>
      </w:r>
      <w:r>
        <w:rPr>
          <w:rFonts w:eastAsia="PMingLiU"/>
          <w:color w:val="000000"/>
          <w:szCs w:val="28"/>
          <w:lang w:val="en-HK"/>
        </w:rPr>
        <w:t>”).</w:t>
      </w:r>
    </w:p>
    <w:p w:rsidR="00904C30" w:rsidRPr="00D965CA" w:rsidRDefault="00904C30" w:rsidP="009F0836">
      <w:pPr>
        <w:pStyle w:val="Final"/>
      </w:pPr>
      <w:r>
        <w:rPr>
          <w:rFonts w:eastAsia="PMingLiU"/>
          <w:color w:val="000000"/>
          <w:szCs w:val="28"/>
          <w:lang w:val="en-HK"/>
        </w:rPr>
        <w:t xml:space="preserve">This is particularly apt in the present proceedings against </w:t>
      </w:r>
      <w:r w:rsidR="003C1ECC">
        <w:rPr>
          <w:rFonts w:eastAsia="PMingLiU"/>
          <w:color w:val="000000"/>
          <w:szCs w:val="28"/>
          <w:lang w:val="en-HK"/>
        </w:rPr>
        <w:t>the 1</w:t>
      </w:r>
      <w:r w:rsidR="003C1ECC" w:rsidRPr="003C1ECC">
        <w:rPr>
          <w:rFonts w:eastAsia="PMingLiU"/>
          <w:color w:val="000000"/>
          <w:szCs w:val="28"/>
          <w:vertAlign w:val="superscript"/>
          <w:lang w:val="en-HK"/>
        </w:rPr>
        <w:t>st</w:t>
      </w:r>
      <w:r w:rsidR="003C1ECC">
        <w:rPr>
          <w:rFonts w:eastAsia="PMingLiU"/>
          <w:color w:val="000000"/>
          <w:szCs w:val="28"/>
          <w:lang w:val="en-HK"/>
        </w:rPr>
        <w:t> Respondent</w:t>
      </w:r>
      <w:r>
        <w:rPr>
          <w:rFonts w:eastAsia="PMingLiU"/>
          <w:color w:val="000000"/>
          <w:szCs w:val="28"/>
          <w:lang w:val="en-HK"/>
        </w:rPr>
        <w:t xml:space="preserve">, which </w:t>
      </w:r>
      <w:r w:rsidR="003C1ECC">
        <w:rPr>
          <w:rFonts w:eastAsia="PMingLiU"/>
          <w:color w:val="000000"/>
          <w:szCs w:val="28"/>
          <w:lang w:val="en-HK"/>
        </w:rPr>
        <w:t xml:space="preserve">is a </w:t>
      </w:r>
      <w:r>
        <w:rPr>
          <w:rFonts w:eastAsia="PMingLiU"/>
          <w:color w:val="000000"/>
          <w:szCs w:val="28"/>
          <w:lang w:val="en-HK"/>
        </w:rPr>
        <w:t>sizable corporation with resources to educate its directors and employees, ensure compliance with competition law and prevent recurrence of contraventions.</w:t>
      </w:r>
    </w:p>
    <w:p w:rsidR="00D965CA" w:rsidRPr="00D965CA" w:rsidRDefault="00D965CA" w:rsidP="00D965CA">
      <w:pPr>
        <w:pStyle w:val="H1"/>
        <w:rPr>
          <w:b/>
        </w:rPr>
      </w:pPr>
      <w:bookmarkStart w:id="4" w:name="_Ref167078802"/>
      <w:r w:rsidRPr="00D965CA">
        <w:rPr>
          <w:rFonts w:eastAsia="PMingLiU"/>
          <w:b/>
          <w:iCs/>
          <w:color w:val="000000"/>
          <w:lang w:val="en-HK"/>
        </w:rPr>
        <w:t>Payment of investigation costs</w:t>
      </w:r>
    </w:p>
    <w:p w:rsidR="00D965CA" w:rsidRPr="003C1ECC" w:rsidRDefault="00D965CA" w:rsidP="003C1ECC">
      <w:pPr>
        <w:pStyle w:val="Final"/>
      </w:pPr>
      <w:r>
        <w:rPr>
          <w:rFonts w:eastAsia="PMingLiU"/>
          <w:color w:val="000000"/>
          <w:szCs w:val="28"/>
          <w:lang w:val="en-HK"/>
        </w:rPr>
        <w:t xml:space="preserve">This Court has the power to grant an order for payment of the Commission’s investigation costs under </w:t>
      </w:r>
      <w:r w:rsidRPr="00D965CA">
        <w:rPr>
          <w:rFonts w:eastAsia="PMingLiU"/>
          <w:i/>
          <w:color w:val="000000"/>
          <w:szCs w:val="28"/>
          <w:lang w:val="en-HK"/>
        </w:rPr>
        <w:t>section 96</w:t>
      </w:r>
      <w:r>
        <w:rPr>
          <w:rFonts w:eastAsia="PMingLiU"/>
          <w:color w:val="000000"/>
          <w:szCs w:val="28"/>
          <w:lang w:val="en-HK"/>
        </w:rPr>
        <w:t xml:space="preserve"> of the </w:t>
      </w:r>
      <w:r w:rsidRPr="00D965CA">
        <w:rPr>
          <w:rFonts w:eastAsia="PMingLiU"/>
          <w:i/>
          <w:color w:val="000000"/>
          <w:szCs w:val="28"/>
          <w:lang w:val="en-HK"/>
        </w:rPr>
        <w:t>Ordinance</w:t>
      </w:r>
      <w:r>
        <w:rPr>
          <w:rFonts w:eastAsia="PMingLiU"/>
          <w:color w:val="000000"/>
          <w:szCs w:val="28"/>
          <w:lang w:val="en-HK"/>
        </w:rPr>
        <w:t>.</w:t>
      </w:r>
      <w:bookmarkEnd w:id="4"/>
      <w:r w:rsidR="003C1ECC">
        <w:t xml:space="preserve">  </w:t>
      </w:r>
      <w:r w:rsidRPr="003C1ECC">
        <w:rPr>
          <w:rFonts w:eastAsia="PMingLiU"/>
          <w:color w:val="000000"/>
          <w:szCs w:val="28"/>
          <w:lang w:val="en-HK"/>
        </w:rPr>
        <w:t xml:space="preserve">The costs of and incidental to the investigation amounts to HK$621,730, consisting of transcription and translation fees and other miscellaneous expenses.  The sum of HK$155,000 (rounded down to the nearest thousand) represents </w:t>
      </w:r>
      <w:r w:rsidR="003C1ECC">
        <w:rPr>
          <w:rFonts w:eastAsia="PMingLiU"/>
          <w:color w:val="000000"/>
          <w:szCs w:val="28"/>
          <w:lang w:val="en-HK"/>
        </w:rPr>
        <w:t>the 1</w:t>
      </w:r>
      <w:r w:rsidR="003C1ECC" w:rsidRPr="003C1ECC">
        <w:rPr>
          <w:rFonts w:eastAsia="PMingLiU"/>
          <w:color w:val="000000"/>
          <w:szCs w:val="28"/>
          <w:vertAlign w:val="superscript"/>
          <w:lang w:val="en-HK"/>
        </w:rPr>
        <w:t>st</w:t>
      </w:r>
      <w:r w:rsidR="003C1ECC">
        <w:rPr>
          <w:rFonts w:eastAsia="PMingLiU"/>
          <w:color w:val="000000"/>
          <w:szCs w:val="28"/>
          <w:lang w:val="en-HK"/>
        </w:rPr>
        <w:t> Respondent</w:t>
      </w:r>
      <w:r w:rsidRPr="003C1ECC">
        <w:rPr>
          <w:rFonts w:eastAsia="PMingLiU"/>
          <w:color w:val="000000"/>
          <w:szCs w:val="28"/>
          <w:lang w:val="en-HK"/>
        </w:rPr>
        <w:t xml:space="preserve">’s share of such investigation costs: [37] and Annex B of </w:t>
      </w:r>
      <w:r w:rsidR="009613CD">
        <w:rPr>
          <w:rFonts w:eastAsia="PMingLiU"/>
          <w:color w:val="000000"/>
          <w:szCs w:val="28"/>
          <w:lang w:val="en-HK"/>
        </w:rPr>
        <w:t>the 1</w:t>
      </w:r>
      <w:r w:rsidR="009613CD" w:rsidRPr="009613CD">
        <w:rPr>
          <w:rFonts w:eastAsia="PMingLiU"/>
          <w:color w:val="000000"/>
          <w:szCs w:val="28"/>
          <w:vertAlign w:val="superscript"/>
          <w:lang w:val="en-HK"/>
        </w:rPr>
        <w:t>st</w:t>
      </w:r>
      <w:r w:rsidR="009613CD">
        <w:rPr>
          <w:rFonts w:eastAsia="PMingLiU"/>
          <w:color w:val="000000"/>
          <w:szCs w:val="28"/>
          <w:lang w:val="en-HK"/>
        </w:rPr>
        <w:t xml:space="preserve"> Respondent/ the 2</w:t>
      </w:r>
      <w:r w:rsidR="009613CD" w:rsidRPr="009613CD">
        <w:rPr>
          <w:rFonts w:eastAsia="PMingLiU"/>
          <w:color w:val="000000"/>
          <w:szCs w:val="28"/>
          <w:vertAlign w:val="superscript"/>
          <w:lang w:val="en-HK"/>
        </w:rPr>
        <w:t>nd</w:t>
      </w:r>
      <w:r w:rsidR="009613CD">
        <w:rPr>
          <w:rFonts w:eastAsia="PMingLiU"/>
          <w:color w:val="000000"/>
          <w:szCs w:val="28"/>
          <w:lang w:val="en-HK"/>
        </w:rPr>
        <w:t xml:space="preserve"> Respondent</w:t>
      </w:r>
      <w:r w:rsidRPr="003C1ECC">
        <w:rPr>
          <w:rFonts w:eastAsia="PMingLiU"/>
          <w:color w:val="000000"/>
          <w:szCs w:val="28"/>
          <w:lang w:val="en-HK"/>
        </w:rPr>
        <w:t xml:space="preserve"> Statement.</w:t>
      </w:r>
    </w:p>
    <w:p w:rsidR="003C1ECC" w:rsidRPr="003C1ECC" w:rsidRDefault="003C1ECC" w:rsidP="003C1ECC">
      <w:pPr>
        <w:pStyle w:val="H1"/>
        <w:rPr>
          <w:b/>
        </w:rPr>
      </w:pPr>
      <w:r w:rsidRPr="003C1ECC">
        <w:rPr>
          <w:b/>
        </w:rPr>
        <w:t xml:space="preserve">Penalties </w:t>
      </w:r>
      <w:r w:rsidR="004C4C60">
        <w:rPr>
          <w:b/>
        </w:rPr>
        <w:t>for the 3</w:t>
      </w:r>
      <w:r w:rsidR="004C4C60" w:rsidRPr="004C4C60">
        <w:rPr>
          <w:b/>
          <w:vertAlign w:val="superscript"/>
        </w:rPr>
        <w:t>rd</w:t>
      </w:r>
      <w:r w:rsidR="004C4C60">
        <w:rPr>
          <w:b/>
        </w:rPr>
        <w:t xml:space="preserve"> and 4</w:t>
      </w:r>
      <w:r w:rsidR="004C4C60" w:rsidRPr="004C4C60">
        <w:rPr>
          <w:b/>
          <w:vertAlign w:val="superscript"/>
        </w:rPr>
        <w:t>th</w:t>
      </w:r>
      <w:r w:rsidR="004C4C60">
        <w:rPr>
          <w:b/>
        </w:rPr>
        <w:t xml:space="preserve"> Respondents</w:t>
      </w:r>
    </w:p>
    <w:p w:rsidR="00D965CA" w:rsidRPr="00655B6C" w:rsidRDefault="00655B6C" w:rsidP="00655B6C">
      <w:pPr>
        <w:pStyle w:val="Final"/>
        <w:spacing w:after="0"/>
      </w:pPr>
      <w:r>
        <w:rPr>
          <w:rFonts w:eastAsia="PMingLiU"/>
          <w:color w:val="000000"/>
          <w:szCs w:val="28"/>
        </w:rPr>
        <w:t>The agreed draft orde</w:t>
      </w:r>
      <w:r w:rsidR="00BD4AA6">
        <w:rPr>
          <w:rFonts w:eastAsia="PMingLiU"/>
          <w:color w:val="000000"/>
          <w:szCs w:val="28"/>
        </w:rPr>
        <w:t>r includes the following relief</w:t>
      </w:r>
      <w:r>
        <w:rPr>
          <w:rFonts w:eastAsia="PMingLiU"/>
          <w:color w:val="000000"/>
          <w:szCs w:val="28"/>
        </w:rPr>
        <w:t>:</w:t>
      </w:r>
    </w:p>
    <w:p w:rsidR="00655B6C" w:rsidRPr="00655B6C" w:rsidRDefault="00655B6C" w:rsidP="00655B6C">
      <w:pPr>
        <w:pStyle w:val="HC-Hanging"/>
        <w:ind w:left="1440"/>
      </w:pPr>
      <w:r>
        <w:rPr>
          <w:rFonts w:eastAsia="PMingLiU"/>
          <w:color w:val="000000"/>
        </w:rPr>
        <w:t xml:space="preserve">A declaration of contravention by </w:t>
      </w:r>
      <w:r w:rsidR="003C1ECC">
        <w:rPr>
          <w:rFonts w:eastAsia="PMingLiU"/>
          <w:color w:val="000000"/>
        </w:rPr>
        <w:t>the 3</w:t>
      </w:r>
      <w:r w:rsidR="003C1ECC" w:rsidRPr="003C1ECC">
        <w:rPr>
          <w:rFonts w:eastAsia="PMingLiU"/>
          <w:color w:val="000000"/>
          <w:vertAlign w:val="superscript"/>
        </w:rPr>
        <w:t>rd</w:t>
      </w:r>
      <w:r w:rsidR="003C1ECC">
        <w:rPr>
          <w:rFonts w:eastAsia="PMingLiU"/>
          <w:color w:val="000000"/>
        </w:rPr>
        <w:t> Respondent</w:t>
      </w:r>
      <w:r>
        <w:rPr>
          <w:rFonts w:eastAsia="PMingLiU"/>
          <w:color w:val="000000"/>
        </w:rPr>
        <w:t xml:space="preserve"> and </w:t>
      </w:r>
      <w:r w:rsidR="003C1ECC">
        <w:rPr>
          <w:rFonts w:eastAsia="PMingLiU"/>
          <w:color w:val="000000"/>
        </w:rPr>
        <w:t>the 4</w:t>
      </w:r>
      <w:r w:rsidR="003C1ECC" w:rsidRPr="003C1ECC">
        <w:rPr>
          <w:rFonts w:eastAsia="PMingLiU"/>
          <w:color w:val="000000"/>
          <w:vertAlign w:val="superscript"/>
        </w:rPr>
        <w:t>th</w:t>
      </w:r>
      <w:r w:rsidR="003C1ECC">
        <w:rPr>
          <w:rFonts w:eastAsia="PMingLiU"/>
          <w:color w:val="000000"/>
        </w:rPr>
        <w:t> Respondent</w:t>
      </w:r>
      <w:r>
        <w:rPr>
          <w:rFonts w:eastAsia="PMingLiU"/>
          <w:color w:val="000000"/>
        </w:rPr>
        <w:t>;</w:t>
      </w:r>
    </w:p>
    <w:p w:rsidR="00655B6C" w:rsidRPr="00655B6C" w:rsidRDefault="00655B6C" w:rsidP="00655B6C">
      <w:pPr>
        <w:pStyle w:val="HC-Hanging"/>
        <w:ind w:left="1440"/>
      </w:pPr>
      <w:r>
        <w:rPr>
          <w:rFonts w:eastAsia="PMingLiU"/>
          <w:color w:val="000000"/>
        </w:rPr>
        <w:t xml:space="preserve">A pecuniary penalty of HK$90,000 to be paid jointly and severally by </w:t>
      </w:r>
      <w:r w:rsidR="003C1ECC">
        <w:rPr>
          <w:rFonts w:eastAsia="PMingLiU"/>
          <w:color w:val="000000"/>
        </w:rPr>
        <w:t>the 3</w:t>
      </w:r>
      <w:r w:rsidR="003C1ECC" w:rsidRPr="003C1ECC">
        <w:rPr>
          <w:rFonts w:eastAsia="PMingLiU"/>
          <w:color w:val="000000"/>
          <w:vertAlign w:val="superscript"/>
        </w:rPr>
        <w:t>rd</w:t>
      </w:r>
      <w:r w:rsidR="003C1ECC">
        <w:rPr>
          <w:rFonts w:eastAsia="PMingLiU"/>
          <w:color w:val="000000"/>
        </w:rPr>
        <w:t> Respondent and the 4</w:t>
      </w:r>
      <w:r w:rsidR="003C1ECC" w:rsidRPr="003C1ECC">
        <w:rPr>
          <w:rFonts w:eastAsia="PMingLiU"/>
          <w:color w:val="000000"/>
          <w:vertAlign w:val="superscript"/>
        </w:rPr>
        <w:t>th</w:t>
      </w:r>
      <w:r w:rsidR="003C1ECC">
        <w:rPr>
          <w:rFonts w:eastAsia="PMingLiU"/>
          <w:color w:val="000000"/>
        </w:rPr>
        <w:t> Respondent</w:t>
      </w:r>
      <w:r>
        <w:rPr>
          <w:rFonts w:eastAsia="PMingLiU"/>
          <w:color w:val="000000"/>
        </w:rPr>
        <w:t>;</w:t>
      </w:r>
    </w:p>
    <w:p w:rsidR="00655B6C" w:rsidRPr="00655B6C" w:rsidRDefault="00655B6C" w:rsidP="00655B6C">
      <w:pPr>
        <w:pStyle w:val="HC-Hanging"/>
        <w:ind w:left="1440"/>
      </w:pPr>
      <w:r>
        <w:rPr>
          <w:rFonts w:eastAsia="PMingLiU"/>
          <w:color w:val="000000"/>
        </w:rPr>
        <w:t xml:space="preserve">An order for </w:t>
      </w:r>
      <w:r w:rsidR="00731226">
        <w:rPr>
          <w:rFonts w:eastAsia="PMingLiU"/>
          <w:color w:val="000000"/>
        </w:rPr>
        <w:t>the 3</w:t>
      </w:r>
      <w:r w:rsidR="00731226" w:rsidRPr="003C1ECC">
        <w:rPr>
          <w:rFonts w:eastAsia="PMingLiU"/>
          <w:color w:val="000000"/>
          <w:vertAlign w:val="superscript"/>
        </w:rPr>
        <w:t>rd</w:t>
      </w:r>
      <w:r w:rsidR="00731226">
        <w:rPr>
          <w:rFonts w:eastAsia="PMingLiU"/>
          <w:color w:val="000000"/>
        </w:rPr>
        <w:t> Respondent and the 4</w:t>
      </w:r>
      <w:r w:rsidR="00731226" w:rsidRPr="003C1ECC">
        <w:rPr>
          <w:rFonts w:eastAsia="PMingLiU"/>
          <w:color w:val="000000"/>
          <w:vertAlign w:val="superscript"/>
        </w:rPr>
        <w:t>th</w:t>
      </w:r>
      <w:r w:rsidR="00731226">
        <w:rPr>
          <w:rFonts w:eastAsia="PMingLiU"/>
          <w:color w:val="000000"/>
        </w:rPr>
        <w:t> Respondent</w:t>
      </w:r>
      <w:r>
        <w:rPr>
          <w:rFonts w:eastAsia="PMingLiU"/>
          <w:color w:val="000000"/>
        </w:rPr>
        <w:t xml:space="preserve"> to adopt and to implement, to the reasonable satisfaction of the Commission, an effective competition compliance scheme;</w:t>
      </w:r>
    </w:p>
    <w:p w:rsidR="00655B6C" w:rsidRPr="00655B6C" w:rsidRDefault="00655B6C" w:rsidP="00655B6C">
      <w:pPr>
        <w:pStyle w:val="HC-Hanging"/>
        <w:ind w:left="1440"/>
      </w:pPr>
      <w:r>
        <w:rPr>
          <w:rFonts w:eastAsia="PMingLiU"/>
          <w:color w:val="000000"/>
        </w:rPr>
        <w:t xml:space="preserve">An order for </w:t>
      </w:r>
      <w:r w:rsidR="00731226">
        <w:rPr>
          <w:rFonts w:eastAsia="PMingLiU"/>
          <w:color w:val="000000"/>
        </w:rPr>
        <w:t>the 3</w:t>
      </w:r>
      <w:r w:rsidR="00731226" w:rsidRPr="003C1ECC">
        <w:rPr>
          <w:rFonts w:eastAsia="PMingLiU"/>
          <w:color w:val="000000"/>
          <w:vertAlign w:val="superscript"/>
        </w:rPr>
        <w:t>rd</w:t>
      </w:r>
      <w:r w:rsidR="00731226">
        <w:rPr>
          <w:rFonts w:eastAsia="PMingLiU"/>
          <w:color w:val="000000"/>
        </w:rPr>
        <w:t> Respondent and the 4</w:t>
      </w:r>
      <w:r w:rsidR="00731226" w:rsidRPr="003C1ECC">
        <w:rPr>
          <w:rFonts w:eastAsia="PMingLiU"/>
          <w:color w:val="000000"/>
          <w:vertAlign w:val="superscript"/>
        </w:rPr>
        <w:t>th</w:t>
      </w:r>
      <w:r w:rsidR="00731226">
        <w:rPr>
          <w:rFonts w:eastAsia="PMingLiU"/>
          <w:color w:val="000000"/>
        </w:rPr>
        <w:t> Respondent</w:t>
      </w:r>
      <w:r>
        <w:rPr>
          <w:rFonts w:eastAsia="PMingLiU"/>
          <w:color w:val="000000"/>
        </w:rPr>
        <w:t xml:space="preserve"> to jointly and severally pay its share of the Commission’s investigation costs of HK$155,000;</w:t>
      </w:r>
    </w:p>
    <w:p w:rsidR="00655B6C" w:rsidRPr="00655B6C" w:rsidRDefault="00655B6C" w:rsidP="00655B6C">
      <w:pPr>
        <w:pStyle w:val="HC-Hanging"/>
        <w:ind w:left="1440"/>
      </w:pPr>
      <w:r>
        <w:rPr>
          <w:rFonts w:eastAsia="PMingLiU"/>
          <w:color w:val="000000"/>
        </w:rPr>
        <w:t xml:space="preserve">Payment of the Commission’s costs of and incidental to the application in these proceedings vis-à-vis </w:t>
      </w:r>
      <w:r w:rsidR="00731226">
        <w:rPr>
          <w:rFonts w:eastAsia="PMingLiU"/>
          <w:color w:val="000000"/>
        </w:rPr>
        <w:t>the 3</w:t>
      </w:r>
      <w:r w:rsidR="00731226" w:rsidRPr="003C1ECC">
        <w:rPr>
          <w:rFonts w:eastAsia="PMingLiU"/>
          <w:color w:val="000000"/>
          <w:vertAlign w:val="superscript"/>
        </w:rPr>
        <w:t>rd</w:t>
      </w:r>
      <w:r w:rsidR="00731226">
        <w:rPr>
          <w:rFonts w:eastAsia="PMingLiU"/>
          <w:color w:val="000000"/>
        </w:rPr>
        <w:t> Respondent and the 4</w:t>
      </w:r>
      <w:r w:rsidR="00731226" w:rsidRPr="003C1ECC">
        <w:rPr>
          <w:rFonts w:eastAsia="PMingLiU"/>
          <w:color w:val="000000"/>
          <w:vertAlign w:val="superscript"/>
        </w:rPr>
        <w:t>th</w:t>
      </w:r>
      <w:r w:rsidR="00731226">
        <w:rPr>
          <w:rFonts w:eastAsia="PMingLiU"/>
          <w:color w:val="000000"/>
        </w:rPr>
        <w:t> Respondent</w:t>
      </w:r>
      <w:r>
        <w:rPr>
          <w:rFonts w:eastAsia="PMingLiU"/>
          <w:color w:val="000000"/>
        </w:rPr>
        <w:t>.</w:t>
      </w:r>
    </w:p>
    <w:p w:rsidR="00655B6C" w:rsidRDefault="00655B6C" w:rsidP="00655B6C">
      <w:pPr>
        <w:pStyle w:val="HC-Hanging"/>
        <w:numPr>
          <w:ilvl w:val="0"/>
          <w:numId w:val="0"/>
        </w:numPr>
        <w:ind w:left="1440"/>
      </w:pPr>
    </w:p>
    <w:p w:rsidR="00655B6C" w:rsidRPr="00655B6C" w:rsidRDefault="00655B6C" w:rsidP="00655B6C">
      <w:pPr>
        <w:pStyle w:val="Final"/>
        <w:spacing w:after="0"/>
      </w:pPr>
      <w:r>
        <w:rPr>
          <w:rFonts w:eastAsia="PMingLiU"/>
          <w:color w:val="000000"/>
          <w:szCs w:val="28"/>
        </w:rPr>
        <w:t xml:space="preserve">As to the agreed pecuniary penalty of HK$90,000 jointly and severally payable by </w:t>
      </w:r>
      <w:r w:rsidR="00862D0B">
        <w:rPr>
          <w:rFonts w:eastAsia="PMingLiU"/>
          <w:color w:val="000000"/>
        </w:rPr>
        <w:t>the 3</w:t>
      </w:r>
      <w:r w:rsidR="00862D0B" w:rsidRPr="003C1ECC">
        <w:rPr>
          <w:rFonts w:eastAsia="PMingLiU"/>
          <w:color w:val="000000"/>
          <w:vertAlign w:val="superscript"/>
        </w:rPr>
        <w:t>rd</w:t>
      </w:r>
      <w:r w:rsidR="00862D0B">
        <w:rPr>
          <w:rFonts w:eastAsia="PMingLiU"/>
          <w:color w:val="000000"/>
        </w:rPr>
        <w:t> Respondent and the 4</w:t>
      </w:r>
      <w:r w:rsidR="00862D0B" w:rsidRPr="003C1ECC">
        <w:rPr>
          <w:rFonts w:eastAsia="PMingLiU"/>
          <w:color w:val="000000"/>
          <w:vertAlign w:val="superscript"/>
        </w:rPr>
        <w:t>th</w:t>
      </w:r>
      <w:r w:rsidR="00862D0B">
        <w:rPr>
          <w:rFonts w:eastAsia="PMingLiU"/>
          <w:color w:val="000000"/>
        </w:rPr>
        <w:t> Respondent</w:t>
      </w:r>
      <w:r>
        <w:rPr>
          <w:rFonts w:eastAsia="PMingLiU"/>
          <w:color w:val="000000"/>
          <w:szCs w:val="28"/>
        </w:rPr>
        <w:t>, this was arrived at as follows:</w:t>
      </w:r>
    </w:p>
    <w:p w:rsidR="00655B6C" w:rsidRPr="00655B6C" w:rsidRDefault="00655B6C" w:rsidP="00655B6C">
      <w:pPr>
        <w:pStyle w:val="HC-Hanging"/>
        <w:ind w:left="1440"/>
      </w:pPr>
      <w:r>
        <w:rPr>
          <w:rFonts w:eastAsia="PMingLiU"/>
          <w:b/>
          <w:bCs/>
          <w:color w:val="000000"/>
          <w:lang w:val="en-HK"/>
        </w:rPr>
        <w:t>Step 1</w:t>
      </w:r>
      <w:r>
        <w:rPr>
          <w:rFonts w:eastAsia="PMingLiU"/>
          <w:color w:val="000000"/>
          <w:lang w:val="en-HK"/>
        </w:rPr>
        <w:t xml:space="preserve">: </w:t>
      </w:r>
      <w:r>
        <w:rPr>
          <w:rFonts w:eastAsia="PMingLiU"/>
          <w:color w:val="000000"/>
        </w:rPr>
        <w:t>In determining the Base Amount:</w:t>
      </w:r>
    </w:p>
    <w:p w:rsidR="00655B6C" w:rsidRDefault="00655B6C" w:rsidP="00655B6C">
      <w:pPr>
        <w:pStyle w:val="HC-Hanging"/>
        <w:numPr>
          <w:ilvl w:val="0"/>
          <w:numId w:val="0"/>
        </w:numPr>
        <w:ind w:left="2160" w:hanging="720"/>
        <w:rPr>
          <w:rFonts w:eastAsia="PMingLiU"/>
          <w:color w:val="000000"/>
          <w:lang w:val="en-GB"/>
        </w:rPr>
      </w:pPr>
      <w:r w:rsidRPr="00655B6C">
        <w:rPr>
          <w:rFonts w:eastAsia="PMingLiU"/>
          <w:bCs/>
          <w:color w:val="000000"/>
          <w:lang w:val="en-HK"/>
        </w:rPr>
        <w:t>(a)</w:t>
      </w:r>
      <w:r>
        <w:rPr>
          <w:rFonts w:eastAsia="PMingLiU"/>
          <w:b/>
          <w:bCs/>
          <w:color w:val="000000"/>
          <w:lang w:val="en-HK"/>
        </w:rPr>
        <w:tab/>
      </w:r>
      <w:r w:rsidR="00862D0B">
        <w:rPr>
          <w:rFonts w:eastAsia="PMingLiU"/>
          <w:color w:val="000000"/>
          <w:lang w:val="en-HK"/>
        </w:rPr>
        <w:t>T</w:t>
      </w:r>
      <w:r w:rsidR="00862D0B">
        <w:rPr>
          <w:rFonts w:eastAsia="PMingLiU"/>
          <w:color w:val="000000"/>
        </w:rPr>
        <w:t>he 3</w:t>
      </w:r>
      <w:r w:rsidR="00862D0B" w:rsidRPr="003C1ECC">
        <w:rPr>
          <w:rFonts w:eastAsia="PMingLiU"/>
          <w:color w:val="000000"/>
          <w:vertAlign w:val="superscript"/>
        </w:rPr>
        <w:t>rd</w:t>
      </w:r>
      <w:r w:rsidR="00862D0B">
        <w:rPr>
          <w:rFonts w:eastAsia="PMingLiU"/>
          <w:color w:val="000000"/>
        </w:rPr>
        <w:t> Respondent and the 4</w:t>
      </w:r>
      <w:r w:rsidR="00862D0B" w:rsidRPr="003C1ECC">
        <w:rPr>
          <w:rFonts w:eastAsia="PMingLiU"/>
          <w:color w:val="000000"/>
          <w:vertAlign w:val="superscript"/>
        </w:rPr>
        <w:t>th</w:t>
      </w:r>
      <w:r w:rsidR="00862D0B">
        <w:rPr>
          <w:rFonts w:eastAsia="PMingLiU"/>
          <w:color w:val="000000"/>
        </w:rPr>
        <w:t> Respondent</w:t>
      </w:r>
      <w:r>
        <w:rPr>
          <w:rFonts w:eastAsia="PMingLiU"/>
          <w:color w:val="000000"/>
        </w:rPr>
        <w:t xml:space="preserve"> did not have any sale of </w:t>
      </w:r>
      <w:r w:rsidRPr="00873236">
        <w:rPr>
          <w:rFonts w:eastAsia="PMingLiU"/>
          <w:color w:val="000000"/>
          <w:lang w:val="en-GB"/>
        </w:rPr>
        <w:t>relevant service outside D-Biz</w:t>
      </w:r>
      <w:r>
        <w:rPr>
          <w:rFonts w:eastAsia="PMingLiU"/>
          <w:color w:val="000000"/>
          <w:lang w:val="en-GB"/>
        </w:rPr>
        <w:t xml:space="preserve">.  According to the record of </w:t>
      </w:r>
      <w:r>
        <w:rPr>
          <w:rFonts w:eastAsia="PMingLiU"/>
          <w:color w:val="000000"/>
          <w:lang w:val="en-HK"/>
        </w:rPr>
        <w:t>the Hong Kong Productivity Council (“</w:t>
      </w:r>
      <w:r>
        <w:rPr>
          <w:rFonts w:eastAsia="PMingLiU"/>
          <w:b/>
          <w:bCs/>
          <w:color w:val="000000"/>
          <w:lang w:val="en-HK"/>
        </w:rPr>
        <w:t>HKPC</w:t>
      </w:r>
      <w:r>
        <w:rPr>
          <w:rFonts w:eastAsia="PMingLiU"/>
          <w:color w:val="000000"/>
          <w:lang w:val="en-HK"/>
        </w:rPr>
        <w:t>”)</w:t>
      </w:r>
      <w:r>
        <w:rPr>
          <w:rFonts w:eastAsia="PMingLiU"/>
          <w:color w:val="000000"/>
          <w:lang w:val="en-GB"/>
        </w:rPr>
        <w:t xml:space="preserve">: </w:t>
      </w:r>
      <w:r w:rsidR="00862D0B">
        <w:rPr>
          <w:rFonts w:eastAsia="PMingLiU"/>
          <w:color w:val="000000"/>
          <w:lang w:val="en-GB"/>
        </w:rPr>
        <w:t>the 3</w:t>
      </w:r>
      <w:r w:rsidR="00862D0B" w:rsidRPr="00862D0B">
        <w:rPr>
          <w:rFonts w:eastAsia="PMingLiU"/>
          <w:color w:val="000000"/>
          <w:vertAlign w:val="superscript"/>
          <w:lang w:val="en-GB"/>
        </w:rPr>
        <w:t>rd</w:t>
      </w:r>
      <w:r w:rsidR="00862D0B">
        <w:rPr>
          <w:rFonts w:eastAsia="PMingLiU"/>
          <w:color w:val="000000"/>
          <w:lang w:val="en-GB"/>
        </w:rPr>
        <w:t> Respondent</w:t>
      </w:r>
      <w:r>
        <w:rPr>
          <w:rFonts w:eastAsia="PMingLiU"/>
          <w:color w:val="000000"/>
          <w:lang w:val="en-GB"/>
        </w:rPr>
        <w:t xml:space="preserve"> was </w:t>
      </w:r>
      <w:r w:rsidRPr="00873236">
        <w:rPr>
          <w:rFonts w:eastAsia="PMingLiU"/>
          <w:color w:val="000000"/>
          <w:lang w:val="en-GB"/>
        </w:rPr>
        <w:t>at least awarded in a total of 55 D-Biz applications for a total amount of HK$3,649,190</w:t>
      </w:r>
      <w:r>
        <w:rPr>
          <w:rFonts w:eastAsia="PMingLiU"/>
          <w:color w:val="000000"/>
          <w:lang w:val="en-GB"/>
        </w:rPr>
        <w:t xml:space="preserve"> while </w:t>
      </w:r>
      <w:r w:rsidR="00862D0B">
        <w:rPr>
          <w:rFonts w:eastAsia="PMingLiU"/>
          <w:color w:val="000000"/>
          <w:lang w:val="en-GB"/>
        </w:rPr>
        <w:t>the 4</w:t>
      </w:r>
      <w:r w:rsidR="00862D0B" w:rsidRPr="00862D0B">
        <w:rPr>
          <w:rFonts w:eastAsia="PMingLiU"/>
          <w:color w:val="000000"/>
          <w:vertAlign w:val="superscript"/>
          <w:lang w:val="en-GB"/>
        </w:rPr>
        <w:t>th</w:t>
      </w:r>
      <w:r w:rsidR="00862D0B">
        <w:rPr>
          <w:rFonts w:eastAsia="PMingLiU"/>
          <w:color w:val="000000"/>
          <w:lang w:val="en-GB"/>
        </w:rPr>
        <w:t> Respondent</w:t>
      </w:r>
      <w:r>
        <w:rPr>
          <w:rFonts w:eastAsia="PMingLiU"/>
          <w:color w:val="000000"/>
          <w:lang w:val="en-GB"/>
        </w:rPr>
        <w:t xml:space="preserve"> </w:t>
      </w:r>
      <w:r w:rsidRPr="00873236">
        <w:rPr>
          <w:rFonts w:eastAsia="PMingLiU"/>
          <w:color w:val="000000"/>
          <w:lang w:val="en-GB"/>
        </w:rPr>
        <w:t>was at least awarded in a total of 19 D-Biz applications for a total amount of HK$1,312,280</w:t>
      </w:r>
      <w:r>
        <w:rPr>
          <w:rFonts w:eastAsia="PMingLiU"/>
          <w:color w:val="000000"/>
          <w:lang w:val="en-GB"/>
        </w:rPr>
        <w:t xml:space="preserve">, i.e. the aggregate relevant VOS for </w:t>
      </w:r>
      <w:r w:rsidR="00862D0B">
        <w:rPr>
          <w:rFonts w:eastAsia="PMingLiU"/>
          <w:color w:val="000000"/>
          <w:lang w:val="en-GB"/>
        </w:rPr>
        <w:t>t</w:t>
      </w:r>
      <w:r w:rsidR="00862D0B">
        <w:rPr>
          <w:rFonts w:eastAsia="PMingLiU"/>
          <w:color w:val="000000"/>
        </w:rPr>
        <w:t>he 3</w:t>
      </w:r>
      <w:r w:rsidR="00862D0B" w:rsidRPr="003C1ECC">
        <w:rPr>
          <w:rFonts w:eastAsia="PMingLiU"/>
          <w:color w:val="000000"/>
          <w:vertAlign w:val="superscript"/>
        </w:rPr>
        <w:t>rd</w:t>
      </w:r>
      <w:r w:rsidR="00862D0B">
        <w:rPr>
          <w:rFonts w:eastAsia="PMingLiU"/>
          <w:color w:val="000000"/>
        </w:rPr>
        <w:t> Respondent and the 4</w:t>
      </w:r>
      <w:r w:rsidR="00862D0B" w:rsidRPr="003C1ECC">
        <w:rPr>
          <w:rFonts w:eastAsia="PMingLiU"/>
          <w:color w:val="000000"/>
          <w:vertAlign w:val="superscript"/>
        </w:rPr>
        <w:t>th</w:t>
      </w:r>
      <w:r w:rsidR="00862D0B">
        <w:rPr>
          <w:rFonts w:eastAsia="PMingLiU"/>
          <w:color w:val="000000"/>
        </w:rPr>
        <w:t> Respondent</w:t>
      </w:r>
      <w:r>
        <w:rPr>
          <w:rFonts w:eastAsia="PMingLiU"/>
          <w:color w:val="000000"/>
          <w:lang w:val="en-GB"/>
        </w:rPr>
        <w:t xml:space="preserve"> was HK$4,961,470: [34] of </w:t>
      </w:r>
      <w:r w:rsidR="00862D0B">
        <w:rPr>
          <w:rFonts w:eastAsia="PMingLiU"/>
          <w:color w:val="000000"/>
          <w:lang w:val="en-HK"/>
        </w:rPr>
        <w:t>t</w:t>
      </w:r>
      <w:r w:rsidR="00862D0B">
        <w:rPr>
          <w:rFonts w:eastAsia="PMingLiU"/>
          <w:color w:val="000000"/>
        </w:rPr>
        <w:t>he 3</w:t>
      </w:r>
      <w:r w:rsidR="00862D0B" w:rsidRPr="003C1ECC">
        <w:rPr>
          <w:rFonts w:eastAsia="PMingLiU"/>
          <w:color w:val="000000"/>
          <w:vertAlign w:val="superscript"/>
        </w:rPr>
        <w:t>rd</w:t>
      </w:r>
      <w:r w:rsidR="00862D0B">
        <w:rPr>
          <w:rFonts w:eastAsia="PMingLiU"/>
          <w:color w:val="000000"/>
        </w:rPr>
        <w:t> Respondent/ the 4</w:t>
      </w:r>
      <w:r w:rsidR="00862D0B" w:rsidRPr="003C1ECC">
        <w:rPr>
          <w:rFonts w:eastAsia="PMingLiU"/>
          <w:color w:val="000000"/>
          <w:vertAlign w:val="superscript"/>
        </w:rPr>
        <w:t>th</w:t>
      </w:r>
      <w:r w:rsidR="00862D0B">
        <w:rPr>
          <w:rFonts w:eastAsia="PMingLiU"/>
          <w:color w:val="000000"/>
        </w:rPr>
        <w:t> Respondent</w:t>
      </w:r>
      <w:r>
        <w:rPr>
          <w:rFonts w:eastAsia="PMingLiU"/>
          <w:color w:val="000000"/>
          <w:lang w:val="en-GB"/>
        </w:rPr>
        <w:t xml:space="preserve"> Statement;</w:t>
      </w:r>
    </w:p>
    <w:p w:rsidR="00655B6C" w:rsidRDefault="00655B6C" w:rsidP="00655B6C">
      <w:pPr>
        <w:pStyle w:val="HC-Hanging"/>
        <w:numPr>
          <w:ilvl w:val="0"/>
          <w:numId w:val="0"/>
        </w:numPr>
        <w:ind w:left="2160" w:hanging="720"/>
        <w:rPr>
          <w:rFonts w:eastAsia="PMingLiU"/>
          <w:color w:val="000000"/>
          <w:lang w:val="en-HK"/>
        </w:rPr>
      </w:pPr>
      <w:r>
        <w:rPr>
          <w:rFonts w:eastAsia="PMingLiU"/>
          <w:color w:val="000000"/>
          <w:lang w:val="en-GB"/>
        </w:rPr>
        <w:t>(b)</w:t>
      </w:r>
      <w:r>
        <w:rPr>
          <w:rFonts w:eastAsia="PMingLiU"/>
          <w:color w:val="000000"/>
          <w:lang w:val="en-GB"/>
        </w:rPr>
        <w:tab/>
      </w:r>
      <w:r w:rsidR="00191520">
        <w:rPr>
          <w:rFonts w:eastAsia="PMingLiU"/>
          <w:color w:val="000000"/>
          <w:lang w:val="en-HK"/>
        </w:rPr>
        <w:t xml:space="preserve">A moderate gravity percentage of 24% is adopted (the same percentage adopted for other Respondents in the </w:t>
      </w:r>
      <w:r w:rsidR="00191520">
        <w:rPr>
          <w:rFonts w:eastAsia="PMingLiU"/>
          <w:i/>
          <w:iCs/>
          <w:color w:val="000000"/>
          <w:lang w:val="en-HK"/>
        </w:rPr>
        <w:t xml:space="preserve">Kam Kwong </w:t>
      </w:r>
      <w:r w:rsidR="00191520">
        <w:rPr>
          <w:rFonts w:eastAsia="PMingLiU"/>
          <w:color w:val="000000"/>
          <w:lang w:val="en-HK"/>
        </w:rPr>
        <w:t>applications);</w:t>
      </w:r>
    </w:p>
    <w:p w:rsidR="00191520" w:rsidRDefault="00191520" w:rsidP="00655B6C">
      <w:pPr>
        <w:pStyle w:val="HC-Hanging"/>
        <w:numPr>
          <w:ilvl w:val="0"/>
          <w:numId w:val="0"/>
        </w:numPr>
        <w:ind w:left="2160" w:hanging="720"/>
        <w:rPr>
          <w:rFonts w:eastAsia="PMingLiU"/>
          <w:color w:val="000000"/>
        </w:rPr>
      </w:pPr>
      <w:r>
        <w:rPr>
          <w:rFonts w:eastAsia="PMingLiU"/>
          <w:color w:val="000000"/>
          <w:lang w:val="en-HK"/>
        </w:rPr>
        <w:t>(c)</w:t>
      </w:r>
      <w:r>
        <w:rPr>
          <w:rFonts w:eastAsia="PMingLiU"/>
          <w:color w:val="000000"/>
          <w:lang w:val="en-HK"/>
        </w:rPr>
        <w:tab/>
      </w:r>
      <w:r>
        <w:rPr>
          <w:rFonts w:eastAsia="PMingLiU"/>
          <w:color w:val="000000"/>
        </w:rPr>
        <w:t>Taking into account the total sum of VOS, the duration multiplier is 1;</w:t>
      </w:r>
    </w:p>
    <w:p w:rsidR="000F35E0" w:rsidRDefault="000F35E0" w:rsidP="00655B6C">
      <w:pPr>
        <w:pStyle w:val="HC-Hanging"/>
        <w:numPr>
          <w:ilvl w:val="0"/>
          <w:numId w:val="0"/>
        </w:numPr>
        <w:ind w:left="2160" w:hanging="720"/>
        <w:rPr>
          <w:rFonts w:eastAsia="PMingLiU"/>
          <w:color w:val="000000"/>
        </w:rPr>
      </w:pPr>
      <w:r>
        <w:rPr>
          <w:rFonts w:eastAsia="PMingLiU"/>
          <w:color w:val="000000"/>
        </w:rPr>
        <w:t>(d)</w:t>
      </w:r>
      <w:r>
        <w:rPr>
          <w:rFonts w:eastAsia="PMingLiU"/>
          <w:color w:val="000000"/>
        </w:rPr>
        <w:tab/>
        <w:t xml:space="preserve">Thus, the Step 1 figure for </w:t>
      </w:r>
      <w:r w:rsidR="00862D0B">
        <w:rPr>
          <w:rFonts w:eastAsia="PMingLiU"/>
          <w:color w:val="000000"/>
          <w:lang w:val="en-HK"/>
        </w:rPr>
        <w:t>t</w:t>
      </w:r>
      <w:r w:rsidR="00862D0B">
        <w:rPr>
          <w:rFonts w:eastAsia="PMingLiU"/>
          <w:color w:val="000000"/>
        </w:rPr>
        <w:t>he 3</w:t>
      </w:r>
      <w:r w:rsidR="00862D0B" w:rsidRPr="003C1ECC">
        <w:rPr>
          <w:rFonts w:eastAsia="PMingLiU"/>
          <w:color w:val="000000"/>
          <w:vertAlign w:val="superscript"/>
        </w:rPr>
        <w:t>rd</w:t>
      </w:r>
      <w:r w:rsidR="00862D0B">
        <w:rPr>
          <w:rFonts w:eastAsia="PMingLiU"/>
          <w:color w:val="000000"/>
        </w:rPr>
        <w:t> Respondent and the 4</w:t>
      </w:r>
      <w:r w:rsidR="00862D0B" w:rsidRPr="003C1ECC">
        <w:rPr>
          <w:rFonts w:eastAsia="PMingLiU"/>
          <w:color w:val="000000"/>
          <w:vertAlign w:val="superscript"/>
        </w:rPr>
        <w:t>th</w:t>
      </w:r>
      <w:r w:rsidR="00862D0B">
        <w:rPr>
          <w:rFonts w:eastAsia="PMingLiU"/>
          <w:color w:val="000000"/>
        </w:rPr>
        <w:t> Respondent</w:t>
      </w:r>
      <w:r>
        <w:rPr>
          <w:rFonts w:eastAsia="PMingLiU"/>
          <w:color w:val="000000"/>
        </w:rPr>
        <w:t xml:space="preserve"> is HK$1,190,752.80;</w:t>
      </w:r>
    </w:p>
    <w:p w:rsidR="000F35E0" w:rsidRDefault="000F35E0" w:rsidP="0090322F">
      <w:pPr>
        <w:pStyle w:val="HC-Hanging"/>
        <w:numPr>
          <w:ilvl w:val="0"/>
          <w:numId w:val="0"/>
        </w:numPr>
        <w:spacing w:before="240"/>
        <w:ind w:left="1800" w:hanging="1080"/>
        <w:rPr>
          <w:rFonts w:eastAsia="PMingLiU"/>
          <w:color w:val="000000"/>
        </w:rPr>
      </w:pPr>
      <w:r>
        <w:rPr>
          <w:rFonts w:eastAsia="PMingLiU"/>
          <w:color w:val="000000"/>
        </w:rPr>
        <w:t>(2)</w:t>
      </w:r>
      <w:r>
        <w:rPr>
          <w:rFonts w:eastAsia="PMingLiU"/>
          <w:color w:val="000000"/>
        </w:rPr>
        <w:tab/>
      </w:r>
      <w:r>
        <w:rPr>
          <w:rFonts w:eastAsia="PMingLiU"/>
          <w:b/>
          <w:bCs/>
          <w:color w:val="000000"/>
          <w:lang w:val="en-HK"/>
        </w:rPr>
        <w:t>Step 2</w:t>
      </w:r>
      <w:r>
        <w:rPr>
          <w:rFonts w:eastAsia="PMingLiU"/>
          <w:color w:val="000000"/>
          <w:lang w:val="en-HK"/>
        </w:rPr>
        <w:t xml:space="preserve">: </w:t>
      </w:r>
      <w:r>
        <w:rPr>
          <w:rFonts w:eastAsia="PMingLiU"/>
          <w:color w:val="000000"/>
        </w:rPr>
        <w:t>Aggravating and mitigating factors:</w:t>
      </w:r>
    </w:p>
    <w:p w:rsidR="000F35E0" w:rsidRDefault="000F35E0" w:rsidP="0090322F">
      <w:pPr>
        <w:pStyle w:val="HC-Hanging"/>
        <w:numPr>
          <w:ilvl w:val="0"/>
          <w:numId w:val="0"/>
        </w:numPr>
        <w:spacing w:before="240"/>
        <w:ind w:left="2160" w:hanging="1080"/>
        <w:rPr>
          <w:rFonts w:eastAsia="PMingLiU"/>
          <w:color w:val="000000"/>
        </w:rPr>
      </w:pPr>
      <w:r>
        <w:rPr>
          <w:rFonts w:eastAsia="PMingLiU"/>
          <w:color w:val="000000"/>
        </w:rPr>
        <w:tab/>
        <w:t>(a)</w:t>
      </w:r>
      <w:r>
        <w:rPr>
          <w:rFonts w:eastAsia="PMingLiU"/>
          <w:color w:val="000000"/>
        </w:rPr>
        <w:tab/>
        <w:t>An uplift of 25% is applied for non-compliance with the NCC;</w:t>
      </w:r>
    </w:p>
    <w:p w:rsidR="000F35E0" w:rsidRDefault="000F35E0" w:rsidP="000F35E0">
      <w:pPr>
        <w:pStyle w:val="HC-Hanging"/>
        <w:numPr>
          <w:ilvl w:val="0"/>
          <w:numId w:val="0"/>
        </w:numPr>
        <w:ind w:left="2160" w:hanging="720"/>
        <w:rPr>
          <w:rFonts w:eastAsia="PMingLiU"/>
          <w:color w:val="000000"/>
        </w:rPr>
      </w:pPr>
      <w:r>
        <w:rPr>
          <w:rFonts w:eastAsia="PMingLiU"/>
          <w:color w:val="000000"/>
        </w:rPr>
        <w:t>(b)</w:t>
      </w:r>
      <w:r>
        <w:rPr>
          <w:rFonts w:eastAsia="PMingLiU"/>
          <w:color w:val="000000"/>
        </w:rPr>
        <w:tab/>
      </w:r>
      <w:r w:rsidR="00862D0B">
        <w:rPr>
          <w:rFonts w:eastAsia="PMingLiU"/>
          <w:color w:val="000000"/>
          <w:lang w:val="en-HK"/>
        </w:rPr>
        <w:t>T</w:t>
      </w:r>
      <w:r w:rsidR="00862D0B">
        <w:rPr>
          <w:rFonts w:eastAsia="PMingLiU"/>
          <w:color w:val="000000"/>
        </w:rPr>
        <w:t>he 3</w:t>
      </w:r>
      <w:r w:rsidR="00862D0B" w:rsidRPr="003C1ECC">
        <w:rPr>
          <w:rFonts w:eastAsia="PMingLiU"/>
          <w:color w:val="000000"/>
          <w:vertAlign w:val="superscript"/>
        </w:rPr>
        <w:t>rd</w:t>
      </w:r>
      <w:r w:rsidR="00862D0B">
        <w:rPr>
          <w:rFonts w:eastAsia="PMingLiU"/>
          <w:color w:val="000000"/>
        </w:rPr>
        <w:t> Respondent and the 4</w:t>
      </w:r>
      <w:r w:rsidR="00862D0B" w:rsidRPr="003C1ECC">
        <w:rPr>
          <w:rFonts w:eastAsia="PMingLiU"/>
          <w:color w:val="000000"/>
          <w:vertAlign w:val="superscript"/>
        </w:rPr>
        <w:t>th</w:t>
      </w:r>
      <w:r w:rsidR="00862D0B">
        <w:rPr>
          <w:rFonts w:eastAsia="PMingLiU"/>
          <w:color w:val="000000"/>
        </w:rPr>
        <w:t> Respondent</w:t>
      </w:r>
      <w:r>
        <w:rPr>
          <w:rFonts w:eastAsia="PMingLiU"/>
          <w:color w:val="000000"/>
        </w:rPr>
        <w:t xml:space="preserve"> are small businesses controlled by </w:t>
      </w:r>
      <w:r w:rsidRPr="00176B8D">
        <w:rPr>
          <w:rFonts w:eastAsia="Times New Roman"/>
          <w:lang w:val="en-GB"/>
        </w:rPr>
        <w:t>the BP/Noble Director</w:t>
      </w:r>
      <w:r>
        <w:rPr>
          <w:rFonts w:eastAsia="PMingLiU"/>
          <w:color w:val="000000"/>
        </w:rPr>
        <w:t>, so no uplift is applied for director/ senior management participation;</w:t>
      </w:r>
    </w:p>
    <w:p w:rsidR="000F35E0" w:rsidRDefault="000F35E0" w:rsidP="000F35E0">
      <w:pPr>
        <w:pStyle w:val="HC-Hanging"/>
        <w:numPr>
          <w:ilvl w:val="0"/>
          <w:numId w:val="0"/>
        </w:numPr>
        <w:ind w:left="2160" w:hanging="720"/>
        <w:rPr>
          <w:rFonts w:eastAsia="PMingLiU"/>
          <w:color w:val="000000"/>
        </w:rPr>
      </w:pPr>
      <w:r>
        <w:rPr>
          <w:rFonts w:eastAsia="PMingLiU"/>
          <w:color w:val="000000"/>
        </w:rPr>
        <w:t>(c)</w:t>
      </w:r>
      <w:r>
        <w:rPr>
          <w:rFonts w:eastAsia="PMingLiU"/>
          <w:color w:val="000000"/>
        </w:rPr>
        <w:tab/>
      </w:r>
      <w:r w:rsidR="00862D0B">
        <w:rPr>
          <w:rFonts w:eastAsia="PMingLiU"/>
          <w:color w:val="000000"/>
          <w:lang w:val="en-HK"/>
        </w:rPr>
        <w:t>T</w:t>
      </w:r>
      <w:r w:rsidR="00862D0B">
        <w:rPr>
          <w:rFonts w:eastAsia="PMingLiU"/>
          <w:color w:val="000000"/>
        </w:rPr>
        <w:t>he 3</w:t>
      </w:r>
      <w:r w:rsidR="00862D0B" w:rsidRPr="003C1ECC">
        <w:rPr>
          <w:rFonts w:eastAsia="PMingLiU"/>
          <w:color w:val="000000"/>
          <w:vertAlign w:val="superscript"/>
        </w:rPr>
        <w:t>rd</w:t>
      </w:r>
      <w:r w:rsidR="00862D0B">
        <w:rPr>
          <w:rFonts w:eastAsia="PMingLiU"/>
          <w:color w:val="000000"/>
        </w:rPr>
        <w:t> Respondent and the 4</w:t>
      </w:r>
      <w:r w:rsidR="00862D0B" w:rsidRPr="003C1ECC">
        <w:rPr>
          <w:rFonts w:eastAsia="PMingLiU"/>
          <w:color w:val="000000"/>
          <w:vertAlign w:val="superscript"/>
        </w:rPr>
        <w:t>th</w:t>
      </w:r>
      <w:r w:rsidR="00862D0B">
        <w:rPr>
          <w:rFonts w:eastAsia="PMingLiU"/>
          <w:color w:val="000000"/>
        </w:rPr>
        <w:t> Respondent</w:t>
      </w:r>
      <w:r>
        <w:rPr>
          <w:rFonts w:eastAsia="PMingLiU"/>
          <w:color w:val="000000"/>
        </w:rPr>
        <w:t xml:space="preserve"> </w:t>
      </w:r>
      <w:r>
        <w:rPr>
          <w:color w:val="000000"/>
          <w:lang w:val="en-HK"/>
        </w:rPr>
        <w:t>have</w:t>
      </w:r>
      <w:r w:rsidRPr="00B92077">
        <w:rPr>
          <w:color w:val="000000"/>
          <w:lang w:val="en-HK"/>
        </w:rPr>
        <w:t xml:space="preserve"> not been found by the Tribunal to have contravened the </w:t>
      </w:r>
      <w:r w:rsidRPr="000F35E0">
        <w:rPr>
          <w:i/>
          <w:color w:val="000000"/>
          <w:lang w:val="en-HK"/>
        </w:rPr>
        <w:t>Ordinance</w:t>
      </w:r>
      <w:r>
        <w:rPr>
          <w:rFonts w:eastAsia="PMingLiU"/>
          <w:color w:val="000000"/>
        </w:rPr>
        <w:t xml:space="preserve"> previously;</w:t>
      </w:r>
    </w:p>
    <w:p w:rsidR="000F35E0" w:rsidRDefault="000F35E0" w:rsidP="000F35E0">
      <w:pPr>
        <w:pStyle w:val="HC-Hanging"/>
        <w:numPr>
          <w:ilvl w:val="0"/>
          <w:numId w:val="0"/>
        </w:numPr>
        <w:ind w:left="2160" w:hanging="720"/>
        <w:rPr>
          <w:rFonts w:eastAsia="PMingLiU"/>
          <w:color w:val="000000"/>
        </w:rPr>
      </w:pPr>
      <w:r>
        <w:rPr>
          <w:rFonts w:eastAsia="PMingLiU"/>
          <w:color w:val="000000"/>
        </w:rPr>
        <w:t>(d)</w:t>
      </w:r>
      <w:r>
        <w:rPr>
          <w:rFonts w:eastAsia="PMingLiU"/>
          <w:color w:val="000000"/>
        </w:rPr>
        <w:tab/>
        <w:t xml:space="preserve">There is no </w:t>
      </w:r>
      <w:r w:rsidRPr="000B39DE">
        <w:rPr>
          <w:rFonts w:eastAsia="PMingLiU"/>
          <w:color w:val="000000"/>
        </w:rPr>
        <w:t>specific or concrete loss or damage from the conduct</w:t>
      </w:r>
      <w:r>
        <w:rPr>
          <w:rFonts w:eastAsia="PMingLiU"/>
          <w:color w:val="000000"/>
        </w:rPr>
        <w:t>;</w:t>
      </w:r>
    </w:p>
    <w:p w:rsidR="000F35E0" w:rsidRDefault="000F35E0" w:rsidP="000F35E0">
      <w:pPr>
        <w:pStyle w:val="HC-Hanging"/>
        <w:numPr>
          <w:ilvl w:val="0"/>
          <w:numId w:val="0"/>
        </w:numPr>
        <w:ind w:left="2160" w:hanging="720"/>
        <w:rPr>
          <w:rFonts w:eastAsia="PMingLiU"/>
          <w:color w:val="000000"/>
        </w:rPr>
      </w:pPr>
      <w:r>
        <w:rPr>
          <w:rFonts w:eastAsia="PMingLiU"/>
          <w:color w:val="000000"/>
        </w:rPr>
        <w:t>(e)</w:t>
      </w:r>
      <w:r>
        <w:rPr>
          <w:rFonts w:eastAsia="PMingLiU"/>
          <w:color w:val="000000"/>
        </w:rPr>
        <w:tab/>
      </w:r>
      <w:r w:rsidR="00862D0B">
        <w:rPr>
          <w:rFonts w:eastAsia="PMingLiU"/>
          <w:color w:val="000000"/>
          <w:lang w:val="en-HK"/>
        </w:rPr>
        <w:t>T</w:t>
      </w:r>
      <w:r w:rsidR="00862D0B">
        <w:rPr>
          <w:rFonts w:eastAsia="PMingLiU"/>
          <w:color w:val="000000"/>
        </w:rPr>
        <w:t>he 3</w:t>
      </w:r>
      <w:r w:rsidR="00862D0B" w:rsidRPr="003C1ECC">
        <w:rPr>
          <w:rFonts w:eastAsia="PMingLiU"/>
          <w:color w:val="000000"/>
          <w:vertAlign w:val="superscript"/>
        </w:rPr>
        <w:t>rd</w:t>
      </w:r>
      <w:r w:rsidR="00862D0B">
        <w:rPr>
          <w:rFonts w:eastAsia="PMingLiU"/>
          <w:color w:val="000000"/>
        </w:rPr>
        <w:t> Respondent and the 4</w:t>
      </w:r>
      <w:r w:rsidR="00862D0B" w:rsidRPr="003C1ECC">
        <w:rPr>
          <w:rFonts w:eastAsia="PMingLiU"/>
          <w:color w:val="000000"/>
          <w:vertAlign w:val="superscript"/>
        </w:rPr>
        <w:t>th</w:t>
      </w:r>
      <w:r w:rsidR="00862D0B">
        <w:rPr>
          <w:rFonts w:eastAsia="PMingLiU"/>
          <w:color w:val="000000"/>
        </w:rPr>
        <w:t> Respondent</w:t>
      </w:r>
      <w:r>
        <w:rPr>
          <w:rFonts w:eastAsia="PMingLiU"/>
          <w:color w:val="000000"/>
        </w:rPr>
        <w:t xml:space="preserve">’s respective turnovers in the relevant financial years are as follows: [40(3)] of </w:t>
      </w:r>
      <w:r w:rsidR="00862D0B">
        <w:rPr>
          <w:rFonts w:eastAsia="PMingLiU"/>
          <w:color w:val="000000"/>
          <w:lang w:val="en-HK"/>
        </w:rPr>
        <w:t>t</w:t>
      </w:r>
      <w:r w:rsidR="00862D0B">
        <w:rPr>
          <w:rFonts w:eastAsia="PMingLiU"/>
          <w:color w:val="000000"/>
        </w:rPr>
        <w:t>he 3</w:t>
      </w:r>
      <w:r w:rsidR="00862D0B" w:rsidRPr="003C1ECC">
        <w:rPr>
          <w:rFonts w:eastAsia="PMingLiU"/>
          <w:color w:val="000000"/>
          <w:vertAlign w:val="superscript"/>
        </w:rPr>
        <w:t>rd</w:t>
      </w:r>
      <w:r w:rsidR="00862D0B">
        <w:rPr>
          <w:rFonts w:eastAsia="PMingLiU"/>
          <w:color w:val="000000"/>
        </w:rPr>
        <w:t> Respondent/ the 4</w:t>
      </w:r>
      <w:r w:rsidR="00862D0B" w:rsidRPr="003C1ECC">
        <w:rPr>
          <w:rFonts w:eastAsia="PMingLiU"/>
          <w:color w:val="000000"/>
          <w:vertAlign w:val="superscript"/>
        </w:rPr>
        <w:t>th</w:t>
      </w:r>
      <w:r w:rsidR="00862D0B">
        <w:rPr>
          <w:rFonts w:eastAsia="PMingLiU"/>
          <w:color w:val="000000"/>
        </w:rPr>
        <w:t> Respondent</w:t>
      </w:r>
      <w:r>
        <w:rPr>
          <w:rFonts w:eastAsia="PMingLiU"/>
          <w:color w:val="000000"/>
        </w:rPr>
        <w:t xml:space="preserve"> Statement:</w:t>
      </w:r>
    </w:p>
    <w:p w:rsidR="00494ED8" w:rsidRDefault="00494ED8" w:rsidP="000F35E0">
      <w:pPr>
        <w:pStyle w:val="HC-Hanging"/>
        <w:numPr>
          <w:ilvl w:val="0"/>
          <w:numId w:val="0"/>
        </w:numPr>
        <w:ind w:left="2160" w:hanging="720"/>
        <w:rPr>
          <w:rFonts w:eastAsia="PMingLiU"/>
          <w:color w:val="000000"/>
        </w:rPr>
      </w:pPr>
    </w:p>
    <w:p w:rsidR="000F35E0" w:rsidRDefault="000F35E0" w:rsidP="000F35E0">
      <w:pPr>
        <w:pStyle w:val="HC-Hanging"/>
        <w:numPr>
          <w:ilvl w:val="0"/>
          <w:numId w:val="0"/>
        </w:numPr>
        <w:spacing w:before="240"/>
        <w:ind w:left="2160" w:hanging="720"/>
        <w:rPr>
          <w:rFonts w:eastAsia="PMingLiU"/>
          <w:i/>
          <w:color w:val="000000"/>
          <w:u w:val="single"/>
        </w:rPr>
      </w:pPr>
      <w:r>
        <w:rPr>
          <w:rFonts w:eastAsia="PMingLiU"/>
          <w:color w:val="000000"/>
        </w:rPr>
        <w:tab/>
      </w:r>
      <w:r w:rsidR="00862D0B">
        <w:rPr>
          <w:rFonts w:eastAsia="PMingLiU"/>
          <w:i/>
          <w:color w:val="000000"/>
          <w:u w:val="single"/>
        </w:rPr>
        <w:t>The 3</w:t>
      </w:r>
      <w:r w:rsidR="00862D0B" w:rsidRPr="00862D0B">
        <w:rPr>
          <w:rFonts w:eastAsia="PMingLiU"/>
          <w:i/>
          <w:color w:val="000000"/>
          <w:u w:val="single"/>
          <w:vertAlign w:val="superscript"/>
        </w:rPr>
        <w:t>rd</w:t>
      </w:r>
      <w:r w:rsidR="00862D0B">
        <w:rPr>
          <w:rFonts w:eastAsia="PMingLiU"/>
          <w:i/>
          <w:color w:val="000000"/>
          <w:u w:val="single"/>
        </w:rPr>
        <w:t xml:space="preserve"> Respondent</w:t>
      </w:r>
      <w:r w:rsidRPr="000F35E0">
        <w:rPr>
          <w:rFonts w:eastAsia="PMingLiU"/>
          <w:i/>
          <w:color w:val="000000"/>
          <w:u w:val="single"/>
        </w:rPr>
        <w:t xml:space="preserve"> (BP)</w:t>
      </w:r>
    </w:p>
    <w:p w:rsidR="000F35E0" w:rsidRPr="000F35E0" w:rsidRDefault="000F35E0" w:rsidP="000F35E0">
      <w:pPr>
        <w:pStyle w:val="HC-Hanging"/>
        <w:numPr>
          <w:ilvl w:val="0"/>
          <w:numId w:val="0"/>
        </w:numPr>
        <w:spacing w:before="0"/>
        <w:ind w:left="2160" w:hanging="720"/>
        <w:rPr>
          <w:rFonts w:eastAsia="PMingLiU"/>
          <w:color w:val="000000"/>
          <w:sz w:val="22"/>
        </w:rPr>
      </w:pPr>
      <w:r w:rsidRPr="000F35E0">
        <w:rPr>
          <w:rFonts w:eastAsia="PMingLiU"/>
          <w:i/>
          <w:color w:val="000000"/>
        </w:rPr>
        <w:tab/>
      </w:r>
    </w:p>
    <w:tbl>
      <w:tblPr>
        <w:tblStyle w:val="TableGrid"/>
        <w:tblW w:w="6596" w:type="dxa"/>
        <w:tblInd w:w="2155" w:type="dxa"/>
        <w:tblLook w:val="04A0" w:firstRow="1" w:lastRow="0" w:firstColumn="1" w:lastColumn="0" w:noHBand="0" w:noVBand="1"/>
      </w:tblPr>
      <w:tblGrid>
        <w:gridCol w:w="3902"/>
        <w:gridCol w:w="2694"/>
      </w:tblGrid>
      <w:tr w:rsidR="000F35E0" w:rsidRPr="002749DA" w:rsidTr="005F1B6E">
        <w:tc>
          <w:tcPr>
            <w:tcW w:w="3902" w:type="dxa"/>
          </w:tcPr>
          <w:p w:rsidR="000F35E0" w:rsidRPr="002749DA" w:rsidRDefault="000F35E0"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b/>
                <w:bCs/>
                <w:color w:val="000000"/>
              </w:rPr>
              <w:t>Financial Year</w:t>
            </w:r>
          </w:p>
        </w:tc>
        <w:tc>
          <w:tcPr>
            <w:tcW w:w="2694" w:type="dxa"/>
          </w:tcPr>
          <w:p w:rsidR="000F35E0" w:rsidRPr="002749DA" w:rsidRDefault="000F35E0"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b/>
                <w:bCs/>
                <w:color w:val="000000"/>
              </w:rPr>
              <w:t>Turnover (minus tax)</w:t>
            </w:r>
          </w:p>
        </w:tc>
      </w:tr>
      <w:tr w:rsidR="000F35E0" w:rsidRPr="002749DA" w:rsidTr="005F1B6E">
        <w:tc>
          <w:tcPr>
            <w:tcW w:w="3902" w:type="dxa"/>
            <w:vAlign w:val="bottom"/>
          </w:tcPr>
          <w:p w:rsidR="000F35E0" w:rsidRPr="002749DA" w:rsidRDefault="000F35E0" w:rsidP="001A374C">
            <w:pPr>
              <w:pStyle w:val="ListI"/>
              <w:tabs>
                <w:tab w:val="left" w:pos="540"/>
              </w:tabs>
              <w:jc w:val="center"/>
              <w:rPr>
                <w:rFonts w:ascii="Times New Roman" w:hAnsi="Times New Roman" w:cs="Times New Roman"/>
                <w:color w:val="000000"/>
              </w:rPr>
            </w:pPr>
            <w:r w:rsidRPr="002749DA">
              <w:rPr>
                <w:rFonts w:ascii="Times New Roman" w:hAnsi="Times New Roman" w:cs="Times New Roman"/>
                <w:color w:val="000000"/>
              </w:rPr>
              <w:t>1 April 2020 to 31 March 2021</w:t>
            </w:r>
          </w:p>
        </w:tc>
        <w:tc>
          <w:tcPr>
            <w:tcW w:w="2694" w:type="dxa"/>
          </w:tcPr>
          <w:p w:rsidR="000F35E0" w:rsidRPr="002749DA" w:rsidRDefault="000F35E0"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rPr>
              <w:t>HK$</w:t>
            </w:r>
            <w:r>
              <w:rPr>
                <w:rFonts w:ascii="Times New Roman" w:hAnsi="Times New Roman" w:cs="Times New Roman"/>
                <w:lang w:val="en-GB"/>
              </w:rPr>
              <w:t>647,529</w:t>
            </w:r>
          </w:p>
        </w:tc>
      </w:tr>
      <w:tr w:rsidR="000F35E0" w:rsidRPr="002749DA" w:rsidTr="005F1B6E">
        <w:tc>
          <w:tcPr>
            <w:tcW w:w="3902" w:type="dxa"/>
            <w:vAlign w:val="bottom"/>
          </w:tcPr>
          <w:p w:rsidR="000F35E0" w:rsidRPr="002749DA" w:rsidRDefault="000F35E0"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color w:val="000000"/>
              </w:rPr>
              <w:t>1 April 2021 to 31 March 2022</w:t>
            </w:r>
          </w:p>
        </w:tc>
        <w:tc>
          <w:tcPr>
            <w:tcW w:w="2694" w:type="dxa"/>
          </w:tcPr>
          <w:p w:rsidR="000F35E0" w:rsidRPr="002749DA" w:rsidRDefault="000F35E0"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noProof/>
                <w:lang w:val="en-GB" w:eastAsia="zh-CN"/>
              </w:rPr>
              <w:t>HK$</w:t>
            </w:r>
            <w:r>
              <w:rPr>
                <w:rFonts w:ascii="Times New Roman" w:hAnsi="Times New Roman" w:cs="Times New Roman"/>
                <w:noProof/>
                <w:lang w:val="en-GB" w:eastAsia="zh-CN"/>
              </w:rPr>
              <w:t>338,095</w:t>
            </w:r>
          </w:p>
        </w:tc>
      </w:tr>
    </w:tbl>
    <w:p w:rsidR="000F35E0" w:rsidRDefault="000F35E0" w:rsidP="000F35E0">
      <w:pPr>
        <w:pStyle w:val="HC-Hanging"/>
        <w:numPr>
          <w:ilvl w:val="0"/>
          <w:numId w:val="0"/>
        </w:numPr>
        <w:ind w:left="2160" w:hanging="720"/>
        <w:rPr>
          <w:rFonts w:eastAsia="PMingLiU"/>
          <w:i/>
          <w:iCs/>
          <w:color w:val="000000"/>
          <w:u w:val="single"/>
        </w:rPr>
      </w:pPr>
      <w:r w:rsidRPr="000F35E0">
        <w:rPr>
          <w:rFonts w:eastAsia="PMingLiU"/>
          <w:i/>
          <w:color w:val="000000"/>
        </w:rPr>
        <w:tab/>
      </w:r>
      <w:r w:rsidR="00862D0B">
        <w:rPr>
          <w:rFonts w:eastAsia="PMingLiU"/>
          <w:i/>
          <w:iCs/>
          <w:color w:val="000000"/>
          <w:u w:val="single"/>
        </w:rPr>
        <w:t>The 4</w:t>
      </w:r>
      <w:r w:rsidR="00862D0B" w:rsidRPr="00862D0B">
        <w:rPr>
          <w:rFonts w:eastAsia="PMingLiU"/>
          <w:i/>
          <w:iCs/>
          <w:color w:val="000000"/>
          <w:u w:val="single"/>
          <w:vertAlign w:val="superscript"/>
        </w:rPr>
        <w:t>th</w:t>
      </w:r>
      <w:r w:rsidR="00862D0B">
        <w:rPr>
          <w:rFonts w:eastAsia="PMingLiU"/>
          <w:i/>
          <w:iCs/>
          <w:color w:val="000000"/>
          <w:u w:val="single"/>
        </w:rPr>
        <w:t xml:space="preserve"> Respondent</w:t>
      </w:r>
      <w:r>
        <w:rPr>
          <w:rFonts w:eastAsia="PMingLiU"/>
          <w:i/>
          <w:iCs/>
          <w:color w:val="000000"/>
          <w:u w:val="single"/>
        </w:rPr>
        <w:t xml:space="preserve"> (Noble)</w:t>
      </w:r>
    </w:p>
    <w:p w:rsidR="000F35E0" w:rsidRPr="000F35E0" w:rsidRDefault="000F35E0" w:rsidP="000F35E0">
      <w:pPr>
        <w:pStyle w:val="HC-Hanging"/>
        <w:numPr>
          <w:ilvl w:val="0"/>
          <w:numId w:val="0"/>
        </w:numPr>
        <w:spacing w:before="0"/>
        <w:ind w:left="2160" w:hanging="720"/>
        <w:rPr>
          <w:i/>
        </w:rPr>
      </w:pPr>
      <w:r w:rsidRPr="000F35E0">
        <w:rPr>
          <w:rFonts w:eastAsia="PMingLiU"/>
          <w:i/>
          <w:iCs/>
          <w:color w:val="000000"/>
        </w:rPr>
        <w:tab/>
      </w:r>
    </w:p>
    <w:tbl>
      <w:tblPr>
        <w:tblStyle w:val="TableGrid"/>
        <w:tblW w:w="6618" w:type="dxa"/>
        <w:tblInd w:w="2308" w:type="dxa"/>
        <w:tblLook w:val="04A0" w:firstRow="1" w:lastRow="0" w:firstColumn="1" w:lastColumn="0" w:noHBand="0" w:noVBand="1"/>
      </w:tblPr>
      <w:tblGrid>
        <w:gridCol w:w="3924"/>
        <w:gridCol w:w="2694"/>
      </w:tblGrid>
      <w:tr w:rsidR="000F35E0" w:rsidRPr="002749DA" w:rsidTr="001A374C">
        <w:tc>
          <w:tcPr>
            <w:tcW w:w="3924" w:type="dxa"/>
          </w:tcPr>
          <w:p w:rsidR="000F35E0" w:rsidRPr="002749DA" w:rsidRDefault="000F35E0"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b/>
                <w:bCs/>
                <w:color w:val="000000"/>
              </w:rPr>
              <w:t>Financial Year</w:t>
            </w:r>
          </w:p>
        </w:tc>
        <w:tc>
          <w:tcPr>
            <w:tcW w:w="2694" w:type="dxa"/>
          </w:tcPr>
          <w:p w:rsidR="000F35E0" w:rsidRPr="002749DA" w:rsidRDefault="000F35E0"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b/>
                <w:bCs/>
                <w:color w:val="000000"/>
              </w:rPr>
              <w:t>Turnover (minus tax)</w:t>
            </w:r>
          </w:p>
        </w:tc>
      </w:tr>
      <w:tr w:rsidR="000F35E0" w:rsidRPr="002749DA" w:rsidTr="001A374C">
        <w:tc>
          <w:tcPr>
            <w:tcW w:w="3924" w:type="dxa"/>
            <w:vAlign w:val="bottom"/>
          </w:tcPr>
          <w:p w:rsidR="000F35E0" w:rsidRPr="002749DA" w:rsidRDefault="000F35E0" w:rsidP="001A374C">
            <w:pPr>
              <w:pStyle w:val="ListI"/>
              <w:tabs>
                <w:tab w:val="left" w:pos="540"/>
              </w:tabs>
              <w:jc w:val="center"/>
              <w:rPr>
                <w:rFonts w:ascii="Times New Roman" w:hAnsi="Times New Roman" w:cs="Times New Roman"/>
                <w:color w:val="000000"/>
              </w:rPr>
            </w:pPr>
            <w:r w:rsidRPr="002749DA">
              <w:rPr>
                <w:rFonts w:ascii="Times New Roman" w:hAnsi="Times New Roman" w:cs="Times New Roman"/>
                <w:color w:val="000000"/>
              </w:rPr>
              <w:t xml:space="preserve">1 </w:t>
            </w:r>
            <w:r>
              <w:rPr>
                <w:rFonts w:ascii="Times New Roman" w:hAnsi="Times New Roman" w:cs="Times New Roman"/>
                <w:color w:val="000000"/>
              </w:rPr>
              <w:t>January</w:t>
            </w:r>
            <w:r w:rsidRPr="002749DA">
              <w:rPr>
                <w:rFonts w:ascii="Times New Roman" w:hAnsi="Times New Roman" w:cs="Times New Roman"/>
                <w:color w:val="000000"/>
              </w:rPr>
              <w:t xml:space="preserve"> 2020 to 31 </w:t>
            </w:r>
            <w:r>
              <w:rPr>
                <w:rFonts w:ascii="Times New Roman" w:hAnsi="Times New Roman" w:cs="Times New Roman"/>
                <w:color w:val="000000"/>
              </w:rPr>
              <w:t>December</w:t>
            </w:r>
            <w:r w:rsidRPr="002749DA">
              <w:rPr>
                <w:rFonts w:ascii="Times New Roman" w:hAnsi="Times New Roman" w:cs="Times New Roman"/>
                <w:color w:val="000000"/>
              </w:rPr>
              <w:t xml:space="preserve"> 202</w:t>
            </w:r>
            <w:r>
              <w:rPr>
                <w:rFonts w:ascii="Times New Roman" w:hAnsi="Times New Roman" w:cs="Times New Roman"/>
                <w:color w:val="000000"/>
              </w:rPr>
              <w:t>0</w:t>
            </w:r>
          </w:p>
        </w:tc>
        <w:tc>
          <w:tcPr>
            <w:tcW w:w="2694" w:type="dxa"/>
          </w:tcPr>
          <w:p w:rsidR="000F35E0" w:rsidRPr="002749DA" w:rsidRDefault="000F35E0"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rPr>
              <w:t>HK$</w:t>
            </w:r>
            <w:r>
              <w:rPr>
                <w:rFonts w:ascii="Times New Roman" w:hAnsi="Times New Roman" w:cs="Times New Roman"/>
                <w:lang w:val="en-GB"/>
              </w:rPr>
              <w:t>0</w:t>
            </w:r>
          </w:p>
        </w:tc>
      </w:tr>
      <w:tr w:rsidR="000F35E0" w:rsidRPr="002749DA" w:rsidTr="001A374C">
        <w:tc>
          <w:tcPr>
            <w:tcW w:w="3924" w:type="dxa"/>
            <w:vAlign w:val="bottom"/>
          </w:tcPr>
          <w:p w:rsidR="000F35E0" w:rsidRPr="002749DA" w:rsidRDefault="000F35E0"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color w:val="000000"/>
              </w:rPr>
              <w:t xml:space="preserve">1 </w:t>
            </w:r>
            <w:r>
              <w:rPr>
                <w:rFonts w:ascii="Times New Roman" w:hAnsi="Times New Roman" w:cs="Times New Roman"/>
                <w:color w:val="000000"/>
              </w:rPr>
              <w:t>January</w:t>
            </w:r>
            <w:r w:rsidRPr="002749DA">
              <w:rPr>
                <w:rFonts w:ascii="Times New Roman" w:hAnsi="Times New Roman" w:cs="Times New Roman"/>
                <w:color w:val="000000"/>
              </w:rPr>
              <w:t xml:space="preserve"> 202</w:t>
            </w:r>
            <w:r>
              <w:rPr>
                <w:rFonts w:ascii="Times New Roman" w:hAnsi="Times New Roman" w:cs="Times New Roman"/>
                <w:color w:val="000000"/>
              </w:rPr>
              <w:t>1</w:t>
            </w:r>
            <w:r w:rsidRPr="002749DA">
              <w:rPr>
                <w:rFonts w:ascii="Times New Roman" w:hAnsi="Times New Roman" w:cs="Times New Roman"/>
                <w:color w:val="000000"/>
              </w:rPr>
              <w:t xml:space="preserve"> to 31 </w:t>
            </w:r>
            <w:r>
              <w:rPr>
                <w:rFonts w:ascii="Times New Roman" w:hAnsi="Times New Roman" w:cs="Times New Roman"/>
                <w:color w:val="000000"/>
              </w:rPr>
              <w:t>December</w:t>
            </w:r>
            <w:r w:rsidRPr="002749DA">
              <w:rPr>
                <w:rFonts w:ascii="Times New Roman" w:hAnsi="Times New Roman" w:cs="Times New Roman"/>
                <w:color w:val="000000"/>
              </w:rPr>
              <w:t xml:space="preserve"> 202</w:t>
            </w:r>
            <w:r>
              <w:rPr>
                <w:rFonts w:ascii="Times New Roman" w:hAnsi="Times New Roman" w:cs="Times New Roman"/>
                <w:color w:val="000000"/>
              </w:rPr>
              <w:t>1</w:t>
            </w:r>
          </w:p>
        </w:tc>
        <w:tc>
          <w:tcPr>
            <w:tcW w:w="2694" w:type="dxa"/>
          </w:tcPr>
          <w:p w:rsidR="000F35E0" w:rsidRPr="002749DA" w:rsidRDefault="000F35E0"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noProof/>
                <w:lang w:val="en-GB" w:eastAsia="zh-CN"/>
              </w:rPr>
              <w:t>HK$</w:t>
            </w:r>
            <w:r>
              <w:rPr>
                <w:rFonts w:ascii="Times New Roman" w:hAnsi="Times New Roman" w:cs="Times New Roman"/>
                <w:noProof/>
                <w:lang w:val="en-GB" w:eastAsia="zh-CN"/>
              </w:rPr>
              <w:t>222,474</w:t>
            </w:r>
          </w:p>
        </w:tc>
      </w:tr>
    </w:tbl>
    <w:p w:rsidR="000F35E0" w:rsidRDefault="000F35E0" w:rsidP="000F35E0">
      <w:pPr>
        <w:pStyle w:val="HC-Hanging"/>
        <w:numPr>
          <w:ilvl w:val="0"/>
          <w:numId w:val="0"/>
        </w:numPr>
        <w:spacing w:before="360"/>
        <w:ind w:left="2160" w:hanging="720"/>
        <w:rPr>
          <w:rFonts w:eastAsia="PMingLiU"/>
          <w:color w:val="000000"/>
          <w:lang w:val="en-GB"/>
        </w:rPr>
      </w:pPr>
      <w:r w:rsidRPr="000F35E0">
        <w:t>(f)</w:t>
      </w:r>
      <w:r w:rsidRPr="000F35E0">
        <w:tab/>
      </w:r>
      <w:r>
        <w:rPr>
          <w:rFonts w:eastAsia="PMingLiU"/>
          <w:color w:val="000000"/>
        </w:rPr>
        <w:t xml:space="preserve">After applying the uplift of 25%, the proposed penalty of </w:t>
      </w:r>
      <w:r w:rsidRPr="00446898">
        <w:rPr>
          <w:rFonts w:eastAsia="PMingLiU"/>
          <w:color w:val="000000"/>
          <w:lang w:val="en-GB"/>
        </w:rPr>
        <w:t>HK$1,488,441 represents</w:t>
      </w:r>
      <w:r>
        <w:rPr>
          <w:rFonts w:eastAsia="PMingLiU"/>
          <w:color w:val="000000"/>
          <w:lang w:val="en-GB"/>
        </w:rPr>
        <w:t xml:space="preserve"> over 200% of the turnover of </w:t>
      </w:r>
      <w:r w:rsidR="005B08BD">
        <w:rPr>
          <w:rFonts w:eastAsia="PMingLiU"/>
          <w:color w:val="000000"/>
          <w:lang w:val="en-HK"/>
        </w:rPr>
        <w:t>t</w:t>
      </w:r>
      <w:r w:rsidR="005B08BD">
        <w:rPr>
          <w:rFonts w:eastAsia="PMingLiU"/>
          <w:color w:val="000000"/>
        </w:rPr>
        <w:t>he 3</w:t>
      </w:r>
      <w:r w:rsidR="005B08BD" w:rsidRPr="003C1ECC">
        <w:rPr>
          <w:rFonts w:eastAsia="PMingLiU"/>
          <w:color w:val="000000"/>
          <w:vertAlign w:val="superscript"/>
        </w:rPr>
        <w:t>rd</w:t>
      </w:r>
      <w:r w:rsidR="005B08BD">
        <w:rPr>
          <w:rFonts w:eastAsia="PMingLiU"/>
          <w:color w:val="000000"/>
        </w:rPr>
        <w:t> Respondent and the 4</w:t>
      </w:r>
      <w:r w:rsidR="005B08BD" w:rsidRPr="003C1ECC">
        <w:rPr>
          <w:rFonts w:eastAsia="PMingLiU"/>
          <w:color w:val="000000"/>
          <w:vertAlign w:val="superscript"/>
        </w:rPr>
        <w:t>th</w:t>
      </w:r>
      <w:r w:rsidR="005B08BD">
        <w:rPr>
          <w:rFonts w:eastAsia="PMingLiU"/>
          <w:color w:val="000000"/>
        </w:rPr>
        <w:t> Respondent</w:t>
      </w:r>
      <w:r>
        <w:rPr>
          <w:rFonts w:eastAsia="PMingLiU"/>
          <w:color w:val="000000"/>
          <w:lang w:val="en-GB"/>
        </w:rPr>
        <w:t xml:space="preserve">, which far exceeds the statutory cap.  As such, it is </w:t>
      </w:r>
      <w:r w:rsidRPr="00446898">
        <w:rPr>
          <w:rFonts w:eastAsia="PMingLiU"/>
          <w:color w:val="000000"/>
          <w:lang w:val="en-GB"/>
        </w:rPr>
        <w:t>not necessary to consider any uplift for specific deterrence</w:t>
      </w:r>
      <w:r>
        <w:rPr>
          <w:rFonts w:eastAsia="PMingLiU"/>
          <w:color w:val="000000"/>
          <w:lang w:val="en-GB"/>
        </w:rPr>
        <w:t>;</w:t>
      </w:r>
    </w:p>
    <w:p w:rsidR="000F35E0" w:rsidRDefault="00EF4279" w:rsidP="00EF4279">
      <w:pPr>
        <w:pStyle w:val="HC-Hanging"/>
        <w:numPr>
          <w:ilvl w:val="0"/>
          <w:numId w:val="0"/>
        </w:numPr>
        <w:spacing w:before="360"/>
        <w:ind w:left="1440" w:hanging="720"/>
        <w:rPr>
          <w:rFonts w:eastAsia="PMingLiU"/>
          <w:color w:val="000000"/>
        </w:rPr>
      </w:pPr>
      <w:r>
        <w:rPr>
          <w:rFonts w:eastAsia="PMingLiU"/>
          <w:color w:val="000000"/>
          <w:lang w:val="en-GB"/>
        </w:rPr>
        <w:t>(3)</w:t>
      </w:r>
      <w:r>
        <w:rPr>
          <w:rFonts w:eastAsia="PMingLiU"/>
          <w:color w:val="000000"/>
          <w:lang w:val="en-GB"/>
        </w:rPr>
        <w:tab/>
      </w:r>
      <w:r>
        <w:rPr>
          <w:rFonts w:eastAsia="PMingLiU"/>
          <w:b/>
          <w:bCs/>
          <w:color w:val="000000"/>
        </w:rPr>
        <w:t>Step 3</w:t>
      </w:r>
      <w:r>
        <w:rPr>
          <w:rFonts w:eastAsia="PMingLiU"/>
          <w:color w:val="000000"/>
        </w:rPr>
        <w:t xml:space="preserve">: Applying the statutory cap to the above combined turnover of </w:t>
      </w:r>
      <w:r w:rsidR="005B08BD">
        <w:rPr>
          <w:rFonts w:eastAsia="PMingLiU"/>
          <w:color w:val="000000"/>
          <w:lang w:val="en-HK"/>
        </w:rPr>
        <w:t>t</w:t>
      </w:r>
      <w:r w:rsidR="005B08BD">
        <w:rPr>
          <w:rFonts w:eastAsia="PMingLiU"/>
          <w:color w:val="000000"/>
        </w:rPr>
        <w:t>he 3</w:t>
      </w:r>
      <w:r w:rsidR="005B08BD" w:rsidRPr="003C1ECC">
        <w:rPr>
          <w:rFonts w:eastAsia="PMingLiU"/>
          <w:color w:val="000000"/>
          <w:vertAlign w:val="superscript"/>
        </w:rPr>
        <w:t>rd</w:t>
      </w:r>
      <w:r w:rsidR="005B08BD">
        <w:rPr>
          <w:rFonts w:eastAsia="PMingLiU"/>
          <w:color w:val="000000"/>
        </w:rPr>
        <w:t> Respondent and the 4</w:t>
      </w:r>
      <w:r w:rsidR="005B08BD" w:rsidRPr="003C1ECC">
        <w:rPr>
          <w:rFonts w:eastAsia="PMingLiU"/>
          <w:color w:val="000000"/>
          <w:vertAlign w:val="superscript"/>
        </w:rPr>
        <w:t>th</w:t>
      </w:r>
      <w:r w:rsidR="005B08BD">
        <w:rPr>
          <w:rFonts w:eastAsia="PMingLiU"/>
          <w:color w:val="000000"/>
        </w:rPr>
        <w:t> Respondent</w:t>
      </w:r>
      <w:r>
        <w:rPr>
          <w:rFonts w:eastAsia="PMingLiU"/>
          <w:color w:val="000000"/>
        </w:rPr>
        <w:t>, the maximum penalty is HK$120,809.80 (i.e. (HK$647,529 + HK$338,095 + HK$0 + HK$222,474) x 10%);</w:t>
      </w:r>
    </w:p>
    <w:p w:rsidR="00EF4279" w:rsidRDefault="00EF4279" w:rsidP="00C31AF9">
      <w:pPr>
        <w:pStyle w:val="HC-Hanging"/>
        <w:numPr>
          <w:ilvl w:val="0"/>
          <w:numId w:val="0"/>
        </w:numPr>
        <w:tabs>
          <w:tab w:val="clear" w:pos="1440"/>
        </w:tabs>
        <w:spacing w:before="360"/>
        <w:ind w:left="1440" w:hanging="720"/>
        <w:rPr>
          <w:rFonts w:eastAsia="PMingLiU"/>
          <w:color w:val="000000"/>
        </w:rPr>
      </w:pPr>
      <w:r>
        <w:rPr>
          <w:rFonts w:eastAsia="PMingLiU"/>
          <w:color w:val="000000"/>
        </w:rPr>
        <w:t>(4)</w:t>
      </w:r>
      <w:r>
        <w:rPr>
          <w:rFonts w:eastAsia="PMingLiU"/>
          <w:color w:val="000000"/>
        </w:rPr>
        <w:tab/>
      </w:r>
      <w:r>
        <w:rPr>
          <w:rFonts w:eastAsia="PMingLiU"/>
          <w:b/>
          <w:bCs/>
          <w:color w:val="000000"/>
          <w:lang w:val="en-HK"/>
        </w:rPr>
        <w:t>Step 4</w:t>
      </w:r>
      <w:r>
        <w:rPr>
          <w:rFonts w:eastAsia="PMingLiU"/>
          <w:color w:val="000000"/>
          <w:lang w:val="en-HK"/>
        </w:rPr>
        <w:t>: The Commission reco</w:t>
      </w:r>
      <w:r w:rsidR="00C31AF9">
        <w:rPr>
          <w:rFonts w:eastAsia="PMingLiU"/>
          <w:color w:val="000000"/>
          <w:lang w:val="en-HK"/>
        </w:rPr>
        <w:t>mmends the application of a 25% </w:t>
      </w:r>
      <w:r>
        <w:rPr>
          <w:rFonts w:eastAsia="PMingLiU"/>
          <w:color w:val="000000"/>
          <w:lang w:val="en-HK"/>
        </w:rPr>
        <w:t xml:space="preserve">cooperation discount in accordance with </w:t>
      </w:r>
      <w:r w:rsidR="00D56936">
        <w:rPr>
          <w:rFonts w:eastAsia="PMingLiU"/>
          <w:color w:val="000000"/>
          <w:lang w:val="en-HK"/>
        </w:rPr>
        <w:t>[</w:t>
      </w:r>
      <w:r>
        <w:rPr>
          <w:rFonts w:eastAsia="PMingLiU"/>
          <w:color w:val="000000"/>
          <w:lang w:val="en-HK"/>
        </w:rPr>
        <w:t>3.5</w:t>
      </w:r>
      <w:r w:rsidR="00D56936">
        <w:rPr>
          <w:rFonts w:eastAsia="PMingLiU"/>
          <w:color w:val="000000"/>
          <w:lang w:val="en-HK"/>
        </w:rPr>
        <w:t>]</w:t>
      </w:r>
      <w:r>
        <w:rPr>
          <w:rFonts w:eastAsia="PMingLiU"/>
          <w:color w:val="000000"/>
          <w:lang w:val="en-HK"/>
        </w:rPr>
        <w:t xml:space="preserve"> of the Cooperation Policy, as </w:t>
      </w:r>
      <w:r>
        <w:rPr>
          <w:rFonts w:eastAsia="PMingLiU"/>
          <w:b/>
          <w:bCs/>
          <w:color w:val="000000"/>
          <w:lang w:val="en-HK"/>
        </w:rPr>
        <w:t xml:space="preserve">(i) </w:t>
      </w:r>
      <w:r w:rsidR="00D56936" w:rsidRPr="00D56936">
        <w:rPr>
          <w:rFonts w:eastAsia="PMingLiU"/>
          <w:bCs/>
          <w:color w:val="000000"/>
          <w:lang w:val="en-HK"/>
        </w:rPr>
        <w:t>t</w:t>
      </w:r>
      <w:r w:rsidR="00D56936">
        <w:rPr>
          <w:rFonts w:eastAsia="PMingLiU"/>
          <w:color w:val="000000"/>
        </w:rPr>
        <w:t>he 3</w:t>
      </w:r>
      <w:r w:rsidR="00D56936" w:rsidRPr="003C1ECC">
        <w:rPr>
          <w:rFonts w:eastAsia="PMingLiU"/>
          <w:color w:val="000000"/>
          <w:vertAlign w:val="superscript"/>
        </w:rPr>
        <w:t>rd</w:t>
      </w:r>
      <w:r w:rsidR="00D56936">
        <w:rPr>
          <w:rFonts w:eastAsia="PMingLiU"/>
          <w:color w:val="000000"/>
        </w:rPr>
        <w:t> Respondent and the 4</w:t>
      </w:r>
      <w:r w:rsidR="00D56936" w:rsidRPr="003C1ECC">
        <w:rPr>
          <w:rFonts w:eastAsia="PMingLiU"/>
          <w:color w:val="000000"/>
          <w:vertAlign w:val="superscript"/>
        </w:rPr>
        <w:t>th</w:t>
      </w:r>
      <w:r w:rsidR="00D56936">
        <w:rPr>
          <w:rFonts w:eastAsia="PMingLiU"/>
          <w:color w:val="000000"/>
        </w:rPr>
        <w:t> Respondent</w:t>
      </w:r>
      <w:r>
        <w:rPr>
          <w:rFonts w:eastAsia="PMingLiU"/>
          <w:color w:val="000000"/>
          <w:lang w:val="en-HK"/>
        </w:rPr>
        <w:t xml:space="preserve"> </w:t>
      </w:r>
      <w:r w:rsidRPr="00446898">
        <w:rPr>
          <w:rFonts w:eastAsia="PMingLiU"/>
          <w:color w:val="000000"/>
          <w:lang w:val="en-GB"/>
        </w:rPr>
        <w:t xml:space="preserve">indicated their willingness to cooperate about </w:t>
      </w:r>
      <w:r>
        <w:rPr>
          <w:rFonts w:eastAsia="PMingLiU"/>
          <w:color w:val="000000"/>
          <w:lang w:val="en-GB"/>
        </w:rPr>
        <w:t>three</w:t>
      </w:r>
      <w:r w:rsidRPr="00446898">
        <w:rPr>
          <w:rFonts w:eastAsia="PMingLiU"/>
          <w:color w:val="000000"/>
          <w:lang w:val="en-GB"/>
        </w:rPr>
        <w:t xml:space="preserve"> weeks after the investigation turned overt </w:t>
      </w:r>
      <w:r>
        <w:rPr>
          <w:rFonts w:eastAsia="PMingLiU"/>
          <w:color w:val="000000"/>
          <w:lang w:val="en-GB"/>
        </w:rPr>
        <w:t xml:space="preserve">when the Commission had already obtained valuable evidence by other means, and </w:t>
      </w:r>
      <w:r>
        <w:rPr>
          <w:rFonts w:eastAsia="PMingLiU"/>
          <w:b/>
          <w:bCs/>
          <w:color w:val="000000"/>
          <w:lang w:val="en-GB"/>
        </w:rPr>
        <w:t xml:space="preserve">(ii) </w:t>
      </w:r>
      <w:r w:rsidR="00D56936">
        <w:rPr>
          <w:rFonts w:eastAsia="PMingLiU"/>
          <w:color w:val="000000"/>
          <w:lang w:val="en-HK"/>
        </w:rPr>
        <w:t>t</w:t>
      </w:r>
      <w:r w:rsidR="00D56936">
        <w:rPr>
          <w:rFonts w:eastAsia="PMingLiU"/>
          <w:color w:val="000000"/>
        </w:rPr>
        <w:t>he 3</w:t>
      </w:r>
      <w:r w:rsidR="00D56936" w:rsidRPr="003C1ECC">
        <w:rPr>
          <w:rFonts w:eastAsia="PMingLiU"/>
          <w:color w:val="000000"/>
          <w:vertAlign w:val="superscript"/>
        </w:rPr>
        <w:t>rd</w:t>
      </w:r>
      <w:r w:rsidR="00D56936">
        <w:rPr>
          <w:rFonts w:eastAsia="PMingLiU"/>
          <w:color w:val="000000"/>
        </w:rPr>
        <w:t> Respondent and the 4</w:t>
      </w:r>
      <w:r w:rsidR="00D56936" w:rsidRPr="003C1ECC">
        <w:rPr>
          <w:rFonts w:eastAsia="PMingLiU"/>
          <w:color w:val="000000"/>
          <w:vertAlign w:val="superscript"/>
        </w:rPr>
        <w:t>th</w:t>
      </w:r>
      <w:r w:rsidR="00D56936">
        <w:rPr>
          <w:rFonts w:eastAsia="PMingLiU"/>
          <w:color w:val="000000"/>
        </w:rPr>
        <w:t> Respondent</w:t>
      </w:r>
      <w:r>
        <w:rPr>
          <w:rFonts w:eastAsia="PMingLiU"/>
          <w:color w:val="000000"/>
          <w:lang w:val="en-GB"/>
        </w:rPr>
        <w:t xml:space="preserve"> had less hands-on involvement in the contravention as </w:t>
      </w:r>
      <w:r w:rsidR="00D56936">
        <w:rPr>
          <w:rFonts w:eastAsia="PMingLiU"/>
          <w:color w:val="000000"/>
          <w:lang w:val="en-GB"/>
        </w:rPr>
        <w:t>the 7</w:t>
      </w:r>
      <w:r w:rsidR="00D56936" w:rsidRPr="00D56936">
        <w:rPr>
          <w:rFonts w:eastAsia="PMingLiU"/>
          <w:color w:val="000000"/>
          <w:vertAlign w:val="superscript"/>
          <w:lang w:val="en-GB"/>
        </w:rPr>
        <w:t>th</w:t>
      </w:r>
      <w:r w:rsidR="00D56936">
        <w:rPr>
          <w:rFonts w:eastAsia="PMingLiU"/>
          <w:color w:val="000000"/>
          <w:lang w:val="en-GB"/>
        </w:rPr>
        <w:t> Respondent</w:t>
      </w:r>
      <w:r>
        <w:rPr>
          <w:rFonts w:eastAsia="PMingLiU"/>
          <w:color w:val="000000"/>
          <w:lang w:val="en-GB"/>
        </w:rPr>
        <w:t xml:space="preserve"> was entrusted to find other cover bids</w:t>
      </w:r>
      <w:r>
        <w:rPr>
          <w:rFonts w:eastAsia="PMingLiU"/>
          <w:color w:val="000000"/>
        </w:rPr>
        <w:t xml:space="preserve">.  After applying the cooperation discount, the proposed penalty is HK$90,000 (rounded down to the nearest thousand), which is agreed by </w:t>
      </w:r>
      <w:r w:rsidR="00D56936">
        <w:rPr>
          <w:rFonts w:eastAsia="PMingLiU"/>
          <w:color w:val="000000"/>
          <w:lang w:val="en-HK"/>
        </w:rPr>
        <w:t>t</w:t>
      </w:r>
      <w:r w:rsidR="00D56936">
        <w:rPr>
          <w:rFonts w:eastAsia="PMingLiU"/>
          <w:color w:val="000000"/>
        </w:rPr>
        <w:t>he 3</w:t>
      </w:r>
      <w:r w:rsidR="00D56936" w:rsidRPr="003C1ECC">
        <w:rPr>
          <w:rFonts w:eastAsia="PMingLiU"/>
          <w:color w:val="000000"/>
          <w:vertAlign w:val="superscript"/>
        </w:rPr>
        <w:t>rd</w:t>
      </w:r>
      <w:r w:rsidR="00D56936">
        <w:rPr>
          <w:rFonts w:eastAsia="PMingLiU"/>
          <w:color w:val="000000"/>
        </w:rPr>
        <w:t> Respondent and the 4</w:t>
      </w:r>
      <w:r w:rsidR="00D56936" w:rsidRPr="003C1ECC">
        <w:rPr>
          <w:rFonts w:eastAsia="PMingLiU"/>
          <w:color w:val="000000"/>
          <w:vertAlign w:val="superscript"/>
        </w:rPr>
        <w:t>th</w:t>
      </w:r>
      <w:r w:rsidR="00D56936">
        <w:rPr>
          <w:rFonts w:eastAsia="PMingLiU"/>
          <w:color w:val="000000"/>
        </w:rPr>
        <w:t> Respondent</w:t>
      </w:r>
      <w:r>
        <w:rPr>
          <w:rFonts w:eastAsia="PMingLiU"/>
          <w:color w:val="000000"/>
        </w:rPr>
        <w:t>.</w:t>
      </w:r>
    </w:p>
    <w:p w:rsidR="00EF4279" w:rsidRPr="000F35E0" w:rsidRDefault="00EF4279" w:rsidP="00EF4279">
      <w:pPr>
        <w:pStyle w:val="HC-Hanging"/>
        <w:numPr>
          <w:ilvl w:val="0"/>
          <w:numId w:val="0"/>
        </w:numPr>
        <w:ind w:left="1440" w:hanging="720"/>
        <w:rPr>
          <w:i/>
          <w:u w:val="single"/>
        </w:rPr>
      </w:pPr>
    </w:p>
    <w:p w:rsidR="00CD6077" w:rsidRPr="00CD6077" w:rsidRDefault="00CD6077" w:rsidP="00CD6077">
      <w:pPr>
        <w:pStyle w:val="H1"/>
        <w:rPr>
          <w:b/>
        </w:rPr>
      </w:pPr>
      <w:r w:rsidRPr="00CD6077">
        <w:rPr>
          <w:b/>
        </w:rPr>
        <w:t>Penalties for the 5</w:t>
      </w:r>
      <w:r w:rsidRPr="00CD6077">
        <w:rPr>
          <w:b/>
          <w:vertAlign w:val="superscript"/>
        </w:rPr>
        <w:t>th</w:t>
      </w:r>
      <w:r w:rsidRPr="00CD6077">
        <w:rPr>
          <w:b/>
        </w:rPr>
        <w:t xml:space="preserve"> and 8</w:t>
      </w:r>
      <w:r w:rsidRPr="00CD6077">
        <w:rPr>
          <w:b/>
          <w:vertAlign w:val="superscript"/>
        </w:rPr>
        <w:t>th</w:t>
      </w:r>
      <w:r w:rsidRPr="00CD6077">
        <w:rPr>
          <w:b/>
        </w:rPr>
        <w:t xml:space="preserve"> Respondents</w:t>
      </w:r>
    </w:p>
    <w:p w:rsidR="004465E1" w:rsidRPr="00AB0D94" w:rsidRDefault="00EA69A0" w:rsidP="009F0836">
      <w:pPr>
        <w:pStyle w:val="Final"/>
      </w:pPr>
      <w:r>
        <w:rPr>
          <w:rFonts w:eastAsia="PMingLiU"/>
          <w:color w:val="000000"/>
          <w:szCs w:val="28"/>
          <w:lang w:val="en-HK"/>
        </w:rPr>
        <w:t>T</w:t>
      </w:r>
      <w:r w:rsidR="00EF4279">
        <w:rPr>
          <w:rFonts w:eastAsia="PMingLiU"/>
          <w:color w:val="000000"/>
          <w:szCs w:val="28"/>
          <w:lang w:val="en-HK"/>
        </w:rPr>
        <w:t xml:space="preserve">he </w:t>
      </w:r>
      <w:r w:rsidR="00FD0349">
        <w:rPr>
          <w:rFonts w:eastAsia="PMingLiU"/>
          <w:color w:val="000000"/>
          <w:szCs w:val="28"/>
          <w:lang w:val="en-HK"/>
        </w:rPr>
        <w:t>5</w:t>
      </w:r>
      <w:r w:rsidR="00FD0349" w:rsidRPr="00FD0349">
        <w:rPr>
          <w:rFonts w:eastAsia="PMingLiU"/>
          <w:color w:val="000000"/>
          <w:szCs w:val="28"/>
          <w:vertAlign w:val="superscript"/>
          <w:lang w:val="en-HK"/>
        </w:rPr>
        <w:t>th</w:t>
      </w:r>
      <w:r w:rsidR="00FD0349">
        <w:rPr>
          <w:rFonts w:eastAsia="PMingLiU"/>
          <w:color w:val="000000"/>
          <w:szCs w:val="28"/>
          <w:lang w:val="en-HK"/>
        </w:rPr>
        <w:t xml:space="preserve"> Respondent</w:t>
      </w:r>
      <w:r w:rsidR="00EF4279">
        <w:rPr>
          <w:rFonts w:eastAsia="PMingLiU"/>
          <w:color w:val="000000"/>
          <w:szCs w:val="28"/>
          <w:lang w:val="en-HK"/>
        </w:rPr>
        <w:t>/</w:t>
      </w:r>
      <w:r w:rsidR="00FD0349">
        <w:rPr>
          <w:rFonts w:eastAsia="PMingLiU"/>
          <w:color w:val="000000"/>
          <w:szCs w:val="28"/>
          <w:lang w:val="en-HK"/>
        </w:rPr>
        <w:t xml:space="preserve"> the 8</w:t>
      </w:r>
      <w:r w:rsidR="00FD0349" w:rsidRPr="00FD0349">
        <w:rPr>
          <w:rFonts w:eastAsia="PMingLiU"/>
          <w:color w:val="000000"/>
          <w:szCs w:val="28"/>
          <w:vertAlign w:val="superscript"/>
          <w:lang w:val="en-HK"/>
        </w:rPr>
        <w:t>th</w:t>
      </w:r>
      <w:r w:rsidR="00FD0349">
        <w:rPr>
          <w:rFonts w:eastAsia="PMingLiU"/>
          <w:color w:val="000000"/>
          <w:szCs w:val="28"/>
          <w:lang w:val="en-HK"/>
        </w:rPr>
        <w:t> Respondent</w:t>
      </w:r>
      <w:r w:rsidR="00EF4279">
        <w:rPr>
          <w:rFonts w:eastAsia="PMingLiU"/>
          <w:color w:val="000000"/>
          <w:szCs w:val="28"/>
          <w:lang w:val="en-HK"/>
        </w:rPr>
        <w:t xml:space="preserve"> Statement</w:t>
      </w:r>
      <w:r w:rsidR="00BD4AA6">
        <w:rPr>
          <w:rFonts w:eastAsia="PMingLiU"/>
          <w:color w:val="000000"/>
          <w:szCs w:val="28"/>
          <w:lang w:val="en-HK"/>
        </w:rPr>
        <w:t>s</w:t>
      </w:r>
      <w:r w:rsidR="0090322F">
        <w:rPr>
          <w:rFonts w:eastAsia="PMingLiU"/>
          <w:color w:val="000000"/>
          <w:szCs w:val="28"/>
          <w:lang w:val="en-HK"/>
        </w:rPr>
        <w:t xml:space="preserve"> set</w:t>
      </w:r>
      <w:r w:rsidR="00EF4279">
        <w:rPr>
          <w:rFonts w:eastAsia="PMingLiU"/>
          <w:color w:val="000000"/>
          <w:szCs w:val="28"/>
          <w:lang w:val="en-HK"/>
        </w:rPr>
        <w:t xml:space="preserve"> out the factual basis giving rise to the admission of liability and quantum.</w:t>
      </w:r>
    </w:p>
    <w:p w:rsidR="00AB0D94" w:rsidRPr="00AB0D94" w:rsidRDefault="00AB0D94" w:rsidP="00AB0D94">
      <w:pPr>
        <w:pStyle w:val="Final"/>
        <w:spacing w:after="0"/>
      </w:pPr>
      <w:r>
        <w:rPr>
          <w:rFonts w:eastAsia="PMingLiU"/>
          <w:color w:val="000000"/>
          <w:szCs w:val="28"/>
        </w:rPr>
        <w:t>The agreed draft order includes the following relief:</w:t>
      </w:r>
    </w:p>
    <w:p w:rsidR="00AB0D94" w:rsidRPr="00AB0D94" w:rsidRDefault="00AB0D94" w:rsidP="00AB0D94">
      <w:pPr>
        <w:pStyle w:val="HC-Hanging"/>
        <w:ind w:left="1440"/>
      </w:pPr>
      <w:r>
        <w:rPr>
          <w:rFonts w:eastAsia="PMingLiU"/>
          <w:color w:val="000000"/>
        </w:rPr>
        <w:t xml:space="preserve">A declaration of contravention by </w:t>
      </w:r>
      <w:r w:rsidR="00FD0349">
        <w:rPr>
          <w:rFonts w:eastAsia="PMingLiU"/>
          <w:color w:val="000000"/>
        </w:rPr>
        <w:t>the 5</w:t>
      </w:r>
      <w:r w:rsidR="00FD0349" w:rsidRPr="00FD0349">
        <w:rPr>
          <w:rFonts w:eastAsia="PMingLiU"/>
          <w:color w:val="000000"/>
          <w:vertAlign w:val="superscript"/>
        </w:rPr>
        <w:t>th</w:t>
      </w:r>
      <w:r w:rsidR="00FD0349">
        <w:rPr>
          <w:rFonts w:eastAsia="PMingLiU"/>
          <w:color w:val="000000"/>
        </w:rPr>
        <w:t> Respondent</w:t>
      </w:r>
      <w:r>
        <w:rPr>
          <w:rFonts w:eastAsia="PMingLiU"/>
          <w:color w:val="000000"/>
        </w:rPr>
        <w:t xml:space="preserve"> and </w:t>
      </w:r>
      <w:r w:rsidR="00FD0349">
        <w:rPr>
          <w:rFonts w:eastAsia="PMingLiU"/>
          <w:color w:val="000000"/>
        </w:rPr>
        <w:t>the 8</w:t>
      </w:r>
      <w:r w:rsidR="00FD0349" w:rsidRPr="00FD0349">
        <w:rPr>
          <w:rFonts w:eastAsia="PMingLiU"/>
          <w:color w:val="000000"/>
          <w:vertAlign w:val="superscript"/>
        </w:rPr>
        <w:t>th</w:t>
      </w:r>
      <w:r w:rsidR="00FD0349">
        <w:rPr>
          <w:rFonts w:eastAsia="PMingLiU"/>
          <w:color w:val="000000"/>
        </w:rPr>
        <w:t> Respondent</w:t>
      </w:r>
      <w:r>
        <w:rPr>
          <w:rFonts w:eastAsia="PMingLiU"/>
          <w:color w:val="000000"/>
        </w:rPr>
        <w:t>;</w:t>
      </w:r>
    </w:p>
    <w:p w:rsidR="00AB0D94" w:rsidRPr="00AB0D94" w:rsidRDefault="00AB0D94" w:rsidP="00AB0D94">
      <w:pPr>
        <w:pStyle w:val="HC-Hanging"/>
        <w:ind w:left="1440"/>
      </w:pPr>
      <w:r>
        <w:rPr>
          <w:rFonts w:eastAsia="PMingLiU"/>
          <w:color w:val="000000"/>
        </w:rPr>
        <w:t xml:space="preserve">A pecuniary penalty of HK$32,000 to be paid by </w:t>
      </w:r>
      <w:r w:rsidR="00FD0349">
        <w:rPr>
          <w:rFonts w:eastAsia="PMingLiU"/>
          <w:color w:val="000000"/>
        </w:rPr>
        <w:t>the 8</w:t>
      </w:r>
      <w:r w:rsidR="00FD0349" w:rsidRPr="00FD0349">
        <w:rPr>
          <w:rFonts w:eastAsia="PMingLiU"/>
          <w:color w:val="000000"/>
          <w:vertAlign w:val="superscript"/>
        </w:rPr>
        <w:t>th</w:t>
      </w:r>
      <w:r w:rsidR="00FD0349">
        <w:rPr>
          <w:rFonts w:eastAsia="PMingLiU"/>
          <w:color w:val="000000"/>
        </w:rPr>
        <w:t> Respondent</w:t>
      </w:r>
      <w:r>
        <w:rPr>
          <w:rFonts w:eastAsia="PMingLiU"/>
          <w:color w:val="000000"/>
        </w:rPr>
        <w:t>;</w:t>
      </w:r>
    </w:p>
    <w:p w:rsidR="00AB0D94" w:rsidRPr="00AB0D94" w:rsidRDefault="00AB0D94" w:rsidP="00AB0D94">
      <w:pPr>
        <w:pStyle w:val="HC-Hanging"/>
        <w:ind w:left="1440"/>
      </w:pPr>
      <w:r>
        <w:rPr>
          <w:rFonts w:eastAsia="PMingLiU"/>
          <w:color w:val="000000"/>
        </w:rPr>
        <w:t xml:space="preserve">An order for </w:t>
      </w:r>
      <w:r w:rsidR="00FD0349">
        <w:rPr>
          <w:rFonts w:eastAsia="PMingLiU"/>
          <w:color w:val="000000"/>
        </w:rPr>
        <w:t>the 5</w:t>
      </w:r>
      <w:r w:rsidR="00FD0349" w:rsidRPr="00FD0349">
        <w:rPr>
          <w:rFonts w:eastAsia="PMingLiU"/>
          <w:color w:val="000000"/>
          <w:vertAlign w:val="superscript"/>
        </w:rPr>
        <w:t>th</w:t>
      </w:r>
      <w:r w:rsidR="00FD0349">
        <w:rPr>
          <w:rFonts w:eastAsia="PMingLiU"/>
          <w:color w:val="000000"/>
        </w:rPr>
        <w:t> Respondent</w:t>
      </w:r>
      <w:r>
        <w:rPr>
          <w:rFonts w:eastAsia="PMingLiU"/>
          <w:color w:val="000000"/>
        </w:rPr>
        <w:t xml:space="preserve"> to adopt and to implement, to the reasonable satisfaction of the Commission, an effective competition compliance scheme;</w:t>
      </w:r>
    </w:p>
    <w:p w:rsidR="00AB0D94" w:rsidRPr="00AB0D94" w:rsidRDefault="00AB0D94" w:rsidP="00AB0D94">
      <w:pPr>
        <w:pStyle w:val="HC-Hanging"/>
        <w:ind w:left="1440"/>
      </w:pPr>
      <w:r>
        <w:rPr>
          <w:rFonts w:eastAsia="PMingLiU"/>
          <w:color w:val="000000"/>
        </w:rPr>
        <w:t xml:space="preserve">An order for </w:t>
      </w:r>
      <w:r w:rsidR="00FD0349">
        <w:rPr>
          <w:rFonts w:eastAsia="PMingLiU"/>
          <w:color w:val="000000"/>
        </w:rPr>
        <w:t>the 5</w:t>
      </w:r>
      <w:r w:rsidR="00FD0349" w:rsidRPr="00FD0349">
        <w:rPr>
          <w:rFonts w:eastAsia="PMingLiU"/>
          <w:color w:val="000000"/>
          <w:vertAlign w:val="superscript"/>
        </w:rPr>
        <w:t>th</w:t>
      </w:r>
      <w:r w:rsidR="00FD0349">
        <w:rPr>
          <w:rFonts w:eastAsia="PMingLiU"/>
          <w:color w:val="000000"/>
        </w:rPr>
        <w:t> Respondent</w:t>
      </w:r>
      <w:r>
        <w:rPr>
          <w:rFonts w:eastAsia="PMingLiU"/>
          <w:color w:val="000000"/>
        </w:rPr>
        <w:t xml:space="preserve"> to pay its share of the Commission’s investigation costs of HK$155,000;</w:t>
      </w:r>
    </w:p>
    <w:p w:rsidR="00AB0D94" w:rsidRPr="00AB0D94" w:rsidRDefault="00AB0D94" w:rsidP="00AB0D94">
      <w:pPr>
        <w:pStyle w:val="HC-Hanging"/>
        <w:ind w:left="1440"/>
      </w:pPr>
      <w:r>
        <w:rPr>
          <w:rFonts w:eastAsia="PMingLiU"/>
          <w:color w:val="000000"/>
        </w:rPr>
        <w:t xml:space="preserve">An order disqualifying </w:t>
      </w:r>
      <w:r w:rsidR="00FD0349">
        <w:rPr>
          <w:rFonts w:eastAsia="PMingLiU"/>
          <w:color w:val="000000"/>
        </w:rPr>
        <w:t>the 8</w:t>
      </w:r>
      <w:r w:rsidR="00FD0349" w:rsidRPr="00FD0349">
        <w:rPr>
          <w:rFonts w:eastAsia="PMingLiU"/>
          <w:color w:val="000000"/>
          <w:vertAlign w:val="superscript"/>
        </w:rPr>
        <w:t>th</w:t>
      </w:r>
      <w:r w:rsidR="00FD0349">
        <w:rPr>
          <w:rFonts w:eastAsia="PMingLiU"/>
          <w:color w:val="000000"/>
        </w:rPr>
        <w:t> Respondent</w:t>
      </w:r>
      <w:r>
        <w:rPr>
          <w:rFonts w:eastAsia="PMingLiU"/>
          <w:color w:val="000000"/>
        </w:rPr>
        <w:t xml:space="preserve"> from being a director and being concerned or taking part in the promotion, formation or management of a company for two years;</w:t>
      </w:r>
    </w:p>
    <w:p w:rsidR="00AB0D94" w:rsidRPr="00AB0D94" w:rsidRDefault="00AB0D94" w:rsidP="00AB0D94">
      <w:pPr>
        <w:pStyle w:val="HC-Hanging"/>
        <w:ind w:left="1440"/>
      </w:pPr>
      <w:r>
        <w:rPr>
          <w:rFonts w:eastAsia="PMingLiU"/>
          <w:color w:val="000000"/>
        </w:rPr>
        <w:t xml:space="preserve">Payment of the Commission’s costs of and incidental to the application in these proceedings vis-à-vis </w:t>
      </w:r>
      <w:r w:rsidR="00FD0349">
        <w:rPr>
          <w:rFonts w:eastAsia="PMingLiU"/>
          <w:color w:val="000000"/>
        </w:rPr>
        <w:t>the 5</w:t>
      </w:r>
      <w:r w:rsidR="00FD0349" w:rsidRPr="00FD0349">
        <w:rPr>
          <w:rFonts w:eastAsia="PMingLiU"/>
          <w:color w:val="000000"/>
          <w:vertAlign w:val="superscript"/>
        </w:rPr>
        <w:t>th</w:t>
      </w:r>
      <w:r w:rsidR="00FD0349">
        <w:rPr>
          <w:rFonts w:eastAsia="PMingLiU"/>
          <w:color w:val="000000"/>
        </w:rPr>
        <w:t> Respondent</w:t>
      </w:r>
      <w:r>
        <w:rPr>
          <w:rFonts w:eastAsia="PMingLiU"/>
          <w:color w:val="000000"/>
        </w:rPr>
        <w:t xml:space="preserve"> and </w:t>
      </w:r>
      <w:r w:rsidR="00FD0349">
        <w:rPr>
          <w:rFonts w:eastAsia="PMingLiU"/>
          <w:color w:val="000000"/>
        </w:rPr>
        <w:t>the 8</w:t>
      </w:r>
      <w:r w:rsidR="00FD0349" w:rsidRPr="00FD0349">
        <w:rPr>
          <w:rFonts w:eastAsia="PMingLiU"/>
          <w:color w:val="000000"/>
          <w:vertAlign w:val="superscript"/>
        </w:rPr>
        <w:t>th</w:t>
      </w:r>
      <w:r w:rsidR="00FD0349">
        <w:rPr>
          <w:rFonts w:eastAsia="PMingLiU"/>
          <w:color w:val="000000"/>
        </w:rPr>
        <w:t> Respondent</w:t>
      </w:r>
      <w:r>
        <w:rPr>
          <w:rFonts w:eastAsia="PMingLiU"/>
          <w:color w:val="000000"/>
        </w:rPr>
        <w:t>.</w:t>
      </w:r>
    </w:p>
    <w:p w:rsidR="00AB0D94" w:rsidRDefault="00AB0D94" w:rsidP="00AB0D94">
      <w:pPr>
        <w:pStyle w:val="HC-Hanging"/>
        <w:numPr>
          <w:ilvl w:val="0"/>
          <w:numId w:val="0"/>
        </w:numPr>
        <w:ind w:left="1440"/>
      </w:pPr>
    </w:p>
    <w:p w:rsidR="004465E1" w:rsidRPr="00AB0D94" w:rsidRDefault="001A374C" w:rsidP="00AB0D94">
      <w:pPr>
        <w:pStyle w:val="Final"/>
        <w:spacing w:after="0"/>
      </w:pPr>
      <w:r>
        <w:rPr>
          <w:rFonts w:eastAsia="PMingLiU"/>
          <w:color w:val="000000"/>
          <w:lang w:val="en-US"/>
        </w:rPr>
        <w:t>I accept that t</w:t>
      </w:r>
      <w:r>
        <w:rPr>
          <w:rFonts w:eastAsia="PMingLiU"/>
          <w:color w:val="000000"/>
        </w:rPr>
        <w:t>he 8</w:t>
      </w:r>
      <w:r w:rsidRPr="00FD0349">
        <w:rPr>
          <w:rFonts w:eastAsia="PMingLiU"/>
          <w:color w:val="000000"/>
          <w:vertAlign w:val="superscript"/>
        </w:rPr>
        <w:t>th</w:t>
      </w:r>
      <w:r>
        <w:rPr>
          <w:rFonts w:eastAsia="PMingLiU"/>
          <w:color w:val="000000"/>
        </w:rPr>
        <w:t> Respondent</w:t>
      </w:r>
      <w:r w:rsidR="00AB0D94">
        <w:rPr>
          <w:rFonts w:eastAsia="PMingLiU"/>
          <w:color w:val="000000"/>
          <w:szCs w:val="28"/>
          <w:lang w:val="en-HK"/>
        </w:rPr>
        <w:t xml:space="preserve"> is clearly a person involved in a contravention of a competition rule under </w:t>
      </w:r>
      <w:r w:rsidR="00AB0D94" w:rsidRPr="00AB0D94">
        <w:rPr>
          <w:rFonts w:eastAsia="PMingLiU"/>
          <w:i/>
          <w:color w:val="000000"/>
          <w:szCs w:val="28"/>
          <w:lang w:val="en-HK"/>
        </w:rPr>
        <w:t>section 91</w:t>
      </w:r>
      <w:r w:rsidR="00AB0D94">
        <w:rPr>
          <w:rFonts w:eastAsia="PMingLiU"/>
          <w:color w:val="000000"/>
          <w:szCs w:val="28"/>
          <w:lang w:val="en-HK"/>
        </w:rPr>
        <w:t xml:space="preserve"> of the </w:t>
      </w:r>
      <w:r w:rsidR="00AB0D94" w:rsidRPr="00AB0D94">
        <w:rPr>
          <w:rFonts w:eastAsia="PMingLiU"/>
          <w:i/>
          <w:color w:val="000000"/>
          <w:szCs w:val="28"/>
          <w:lang w:val="en-HK"/>
        </w:rPr>
        <w:t>Ordinance</w:t>
      </w:r>
      <w:r w:rsidR="00AB0D94">
        <w:rPr>
          <w:rFonts w:eastAsia="PMingLiU"/>
          <w:color w:val="000000"/>
          <w:szCs w:val="28"/>
          <w:lang w:val="en-HK"/>
        </w:rPr>
        <w:t xml:space="preserve"> because:</w:t>
      </w:r>
    </w:p>
    <w:p w:rsidR="00AB0D94" w:rsidRPr="00AB0D94" w:rsidRDefault="001A374C" w:rsidP="00AB0D94">
      <w:pPr>
        <w:pStyle w:val="HC-Hanging"/>
        <w:ind w:left="1440"/>
      </w:pPr>
      <w:r>
        <w:rPr>
          <w:rFonts w:eastAsia="PMingLiU"/>
          <w:color w:val="000000"/>
        </w:rPr>
        <w:t>The 8</w:t>
      </w:r>
      <w:r w:rsidRPr="00FD0349">
        <w:rPr>
          <w:rFonts w:eastAsia="PMingLiU"/>
          <w:color w:val="000000"/>
          <w:vertAlign w:val="superscript"/>
        </w:rPr>
        <w:t>th</w:t>
      </w:r>
      <w:r>
        <w:rPr>
          <w:rFonts w:eastAsia="PMingLiU"/>
          <w:color w:val="000000"/>
        </w:rPr>
        <w:t> Respondent</w:t>
      </w:r>
      <w:r w:rsidR="00AB0D94">
        <w:rPr>
          <w:rFonts w:eastAsia="PMingLiU"/>
          <w:color w:val="000000"/>
          <w:lang w:val="en-HK"/>
        </w:rPr>
        <w:t xml:space="preserve"> was at all material times (and still is) a shareholder and director of KWEK and the Chief Technology Officer;</w:t>
      </w:r>
    </w:p>
    <w:p w:rsidR="00AB0D94" w:rsidRPr="00AB0D94" w:rsidRDefault="001A374C" w:rsidP="00AB0D94">
      <w:pPr>
        <w:pStyle w:val="HC-Hanging"/>
        <w:ind w:left="1440"/>
      </w:pPr>
      <w:r>
        <w:rPr>
          <w:rFonts w:eastAsia="PMingLiU"/>
          <w:color w:val="000000"/>
        </w:rPr>
        <w:t>The 8</w:t>
      </w:r>
      <w:r w:rsidRPr="00FD0349">
        <w:rPr>
          <w:rFonts w:eastAsia="PMingLiU"/>
          <w:color w:val="000000"/>
          <w:vertAlign w:val="superscript"/>
        </w:rPr>
        <w:t>th</w:t>
      </w:r>
      <w:r>
        <w:rPr>
          <w:rFonts w:eastAsia="PMingLiU"/>
          <w:color w:val="000000"/>
        </w:rPr>
        <w:t> Respondent</w:t>
      </w:r>
      <w:r w:rsidR="00AB0D94">
        <w:rPr>
          <w:rFonts w:eastAsia="PMingLiU"/>
          <w:color w:val="000000"/>
          <w:lang w:val="en-HK"/>
        </w:rPr>
        <w:t xml:space="preserve"> was the person who directly agreed with Joe Fan to provide cover bids on behalf of KWEK;</w:t>
      </w:r>
    </w:p>
    <w:p w:rsidR="00AB0D94" w:rsidRPr="0090322F" w:rsidRDefault="001A374C" w:rsidP="00AB0D94">
      <w:pPr>
        <w:pStyle w:val="HC-Hanging"/>
        <w:ind w:left="1440"/>
      </w:pPr>
      <w:r>
        <w:rPr>
          <w:rFonts w:eastAsia="PMingLiU"/>
          <w:color w:val="000000"/>
        </w:rPr>
        <w:t>The 8</w:t>
      </w:r>
      <w:r w:rsidRPr="00FD0349">
        <w:rPr>
          <w:rFonts w:eastAsia="PMingLiU"/>
          <w:color w:val="000000"/>
          <w:vertAlign w:val="superscript"/>
        </w:rPr>
        <w:t>th</w:t>
      </w:r>
      <w:r>
        <w:rPr>
          <w:rFonts w:eastAsia="PMingLiU"/>
          <w:color w:val="000000"/>
        </w:rPr>
        <w:t> Respondent</w:t>
      </w:r>
      <w:r w:rsidR="00AB0D94">
        <w:rPr>
          <w:rFonts w:eastAsia="PMingLiU"/>
          <w:color w:val="000000"/>
          <w:lang w:val="en-HK"/>
        </w:rPr>
        <w:t xml:space="preserve"> also personally agreed to accept HK$30,000 from Joe Fan in exchange for KWEK’s provision of cover bids.</w:t>
      </w:r>
    </w:p>
    <w:p w:rsidR="0090322F" w:rsidRPr="00AB0D94" w:rsidRDefault="0090322F" w:rsidP="0090322F">
      <w:pPr>
        <w:pStyle w:val="HC-Hanging"/>
        <w:numPr>
          <w:ilvl w:val="0"/>
          <w:numId w:val="0"/>
        </w:numPr>
        <w:ind w:left="1440"/>
      </w:pPr>
    </w:p>
    <w:p w:rsidR="004465E1" w:rsidRPr="007D6E15" w:rsidRDefault="00AB0D94" w:rsidP="009F0836">
      <w:pPr>
        <w:pStyle w:val="Final"/>
      </w:pPr>
      <w:r>
        <w:rPr>
          <w:rFonts w:eastAsia="PMingLiU"/>
          <w:color w:val="000000"/>
          <w:szCs w:val="28"/>
          <w:lang w:val="en-HK"/>
        </w:rPr>
        <w:t xml:space="preserve">The 4-step approach in </w:t>
      </w:r>
      <w:r w:rsidRPr="00AB0D94">
        <w:rPr>
          <w:rFonts w:eastAsia="PMingLiU"/>
          <w:bCs/>
          <w:i/>
          <w:iCs/>
          <w:color w:val="000000"/>
          <w:szCs w:val="28"/>
          <w:lang w:val="en-HK"/>
        </w:rPr>
        <w:t>W Hing Construction</w:t>
      </w:r>
      <w:r>
        <w:rPr>
          <w:rFonts w:eastAsia="PMingLiU"/>
          <w:color w:val="000000"/>
          <w:szCs w:val="28"/>
          <w:lang w:val="en-HK"/>
        </w:rPr>
        <w:t xml:space="preserve"> </w:t>
      </w:r>
      <w:r w:rsidR="001A374C">
        <w:rPr>
          <w:rFonts w:eastAsia="PMingLiU"/>
          <w:color w:val="000000"/>
          <w:szCs w:val="28"/>
          <w:lang w:val="en-HK"/>
        </w:rPr>
        <w:t>does</w:t>
      </w:r>
      <w:r>
        <w:rPr>
          <w:rFonts w:eastAsia="PMingLiU"/>
          <w:color w:val="000000"/>
          <w:szCs w:val="28"/>
          <w:lang w:val="en-HK"/>
        </w:rPr>
        <w:t xml:space="preserve"> not apply to individuals.  In determining the appropriate pecuniary penalty for individuals, the Commission proposes </w:t>
      </w:r>
      <w:r w:rsidR="001A374C">
        <w:rPr>
          <w:rFonts w:eastAsia="PMingLiU"/>
          <w:color w:val="000000"/>
          <w:szCs w:val="28"/>
          <w:lang w:val="en-HK"/>
        </w:rPr>
        <w:t xml:space="preserve">that </w:t>
      </w:r>
      <w:r>
        <w:rPr>
          <w:rFonts w:eastAsia="PMingLiU"/>
          <w:color w:val="000000"/>
          <w:szCs w:val="28"/>
          <w:lang w:val="en-HK"/>
        </w:rPr>
        <w:t>a global assessment approach</w:t>
      </w:r>
      <w:r w:rsidR="001A374C">
        <w:rPr>
          <w:rFonts w:eastAsia="PMingLiU"/>
          <w:color w:val="000000"/>
          <w:szCs w:val="28"/>
          <w:lang w:val="en-HK"/>
        </w:rPr>
        <w:t xml:space="preserve"> is adopted</w:t>
      </w:r>
      <w:r>
        <w:rPr>
          <w:rFonts w:eastAsia="PMingLiU"/>
          <w:color w:val="000000"/>
          <w:szCs w:val="28"/>
          <w:lang w:val="en-HK"/>
        </w:rPr>
        <w:t>, that is, the Commission propose</w:t>
      </w:r>
      <w:r w:rsidR="001A374C">
        <w:rPr>
          <w:rFonts w:eastAsia="PMingLiU"/>
          <w:color w:val="000000"/>
          <w:szCs w:val="28"/>
          <w:lang w:val="en-HK"/>
        </w:rPr>
        <w:t>s</w:t>
      </w:r>
      <w:r>
        <w:rPr>
          <w:rFonts w:eastAsia="PMingLiU"/>
          <w:color w:val="000000"/>
          <w:szCs w:val="28"/>
          <w:lang w:val="en-HK"/>
        </w:rPr>
        <w:t xml:space="preserve"> a lump sum figure which is derived primarily </w:t>
      </w:r>
      <w:r w:rsidR="001A374C">
        <w:rPr>
          <w:rFonts w:eastAsia="PMingLiU"/>
          <w:color w:val="000000"/>
          <w:szCs w:val="28"/>
          <w:lang w:val="en-HK"/>
        </w:rPr>
        <w:t>from</w:t>
      </w:r>
      <w:r>
        <w:rPr>
          <w:rFonts w:eastAsia="PMingLiU"/>
          <w:color w:val="000000"/>
          <w:szCs w:val="28"/>
          <w:lang w:val="en-HK"/>
        </w:rPr>
        <w:t xml:space="preserve"> the mandatory considerations set out in </w:t>
      </w:r>
      <w:r w:rsidRPr="00AB0D94">
        <w:rPr>
          <w:rFonts w:eastAsia="PMingLiU"/>
          <w:i/>
          <w:color w:val="000000"/>
          <w:szCs w:val="28"/>
          <w:lang w:val="en-HK"/>
        </w:rPr>
        <w:t>section 93(2)</w:t>
      </w:r>
      <w:r>
        <w:rPr>
          <w:rFonts w:eastAsia="PMingLiU"/>
          <w:color w:val="000000"/>
          <w:szCs w:val="28"/>
          <w:lang w:val="en-HK"/>
        </w:rPr>
        <w:t xml:space="preserve"> of the </w:t>
      </w:r>
      <w:r w:rsidRPr="00AB0D94">
        <w:rPr>
          <w:rFonts w:eastAsia="PMingLiU"/>
          <w:i/>
          <w:color w:val="000000"/>
          <w:szCs w:val="28"/>
          <w:lang w:val="en-HK"/>
        </w:rPr>
        <w:t>Ordinance</w:t>
      </w:r>
      <w:r w:rsidR="007D6E15" w:rsidRPr="007D6E15">
        <w:rPr>
          <w:rFonts w:eastAsia="PMingLiU"/>
          <w:color w:val="000000"/>
          <w:szCs w:val="28"/>
          <w:lang w:val="en-HK"/>
        </w:rPr>
        <w:t>.</w:t>
      </w:r>
    </w:p>
    <w:p w:rsidR="007D6E15" w:rsidRPr="007D6E15" w:rsidRDefault="007D6E15" w:rsidP="001A374C">
      <w:pPr>
        <w:pStyle w:val="Final"/>
        <w:spacing w:after="0"/>
      </w:pPr>
      <w:r>
        <w:rPr>
          <w:rFonts w:eastAsia="PMingLiU"/>
          <w:color w:val="000000"/>
          <w:szCs w:val="28"/>
          <w:lang w:val="en-HK"/>
        </w:rPr>
        <w:t xml:space="preserve">In the case of </w:t>
      </w:r>
      <w:r w:rsidR="001A374C">
        <w:rPr>
          <w:rFonts w:eastAsia="PMingLiU"/>
          <w:color w:val="000000"/>
          <w:szCs w:val="28"/>
          <w:lang w:val="en-HK"/>
        </w:rPr>
        <w:t>the 8</w:t>
      </w:r>
      <w:r w:rsidR="001A374C" w:rsidRPr="001A374C">
        <w:rPr>
          <w:rFonts w:eastAsia="PMingLiU"/>
          <w:color w:val="000000"/>
          <w:szCs w:val="28"/>
          <w:vertAlign w:val="superscript"/>
          <w:lang w:val="en-HK"/>
        </w:rPr>
        <w:t>th</w:t>
      </w:r>
      <w:r w:rsidR="001A374C">
        <w:rPr>
          <w:rFonts w:eastAsia="PMingLiU"/>
          <w:color w:val="000000"/>
          <w:szCs w:val="28"/>
          <w:lang w:val="en-HK"/>
        </w:rPr>
        <w:t> Respondent</w:t>
      </w:r>
      <w:r>
        <w:rPr>
          <w:rFonts w:eastAsia="PMingLiU"/>
          <w:color w:val="000000"/>
          <w:szCs w:val="28"/>
          <w:lang w:val="en-HK"/>
        </w:rPr>
        <w:t xml:space="preserve">, the </w:t>
      </w:r>
      <w:r w:rsidRPr="00CC1EFF">
        <w:rPr>
          <w:rFonts w:eastAsia="PMingLiU"/>
          <w:color w:val="000000"/>
          <w:szCs w:val="28"/>
          <w:lang w:val="en-HK"/>
        </w:rPr>
        <w:t xml:space="preserve">Commission proposes a lump sum of HK$40,000 </w:t>
      </w:r>
      <w:r w:rsidRPr="0002251A">
        <w:rPr>
          <w:color w:val="000000"/>
          <w:lang w:val="en-HK"/>
        </w:rPr>
        <w:t>(before cooperation discount)</w:t>
      </w:r>
      <w:r w:rsidRPr="00CC1EFF">
        <w:rPr>
          <w:rFonts w:eastAsia="PMingLiU"/>
          <w:color w:val="000000"/>
          <w:szCs w:val="28"/>
          <w:lang w:val="en-HK"/>
        </w:rPr>
        <w:t xml:space="preserve"> </w:t>
      </w:r>
      <w:r w:rsidR="001A374C">
        <w:rPr>
          <w:rFonts w:eastAsia="PMingLiU"/>
          <w:color w:val="000000"/>
          <w:szCs w:val="28"/>
          <w:lang w:val="en-HK"/>
        </w:rPr>
        <w:t>having regard</w:t>
      </w:r>
      <w:r>
        <w:rPr>
          <w:rFonts w:eastAsia="PMingLiU"/>
          <w:color w:val="000000"/>
          <w:szCs w:val="28"/>
          <w:lang w:val="en-HK"/>
        </w:rPr>
        <w:t xml:space="preserve"> </w:t>
      </w:r>
      <w:r w:rsidR="00BD4AA6">
        <w:rPr>
          <w:rFonts w:eastAsia="PMingLiU"/>
          <w:color w:val="000000"/>
          <w:szCs w:val="28"/>
          <w:lang w:val="en-HK"/>
        </w:rPr>
        <w:t xml:space="preserve">to </w:t>
      </w:r>
      <w:r>
        <w:rPr>
          <w:rFonts w:eastAsia="PMingLiU"/>
          <w:color w:val="000000"/>
          <w:szCs w:val="28"/>
          <w:lang w:val="en-HK"/>
        </w:rPr>
        <w:t>the following factors:</w:t>
      </w:r>
    </w:p>
    <w:p w:rsidR="007D6E15" w:rsidRPr="007D6E15" w:rsidRDefault="007D6E15" w:rsidP="007D6E15">
      <w:pPr>
        <w:pStyle w:val="HC-Hanging"/>
        <w:ind w:left="1440"/>
      </w:pPr>
      <w:r>
        <w:rPr>
          <w:rFonts w:eastAsia="PMingLiU"/>
          <w:color w:val="000000"/>
          <w:lang w:val="en-HK"/>
        </w:rPr>
        <w:t xml:space="preserve">In comparison to </w:t>
      </w:r>
      <w:r w:rsidR="001A374C">
        <w:rPr>
          <w:rFonts w:eastAsia="PMingLiU"/>
          <w:color w:val="000000"/>
          <w:lang w:val="en-HK"/>
        </w:rPr>
        <w:t>the 7</w:t>
      </w:r>
      <w:r w:rsidR="001A374C" w:rsidRPr="001A374C">
        <w:rPr>
          <w:rFonts w:eastAsia="PMingLiU"/>
          <w:color w:val="000000"/>
          <w:vertAlign w:val="superscript"/>
          <w:lang w:val="en-HK"/>
        </w:rPr>
        <w:t>th</w:t>
      </w:r>
      <w:r w:rsidR="001A374C">
        <w:rPr>
          <w:rFonts w:eastAsia="PMingLiU"/>
          <w:color w:val="000000"/>
          <w:lang w:val="en-HK"/>
        </w:rPr>
        <w:t> Respondent</w:t>
      </w:r>
      <w:r w:rsidR="00973F24">
        <w:rPr>
          <w:rFonts w:eastAsia="PMingLiU"/>
          <w:color w:val="000000"/>
          <w:lang w:val="en-HK"/>
        </w:rPr>
        <w:t xml:space="preserve"> (Joe </w:t>
      </w:r>
      <w:r>
        <w:rPr>
          <w:rFonts w:eastAsia="PMingLiU"/>
          <w:color w:val="000000"/>
          <w:lang w:val="en-HK"/>
        </w:rPr>
        <w:t xml:space="preserve">Fan) or </w:t>
      </w:r>
      <w:r w:rsidR="001A374C">
        <w:rPr>
          <w:rFonts w:eastAsia="PMingLiU"/>
          <w:color w:val="000000"/>
          <w:lang w:val="en-HK"/>
        </w:rPr>
        <w:t>the 6</w:t>
      </w:r>
      <w:r w:rsidR="001A374C" w:rsidRPr="001A374C">
        <w:rPr>
          <w:rFonts w:eastAsia="PMingLiU"/>
          <w:color w:val="000000"/>
          <w:vertAlign w:val="superscript"/>
          <w:lang w:val="en-HK"/>
        </w:rPr>
        <w:t>th</w:t>
      </w:r>
      <w:r w:rsidR="001A374C">
        <w:rPr>
          <w:rFonts w:eastAsia="PMingLiU"/>
          <w:color w:val="000000"/>
          <w:lang w:val="en-HK"/>
        </w:rPr>
        <w:t> Respondent</w:t>
      </w:r>
      <w:r w:rsidR="00973F24">
        <w:rPr>
          <w:rFonts w:eastAsia="PMingLiU"/>
          <w:color w:val="000000"/>
          <w:lang w:val="en-HK"/>
        </w:rPr>
        <w:t xml:space="preserve"> (Agnes Au </w:t>
      </w:r>
      <w:r>
        <w:rPr>
          <w:rFonts w:eastAsia="PMingLiU"/>
          <w:color w:val="000000"/>
          <w:lang w:val="en-HK"/>
        </w:rPr>
        <w:t xml:space="preserve">Yeung), </w:t>
      </w:r>
      <w:r w:rsidR="00973F24">
        <w:rPr>
          <w:rFonts w:eastAsia="PMingLiU"/>
          <w:color w:val="000000"/>
          <w:lang w:val="en-HK"/>
        </w:rPr>
        <w:t>the 8</w:t>
      </w:r>
      <w:r w:rsidR="00973F24" w:rsidRPr="00973F24">
        <w:rPr>
          <w:rFonts w:eastAsia="PMingLiU"/>
          <w:color w:val="000000"/>
          <w:vertAlign w:val="superscript"/>
          <w:lang w:val="en-HK"/>
        </w:rPr>
        <w:t>th</w:t>
      </w:r>
      <w:r w:rsidR="00973F24">
        <w:rPr>
          <w:rFonts w:eastAsia="PMingLiU"/>
          <w:color w:val="000000"/>
          <w:lang w:val="en-HK"/>
        </w:rPr>
        <w:t> Respondent</w:t>
      </w:r>
      <w:r>
        <w:rPr>
          <w:rFonts w:eastAsia="PMingLiU"/>
          <w:color w:val="000000"/>
          <w:lang w:val="en-HK"/>
        </w:rPr>
        <w:t xml:space="preserve"> was not involved in the instigation </w:t>
      </w:r>
      <w:r w:rsidRPr="00CC1EFF">
        <w:rPr>
          <w:rFonts w:eastAsia="PMingLiU"/>
          <w:color w:val="000000"/>
          <w:lang w:val="en-HK"/>
        </w:rPr>
        <w:t>of the Collusive Conduct, and was invited by Joe</w:t>
      </w:r>
      <w:r>
        <w:rPr>
          <w:rFonts w:eastAsia="PMingLiU"/>
          <w:color w:val="000000"/>
          <w:lang w:val="en-HK"/>
        </w:rPr>
        <w:t> </w:t>
      </w:r>
      <w:r w:rsidRPr="00CC1EFF">
        <w:rPr>
          <w:rFonts w:eastAsia="PMingLiU"/>
          <w:color w:val="000000"/>
          <w:lang w:val="en-HK"/>
        </w:rPr>
        <w:t>Fan to provide KWEK’s quotations as cover bids;</w:t>
      </w:r>
    </w:p>
    <w:p w:rsidR="007D6E15" w:rsidRPr="007D6E15" w:rsidRDefault="007D6E15" w:rsidP="007D6E15">
      <w:pPr>
        <w:pStyle w:val="HC-Hanging"/>
        <w:ind w:left="1440"/>
      </w:pPr>
      <w:r w:rsidRPr="0002251A">
        <w:rPr>
          <w:color w:val="000000"/>
          <w:lang w:val="en-HK"/>
        </w:rPr>
        <w:t>Regarding the loss or damage caused by the contravention, the</w:t>
      </w:r>
      <w:r w:rsidRPr="00CC1EFF">
        <w:rPr>
          <w:rFonts w:eastAsia="PMingLiU"/>
          <w:color w:val="000000"/>
          <w:lang w:val="en-HK"/>
        </w:rPr>
        <w:t xml:space="preserve"> only income </w:t>
      </w:r>
      <w:r w:rsidR="001A374C">
        <w:rPr>
          <w:rFonts w:eastAsia="PMingLiU"/>
          <w:color w:val="000000"/>
          <w:lang w:val="en-HK"/>
        </w:rPr>
        <w:t>the 8</w:t>
      </w:r>
      <w:r w:rsidR="001A374C" w:rsidRPr="001A374C">
        <w:rPr>
          <w:rFonts w:eastAsia="PMingLiU"/>
          <w:color w:val="000000"/>
          <w:vertAlign w:val="superscript"/>
          <w:lang w:val="en-HK"/>
        </w:rPr>
        <w:t>th</w:t>
      </w:r>
      <w:r w:rsidR="001A374C">
        <w:rPr>
          <w:rFonts w:eastAsia="PMingLiU"/>
          <w:color w:val="000000"/>
          <w:lang w:val="en-HK"/>
        </w:rPr>
        <w:t> Respondent</w:t>
      </w:r>
      <w:r w:rsidRPr="00CC1EFF">
        <w:rPr>
          <w:rFonts w:eastAsia="PMingLiU"/>
          <w:color w:val="000000"/>
          <w:lang w:val="en-HK"/>
        </w:rPr>
        <w:t xml:space="preserve"> received from the contravention was HK$9,000 from </w:t>
      </w:r>
      <w:r w:rsidR="001A374C">
        <w:rPr>
          <w:rFonts w:eastAsia="PMingLiU"/>
          <w:color w:val="000000"/>
          <w:lang w:val="en-HK"/>
        </w:rPr>
        <w:t>the 7</w:t>
      </w:r>
      <w:r w:rsidR="001A374C" w:rsidRPr="001A374C">
        <w:rPr>
          <w:rFonts w:eastAsia="PMingLiU"/>
          <w:color w:val="000000"/>
          <w:vertAlign w:val="superscript"/>
          <w:lang w:val="en-HK"/>
        </w:rPr>
        <w:t>th</w:t>
      </w:r>
      <w:r w:rsidR="001A374C">
        <w:rPr>
          <w:rFonts w:eastAsia="PMingLiU"/>
          <w:color w:val="000000"/>
          <w:lang w:val="en-HK"/>
        </w:rPr>
        <w:t> Respondent</w:t>
      </w:r>
      <w:r w:rsidRPr="00CC1EFF">
        <w:rPr>
          <w:rFonts w:eastAsia="PMingLiU"/>
          <w:color w:val="000000"/>
          <w:lang w:val="en-HK"/>
        </w:rPr>
        <w:t xml:space="preserve"> (though it was initially agreed</w:t>
      </w:r>
      <w:r>
        <w:rPr>
          <w:rFonts w:eastAsia="PMingLiU"/>
          <w:color w:val="000000"/>
          <w:lang w:val="en-HK"/>
        </w:rPr>
        <w:t xml:space="preserve"> that </w:t>
      </w:r>
      <w:r w:rsidR="001A374C">
        <w:rPr>
          <w:rFonts w:eastAsia="PMingLiU"/>
          <w:color w:val="000000"/>
          <w:lang w:val="en-HK"/>
        </w:rPr>
        <w:t>the 7</w:t>
      </w:r>
      <w:r w:rsidR="001A374C" w:rsidRPr="001A374C">
        <w:rPr>
          <w:rFonts w:eastAsia="PMingLiU"/>
          <w:color w:val="000000"/>
          <w:vertAlign w:val="superscript"/>
          <w:lang w:val="en-HK"/>
        </w:rPr>
        <w:t>th</w:t>
      </w:r>
      <w:r w:rsidR="001A374C">
        <w:rPr>
          <w:rFonts w:eastAsia="PMingLiU"/>
          <w:color w:val="000000"/>
          <w:lang w:val="en-HK"/>
        </w:rPr>
        <w:t> Respondent</w:t>
      </w:r>
      <w:r>
        <w:rPr>
          <w:rFonts w:eastAsia="PMingLiU"/>
          <w:color w:val="000000"/>
          <w:lang w:val="en-HK"/>
        </w:rPr>
        <w:t xml:space="preserve"> would pay HK$30,000).  The Commission suggests a lump sum higher than HK$30,000 be adopted to </w:t>
      </w:r>
      <w:r w:rsidRPr="00CC1EFF">
        <w:rPr>
          <w:rFonts w:eastAsia="PMingLiU"/>
          <w:color w:val="000000"/>
          <w:lang w:val="en-HK"/>
        </w:rPr>
        <w:t>represent a penalty in addition to the disgorgement of unlawful expected gains;</w:t>
      </w:r>
    </w:p>
    <w:p w:rsidR="007D6E15" w:rsidRPr="007D6E15" w:rsidRDefault="007D6E15" w:rsidP="007D6E15">
      <w:pPr>
        <w:pStyle w:val="HC-Hanging"/>
        <w:ind w:left="1440"/>
      </w:pPr>
      <w:r w:rsidRPr="0002251A">
        <w:rPr>
          <w:color w:val="000000"/>
          <w:lang w:val="en-HK"/>
        </w:rPr>
        <w:t xml:space="preserve">In determining an appropriate proposed lump sum figure, the Commission has considered the available income information of </w:t>
      </w:r>
      <w:r w:rsidR="001A374C">
        <w:rPr>
          <w:rFonts w:eastAsia="PMingLiU"/>
          <w:color w:val="000000"/>
          <w:lang w:val="en-HK"/>
        </w:rPr>
        <w:t>the 8</w:t>
      </w:r>
      <w:r w:rsidR="001A374C" w:rsidRPr="001A374C">
        <w:rPr>
          <w:rFonts w:eastAsia="PMingLiU"/>
          <w:color w:val="000000"/>
          <w:vertAlign w:val="superscript"/>
          <w:lang w:val="en-HK"/>
        </w:rPr>
        <w:t>th</w:t>
      </w:r>
      <w:r w:rsidR="001A374C">
        <w:rPr>
          <w:rFonts w:eastAsia="PMingLiU"/>
          <w:color w:val="000000"/>
          <w:lang w:val="en-HK"/>
        </w:rPr>
        <w:t> Respondent</w:t>
      </w:r>
      <w:r w:rsidRPr="0002251A">
        <w:rPr>
          <w:color w:val="000000"/>
          <w:lang w:val="en-HK"/>
        </w:rPr>
        <w:t>.</w:t>
      </w:r>
      <w:r w:rsidRPr="00CC1EFF">
        <w:rPr>
          <w:rFonts w:eastAsia="PMingLiU"/>
          <w:color w:val="000000"/>
          <w:lang w:val="en-HK"/>
        </w:rPr>
        <w:t xml:space="preserve">  </w:t>
      </w:r>
      <w:r w:rsidR="001A374C">
        <w:rPr>
          <w:rFonts w:eastAsia="PMingLiU"/>
          <w:color w:val="000000"/>
          <w:lang w:val="en-HK"/>
        </w:rPr>
        <w:t>The 8</w:t>
      </w:r>
      <w:r w:rsidR="001A374C" w:rsidRPr="001A374C">
        <w:rPr>
          <w:rFonts w:eastAsia="PMingLiU"/>
          <w:color w:val="000000"/>
          <w:vertAlign w:val="superscript"/>
          <w:lang w:val="en-HK"/>
        </w:rPr>
        <w:t>th</w:t>
      </w:r>
      <w:r w:rsidR="001A374C">
        <w:rPr>
          <w:rFonts w:eastAsia="PMingLiU"/>
          <w:color w:val="000000"/>
          <w:lang w:val="en-HK"/>
        </w:rPr>
        <w:t> Respondent</w:t>
      </w:r>
      <w:r w:rsidRPr="00CC1EFF">
        <w:rPr>
          <w:rFonts w:eastAsia="PMingLiU"/>
          <w:color w:val="000000"/>
          <w:lang w:val="en-HK"/>
        </w:rPr>
        <w:t xml:space="preserve">’s average </w:t>
      </w:r>
      <w:r w:rsidRPr="0002251A">
        <w:rPr>
          <w:color w:val="000000"/>
          <w:lang w:val="en-HK"/>
        </w:rPr>
        <w:t>monthly</w:t>
      </w:r>
      <w:r w:rsidRPr="00CC1EFF">
        <w:rPr>
          <w:rFonts w:eastAsia="PMingLiU"/>
          <w:color w:val="000000"/>
          <w:lang w:val="en-HK"/>
        </w:rPr>
        <w:t xml:space="preserve"> income during the relevant period of the contravention (from</w:t>
      </w:r>
      <w:r>
        <w:rPr>
          <w:rFonts w:eastAsia="PMingLiU"/>
          <w:color w:val="000000"/>
          <w:lang w:val="en-HK"/>
        </w:rPr>
        <w:t xml:space="preserve"> his unrelated employment at another company) was HK$41,450: [38] of </w:t>
      </w:r>
      <w:r w:rsidR="009504CF">
        <w:rPr>
          <w:rFonts w:eastAsia="PMingLiU"/>
          <w:color w:val="000000"/>
          <w:lang w:val="en-HK"/>
        </w:rPr>
        <w:t>the 5</w:t>
      </w:r>
      <w:r w:rsidR="009504CF" w:rsidRPr="009504CF">
        <w:rPr>
          <w:rFonts w:eastAsia="PMingLiU"/>
          <w:color w:val="000000"/>
          <w:vertAlign w:val="superscript"/>
          <w:lang w:val="en-HK"/>
        </w:rPr>
        <w:t>th</w:t>
      </w:r>
      <w:r w:rsidR="009504CF">
        <w:rPr>
          <w:rFonts w:eastAsia="PMingLiU"/>
          <w:color w:val="000000"/>
          <w:lang w:val="en-HK"/>
        </w:rPr>
        <w:t xml:space="preserve"> Respondent</w:t>
      </w:r>
      <w:r>
        <w:rPr>
          <w:rFonts w:eastAsia="PMingLiU"/>
          <w:color w:val="000000"/>
          <w:lang w:val="en-HK"/>
        </w:rPr>
        <w:t>/</w:t>
      </w:r>
      <w:r w:rsidR="009504CF">
        <w:rPr>
          <w:rFonts w:eastAsia="PMingLiU"/>
          <w:color w:val="000000"/>
          <w:lang w:val="en-HK"/>
        </w:rPr>
        <w:t xml:space="preserve"> the 8</w:t>
      </w:r>
      <w:r w:rsidR="009504CF" w:rsidRPr="009504CF">
        <w:rPr>
          <w:rFonts w:eastAsia="PMingLiU"/>
          <w:color w:val="000000"/>
          <w:vertAlign w:val="superscript"/>
          <w:lang w:val="en-HK"/>
        </w:rPr>
        <w:t>th</w:t>
      </w:r>
      <w:r w:rsidR="009504CF">
        <w:rPr>
          <w:rFonts w:eastAsia="PMingLiU"/>
          <w:color w:val="000000"/>
          <w:lang w:val="en-HK"/>
        </w:rPr>
        <w:t xml:space="preserve"> Respondent</w:t>
      </w:r>
      <w:r>
        <w:rPr>
          <w:rFonts w:eastAsia="PMingLiU"/>
          <w:color w:val="000000"/>
          <w:lang w:val="en-HK"/>
        </w:rPr>
        <w:t xml:space="preserve"> Statement;</w:t>
      </w:r>
    </w:p>
    <w:p w:rsidR="007D6E15" w:rsidRPr="007D6E15" w:rsidRDefault="009504CF" w:rsidP="007D6E15">
      <w:pPr>
        <w:pStyle w:val="HC-Hanging"/>
        <w:ind w:left="1440"/>
      </w:pPr>
      <w:r>
        <w:rPr>
          <w:rFonts w:eastAsia="PMingLiU"/>
          <w:color w:val="000000"/>
          <w:lang w:val="en-HK"/>
        </w:rPr>
        <w:t>T</w:t>
      </w:r>
      <w:r w:rsidR="001A374C">
        <w:rPr>
          <w:rFonts w:eastAsia="PMingLiU"/>
          <w:color w:val="000000"/>
          <w:lang w:val="en-HK"/>
        </w:rPr>
        <w:t>he 8</w:t>
      </w:r>
      <w:r w:rsidR="001A374C" w:rsidRPr="001A374C">
        <w:rPr>
          <w:rFonts w:eastAsia="PMingLiU"/>
          <w:color w:val="000000"/>
          <w:vertAlign w:val="superscript"/>
          <w:lang w:val="en-HK"/>
        </w:rPr>
        <w:t>th</w:t>
      </w:r>
      <w:r w:rsidR="001A374C">
        <w:rPr>
          <w:rFonts w:eastAsia="PMingLiU"/>
          <w:color w:val="000000"/>
          <w:lang w:val="en-HK"/>
        </w:rPr>
        <w:t> Respondent</w:t>
      </w:r>
      <w:r w:rsidR="007D6E15" w:rsidRPr="0002251A">
        <w:rPr>
          <w:color w:val="000000"/>
          <w:lang w:val="en-HK"/>
        </w:rPr>
        <w:t xml:space="preserve"> has not been found by the Tribunal to have contravened the </w:t>
      </w:r>
      <w:r w:rsidR="007D6E15" w:rsidRPr="007D6E15">
        <w:rPr>
          <w:i/>
          <w:color w:val="000000"/>
          <w:lang w:val="en-HK"/>
        </w:rPr>
        <w:t>Ordinance</w:t>
      </w:r>
      <w:r w:rsidR="007D6E15">
        <w:rPr>
          <w:color w:val="000000"/>
          <w:lang w:val="en-HK"/>
        </w:rPr>
        <w:t xml:space="preserve"> previously</w:t>
      </w:r>
      <w:r w:rsidR="007D6E15" w:rsidRPr="0002251A">
        <w:rPr>
          <w:color w:val="000000"/>
          <w:lang w:val="en-HK"/>
        </w:rPr>
        <w:t>;</w:t>
      </w:r>
    </w:p>
    <w:p w:rsidR="007D6E15" w:rsidRPr="007D6E15" w:rsidRDefault="007D6E15" w:rsidP="007D6E15">
      <w:pPr>
        <w:pStyle w:val="HC-Hanging"/>
        <w:ind w:left="1440"/>
      </w:pPr>
      <w:r w:rsidRPr="0002251A">
        <w:rPr>
          <w:color w:val="000000"/>
          <w:lang w:val="en-HK"/>
        </w:rPr>
        <w:t xml:space="preserve">Taking into account the above, the Commission considers </w:t>
      </w:r>
      <w:r w:rsidR="009504CF">
        <w:rPr>
          <w:color w:val="000000"/>
          <w:lang w:val="en-HK"/>
        </w:rPr>
        <w:t xml:space="preserve">and I accept </w:t>
      </w:r>
      <w:r w:rsidRPr="0002251A">
        <w:rPr>
          <w:color w:val="000000"/>
          <w:lang w:val="en-HK"/>
        </w:rPr>
        <w:t>that a sum of HK$40,000 would be a reasonable starting point.  After applying a cooperation discount of 20%, the Commission recommends a penalty of HK$32,000, which is agreed by</w:t>
      </w:r>
      <w:r w:rsidR="009504CF">
        <w:rPr>
          <w:color w:val="000000"/>
          <w:lang w:val="en-HK"/>
        </w:rPr>
        <w:t xml:space="preserve"> the 8</w:t>
      </w:r>
      <w:r w:rsidR="009504CF" w:rsidRPr="009504CF">
        <w:rPr>
          <w:color w:val="000000"/>
          <w:vertAlign w:val="superscript"/>
          <w:lang w:val="en-HK"/>
        </w:rPr>
        <w:t>th</w:t>
      </w:r>
      <w:r w:rsidR="009504CF">
        <w:rPr>
          <w:color w:val="000000"/>
          <w:lang w:val="en-HK"/>
        </w:rPr>
        <w:t> Respondent</w:t>
      </w:r>
      <w:r w:rsidRPr="0002251A">
        <w:rPr>
          <w:color w:val="000000"/>
          <w:lang w:val="en-HK"/>
        </w:rPr>
        <w:t>.</w:t>
      </w:r>
      <w:r w:rsidR="00493BF4">
        <w:rPr>
          <w:color w:val="000000"/>
          <w:lang w:val="en-HK"/>
        </w:rPr>
        <w:t xml:space="preserve"> I agree.</w:t>
      </w:r>
    </w:p>
    <w:p w:rsidR="007D6E15" w:rsidRPr="007D6E15" w:rsidRDefault="007D6E15" w:rsidP="007D6E15">
      <w:pPr>
        <w:pStyle w:val="HC-Hanging"/>
        <w:numPr>
          <w:ilvl w:val="0"/>
          <w:numId w:val="0"/>
        </w:numPr>
        <w:ind w:left="1440"/>
      </w:pPr>
    </w:p>
    <w:p w:rsidR="007D6E15" w:rsidRPr="007D6E15" w:rsidRDefault="007D6E15" w:rsidP="007D6E15">
      <w:pPr>
        <w:pStyle w:val="H1"/>
        <w:rPr>
          <w:b/>
        </w:rPr>
      </w:pPr>
      <w:r w:rsidRPr="007D6E15">
        <w:rPr>
          <w:rFonts w:eastAsia="PMingLiU"/>
          <w:b/>
          <w:iCs/>
          <w:color w:val="000000"/>
          <w:lang w:val="en-HK"/>
        </w:rPr>
        <w:t>Disqualification order</w:t>
      </w:r>
    </w:p>
    <w:p w:rsidR="007D6E15" w:rsidRPr="007D6E15" w:rsidRDefault="007D6E15" w:rsidP="009F0836">
      <w:pPr>
        <w:pStyle w:val="Final"/>
      </w:pPr>
      <w:r>
        <w:rPr>
          <w:rFonts w:eastAsia="PMingLiU"/>
          <w:color w:val="000000"/>
          <w:szCs w:val="28"/>
          <w:lang w:val="en-HK"/>
        </w:rPr>
        <w:t xml:space="preserve">Pursuant to </w:t>
      </w:r>
      <w:r w:rsidRPr="007D6E15">
        <w:rPr>
          <w:rFonts w:eastAsia="PMingLiU"/>
          <w:i/>
          <w:color w:val="000000"/>
          <w:szCs w:val="28"/>
          <w:lang w:val="en-HK"/>
        </w:rPr>
        <w:t>sections 101 and 102</w:t>
      </w:r>
      <w:r>
        <w:rPr>
          <w:rFonts w:eastAsia="PMingLiU"/>
          <w:color w:val="000000"/>
          <w:szCs w:val="28"/>
          <w:lang w:val="en-HK"/>
        </w:rPr>
        <w:t xml:space="preserve"> of the </w:t>
      </w:r>
      <w:r w:rsidRPr="007D6E15">
        <w:rPr>
          <w:rFonts w:eastAsia="PMingLiU"/>
          <w:i/>
          <w:color w:val="000000"/>
          <w:szCs w:val="28"/>
          <w:lang w:val="en-HK"/>
        </w:rPr>
        <w:t>Ordinance</w:t>
      </w:r>
      <w:r>
        <w:rPr>
          <w:rFonts w:eastAsia="PMingLiU"/>
          <w:color w:val="000000"/>
          <w:szCs w:val="28"/>
          <w:lang w:val="en-HK"/>
        </w:rPr>
        <w:t xml:space="preserve">, the Tribunal may make a disqualification order against a person if: </w:t>
      </w:r>
      <w:r>
        <w:rPr>
          <w:rFonts w:eastAsia="PMingLiU"/>
          <w:b/>
          <w:bCs/>
          <w:color w:val="000000"/>
          <w:szCs w:val="28"/>
          <w:lang w:val="en-HK"/>
        </w:rPr>
        <w:t xml:space="preserve">(1) </w:t>
      </w:r>
      <w:r w:rsidRPr="006E3BB1">
        <w:rPr>
          <w:rFonts w:eastAsia="PMingLiU"/>
          <w:color w:val="000000"/>
          <w:szCs w:val="28"/>
          <w:lang w:val="en-HK"/>
        </w:rPr>
        <w:t>it has determined that a company of which the person is a director has contravened a competition rule</w:t>
      </w:r>
      <w:r>
        <w:rPr>
          <w:rFonts w:eastAsia="PMingLiU"/>
          <w:color w:val="000000"/>
          <w:szCs w:val="28"/>
          <w:lang w:val="en-HK"/>
        </w:rPr>
        <w:t xml:space="preserve">; and </w:t>
      </w:r>
      <w:r>
        <w:rPr>
          <w:rFonts w:eastAsia="PMingLiU"/>
          <w:b/>
          <w:bCs/>
          <w:color w:val="000000"/>
          <w:szCs w:val="28"/>
          <w:lang w:val="en-HK"/>
        </w:rPr>
        <w:t xml:space="preserve">(2) </w:t>
      </w:r>
      <w:r>
        <w:rPr>
          <w:rFonts w:eastAsia="PMingLiU"/>
          <w:color w:val="000000"/>
          <w:szCs w:val="28"/>
          <w:lang w:val="en-HK"/>
        </w:rPr>
        <w:t xml:space="preserve">it </w:t>
      </w:r>
      <w:r w:rsidRPr="006E3BB1">
        <w:rPr>
          <w:rFonts w:eastAsia="PMingLiU"/>
          <w:color w:val="000000"/>
          <w:szCs w:val="28"/>
          <w:lang w:val="en-HK"/>
        </w:rPr>
        <w:t>considers that the person’s conduct as a director makes the person unfit to be concerned in the management of a company.</w:t>
      </w:r>
    </w:p>
    <w:p w:rsidR="007D6E15" w:rsidRPr="007D6E15" w:rsidRDefault="009504CF" w:rsidP="009F0836">
      <w:pPr>
        <w:pStyle w:val="Final"/>
      </w:pPr>
      <w:r>
        <w:rPr>
          <w:rFonts w:eastAsia="PMingLiU"/>
          <w:color w:val="000000"/>
          <w:szCs w:val="28"/>
          <w:lang w:val="en-HK"/>
        </w:rPr>
        <w:t>The Commission submits</w:t>
      </w:r>
      <w:r w:rsidR="007D6E15">
        <w:rPr>
          <w:rFonts w:eastAsia="PMingLiU"/>
          <w:color w:val="000000"/>
          <w:szCs w:val="28"/>
          <w:lang w:val="en-HK"/>
        </w:rPr>
        <w:t xml:space="preserve"> that the above criteria have been satisfied.  In particular, </w:t>
      </w:r>
      <w:r>
        <w:rPr>
          <w:rFonts w:eastAsia="PMingLiU"/>
          <w:color w:val="000000"/>
          <w:szCs w:val="28"/>
          <w:lang w:val="en-HK"/>
        </w:rPr>
        <w:t>the 8</w:t>
      </w:r>
      <w:r w:rsidRPr="009504CF">
        <w:rPr>
          <w:rFonts w:eastAsia="PMingLiU"/>
          <w:color w:val="000000"/>
          <w:szCs w:val="28"/>
          <w:vertAlign w:val="superscript"/>
          <w:lang w:val="en-HK"/>
        </w:rPr>
        <w:t>th</w:t>
      </w:r>
      <w:r>
        <w:rPr>
          <w:rFonts w:eastAsia="PMingLiU"/>
          <w:color w:val="000000"/>
          <w:szCs w:val="28"/>
          <w:lang w:val="en-HK"/>
        </w:rPr>
        <w:t> Respondent</w:t>
      </w:r>
      <w:r w:rsidR="007D6E15">
        <w:rPr>
          <w:rFonts w:eastAsia="PMingLiU"/>
          <w:color w:val="000000"/>
          <w:szCs w:val="28"/>
          <w:lang w:val="en-HK"/>
        </w:rPr>
        <w:t xml:space="preserve">’s lending of assistance to the Collusive Conduct by </w:t>
      </w:r>
      <w:r>
        <w:rPr>
          <w:rFonts w:eastAsia="PMingLiU"/>
          <w:color w:val="000000"/>
          <w:szCs w:val="28"/>
          <w:lang w:val="en-HK"/>
        </w:rPr>
        <w:t>the 5</w:t>
      </w:r>
      <w:r w:rsidRPr="009504CF">
        <w:rPr>
          <w:rFonts w:eastAsia="PMingLiU"/>
          <w:color w:val="000000"/>
          <w:szCs w:val="28"/>
          <w:vertAlign w:val="superscript"/>
          <w:lang w:val="en-HK"/>
        </w:rPr>
        <w:t>th</w:t>
      </w:r>
      <w:r>
        <w:rPr>
          <w:rFonts w:eastAsia="PMingLiU"/>
          <w:color w:val="000000"/>
          <w:szCs w:val="28"/>
          <w:lang w:val="en-HK"/>
        </w:rPr>
        <w:t> Respondent</w:t>
      </w:r>
      <w:r w:rsidR="007D6E15">
        <w:rPr>
          <w:rFonts w:eastAsia="PMingLiU"/>
          <w:color w:val="000000"/>
          <w:szCs w:val="28"/>
          <w:lang w:val="en-HK"/>
        </w:rPr>
        <w:t xml:space="preserve">’s provision of cover bids and personal acceptance of monetary reward from </w:t>
      </w:r>
      <w:r>
        <w:rPr>
          <w:rFonts w:eastAsia="PMingLiU"/>
          <w:color w:val="000000"/>
          <w:szCs w:val="28"/>
          <w:lang w:val="en-HK"/>
        </w:rPr>
        <w:t>the 7</w:t>
      </w:r>
      <w:r w:rsidRPr="009504CF">
        <w:rPr>
          <w:rFonts w:eastAsia="PMingLiU"/>
          <w:color w:val="000000"/>
          <w:szCs w:val="28"/>
          <w:vertAlign w:val="superscript"/>
          <w:lang w:val="en-HK"/>
        </w:rPr>
        <w:t>th</w:t>
      </w:r>
      <w:r>
        <w:rPr>
          <w:rFonts w:eastAsia="PMingLiU"/>
          <w:color w:val="000000"/>
          <w:szCs w:val="28"/>
          <w:lang w:val="en-HK"/>
        </w:rPr>
        <w:t> Respondent</w:t>
      </w:r>
      <w:r w:rsidR="007D6E15">
        <w:rPr>
          <w:rFonts w:eastAsia="PMingLiU"/>
          <w:color w:val="000000"/>
          <w:szCs w:val="28"/>
          <w:lang w:val="en-HK"/>
        </w:rPr>
        <w:t xml:space="preserve"> demonstrate </w:t>
      </w:r>
      <w:r>
        <w:rPr>
          <w:rFonts w:eastAsia="PMingLiU"/>
          <w:color w:val="000000"/>
          <w:szCs w:val="28"/>
          <w:lang w:val="en-HK"/>
        </w:rPr>
        <w:t>the 8</w:t>
      </w:r>
      <w:r w:rsidRPr="009504CF">
        <w:rPr>
          <w:rFonts w:eastAsia="PMingLiU"/>
          <w:color w:val="000000"/>
          <w:szCs w:val="28"/>
          <w:vertAlign w:val="superscript"/>
          <w:lang w:val="en-HK"/>
        </w:rPr>
        <w:t>th</w:t>
      </w:r>
      <w:r>
        <w:rPr>
          <w:rFonts w:eastAsia="PMingLiU"/>
          <w:color w:val="000000"/>
          <w:szCs w:val="28"/>
          <w:lang w:val="en-HK"/>
        </w:rPr>
        <w:t> Respondent</w:t>
      </w:r>
      <w:r w:rsidR="007D6E15">
        <w:rPr>
          <w:rFonts w:eastAsia="PMingLiU"/>
          <w:color w:val="000000"/>
          <w:szCs w:val="28"/>
          <w:lang w:val="en-HK"/>
        </w:rPr>
        <w:t xml:space="preserve">’s unfitness to be concerned in the management of a company.  This is agreed to by </w:t>
      </w:r>
      <w:r>
        <w:rPr>
          <w:rFonts w:eastAsia="PMingLiU"/>
          <w:color w:val="000000"/>
          <w:szCs w:val="28"/>
          <w:lang w:val="en-HK"/>
        </w:rPr>
        <w:t>the 8</w:t>
      </w:r>
      <w:r w:rsidRPr="009504CF">
        <w:rPr>
          <w:rFonts w:eastAsia="PMingLiU"/>
          <w:color w:val="000000"/>
          <w:szCs w:val="28"/>
          <w:vertAlign w:val="superscript"/>
          <w:lang w:val="en-HK"/>
        </w:rPr>
        <w:t>th</w:t>
      </w:r>
      <w:r>
        <w:rPr>
          <w:rFonts w:eastAsia="PMingLiU"/>
          <w:color w:val="000000"/>
          <w:szCs w:val="28"/>
          <w:lang w:val="en-HK"/>
        </w:rPr>
        <w:t> Respondent</w:t>
      </w:r>
      <w:r w:rsidR="007D6E15">
        <w:rPr>
          <w:rFonts w:eastAsia="PMingLiU"/>
          <w:color w:val="000000"/>
          <w:szCs w:val="28"/>
          <w:lang w:val="en-HK"/>
        </w:rPr>
        <w:t xml:space="preserve"> and there is no suggestion or evidence that any financial hardship would result therefrom.</w:t>
      </w:r>
    </w:p>
    <w:p w:rsidR="007D6E15" w:rsidRDefault="007D6E15" w:rsidP="007D6E15">
      <w:pPr>
        <w:pStyle w:val="H1"/>
      </w:pPr>
      <w:r w:rsidRPr="00176B8D">
        <w:rPr>
          <w:b/>
          <w:bCs/>
          <w:iCs/>
        </w:rPr>
        <w:t>Legal Principles and Rationale</w:t>
      </w:r>
    </w:p>
    <w:p w:rsidR="004465E1" w:rsidRPr="007D6E15" w:rsidRDefault="007D6E15" w:rsidP="007D6E15">
      <w:pPr>
        <w:pStyle w:val="Final"/>
        <w:spacing w:after="0"/>
      </w:pPr>
      <w:bookmarkStart w:id="5" w:name="_Ref167372756"/>
      <w:r w:rsidRPr="007D6E15">
        <w:rPr>
          <w:rFonts w:eastAsia="PMingLiU"/>
          <w:i/>
          <w:color w:val="000000"/>
          <w:szCs w:val="28"/>
        </w:rPr>
        <w:t>Rule 76</w:t>
      </w:r>
      <w:r w:rsidRPr="00176B8D">
        <w:rPr>
          <w:rFonts w:eastAsia="PMingLiU"/>
          <w:color w:val="000000"/>
          <w:szCs w:val="28"/>
        </w:rPr>
        <w:t xml:space="preserve"> of the </w:t>
      </w:r>
      <w:r w:rsidRPr="007D6E15">
        <w:rPr>
          <w:rFonts w:eastAsia="PMingLiU"/>
          <w:i/>
          <w:color w:val="000000"/>
          <w:szCs w:val="28"/>
        </w:rPr>
        <w:t>CTR</w:t>
      </w:r>
      <w:r w:rsidRPr="00176B8D">
        <w:rPr>
          <w:rFonts w:eastAsia="PMingLiU"/>
          <w:color w:val="000000"/>
          <w:szCs w:val="28"/>
        </w:rPr>
        <w:t xml:space="preserve"> provides that:</w:t>
      </w:r>
      <w:bookmarkEnd w:id="5"/>
    </w:p>
    <w:p w:rsidR="007D6E15" w:rsidRPr="007D6E15" w:rsidRDefault="007D6E15" w:rsidP="007D6E15">
      <w:pPr>
        <w:pStyle w:val="1Quotation"/>
        <w:ind w:left="2160" w:hanging="720"/>
        <w:rPr>
          <w:rFonts w:eastAsia="PMingLiU"/>
          <w:iCs/>
          <w:color w:val="000000"/>
        </w:rPr>
      </w:pPr>
      <w:r w:rsidRPr="007D6E15">
        <w:t>“</w:t>
      </w:r>
      <w:r w:rsidRPr="007D6E15">
        <w:rPr>
          <w:rFonts w:eastAsia="PMingLiU"/>
          <w:iCs/>
          <w:color w:val="000000"/>
        </w:rPr>
        <w:t>(1)</w:t>
      </w:r>
      <w:r w:rsidRPr="007D6E15">
        <w:rPr>
          <w:rFonts w:eastAsia="PMingLiU"/>
          <w:iCs/>
          <w:color w:val="000000"/>
        </w:rPr>
        <w:tab/>
        <w:t>If the respondent fails to file a response within the time specified in rule 75, the applicant may apply to the Tribunal for an order granting the relief sought in the application against the respondent.</w:t>
      </w:r>
    </w:p>
    <w:p w:rsidR="007D6E15" w:rsidRPr="007D6E15" w:rsidRDefault="007D6E15" w:rsidP="007D6E15">
      <w:pPr>
        <w:pStyle w:val="1Quotation"/>
        <w:ind w:left="2160" w:hanging="720"/>
        <w:rPr>
          <w:rFonts w:eastAsia="PMingLiU"/>
          <w:iCs/>
          <w:color w:val="000000"/>
        </w:rPr>
      </w:pPr>
      <w:r w:rsidRPr="007D6E15">
        <w:rPr>
          <w:rFonts w:eastAsia="PMingLiU"/>
          <w:iCs/>
          <w:color w:val="000000"/>
        </w:rPr>
        <w:t>(2)</w:t>
      </w:r>
      <w:r w:rsidRPr="007D6E15">
        <w:rPr>
          <w:rFonts w:eastAsia="PMingLiU"/>
          <w:iCs/>
          <w:color w:val="000000"/>
        </w:rPr>
        <w:tab/>
        <w:t>The Tribunal may make an order granting the relief sought, proceed to hear and determine the application, or give any directions that the Tribunal thinks fit.</w:t>
      </w:r>
    </w:p>
    <w:p w:rsidR="007D6E15" w:rsidRPr="007D6E15" w:rsidRDefault="007D6E15" w:rsidP="007D6E15">
      <w:pPr>
        <w:pStyle w:val="1Quotation"/>
        <w:ind w:left="2160" w:hanging="720"/>
        <w:rPr>
          <w:rFonts w:eastAsia="PMingLiU"/>
          <w:iCs/>
          <w:color w:val="000000"/>
        </w:rPr>
      </w:pPr>
      <w:r w:rsidRPr="007D6E15">
        <w:rPr>
          <w:rFonts w:eastAsia="PMingLiU"/>
          <w:iCs/>
          <w:color w:val="000000"/>
        </w:rPr>
        <w:t>(3)</w:t>
      </w:r>
      <w:r w:rsidRPr="007D6E15">
        <w:rPr>
          <w:rFonts w:eastAsia="PMingLiU"/>
          <w:iCs/>
          <w:color w:val="000000"/>
        </w:rPr>
        <w:tab/>
        <w:t>If the Tribunal makes an order under subrule (2), the order must be served on the respondent.</w:t>
      </w:r>
    </w:p>
    <w:p w:rsidR="007D6E15" w:rsidRPr="007D6E15" w:rsidRDefault="007D6E15" w:rsidP="007D6E15">
      <w:pPr>
        <w:pStyle w:val="1Quotation"/>
        <w:ind w:left="2160" w:hanging="720"/>
        <w:rPr>
          <w:rFonts w:eastAsia="PMingLiU"/>
          <w:iCs/>
          <w:color w:val="000000"/>
        </w:rPr>
      </w:pPr>
      <w:r w:rsidRPr="007D6E15">
        <w:rPr>
          <w:rFonts w:eastAsia="PMingLiU"/>
          <w:iCs/>
          <w:color w:val="000000"/>
        </w:rPr>
        <w:t>(4)</w:t>
      </w:r>
      <w:r w:rsidRPr="007D6E15">
        <w:rPr>
          <w:rFonts w:eastAsia="PMingLiU"/>
          <w:iCs/>
          <w:color w:val="000000"/>
        </w:rPr>
        <w:tab/>
        <w:t>The Tribunal may, on the application of the respondent, set aside the order on the terms that the Tribunal thinks just.</w:t>
      </w:r>
    </w:p>
    <w:p w:rsidR="007D6E15" w:rsidRDefault="007D6E15" w:rsidP="007D6E15">
      <w:pPr>
        <w:pStyle w:val="1Quotation"/>
        <w:ind w:left="2160" w:hanging="720"/>
        <w:rPr>
          <w:rFonts w:eastAsia="PMingLiU"/>
          <w:iCs/>
          <w:color w:val="000000"/>
        </w:rPr>
      </w:pPr>
      <w:r w:rsidRPr="007D6E15">
        <w:rPr>
          <w:rFonts w:eastAsia="PMingLiU"/>
          <w:iCs/>
          <w:color w:val="000000"/>
        </w:rPr>
        <w:t>(5)</w:t>
      </w:r>
      <w:r w:rsidRPr="007D6E15">
        <w:rPr>
          <w:rFonts w:eastAsia="PMingLiU"/>
          <w:iCs/>
          <w:color w:val="000000"/>
        </w:rPr>
        <w:tab/>
        <w:t>An application for the purpose of subrule (4) must be made within 14 days after the day on which the order is served.”</w:t>
      </w:r>
    </w:p>
    <w:p w:rsidR="00695F9E" w:rsidRPr="007D6E15" w:rsidRDefault="00695F9E" w:rsidP="007D6E15">
      <w:pPr>
        <w:pStyle w:val="1Quotation"/>
        <w:ind w:left="2160" w:hanging="720"/>
      </w:pPr>
    </w:p>
    <w:p w:rsidR="004465E1" w:rsidRPr="00695F9E" w:rsidRDefault="00695F9E" w:rsidP="009F0836">
      <w:pPr>
        <w:pStyle w:val="Final"/>
      </w:pPr>
      <w:r w:rsidRPr="00176B8D">
        <w:rPr>
          <w:rFonts w:eastAsia="PMingLiU"/>
          <w:color w:val="000000"/>
          <w:szCs w:val="28"/>
          <w:lang w:val="en-HK"/>
        </w:rPr>
        <w:t xml:space="preserve">The </w:t>
      </w:r>
      <w:r>
        <w:rPr>
          <w:rFonts w:eastAsia="PMingLiU"/>
          <w:color w:val="000000"/>
          <w:szCs w:val="28"/>
          <w:lang w:val="en-HK"/>
        </w:rPr>
        <w:t xml:space="preserve">time specified in </w:t>
      </w:r>
      <w:r w:rsidRPr="00695F9E">
        <w:rPr>
          <w:rFonts w:eastAsia="PMingLiU"/>
          <w:i/>
          <w:color w:val="000000"/>
          <w:szCs w:val="28"/>
          <w:lang w:val="en-HK"/>
        </w:rPr>
        <w:t>rule 75</w:t>
      </w:r>
      <w:r>
        <w:rPr>
          <w:rFonts w:eastAsia="PMingLiU"/>
          <w:color w:val="000000"/>
          <w:szCs w:val="28"/>
          <w:lang w:val="en-HK"/>
        </w:rPr>
        <w:t xml:space="preserve"> of the </w:t>
      </w:r>
      <w:r w:rsidRPr="00695F9E">
        <w:rPr>
          <w:rFonts w:eastAsia="PMingLiU"/>
          <w:i/>
          <w:color w:val="000000"/>
          <w:szCs w:val="28"/>
          <w:lang w:val="en-HK"/>
        </w:rPr>
        <w:t>CTR</w:t>
      </w:r>
      <w:r w:rsidRPr="00176B8D">
        <w:rPr>
          <w:rFonts w:eastAsia="PMingLiU"/>
          <w:color w:val="000000"/>
          <w:szCs w:val="28"/>
          <w:lang w:val="en-HK"/>
        </w:rPr>
        <w:t xml:space="preserve"> for the respondent to file a response is 28 days from the day on which the ONA is served.</w:t>
      </w:r>
      <w:r w:rsidRPr="00826678">
        <w:rPr>
          <w:rFonts w:eastAsia="PMingLiU"/>
          <w:color w:val="000000"/>
          <w:szCs w:val="28"/>
          <w:lang w:val="en-HK"/>
        </w:rPr>
        <w:t xml:space="preserve"> </w:t>
      </w:r>
      <w:r>
        <w:rPr>
          <w:rFonts w:eastAsia="PMingLiU"/>
          <w:color w:val="000000"/>
          <w:szCs w:val="28"/>
          <w:lang w:val="en-HK"/>
        </w:rPr>
        <w:t xml:space="preserve">It is not in dispute that </w:t>
      </w:r>
      <w:r w:rsidR="00174FAC">
        <w:rPr>
          <w:rFonts w:eastAsia="PMingLiU"/>
          <w:color w:val="000000"/>
          <w:szCs w:val="28"/>
          <w:lang w:val="en-HK"/>
        </w:rPr>
        <w:t>the 6</w:t>
      </w:r>
      <w:r w:rsidR="00174FAC" w:rsidRPr="00174FAC">
        <w:rPr>
          <w:rFonts w:eastAsia="PMingLiU"/>
          <w:color w:val="000000"/>
          <w:szCs w:val="28"/>
          <w:vertAlign w:val="superscript"/>
          <w:lang w:val="en-HK"/>
        </w:rPr>
        <w:t>th</w:t>
      </w:r>
      <w:r w:rsidR="00174FAC">
        <w:rPr>
          <w:rFonts w:eastAsia="PMingLiU"/>
          <w:color w:val="000000"/>
          <w:szCs w:val="28"/>
          <w:lang w:val="en-HK"/>
        </w:rPr>
        <w:t> Respondent</w:t>
      </w:r>
      <w:r>
        <w:rPr>
          <w:rFonts w:eastAsia="PMingLiU"/>
          <w:color w:val="000000"/>
          <w:szCs w:val="28"/>
          <w:lang w:val="en-HK"/>
        </w:rPr>
        <w:t xml:space="preserve"> and </w:t>
      </w:r>
      <w:r w:rsidR="00174FAC">
        <w:rPr>
          <w:rFonts w:eastAsia="PMingLiU"/>
          <w:color w:val="000000"/>
          <w:szCs w:val="28"/>
          <w:lang w:val="en-HK"/>
        </w:rPr>
        <w:t>the 7</w:t>
      </w:r>
      <w:r w:rsidR="00174FAC" w:rsidRPr="00174FAC">
        <w:rPr>
          <w:rFonts w:eastAsia="PMingLiU"/>
          <w:color w:val="000000"/>
          <w:szCs w:val="28"/>
          <w:vertAlign w:val="superscript"/>
          <w:lang w:val="en-HK"/>
        </w:rPr>
        <w:t>th</w:t>
      </w:r>
      <w:r w:rsidR="00174FAC">
        <w:rPr>
          <w:rFonts w:eastAsia="PMingLiU"/>
          <w:color w:val="000000"/>
          <w:szCs w:val="28"/>
          <w:lang w:val="en-HK"/>
        </w:rPr>
        <w:t> Respondent</w:t>
      </w:r>
      <w:r>
        <w:rPr>
          <w:rFonts w:eastAsia="PMingLiU"/>
          <w:color w:val="000000"/>
          <w:szCs w:val="28"/>
          <w:lang w:val="en-HK"/>
        </w:rPr>
        <w:t xml:space="preserve"> have defaulted in filing a response within the time limit required in </w:t>
      </w:r>
      <w:r w:rsidRPr="00695F9E">
        <w:rPr>
          <w:rFonts w:eastAsia="PMingLiU"/>
          <w:i/>
          <w:color w:val="000000"/>
          <w:szCs w:val="28"/>
          <w:lang w:val="en-HK"/>
        </w:rPr>
        <w:t>rule 75</w:t>
      </w:r>
      <w:r>
        <w:rPr>
          <w:rFonts w:eastAsia="PMingLiU"/>
          <w:color w:val="000000"/>
          <w:szCs w:val="28"/>
          <w:lang w:val="en-HK"/>
        </w:rPr>
        <w:t>—in fact they have not filed any response to date despite the lapse of about a year</w:t>
      </w:r>
      <w:r w:rsidR="00174FAC">
        <w:rPr>
          <w:rFonts w:eastAsia="PMingLiU"/>
          <w:color w:val="000000"/>
          <w:szCs w:val="28"/>
          <w:lang w:val="en-HK"/>
        </w:rPr>
        <w:t>.</w:t>
      </w:r>
    </w:p>
    <w:p w:rsidR="00695F9E" w:rsidRPr="00695F9E" w:rsidRDefault="00174FAC" w:rsidP="00695F9E">
      <w:pPr>
        <w:pStyle w:val="Final"/>
        <w:spacing w:after="0"/>
      </w:pPr>
      <w:r>
        <w:rPr>
          <w:rFonts w:eastAsia="PMingLiU"/>
          <w:color w:val="000000"/>
          <w:szCs w:val="28"/>
          <w:lang w:val="en-HK"/>
        </w:rPr>
        <w:t xml:space="preserve">The Commission submits that </w:t>
      </w:r>
      <w:r w:rsidR="00695F9E" w:rsidRPr="00695F9E">
        <w:rPr>
          <w:rFonts w:eastAsia="PMingLiU"/>
          <w:i/>
          <w:color w:val="000000"/>
          <w:szCs w:val="28"/>
          <w:lang w:val="en-HK"/>
        </w:rPr>
        <w:t>rule 76</w:t>
      </w:r>
      <w:r w:rsidR="00695F9E" w:rsidRPr="00176B8D">
        <w:rPr>
          <w:rFonts w:eastAsia="PMingLiU"/>
          <w:color w:val="000000"/>
          <w:szCs w:val="28"/>
          <w:lang w:val="en-HK"/>
        </w:rPr>
        <w:t xml:space="preserve"> envisage</w:t>
      </w:r>
      <w:r w:rsidR="00BD4AA6">
        <w:rPr>
          <w:rFonts w:eastAsia="PMingLiU"/>
          <w:color w:val="000000"/>
          <w:szCs w:val="28"/>
          <w:lang w:val="en-HK"/>
        </w:rPr>
        <w:t>s</w:t>
      </w:r>
      <w:r w:rsidR="00695F9E" w:rsidRPr="00176B8D">
        <w:rPr>
          <w:rFonts w:eastAsia="PMingLiU"/>
          <w:color w:val="000000"/>
          <w:szCs w:val="28"/>
          <w:lang w:val="en-HK"/>
        </w:rPr>
        <w:t xml:space="preserve"> the provision to operate like the default judgment procedure:</w:t>
      </w:r>
    </w:p>
    <w:p w:rsidR="00695F9E" w:rsidRPr="00911F4D" w:rsidRDefault="00695F9E" w:rsidP="00695F9E">
      <w:pPr>
        <w:pStyle w:val="HC-Hanging"/>
        <w:ind w:left="1440"/>
      </w:pPr>
      <w:r w:rsidRPr="00176B8D">
        <w:rPr>
          <w:rFonts w:eastAsia="PMingLiU"/>
          <w:color w:val="000000"/>
          <w:lang w:val="en-HK"/>
        </w:rPr>
        <w:t xml:space="preserve">Thus, </w:t>
      </w:r>
      <w:r w:rsidR="00911F4D">
        <w:rPr>
          <w:rFonts w:eastAsia="PMingLiU"/>
          <w:color w:val="000000"/>
          <w:lang w:val="en-HK"/>
        </w:rPr>
        <w:t>[</w:t>
      </w:r>
      <w:r w:rsidRPr="00176B8D">
        <w:rPr>
          <w:rFonts w:eastAsia="PMingLiU"/>
          <w:color w:val="000000"/>
          <w:lang w:val="en-HK"/>
        </w:rPr>
        <w:t>25(c)</w:t>
      </w:r>
      <w:r w:rsidR="00911F4D">
        <w:rPr>
          <w:rFonts w:eastAsia="PMingLiU"/>
          <w:color w:val="000000"/>
          <w:lang w:val="en-HK"/>
        </w:rPr>
        <w:t>]</w:t>
      </w:r>
      <w:r w:rsidRPr="00176B8D">
        <w:rPr>
          <w:rFonts w:eastAsia="PMingLiU"/>
          <w:color w:val="000000"/>
          <w:lang w:val="en-HK"/>
        </w:rPr>
        <w:t xml:space="preserve"> of CTPD No. 1</w:t>
      </w:r>
      <w:r>
        <w:rPr>
          <w:rFonts w:eastAsia="PMingLiU"/>
          <w:color w:val="000000"/>
          <w:lang w:val="en-HK"/>
        </w:rPr>
        <w:t xml:space="preserve"> </w:t>
      </w:r>
      <w:r w:rsidRPr="00176B8D">
        <w:rPr>
          <w:rFonts w:eastAsia="PMingLiU"/>
          <w:color w:val="000000"/>
          <w:lang w:val="en-HK"/>
        </w:rPr>
        <w:t>states that “</w:t>
      </w:r>
      <w:r w:rsidRPr="00911F4D">
        <w:rPr>
          <w:rFonts w:eastAsia="PMingLiU"/>
          <w:i/>
          <w:color w:val="000000"/>
          <w:lang w:val="en-HK"/>
        </w:rPr>
        <w:t>[a]</w:t>
      </w:r>
      <w:r w:rsidRPr="009B7EB3">
        <w:rPr>
          <w:rFonts w:eastAsia="PMingLiU"/>
          <w:i/>
          <w:iCs/>
          <w:color w:val="000000"/>
          <w:lang w:val="en-HK"/>
        </w:rPr>
        <w:t xml:space="preserve">s </w:t>
      </w:r>
      <w:r w:rsidRPr="009B7EB3">
        <w:rPr>
          <w:i/>
          <w:iCs/>
          <w:color w:val="000000"/>
        </w:rPr>
        <w:t>there are already provisions in rules 66 and 76 of the Rules on the consequences of failure to file a response, Order 19</w:t>
      </w:r>
      <w:r w:rsidRPr="00176B8D">
        <w:rPr>
          <w:color w:val="000000"/>
        </w:rPr>
        <w:t xml:space="preserve"> [of the Rules of High Court</w:t>
      </w:r>
      <w:r>
        <w:rPr>
          <w:color w:val="000000"/>
        </w:rPr>
        <w:t>, i.e. Default of Pleadings</w:t>
      </w:r>
      <w:r w:rsidRPr="00176B8D">
        <w:rPr>
          <w:color w:val="000000"/>
        </w:rPr>
        <w:t xml:space="preserve">] </w:t>
      </w:r>
      <w:r w:rsidRPr="009B7EB3">
        <w:rPr>
          <w:i/>
          <w:iCs/>
          <w:color w:val="000000"/>
        </w:rPr>
        <w:t>will not apply in such situations…</w:t>
      </w:r>
      <w:r w:rsidRPr="00176B8D">
        <w:rPr>
          <w:color w:val="000000"/>
        </w:rPr>
        <w:t>”</w:t>
      </w:r>
      <w:r>
        <w:rPr>
          <w:color w:val="000000"/>
        </w:rPr>
        <w:t>;</w:t>
      </w:r>
    </w:p>
    <w:p w:rsidR="00911F4D" w:rsidRPr="00911F4D" w:rsidRDefault="00911F4D" w:rsidP="00695F9E">
      <w:pPr>
        <w:pStyle w:val="HC-Hanging"/>
        <w:ind w:left="1440"/>
      </w:pPr>
      <w:r>
        <w:rPr>
          <w:rFonts w:eastAsia="PMingLiU"/>
          <w:color w:val="000000"/>
          <w:lang w:val="en-HK"/>
        </w:rPr>
        <w:t xml:space="preserve">During the drafting process, attention was given to specify the procedure for setting aside a judgment granted pursuant to </w:t>
      </w:r>
      <w:r w:rsidRPr="00911F4D">
        <w:rPr>
          <w:rFonts w:eastAsia="PMingLiU"/>
          <w:i/>
          <w:color w:val="000000"/>
          <w:lang w:val="en-HK"/>
        </w:rPr>
        <w:t>rule 76</w:t>
      </w:r>
      <w:r>
        <w:rPr>
          <w:rFonts w:eastAsia="PMingLiU"/>
          <w:color w:val="000000"/>
          <w:lang w:val="en-HK"/>
        </w:rPr>
        <w:t xml:space="preserve"> when a party fails to file a response.</w:t>
      </w:r>
    </w:p>
    <w:p w:rsidR="00911F4D" w:rsidRDefault="00911F4D" w:rsidP="00911F4D">
      <w:pPr>
        <w:pStyle w:val="HC-Hanging"/>
        <w:numPr>
          <w:ilvl w:val="0"/>
          <w:numId w:val="0"/>
        </w:numPr>
        <w:ind w:left="1440"/>
      </w:pPr>
    </w:p>
    <w:p w:rsidR="00911F4D" w:rsidRPr="0034172B" w:rsidRDefault="00911F4D" w:rsidP="004F410F">
      <w:pPr>
        <w:pStyle w:val="Final"/>
        <w:spacing w:after="0"/>
      </w:pPr>
      <w:r w:rsidRPr="00174FAC">
        <w:rPr>
          <w:rFonts w:eastAsia="PMingLiU"/>
          <w:color w:val="000000"/>
          <w:szCs w:val="28"/>
          <w:lang w:val="en-HK"/>
        </w:rPr>
        <w:t xml:space="preserve">The above </w:t>
      </w:r>
      <w:r w:rsidR="00BD4AA6">
        <w:rPr>
          <w:rFonts w:eastAsia="PMingLiU"/>
          <w:color w:val="000000"/>
          <w:szCs w:val="28"/>
          <w:lang w:val="en-HK"/>
        </w:rPr>
        <w:t>indicate</w:t>
      </w:r>
      <w:r w:rsidRPr="00174FAC">
        <w:rPr>
          <w:rFonts w:eastAsia="PMingLiU"/>
          <w:color w:val="000000"/>
          <w:szCs w:val="28"/>
          <w:lang w:val="en-HK"/>
        </w:rPr>
        <w:t>s a</w:t>
      </w:r>
      <w:r w:rsidR="00174FAC" w:rsidRPr="00174FAC">
        <w:rPr>
          <w:rFonts w:eastAsia="PMingLiU"/>
          <w:color w:val="000000"/>
          <w:szCs w:val="28"/>
          <w:lang w:val="en-HK"/>
        </w:rPr>
        <w:t>n</w:t>
      </w:r>
      <w:r w:rsidRPr="00174FAC">
        <w:rPr>
          <w:rFonts w:eastAsia="PMingLiU"/>
          <w:color w:val="000000"/>
          <w:szCs w:val="28"/>
          <w:lang w:val="en-HK"/>
        </w:rPr>
        <w:t xml:space="preserve"> intention to </w:t>
      </w:r>
      <w:r w:rsidR="00174FAC" w:rsidRPr="00174FAC">
        <w:rPr>
          <w:rFonts w:eastAsia="PMingLiU"/>
          <w:color w:val="000000"/>
          <w:szCs w:val="28"/>
          <w:lang w:val="en-HK"/>
        </w:rPr>
        <w:t>create a</w:t>
      </w:r>
      <w:r w:rsidRPr="00174FAC">
        <w:rPr>
          <w:rFonts w:eastAsia="PMingLiU"/>
          <w:color w:val="000000"/>
          <w:szCs w:val="28"/>
          <w:lang w:val="en-HK"/>
        </w:rPr>
        <w:t xml:space="preserve"> specific provision conferring a power on the Tribunal to make a judgment in default of filing of a response coupled with a mechanism for </w:t>
      </w:r>
      <w:r w:rsidR="00BD4AA6">
        <w:rPr>
          <w:rFonts w:eastAsia="PMingLiU"/>
          <w:color w:val="000000"/>
          <w:szCs w:val="28"/>
          <w:lang w:val="en-HK"/>
        </w:rPr>
        <w:t xml:space="preserve">an </w:t>
      </w:r>
      <w:r w:rsidRPr="00174FAC">
        <w:rPr>
          <w:rFonts w:eastAsia="PMingLiU"/>
          <w:color w:val="000000"/>
          <w:szCs w:val="28"/>
          <w:lang w:val="en-HK"/>
        </w:rPr>
        <w:t>application for setting it aside</w:t>
      </w:r>
      <w:r w:rsidR="00BD4AA6">
        <w:rPr>
          <w:rFonts w:eastAsia="PMingLiU"/>
          <w:color w:val="000000"/>
          <w:szCs w:val="28"/>
          <w:lang w:val="en-HK"/>
        </w:rPr>
        <w:t>.</w:t>
      </w:r>
      <w:r w:rsidRPr="00174FAC">
        <w:rPr>
          <w:rFonts w:eastAsia="PMingLiU"/>
          <w:color w:val="000000"/>
          <w:szCs w:val="28"/>
          <w:lang w:val="en-HK"/>
        </w:rPr>
        <w:t xml:space="preserve"> </w:t>
      </w:r>
      <w:r w:rsidR="00DB4C36">
        <w:rPr>
          <w:rFonts w:eastAsia="PMingLiU"/>
          <w:color w:val="000000"/>
          <w:szCs w:val="28"/>
          <w:lang w:val="en-HK"/>
        </w:rPr>
        <w:t xml:space="preserve"> </w:t>
      </w:r>
      <w:r w:rsidR="00BD4AA6">
        <w:rPr>
          <w:rFonts w:eastAsia="PMingLiU"/>
          <w:color w:val="000000"/>
          <w:szCs w:val="28"/>
          <w:lang w:val="en-HK"/>
        </w:rPr>
        <w:t>T</w:t>
      </w:r>
      <w:r w:rsidR="00AD143B" w:rsidRPr="00174FAC">
        <w:rPr>
          <w:rFonts w:eastAsia="PMingLiU"/>
          <w:color w:val="000000"/>
          <w:szCs w:val="28"/>
          <w:lang w:val="en-HK"/>
        </w:rPr>
        <w:t xml:space="preserve">hat </w:t>
      </w:r>
      <w:r w:rsidR="00AD143B" w:rsidRPr="00AD786F">
        <w:rPr>
          <w:rFonts w:eastAsia="PMingLiU"/>
          <w:i/>
          <w:color w:val="000000"/>
          <w:szCs w:val="28"/>
          <w:lang w:val="en-HK"/>
        </w:rPr>
        <w:t>rule 76</w:t>
      </w:r>
      <w:r w:rsidR="00AD143B" w:rsidRPr="00174FAC">
        <w:rPr>
          <w:rFonts w:eastAsia="PMingLiU"/>
          <w:color w:val="000000"/>
          <w:szCs w:val="28"/>
          <w:lang w:val="en-HK"/>
        </w:rPr>
        <w:t xml:space="preserve"> is intended to operate </w:t>
      </w:r>
      <w:r w:rsidR="00174FAC">
        <w:rPr>
          <w:rFonts w:eastAsia="PMingLiU"/>
          <w:color w:val="000000"/>
          <w:szCs w:val="28"/>
          <w:lang w:val="en-HK"/>
        </w:rPr>
        <w:t>as a</w:t>
      </w:r>
      <w:r w:rsidR="00AD143B" w:rsidRPr="00174FAC">
        <w:rPr>
          <w:rFonts w:eastAsia="PMingLiU"/>
          <w:color w:val="000000"/>
          <w:szCs w:val="28"/>
          <w:lang w:val="en-HK"/>
        </w:rPr>
        <w:t xml:space="preserve"> default judgment procedure is</w:t>
      </w:r>
      <w:r w:rsidR="00E11570">
        <w:rPr>
          <w:rFonts w:eastAsia="PMingLiU"/>
          <w:color w:val="000000"/>
          <w:szCs w:val="28"/>
          <w:lang w:val="en-HK"/>
        </w:rPr>
        <w:t xml:space="preserve"> also</w:t>
      </w:r>
      <w:r w:rsidR="00AD143B" w:rsidRPr="00174FAC">
        <w:rPr>
          <w:rFonts w:eastAsia="PMingLiU"/>
          <w:color w:val="000000"/>
          <w:szCs w:val="28"/>
          <w:lang w:val="en-HK"/>
        </w:rPr>
        <w:t xml:space="preserve"> borne out by its wording, </w:t>
      </w:r>
      <w:r w:rsidR="00174FAC">
        <w:rPr>
          <w:rFonts w:eastAsia="PMingLiU"/>
          <w:color w:val="000000"/>
          <w:szCs w:val="28"/>
          <w:lang w:val="en-HK"/>
        </w:rPr>
        <w:t xml:space="preserve">when </w:t>
      </w:r>
      <w:r w:rsidR="00AD143B" w:rsidRPr="00174FAC">
        <w:rPr>
          <w:rFonts w:eastAsia="PMingLiU"/>
          <w:color w:val="000000"/>
          <w:szCs w:val="28"/>
          <w:lang w:val="en-HK"/>
        </w:rPr>
        <w:t xml:space="preserve">read in conjunction with other provisions of the </w:t>
      </w:r>
      <w:r w:rsidR="00AD143B" w:rsidRPr="00174FAC">
        <w:rPr>
          <w:rFonts w:eastAsia="PMingLiU"/>
          <w:i/>
          <w:color w:val="000000"/>
          <w:szCs w:val="28"/>
          <w:lang w:val="en-HK"/>
        </w:rPr>
        <w:t>Ordinance</w:t>
      </w:r>
      <w:r w:rsidR="00AD143B" w:rsidRPr="00174FAC">
        <w:rPr>
          <w:rFonts w:eastAsia="PMingLiU"/>
          <w:color w:val="000000"/>
          <w:szCs w:val="28"/>
          <w:lang w:val="en-HK"/>
        </w:rPr>
        <w:t xml:space="preserve"> and the </w:t>
      </w:r>
      <w:r w:rsidR="00AD143B" w:rsidRPr="00174FAC">
        <w:rPr>
          <w:rFonts w:eastAsia="PMingLiU"/>
          <w:i/>
          <w:color w:val="000000"/>
          <w:szCs w:val="28"/>
          <w:lang w:val="en-HK"/>
        </w:rPr>
        <w:t>CTR</w:t>
      </w:r>
      <w:r w:rsidR="00AD143B" w:rsidRPr="00174FAC">
        <w:rPr>
          <w:rFonts w:eastAsia="PMingLiU"/>
          <w:color w:val="000000"/>
          <w:szCs w:val="28"/>
          <w:lang w:val="en-HK"/>
        </w:rPr>
        <w:t>:</w:t>
      </w:r>
    </w:p>
    <w:p w:rsidR="0034172B" w:rsidRPr="0034172B" w:rsidRDefault="0034172B" w:rsidP="0034172B">
      <w:pPr>
        <w:pStyle w:val="HC-Hanging"/>
        <w:ind w:left="1440"/>
      </w:pPr>
      <w:r w:rsidRPr="0034172B">
        <w:rPr>
          <w:rFonts w:eastAsia="PMingLiU"/>
          <w:i/>
          <w:color w:val="000000"/>
          <w:lang w:val="en-HK"/>
        </w:rPr>
        <w:t>Subrule 76(2)</w:t>
      </w:r>
      <w:r>
        <w:rPr>
          <w:rFonts w:eastAsia="PMingLiU"/>
          <w:color w:val="000000"/>
          <w:lang w:val="en-HK"/>
        </w:rPr>
        <w:t xml:space="preserve"> provides that, in the event of a default in the filing of a response, t</w:t>
      </w:r>
      <w:r w:rsidRPr="00245DD3">
        <w:rPr>
          <w:rFonts w:eastAsia="PMingLiU"/>
          <w:color w:val="000000"/>
          <w:lang w:val="en-HK"/>
        </w:rPr>
        <w:t>he Tribunal may make an order granting the relief sought, proceed to hear and determine the application, or give any directions that the Tribunal thinks fit</w:t>
      </w:r>
      <w:r>
        <w:rPr>
          <w:rFonts w:eastAsia="PMingLiU"/>
          <w:color w:val="000000"/>
          <w:lang w:val="en-HK"/>
        </w:rPr>
        <w:t xml:space="preserve">.  It follows that the Tribunal is given </w:t>
      </w:r>
      <w:r w:rsidR="00174FAC">
        <w:rPr>
          <w:rFonts w:eastAsia="PMingLiU"/>
          <w:color w:val="000000"/>
          <w:lang w:val="en-HK"/>
        </w:rPr>
        <w:t xml:space="preserve">considerable </w:t>
      </w:r>
      <w:r>
        <w:rPr>
          <w:rFonts w:eastAsia="PMingLiU"/>
          <w:color w:val="000000"/>
          <w:lang w:val="en-HK"/>
        </w:rPr>
        <w:t>la</w:t>
      </w:r>
      <w:r w:rsidR="00616C94">
        <w:rPr>
          <w:rFonts w:eastAsia="PMingLiU"/>
          <w:color w:val="000000"/>
          <w:lang w:val="en-HK"/>
        </w:rPr>
        <w:t>titude as to how it may respond</w:t>
      </w:r>
      <w:r>
        <w:rPr>
          <w:rFonts w:eastAsia="PMingLiU"/>
          <w:color w:val="000000"/>
          <w:lang w:val="en-HK"/>
        </w:rPr>
        <w:t>, including the option of making an order granting the relief sought instead of proceeding with a full hearing.</w:t>
      </w:r>
    </w:p>
    <w:p w:rsidR="0034172B" w:rsidRPr="0034172B" w:rsidRDefault="0034172B" w:rsidP="0034172B">
      <w:pPr>
        <w:pStyle w:val="HC-Hanging"/>
        <w:ind w:left="1440"/>
      </w:pPr>
      <w:r>
        <w:rPr>
          <w:rFonts w:eastAsia="PMingLiU"/>
          <w:color w:val="000000"/>
          <w:lang w:val="en-HK"/>
        </w:rPr>
        <w:t xml:space="preserve">Apparently, in recognition of the power of the Tribunal to grant substantive orders on default, the </w:t>
      </w:r>
      <w:r w:rsidRPr="0034172B">
        <w:rPr>
          <w:rFonts w:eastAsia="PMingLiU"/>
          <w:i/>
          <w:color w:val="000000"/>
          <w:lang w:val="en-HK"/>
        </w:rPr>
        <w:t>CTR</w:t>
      </w:r>
      <w:r>
        <w:rPr>
          <w:rFonts w:eastAsia="PMingLiU"/>
          <w:color w:val="000000"/>
          <w:lang w:val="en-HK"/>
        </w:rPr>
        <w:t xml:space="preserve"> has introduced parallel provisions which serve to afford proper procedural safeguards to the defaulting respondent, namely:-</w:t>
      </w:r>
    </w:p>
    <w:p w:rsidR="0034172B" w:rsidRDefault="0034172B" w:rsidP="0034172B">
      <w:pPr>
        <w:pStyle w:val="HC-Hanging"/>
        <w:numPr>
          <w:ilvl w:val="0"/>
          <w:numId w:val="0"/>
        </w:numPr>
        <w:ind w:left="2160" w:hanging="720"/>
        <w:rPr>
          <w:rFonts w:eastAsia="PMingLiU"/>
          <w:color w:val="000000"/>
          <w:lang w:val="en-HK"/>
        </w:rPr>
      </w:pPr>
      <w:r>
        <w:rPr>
          <w:rFonts w:eastAsia="PMingLiU"/>
          <w:color w:val="000000"/>
          <w:lang w:val="en-HK"/>
        </w:rPr>
        <w:t>(a)</w:t>
      </w:r>
      <w:r>
        <w:rPr>
          <w:rFonts w:eastAsia="PMingLiU"/>
          <w:color w:val="000000"/>
          <w:lang w:val="en-HK"/>
        </w:rPr>
        <w:tab/>
      </w:r>
      <w:r w:rsidRPr="0034172B">
        <w:rPr>
          <w:rFonts w:eastAsia="PMingLiU"/>
          <w:i/>
          <w:color w:val="000000"/>
          <w:lang w:val="en-HK"/>
        </w:rPr>
        <w:t>subrule 76(3)</w:t>
      </w:r>
      <w:r>
        <w:rPr>
          <w:rFonts w:eastAsia="PMingLiU"/>
          <w:color w:val="000000"/>
          <w:lang w:val="en-HK"/>
        </w:rPr>
        <w:t xml:space="preserve"> provides that if the Tribunal makes an order under </w:t>
      </w:r>
      <w:r w:rsidRPr="0034172B">
        <w:rPr>
          <w:rFonts w:eastAsia="PMingLiU"/>
          <w:i/>
          <w:color w:val="000000"/>
          <w:lang w:val="en-HK"/>
        </w:rPr>
        <w:t>subrule 76(2)</w:t>
      </w:r>
      <w:r>
        <w:rPr>
          <w:rFonts w:eastAsia="PMingLiU"/>
          <w:color w:val="000000"/>
          <w:lang w:val="en-HK"/>
        </w:rPr>
        <w:t>, the order must be served on the respondent; and</w:t>
      </w:r>
    </w:p>
    <w:p w:rsidR="0034172B" w:rsidRDefault="0034172B" w:rsidP="00DB4C36">
      <w:pPr>
        <w:pStyle w:val="HC-Hanging"/>
        <w:numPr>
          <w:ilvl w:val="0"/>
          <w:numId w:val="0"/>
        </w:numPr>
        <w:ind w:left="2160" w:hanging="720"/>
        <w:rPr>
          <w:rFonts w:eastAsia="PMingLiU"/>
          <w:color w:val="000000"/>
          <w:lang w:val="en-HK"/>
        </w:rPr>
      </w:pPr>
      <w:r w:rsidRPr="0034172B">
        <w:rPr>
          <w:rFonts w:eastAsia="PMingLiU"/>
          <w:color w:val="000000"/>
          <w:lang w:val="en-HK"/>
        </w:rPr>
        <w:t>(b)</w:t>
      </w:r>
      <w:r w:rsidRPr="0034172B">
        <w:rPr>
          <w:rFonts w:eastAsia="PMingLiU"/>
          <w:color w:val="000000"/>
          <w:lang w:val="en-HK"/>
        </w:rPr>
        <w:tab/>
      </w:r>
      <w:r w:rsidRPr="0034172B">
        <w:rPr>
          <w:rFonts w:eastAsia="PMingLiU"/>
          <w:i/>
          <w:color w:val="000000"/>
          <w:lang w:val="en-HK"/>
        </w:rPr>
        <w:t>subrules 76(4) and (5)</w:t>
      </w:r>
      <w:r>
        <w:rPr>
          <w:rFonts w:eastAsia="PMingLiU"/>
          <w:color w:val="000000"/>
          <w:lang w:val="en-HK"/>
        </w:rPr>
        <w:t xml:space="preserve"> further provide that t</w:t>
      </w:r>
      <w:r w:rsidRPr="00D1071C">
        <w:rPr>
          <w:rFonts w:eastAsia="PMingLiU"/>
          <w:color w:val="000000"/>
          <w:lang w:val="en-HK"/>
        </w:rPr>
        <w:t>he Tribunal may, on the application of the respondent</w:t>
      </w:r>
      <w:r>
        <w:rPr>
          <w:rFonts w:eastAsia="PMingLiU"/>
          <w:color w:val="000000"/>
          <w:lang w:val="en-HK"/>
        </w:rPr>
        <w:t xml:space="preserve"> (which must be made within 14 days after the date of service of the order)</w:t>
      </w:r>
      <w:r w:rsidRPr="00D1071C">
        <w:rPr>
          <w:rFonts w:eastAsia="PMingLiU"/>
          <w:color w:val="000000"/>
          <w:lang w:val="en-HK"/>
        </w:rPr>
        <w:t>, set aside the order on the terms that the Tribunal thinks just</w:t>
      </w:r>
      <w:r>
        <w:rPr>
          <w:rFonts w:eastAsia="PMingLiU"/>
          <w:color w:val="000000"/>
          <w:lang w:val="en-HK"/>
        </w:rPr>
        <w:t>.</w:t>
      </w:r>
    </w:p>
    <w:p w:rsidR="0034172B" w:rsidRDefault="0034172B" w:rsidP="0034172B">
      <w:pPr>
        <w:pStyle w:val="HC-Hanging"/>
        <w:numPr>
          <w:ilvl w:val="0"/>
          <w:numId w:val="0"/>
        </w:numPr>
        <w:ind w:left="1440"/>
        <w:rPr>
          <w:rFonts w:eastAsia="PMingLiU"/>
          <w:color w:val="000000"/>
          <w:lang w:val="en-HK"/>
        </w:rPr>
      </w:pPr>
      <w:r>
        <w:rPr>
          <w:rFonts w:eastAsia="PMingLiU"/>
          <w:color w:val="000000"/>
          <w:lang w:val="en-HK"/>
        </w:rPr>
        <w:t xml:space="preserve">It is therefore clear that, where an order granting the relief sought by the Commission is made by the Tribunal, the defaulting respondent is not without recourse, and may make an application for the setting aside of such order </w:t>
      </w:r>
      <w:r w:rsidR="00174FAC">
        <w:rPr>
          <w:rFonts w:eastAsia="PMingLiU"/>
          <w:color w:val="000000"/>
          <w:lang w:val="en-HK"/>
        </w:rPr>
        <w:t>at which</w:t>
      </w:r>
      <w:r>
        <w:rPr>
          <w:rFonts w:eastAsia="PMingLiU"/>
          <w:color w:val="000000"/>
          <w:lang w:val="en-HK"/>
        </w:rPr>
        <w:t xml:space="preserve"> any substantive arguments, whether on merits or otherwise, may be ventilated and determined as </w:t>
      </w:r>
      <w:r w:rsidR="00174FAC">
        <w:rPr>
          <w:rFonts w:eastAsia="PMingLiU"/>
          <w:color w:val="000000"/>
          <w:lang w:val="en-HK"/>
        </w:rPr>
        <w:t>may be necessary or appropriate</w:t>
      </w:r>
      <w:r>
        <w:rPr>
          <w:rFonts w:eastAsia="PMingLiU"/>
          <w:color w:val="000000"/>
          <w:lang w:val="en-HK"/>
        </w:rPr>
        <w:t>.</w:t>
      </w:r>
    </w:p>
    <w:p w:rsidR="0034172B" w:rsidRDefault="0034172B" w:rsidP="0034172B">
      <w:pPr>
        <w:pStyle w:val="HC-Hanging"/>
        <w:numPr>
          <w:ilvl w:val="0"/>
          <w:numId w:val="0"/>
        </w:numPr>
        <w:ind w:left="1440" w:hanging="720"/>
        <w:rPr>
          <w:rFonts w:eastAsia="PMingLiU"/>
          <w:color w:val="000000"/>
          <w:lang w:val="en-HK"/>
        </w:rPr>
      </w:pPr>
      <w:r>
        <w:rPr>
          <w:rFonts w:eastAsia="PMingLiU"/>
          <w:color w:val="000000"/>
          <w:lang w:val="en-HK"/>
        </w:rPr>
        <w:t>(3)</w:t>
      </w:r>
      <w:r>
        <w:rPr>
          <w:rFonts w:eastAsia="PMingLiU"/>
          <w:color w:val="000000"/>
          <w:lang w:val="en-HK"/>
        </w:rPr>
        <w:tab/>
      </w:r>
      <w:r w:rsidR="0020129E">
        <w:rPr>
          <w:rFonts w:eastAsia="PMingLiU"/>
          <w:color w:val="000000"/>
          <w:lang w:val="en-HK"/>
        </w:rPr>
        <w:t xml:space="preserve">The Tribunal’s power to make default judgment and a respondent’s corresponding right to apply for setting aside and appeal </w:t>
      </w:r>
      <w:r w:rsidR="00FF6A98">
        <w:rPr>
          <w:rFonts w:eastAsia="PMingLiU"/>
          <w:color w:val="000000"/>
          <w:lang w:val="en-HK"/>
        </w:rPr>
        <w:t xml:space="preserve">a </w:t>
      </w:r>
      <w:r w:rsidR="0020129E">
        <w:rPr>
          <w:rFonts w:eastAsia="PMingLiU"/>
          <w:color w:val="000000"/>
          <w:lang w:val="en-HK"/>
        </w:rPr>
        <w:t xml:space="preserve">refusal are </w:t>
      </w:r>
      <w:r w:rsidR="00FF6A98">
        <w:rPr>
          <w:rFonts w:eastAsia="PMingLiU"/>
          <w:color w:val="000000"/>
          <w:lang w:val="en-HK"/>
        </w:rPr>
        <w:t xml:space="preserve">provided for </w:t>
      </w:r>
      <w:r w:rsidR="0020129E">
        <w:rPr>
          <w:rFonts w:eastAsia="PMingLiU"/>
          <w:color w:val="000000"/>
          <w:lang w:val="en-HK"/>
        </w:rPr>
        <w:t xml:space="preserve">in the </w:t>
      </w:r>
      <w:r w:rsidR="0020129E" w:rsidRPr="0020129E">
        <w:rPr>
          <w:rFonts w:eastAsia="PMingLiU"/>
          <w:i/>
          <w:color w:val="000000"/>
          <w:lang w:val="en-HK"/>
        </w:rPr>
        <w:t>Ordinance</w:t>
      </w:r>
      <w:r w:rsidR="0020129E">
        <w:rPr>
          <w:rFonts w:eastAsia="PMingLiU"/>
          <w:color w:val="000000"/>
          <w:lang w:val="en-HK"/>
        </w:rPr>
        <w:t xml:space="preserve"> and the </w:t>
      </w:r>
      <w:r w:rsidR="0020129E" w:rsidRPr="0020129E">
        <w:rPr>
          <w:rFonts w:eastAsia="PMingLiU"/>
          <w:i/>
          <w:color w:val="000000"/>
          <w:lang w:val="en-HK"/>
        </w:rPr>
        <w:t>CTR</w:t>
      </w:r>
      <w:r w:rsidR="0020129E">
        <w:rPr>
          <w:rFonts w:eastAsia="PMingLiU"/>
          <w:color w:val="000000"/>
          <w:lang w:val="en-HK"/>
        </w:rPr>
        <w:t>:</w:t>
      </w:r>
    </w:p>
    <w:p w:rsidR="0020129E" w:rsidRDefault="0020129E" w:rsidP="0020129E">
      <w:pPr>
        <w:pStyle w:val="HC-Hanging"/>
        <w:numPr>
          <w:ilvl w:val="0"/>
          <w:numId w:val="0"/>
        </w:numPr>
        <w:ind w:left="2160" w:hanging="1440"/>
        <w:rPr>
          <w:rFonts w:eastAsia="PMingLiU"/>
          <w:color w:val="000000"/>
          <w:lang w:val="en-HK"/>
        </w:rPr>
      </w:pPr>
      <w:r>
        <w:rPr>
          <w:rFonts w:eastAsia="PMingLiU"/>
          <w:color w:val="000000"/>
          <w:lang w:val="en-HK"/>
        </w:rPr>
        <w:tab/>
        <w:t>(a)</w:t>
      </w:r>
      <w:r>
        <w:rPr>
          <w:rFonts w:eastAsia="PMingLiU"/>
          <w:color w:val="000000"/>
          <w:lang w:val="en-HK"/>
        </w:rPr>
        <w:tab/>
      </w:r>
      <w:r w:rsidRPr="0020129E">
        <w:rPr>
          <w:rFonts w:eastAsia="PMingLiU"/>
          <w:i/>
          <w:color w:val="000000"/>
          <w:lang w:val="en-HK"/>
        </w:rPr>
        <w:t>Section 155(2)</w:t>
      </w:r>
      <w:r>
        <w:rPr>
          <w:rFonts w:eastAsia="PMingLiU"/>
          <w:color w:val="000000"/>
          <w:lang w:val="en-HK"/>
        </w:rPr>
        <w:t xml:space="preserve"> of the </w:t>
      </w:r>
      <w:r w:rsidRPr="0020129E">
        <w:rPr>
          <w:rFonts w:eastAsia="PMingLiU"/>
          <w:i/>
          <w:color w:val="000000"/>
          <w:lang w:val="en-HK"/>
        </w:rPr>
        <w:t>Ordinance</w:t>
      </w:r>
      <w:r>
        <w:rPr>
          <w:rFonts w:eastAsia="PMingLiU"/>
          <w:color w:val="000000"/>
          <w:lang w:val="en-HK"/>
        </w:rPr>
        <w:t xml:space="preserve"> provides that, despite </w:t>
      </w:r>
      <w:r w:rsidRPr="0020129E">
        <w:rPr>
          <w:rFonts w:eastAsia="PMingLiU"/>
          <w:i/>
          <w:color w:val="000000"/>
          <w:lang w:val="en-HK"/>
        </w:rPr>
        <w:t>section 155(1)</w:t>
      </w:r>
      <w:r>
        <w:rPr>
          <w:rFonts w:eastAsia="PMingLiU"/>
          <w:color w:val="000000"/>
          <w:lang w:val="en-HK"/>
        </w:rPr>
        <w:t xml:space="preserve"> (which requires the grant of leave to appeal for an appeal to the Court of Appeal </w:t>
      </w:r>
      <w:r w:rsidRPr="008B56ED">
        <w:rPr>
          <w:rFonts w:eastAsia="PMingLiU"/>
          <w:color w:val="000000"/>
          <w:lang w:val="en-HK"/>
        </w:rPr>
        <w:t>against any interlocutory decision, determination or order of the Tribunal</w:t>
      </w:r>
      <w:r>
        <w:rPr>
          <w:rFonts w:eastAsia="PMingLiU"/>
          <w:color w:val="000000"/>
          <w:lang w:val="en-HK"/>
        </w:rPr>
        <w:t xml:space="preserve">), the rules of the Tribunal (i.e. </w:t>
      </w:r>
      <w:r w:rsidRPr="0020129E">
        <w:rPr>
          <w:rFonts w:eastAsia="PMingLiU"/>
          <w:i/>
          <w:color w:val="000000"/>
          <w:lang w:val="en-HK"/>
        </w:rPr>
        <w:t>CTR</w:t>
      </w:r>
      <w:r>
        <w:rPr>
          <w:rFonts w:eastAsia="PMingLiU"/>
          <w:color w:val="000000"/>
          <w:lang w:val="en-HK"/>
        </w:rPr>
        <w:t xml:space="preserve">) may </w:t>
      </w:r>
      <w:r w:rsidRPr="008B56ED">
        <w:rPr>
          <w:rFonts w:eastAsia="PMingLiU"/>
          <w:color w:val="000000"/>
          <w:lang w:val="en-HK"/>
        </w:rPr>
        <w:t xml:space="preserve">specify </w:t>
      </w:r>
      <w:r>
        <w:rPr>
          <w:rFonts w:eastAsia="PMingLiU"/>
          <w:color w:val="000000"/>
          <w:lang w:val="en-HK"/>
        </w:rPr>
        <w:t>to the contrary such that a</w:t>
      </w:r>
      <w:r w:rsidRPr="008B56ED">
        <w:rPr>
          <w:rFonts w:eastAsia="PMingLiU"/>
          <w:color w:val="000000"/>
          <w:lang w:val="en-HK"/>
        </w:rPr>
        <w:t>n appeal lies as of right</w:t>
      </w:r>
      <w:r>
        <w:rPr>
          <w:rFonts w:eastAsia="PMingLiU"/>
          <w:color w:val="000000"/>
          <w:lang w:val="en-HK"/>
        </w:rPr>
        <w:t>.</w:t>
      </w:r>
    </w:p>
    <w:p w:rsidR="0020129E" w:rsidRDefault="0020129E" w:rsidP="0020129E">
      <w:pPr>
        <w:pStyle w:val="HC-Hanging"/>
        <w:numPr>
          <w:ilvl w:val="0"/>
          <w:numId w:val="0"/>
        </w:numPr>
        <w:ind w:left="2160" w:hanging="1440"/>
        <w:rPr>
          <w:rFonts w:eastAsia="PMingLiU"/>
          <w:color w:val="000000"/>
          <w:lang w:val="en-HK"/>
        </w:rPr>
      </w:pPr>
      <w:r>
        <w:rPr>
          <w:rFonts w:eastAsia="PMingLiU"/>
          <w:color w:val="000000"/>
          <w:lang w:val="en-HK"/>
        </w:rPr>
        <w:tab/>
        <w:t>(b)</w:t>
      </w:r>
      <w:r>
        <w:rPr>
          <w:rFonts w:eastAsia="PMingLiU"/>
          <w:color w:val="000000"/>
          <w:lang w:val="en-HK"/>
        </w:rPr>
        <w:tab/>
        <w:t xml:space="preserve">In this connection, </w:t>
      </w:r>
      <w:r w:rsidRPr="0020129E">
        <w:rPr>
          <w:rFonts w:eastAsia="PMingLiU"/>
          <w:i/>
          <w:color w:val="000000"/>
          <w:lang w:val="en-HK"/>
        </w:rPr>
        <w:t>subrule 44(1)(a)</w:t>
      </w:r>
      <w:r>
        <w:rPr>
          <w:rFonts w:eastAsia="PMingLiU"/>
          <w:color w:val="000000"/>
          <w:lang w:val="en-HK"/>
        </w:rPr>
        <w:t xml:space="preserve"> of the </w:t>
      </w:r>
      <w:r w:rsidRPr="0020129E">
        <w:rPr>
          <w:rFonts w:eastAsia="PMingLiU"/>
          <w:i/>
          <w:color w:val="000000"/>
          <w:lang w:val="en-HK"/>
        </w:rPr>
        <w:t>CTR</w:t>
      </w:r>
      <w:r>
        <w:rPr>
          <w:rFonts w:eastAsia="PMingLiU"/>
          <w:color w:val="000000"/>
          <w:lang w:val="en-HK"/>
        </w:rPr>
        <w:t xml:space="preserve"> provides that, for </w:t>
      </w:r>
      <w:r w:rsidRPr="00C13A66">
        <w:rPr>
          <w:rFonts w:eastAsia="PMingLiU"/>
          <w:color w:val="000000"/>
          <w:lang w:val="en-HK"/>
        </w:rPr>
        <w:t xml:space="preserve">the purposes of </w:t>
      </w:r>
      <w:r w:rsidRPr="0020129E">
        <w:rPr>
          <w:rFonts w:eastAsia="PMingLiU"/>
          <w:i/>
          <w:color w:val="000000"/>
          <w:lang w:val="en-HK"/>
        </w:rPr>
        <w:t>section 155(2)</w:t>
      </w:r>
      <w:r w:rsidRPr="00C13A66">
        <w:rPr>
          <w:rFonts w:eastAsia="PMingLiU"/>
          <w:color w:val="000000"/>
          <w:lang w:val="en-HK"/>
        </w:rPr>
        <w:t xml:space="preserve"> of the </w:t>
      </w:r>
      <w:r w:rsidRPr="0020129E">
        <w:rPr>
          <w:rFonts w:eastAsia="PMingLiU"/>
          <w:i/>
          <w:color w:val="000000"/>
          <w:lang w:val="en-HK"/>
        </w:rPr>
        <w:t>Ordinance</w:t>
      </w:r>
      <w:r w:rsidRPr="00C13A66">
        <w:rPr>
          <w:rFonts w:eastAsia="PMingLiU"/>
          <w:color w:val="000000"/>
          <w:lang w:val="en-HK"/>
        </w:rPr>
        <w:t xml:space="preserve">, </w:t>
      </w:r>
      <w:r>
        <w:rPr>
          <w:rFonts w:eastAsia="PMingLiU"/>
          <w:color w:val="000000"/>
          <w:lang w:val="en-HK"/>
        </w:rPr>
        <w:t>“</w:t>
      </w:r>
      <w:r w:rsidRPr="0041235F">
        <w:rPr>
          <w:rFonts w:eastAsia="PMingLiU"/>
          <w:i/>
          <w:color w:val="000000"/>
          <w:lang w:val="en-HK"/>
        </w:rPr>
        <w:t>a decision, a determination or an order that determines in a summary way the substantive rights of a party</w:t>
      </w:r>
      <w:r>
        <w:rPr>
          <w:rFonts w:eastAsia="PMingLiU"/>
          <w:color w:val="000000"/>
          <w:lang w:val="en-HK"/>
        </w:rPr>
        <w:t>” constitutes “</w:t>
      </w:r>
      <w:r w:rsidRPr="0041235F">
        <w:rPr>
          <w:rFonts w:eastAsia="PMingLiU"/>
          <w:i/>
          <w:color w:val="000000"/>
          <w:lang w:val="en-HK"/>
        </w:rPr>
        <w:t>interlocutory decisions, determinations or orders against which an appeal lies to the Court of Appeal as of right</w:t>
      </w:r>
      <w:r>
        <w:rPr>
          <w:rFonts w:eastAsia="PMingLiU"/>
          <w:color w:val="000000"/>
          <w:lang w:val="en-HK"/>
        </w:rPr>
        <w:t>”.</w:t>
      </w:r>
    </w:p>
    <w:p w:rsidR="0020129E" w:rsidRDefault="0020129E" w:rsidP="0020129E">
      <w:pPr>
        <w:pStyle w:val="HC-Hanging"/>
        <w:numPr>
          <w:ilvl w:val="0"/>
          <w:numId w:val="0"/>
        </w:numPr>
        <w:ind w:left="2160" w:hanging="1440"/>
        <w:rPr>
          <w:rFonts w:eastAsia="PMingLiU"/>
          <w:color w:val="000000"/>
          <w:lang w:val="en-HK"/>
        </w:rPr>
      </w:pPr>
      <w:r>
        <w:rPr>
          <w:rFonts w:eastAsia="PMingLiU"/>
          <w:color w:val="000000"/>
          <w:lang w:val="en-HK"/>
        </w:rPr>
        <w:tab/>
        <w:t>(c)</w:t>
      </w:r>
      <w:r>
        <w:rPr>
          <w:rFonts w:eastAsia="PMingLiU"/>
          <w:color w:val="000000"/>
          <w:lang w:val="en-HK"/>
        </w:rPr>
        <w:tab/>
      </w:r>
      <w:r w:rsidR="00EB4C76">
        <w:rPr>
          <w:rFonts w:eastAsia="PMingLiU"/>
          <w:color w:val="000000"/>
          <w:lang w:val="en-HK"/>
        </w:rPr>
        <w:t xml:space="preserve">Relevantly, </w:t>
      </w:r>
      <w:r w:rsidR="00EB4C76" w:rsidRPr="00EB4C76">
        <w:rPr>
          <w:rFonts w:eastAsia="PMingLiU"/>
          <w:i/>
          <w:color w:val="000000"/>
          <w:lang w:val="en-HK"/>
        </w:rPr>
        <w:t>subrule 44(2)(h)</w:t>
      </w:r>
      <w:r w:rsidR="00EB4C76">
        <w:rPr>
          <w:rFonts w:eastAsia="PMingLiU"/>
          <w:color w:val="000000"/>
          <w:lang w:val="en-HK"/>
        </w:rPr>
        <w:t xml:space="preserve"> goes on to provide that, w</w:t>
      </w:r>
      <w:r w:rsidR="00EB4C76" w:rsidRPr="00F1402E">
        <w:rPr>
          <w:rFonts w:eastAsia="PMingLiU"/>
          <w:color w:val="000000"/>
          <w:lang w:val="en-HK"/>
        </w:rPr>
        <w:t xml:space="preserve">ithout limiting </w:t>
      </w:r>
      <w:r w:rsidR="00EB4C76" w:rsidRPr="00EB4C76">
        <w:rPr>
          <w:rFonts w:eastAsia="PMingLiU"/>
          <w:i/>
          <w:color w:val="000000"/>
          <w:lang w:val="en-HK"/>
        </w:rPr>
        <w:t>subrule 44(1)(a)</w:t>
      </w:r>
      <w:r w:rsidR="00EB4C76" w:rsidRPr="00F1402E">
        <w:rPr>
          <w:rFonts w:eastAsia="PMingLiU"/>
          <w:color w:val="000000"/>
          <w:lang w:val="en-HK"/>
        </w:rPr>
        <w:t xml:space="preserve">, </w:t>
      </w:r>
      <w:r w:rsidR="00EB4C76">
        <w:rPr>
          <w:rFonts w:eastAsia="PMingLiU"/>
          <w:color w:val="000000"/>
          <w:lang w:val="en-HK"/>
        </w:rPr>
        <w:t>“</w:t>
      </w:r>
      <w:r w:rsidR="00EB4C76" w:rsidRPr="0041235F">
        <w:rPr>
          <w:rFonts w:eastAsia="PMingLiU"/>
          <w:i/>
          <w:color w:val="000000"/>
          <w:lang w:val="en-HK"/>
        </w:rPr>
        <w:t>decisions, determinations or orders that determine in a summary way the substantive rights of a party</w:t>
      </w:r>
      <w:r w:rsidR="00EB4C76">
        <w:rPr>
          <w:rFonts w:eastAsia="PMingLiU"/>
          <w:color w:val="000000"/>
          <w:lang w:val="en-HK"/>
        </w:rPr>
        <w:t>” include “</w:t>
      </w:r>
      <w:r w:rsidR="00EB4C76" w:rsidRPr="0041235F">
        <w:rPr>
          <w:rFonts w:eastAsia="PMingLiU"/>
          <w:i/>
          <w:color w:val="000000"/>
          <w:lang w:val="en-HK"/>
        </w:rPr>
        <w:t>a decision refusing to set aside a judgment in default</w:t>
      </w:r>
      <w:r w:rsidR="00EB4C76">
        <w:rPr>
          <w:rFonts w:eastAsia="PMingLiU"/>
          <w:color w:val="000000"/>
          <w:lang w:val="en-HK"/>
        </w:rPr>
        <w:t>”.  Plainly, this is a reference to a decision of the Tribunal refusing to set aside an order (described as “</w:t>
      </w:r>
      <w:r w:rsidR="00EB4C76">
        <w:rPr>
          <w:rFonts w:eastAsia="PMingLiU"/>
          <w:i/>
          <w:color w:val="000000"/>
          <w:lang w:val="en-HK"/>
        </w:rPr>
        <w:t>a judgment in default</w:t>
      </w:r>
      <w:r w:rsidR="00EB4C76" w:rsidRPr="0041235F">
        <w:rPr>
          <w:rFonts w:eastAsia="PMingLiU"/>
          <w:color w:val="000000"/>
          <w:lang w:val="en-HK"/>
        </w:rPr>
        <w:t xml:space="preserve">”) </w:t>
      </w:r>
      <w:r w:rsidR="00EB4C76">
        <w:rPr>
          <w:rFonts w:eastAsia="PMingLiU"/>
          <w:color w:val="000000"/>
          <w:lang w:val="en-HK"/>
        </w:rPr>
        <w:t xml:space="preserve">upon the application of a defaulting respondent under </w:t>
      </w:r>
      <w:r w:rsidR="00EB4C76" w:rsidRPr="00EB4C76">
        <w:rPr>
          <w:rFonts w:eastAsia="PMingLiU"/>
          <w:i/>
          <w:color w:val="000000"/>
          <w:lang w:val="en-HK"/>
        </w:rPr>
        <w:t>subrules 76(4) and (5)</w:t>
      </w:r>
      <w:r w:rsidR="00EB4C76">
        <w:rPr>
          <w:rFonts w:eastAsia="PMingLiU"/>
          <w:color w:val="000000"/>
          <w:lang w:val="en-HK"/>
        </w:rPr>
        <w:t xml:space="preserve"> of the </w:t>
      </w:r>
      <w:r w:rsidR="00EB4C76" w:rsidRPr="00EB4C76">
        <w:rPr>
          <w:rFonts w:eastAsia="PMingLiU"/>
          <w:i/>
          <w:color w:val="000000"/>
          <w:lang w:val="en-HK"/>
        </w:rPr>
        <w:t>CTR</w:t>
      </w:r>
      <w:r w:rsidR="00EB4C76">
        <w:rPr>
          <w:rFonts w:eastAsia="PMingLiU"/>
          <w:color w:val="000000"/>
          <w:lang w:val="en-HK"/>
        </w:rPr>
        <w:t>, against which an appeal lies to the Court of Appeal as of right.</w:t>
      </w:r>
    </w:p>
    <w:p w:rsidR="00EB4C76" w:rsidRDefault="00EB4C76" w:rsidP="0020129E">
      <w:pPr>
        <w:pStyle w:val="HC-Hanging"/>
        <w:numPr>
          <w:ilvl w:val="0"/>
          <w:numId w:val="0"/>
        </w:numPr>
        <w:ind w:left="2160" w:hanging="1440"/>
        <w:rPr>
          <w:rFonts w:eastAsia="PMingLiU"/>
          <w:color w:val="000000"/>
          <w:lang w:val="en-HK"/>
        </w:rPr>
      </w:pPr>
      <w:r>
        <w:rPr>
          <w:rFonts w:eastAsia="PMingLiU"/>
          <w:color w:val="000000"/>
          <w:lang w:val="en-HK"/>
        </w:rPr>
        <w:t>(4)</w:t>
      </w:r>
      <w:r>
        <w:rPr>
          <w:rFonts w:eastAsia="PMingLiU"/>
          <w:color w:val="000000"/>
          <w:lang w:val="en-HK"/>
        </w:rPr>
        <w:tab/>
        <w:t>What is clear from the above is that, under CTR 76:</w:t>
      </w:r>
    </w:p>
    <w:p w:rsidR="00EB4C76" w:rsidRDefault="00EB4C76" w:rsidP="0020129E">
      <w:pPr>
        <w:pStyle w:val="HC-Hanging"/>
        <w:numPr>
          <w:ilvl w:val="0"/>
          <w:numId w:val="0"/>
        </w:numPr>
        <w:ind w:left="2160" w:hanging="1440"/>
        <w:rPr>
          <w:rFonts w:eastAsia="PMingLiU"/>
          <w:color w:val="000000"/>
          <w:lang w:val="en-HK"/>
        </w:rPr>
      </w:pPr>
      <w:r>
        <w:rPr>
          <w:rFonts w:eastAsia="PMingLiU"/>
          <w:color w:val="000000"/>
          <w:lang w:val="en-HK"/>
        </w:rPr>
        <w:tab/>
        <w:t>(a)</w:t>
      </w:r>
      <w:r>
        <w:rPr>
          <w:rFonts w:eastAsia="PMingLiU"/>
          <w:color w:val="000000"/>
          <w:lang w:val="en-HK"/>
        </w:rPr>
        <w:tab/>
        <w:t>The Tribunal may make an order granting the relief sought akin to a default judgment;</w:t>
      </w:r>
    </w:p>
    <w:p w:rsidR="00EB4C76" w:rsidRDefault="00EB4C76" w:rsidP="0020129E">
      <w:pPr>
        <w:pStyle w:val="HC-Hanging"/>
        <w:numPr>
          <w:ilvl w:val="0"/>
          <w:numId w:val="0"/>
        </w:numPr>
        <w:ind w:left="2160" w:hanging="1440"/>
        <w:rPr>
          <w:rFonts w:eastAsia="PMingLiU"/>
          <w:color w:val="000000"/>
          <w:lang w:val="en-HK"/>
        </w:rPr>
      </w:pPr>
      <w:r>
        <w:rPr>
          <w:rFonts w:eastAsia="PMingLiU"/>
          <w:color w:val="000000"/>
          <w:lang w:val="en-HK"/>
        </w:rPr>
        <w:tab/>
        <w:t>(b)</w:t>
      </w:r>
      <w:r>
        <w:rPr>
          <w:rFonts w:eastAsia="PMingLiU"/>
          <w:color w:val="000000"/>
          <w:lang w:val="en-HK"/>
        </w:rPr>
        <w:tab/>
        <w:t>Such order must be served on the defaulting respondent;</w:t>
      </w:r>
    </w:p>
    <w:p w:rsidR="00EB4C76" w:rsidRDefault="00EB4C76" w:rsidP="0020129E">
      <w:pPr>
        <w:pStyle w:val="HC-Hanging"/>
        <w:numPr>
          <w:ilvl w:val="0"/>
          <w:numId w:val="0"/>
        </w:numPr>
        <w:ind w:left="2160" w:hanging="1440"/>
        <w:rPr>
          <w:rFonts w:eastAsia="PMingLiU"/>
          <w:color w:val="000000"/>
          <w:lang w:val="en-HK"/>
        </w:rPr>
      </w:pPr>
      <w:r>
        <w:rPr>
          <w:rFonts w:eastAsia="PMingLiU"/>
          <w:color w:val="000000"/>
          <w:lang w:val="en-HK"/>
        </w:rPr>
        <w:tab/>
        <w:t>(c)</w:t>
      </w:r>
      <w:r>
        <w:rPr>
          <w:rFonts w:eastAsia="PMingLiU"/>
          <w:color w:val="000000"/>
          <w:lang w:val="en-HK"/>
        </w:rPr>
        <w:tab/>
        <w:t>The defaulting respondent may apply for setting aside of the default judgment within 14 days of service of the order;</w:t>
      </w:r>
    </w:p>
    <w:p w:rsidR="00EB4C76" w:rsidRDefault="00EB4C76" w:rsidP="0020129E">
      <w:pPr>
        <w:pStyle w:val="HC-Hanging"/>
        <w:numPr>
          <w:ilvl w:val="0"/>
          <w:numId w:val="0"/>
        </w:numPr>
        <w:ind w:left="2160" w:hanging="1440"/>
        <w:rPr>
          <w:rFonts w:eastAsia="PMingLiU"/>
          <w:color w:val="000000"/>
          <w:lang w:val="en-HK"/>
        </w:rPr>
      </w:pPr>
      <w:r>
        <w:rPr>
          <w:rFonts w:eastAsia="PMingLiU"/>
          <w:color w:val="000000"/>
          <w:lang w:val="en-HK"/>
        </w:rPr>
        <w:tab/>
        <w:t>(d)</w:t>
      </w:r>
      <w:r>
        <w:rPr>
          <w:rFonts w:eastAsia="PMingLiU"/>
          <w:color w:val="000000"/>
          <w:lang w:val="en-HK"/>
        </w:rPr>
        <w:tab/>
        <w:t>A decision by the Tribunal refusing to set aside a judgment in default is an order that determines in a summary way the substantive rights of a party, against which an appeal lies to the Court of Appeal as of right.</w:t>
      </w:r>
    </w:p>
    <w:p w:rsidR="00B54E80" w:rsidRPr="00B54E80" w:rsidRDefault="00442BA5" w:rsidP="00B54E80">
      <w:pPr>
        <w:pStyle w:val="Final"/>
      </w:pPr>
      <w:bookmarkStart w:id="6" w:name="_Ref167372761"/>
      <w:r>
        <w:rPr>
          <w:szCs w:val="28"/>
          <w:lang w:val="en-HK"/>
        </w:rPr>
        <w:t>The availability of a “default judgment procedure” is consistent with</w:t>
      </w:r>
      <w:bookmarkEnd w:id="6"/>
      <w:r w:rsidR="00616C94">
        <w:rPr>
          <w:szCs w:val="28"/>
          <w:lang w:val="en-HK"/>
        </w:rPr>
        <w:t xml:space="preserve"> t</w:t>
      </w:r>
      <w:r w:rsidR="00616C94" w:rsidRPr="005C37CE">
        <w:rPr>
          <w:lang w:val="en-HK"/>
        </w:rPr>
        <w:t>he observation made in the Report for the Subcommittee to study the Proposed Subsidiary Legislation on the Procedures to be Adopted by the Competition Tribunal, that “</w:t>
      </w:r>
      <w:r w:rsidR="00616C94" w:rsidRPr="005C37CE">
        <w:rPr>
          <w:i/>
          <w:iCs/>
          <w:lang w:val="en-HK"/>
        </w:rPr>
        <w:t>given the commercial nature and the importance of competition cases to the relevant industry or the general public, cases before the Tribunal should be dealt with as expeditiously as is reasonably practicable</w:t>
      </w:r>
      <w:r w:rsidR="00616C94" w:rsidRPr="005C37CE">
        <w:rPr>
          <w:lang w:val="en-HK"/>
        </w:rPr>
        <w:t>”</w:t>
      </w:r>
      <w:r w:rsidR="00616C94">
        <w:rPr>
          <w:lang w:val="en-HK"/>
        </w:rPr>
        <w:t>.</w:t>
      </w:r>
    </w:p>
    <w:p w:rsidR="004465E1" w:rsidRPr="0018162A" w:rsidRDefault="00616C94" w:rsidP="00B54E80">
      <w:pPr>
        <w:pStyle w:val="Final"/>
      </w:pPr>
      <w:r w:rsidRPr="00B54E80">
        <w:rPr>
          <w:szCs w:val="28"/>
          <w:lang w:val="en-HK"/>
        </w:rPr>
        <w:t xml:space="preserve">The Commission </w:t>
      </w:r>
      <w:r w:rsidR="001512C1" w:rsidRPr="00B54E80">
        <w:rPr>
          <w:szCs w:val="28"/>
          <w:lang w:val="en-HK"/>
        </w:rPr>
        <w:t>argues</w:t>
      </w:r>
      <w:r w:rsidR="0018162A" w:rsidRPr="00B54E80">
        <w:rPr>
          <w:szCs w:val="28"/>
          <w:lang w:val="en-HK"/>
        </w:rPr>
        <w:t xml:space="preserve"> that relief should be </w:t>
      </w:r>
      <w:r w:rsidR="001512C1" w:rsidRPr="00B54E80">
        <w:rPr>
          <w:szCs w:val="28"/>
          <w:lang w:val="en-HK"/>
        </w:rPr>
        <w:t>ordered</w:t>
      </w:r>
      <w:r w:rsidR="0018162A" w:rsidRPr="00B54E80">
        <w:rPr>
          <w:szCs w:val="28"/>
          <w:lang w:val="en-HK"/>
        </w:rPr>
        <w:t xml:space="preserve"> against </w:t>
      </w:r>
      <w:r w:rsidR="001512C1" w:rsidRPr="00B54E80">
        <w:rPr>
          <w:szCs w:val="28"/>
          <w:lang w:val="en-HK"/>
        </w:rPr>
        <w:t>the 6</w:t>
      </w:r>
      <w:r w:rsidR="001512C1" w:rsidRPr="00B54E80">
        <w:rPr>
          <w:szCs w:val="28"/>
          <w:vertAlign w:val="superscript"/>
          <w:lang w:val="en-HK"/>
        </w:rPr>
        <w:t>th</w:t>
      </w:r>
      <w:r w:rsidR="001512C1" w:rsidRPr="00B54E80">
        <w:rPr>
          <w:szCs w:val="28"/>
          <w:lang w:val="en-HK"/>
        </w:rPr>
        <w:t> Respondent</w:t>
      </w:r>
      <w:r w:rsidR="0018162A" w:rsidRPr="00B54E80">
        <w:rPr>
          <w:szCs w:val="28"/>
          <w:lang w:val="en-HK"/>
        </w:rPr>
        <w:t xml:space="preserve"> (Agnes Au Yeung trading as Yat Ying and in her personal capacity) and </w:t>
      </w:r>
      <w:r w:rsidR="001512C1" w:rsidRPr="00B54E80">
        <w:rPr>
          <w:szCs w:val="28"/>
          <w:lang w:val="en-HK"/>
        </w:rPr>
        <w:t>the 7</w:t>
      </w:r>
      <w:r w:rsidR="001512C1" w:rsidRPr="00B54E80">
        <w:rPr>
          <w:szCs w:val="28"/>
          <w:vertAlign w:val="superscript"/>
          <w:lang w:val="en-HK"/>
        </w:rPr>
        <w:t>th</w:t>
      </w:r>
      <w:r w:rsidR="001512C1" w:rsidRPr="00B54E80">
        <w:rPr>
          <w:szCs w:val="28"/>
          <w:lang w:val="en-HK"/>
        </w:rPr>
        <w:t> Respondent</w:t>
      </w:r>
      <w:r w:rsidR="0018162A" w:rsidRPr="00B54E80">
        <w:rPr>
          <w:szCs w:val="28"/>
          <w:lang w:val="en-HK"/>
        </w:rPr>
        <w:t xml:space="preserve"> (Joe Fan) at this hearing for the following reasons.</w:t>
      </w:r>
    </w:p>
    <w:p w:rsidR="0018162A" w:rsidRPr="0018162A" w:rsidRDefault="0018162A" w:rsidP="009F0836">
      <w:pPr>
        <w:pStyle w:val="Final"/>
      </w:pPr>
      <w:bookmarkStart w:id="7" w:name="_Ref167373200"/>
      <w:r w:rsidRPr="00176B8D">
        <w:rPr>
          <w:rFonts w:eastAsia="PMingLiU"/>
          <w:b/>
          <w:bCs/>
          <w:color w:val="000000"/>
          <w:szCs w:val="28"/>
          <w:lang w:val="en-HK"/>
        </w:rPr>
        <w:t>First</w:t>
      </w:r>
      <w:r w:rsidRPr="00176B8D">
        <w:rPr>
          <w:rFonts w:eastAsia="PMingLiU"/>
          <w:color w:val="000000"/>
          <w:szCs w:val="28"/>
          <w:lang w:val="en-HK"/>
        </w:rPr>
        <w:t>, in accordance with the order for substituted service dated 17</w:t>
      </w:r>
      <w:r>
        <w:rPr>
          <w:rFonts w:eastAsia="PMingLiU"/>
          <w:color w:val="000000"/>
          <w:szCs w:val="28"/>
          <w:lang w:val="en-HK"/>
        </w:rPr>
        <w:t> </w:t>
      </w:r>
      <w:r w:rsidRPr="00176B8D">
        <w:rPr>
          <w:rFonts w:eastAsia="PMingLiU"/>
          <w:color w:val="000000"/>
          <w:szCs w:val="28"/>
          <w:lang w:val="en-HK"/>
        </w:rPr>
        <w:t>May</w:t>
      </w:r>
      <w:r>
        <w:rPr>
          <w:rFonts w:eastAsia="PMingLiU"/>
          <w:color w:val="000000"/>
          <w:szCs w:val="28"/>
          <w:lang w:val="en-HK"/>
        </w:rPr>
        <w:t> </w:t>
      </w:r>
      <w:r w:rsidRPr="00176B8D">
        <w:rPr>
          <w:rFonts w:eastAsia="PMingLiU"/>
          <w:color w:val="000000"/>
          <w:szCs w:val="28"/>
          <w:lang w:val="en-HK"/>
        </w:rPr>
        <w:t xml:space="preserve">2023, </w:t>
      </w:r>
      <w:r w:rsidR="001512C1">
        <w:rPr>
          <w:rFonts w:eastAsia="PMingLiU"/>
          <w:color w:val="000000"/>
          <w:szCs w:val="28"/>
          <w:lang w:val="en-HK"/>
        </w:rPr>
        <w:t>the 6</w:t>
      </w:r>
      <w:r w:rsidR="001512C1" w:rsidRPr="001512C1">
        <w:rPr>
          <w:rFonts w:eastAsia="PMingLiU"/>
          <w:color w:val="000000"/>
          <w:szCs w:val="28"/>
          <w:vertAlign w:val="superscript"/>
          <w:lang w:val="en-HK"/>
        </w:rPr>
        <w:t>th</w:t>
      </w:r>
      <w:r w:rsidR="001512C1">
        <w:rPr>
          <w:rFonts w:eastAsia="PMingLiU"/>
          <w:color w:val="000000"/>
          <w:szCs w:val="28"/>
          <w:lang w:val="en-HK"/>
        </w:rPr>
        <w:t xml:space="preserve"> Respondent</w:t>
      </w:r>
      <w:r w:rsidRPr="00176B8D">
        <w:rPr>
          <w:rFonts w:eastAsia="PMingLiU"/>
          <w:color w:val="000000"/>
          <w:szCs w:val="28"/>
          <w:lang w:val="en-HK"/>
        </w:rPr>
        <w:t xml:space="preserve"> and </w:t>
      </w:r>
      <w:r w:rsidR="001512C1">
        <w:rPr>
          <w:rFonts w:eastAsia="PMingLiU"/>
          <w:color w:val="000000"/>
          <w:szCs w:val="28"/>
          <w:lang w:val="en-HK"/>
        </w:rPr>
        <w:t>the 7</w:t>
      </w:r>
      <w:r w:rsidR="001512C1" w:rsidRPr="001512C1">
        <w:rPr>
          <w:rFonts w:eastAsia="PMingLiU"/>
          <w:color w:val="000000"/>
          <w:szCs w:val="28"/>
          <w:vertAlign w:val="superscript"/>
          <w:lang w:val="en-HK"/>
        </w:rPr>
        <w:t>th</w:t>
      </w:r>
      <w:r w:rsidR="001512C1">
        <w:rPr>
          <w:rFonts w:eastAsia="PMingLiU"/>
          <w:color w:val="000000"/>
          <w:szCs w:val="28"/>
          <w:lang w:val="en-HK"/>
        </w:rPr>
        <w:t xml:space="preserve"> Respondent</w:t>
      </w:r>
      <w:r w:rsidRPr="00176B8D">
        <w:rPr>
          <w:rFonts w:eastAsia="PMingLiU"/>
          <w:color w:val="000000"/>
          <w:szCs w:val="28"/>
          <w:lang w:val="en-HK"/>
        </w:rPr>
        <w:t xml:space="preserve"> have been served with the ONA by way of email on 22</w:t>
      </w:r>
      <w:r>
        <w:rPr>
          <w:rFonts w:eastAsia="PMingLiU"/>
          <w:color w:val="000000"/>
          <w:szCs w:val="28"/>
          <w:lang w:val="en-HK"/>
        </w:rPr>
        <w:t> </w:t>
      </w:r>
      <w:r w:rsidRPr="00176B8D">
        <w:rPr>
          <w:rFonts w:eastAsia="PMingLiU"/>
          <w:color w:val="000000"/>
          <w:szCs w:val="28"/>
          <w:lang w:val="en-HK"/>
        </w:rPr>
        <w:t>May</w:t>
      </w:r>
      <w:r>
        <w:rPr>
          <w:rFonts w:eastAsia="PMingLiU"/>
          <w:color w:val="000000"/>
          <w:szCs w:val="28"/>
          <w:lang w:val="en-HK"/>
        </w:rPr>
        <w:t> </w:t>
      </w:r>
      <w:r w:rsidRPr="00176B8D">
        <w:rPr>
          <w:rFonts w:eastAsia="PMingLiU"/>
          <w:color w:val="000000"/>
          <w:szCs w:val="28"/>
          <w:lang w:val="en-HK"/>
        </w:rPr>
        <w:t>2023</w:t>
      </w:r>
      <w:r w:rsidR="0079638D">
        <w:rPr>
          <w:rFonts w:eastAsia="PMingLiU"/>
          <w:color w:val="000000"/>
          <w:szCs w:val="28"/>
          <w:lang w:val="en-HK"/>
        </w:rPr>
        <w:t>.</w:t>
      </w:r>
      <w:r w:rsidRPr="00176B8D">
        <w:rPr>
          <w:rFonts w:eastAsia="PMingLiU"/>
          <w:color w:val="000000"/>
          <w:szCs w:val="28"/>
          <w:lang w:val="en-HK"/>
        </w:rPr>
        <w:t xml:space="preserve">  As </w:t>
      </w:r>
      <w:r w:rsidR="0079638D">
        <w:rPr>
          <w:rFonts w:eastAsia="PMingLiU"/>
          <w:color w:val="000000"/>
          <w:szCs w:val="28"/>
          <w:lang w:val="en-HK"/>
        </w:rPr>
        <w:t>the 6</w:t>
      </w:r>
      <w:r w:rsidR="0079638D" w:rsidRPr="001512C1">
        <w:rPr>
          <w:rFonts w:eastAsia="PMingLiU"/>
          <w:color w:val="000000"/>
          <w:szCs w:val="28"/>
          <w:vertAlign w:val="superscript"/>
          <w:lang w:val="en-HK"/>
        </w:rPr>
        <w:t>th</w:t>
      </w:r>
      <w:r w:rsidR="00D10297">
        <w:rPr>
          <w:rFonts w:eastAsia="PMingLiU"/>
          <w:color w:val="000000"/>
          <w:szCs w:val="28"/>
          <w:lang w:val="en-HK"/>
        </w:rPr>
        <w:t> </w:t>
      </w:r>
      <w:r w:rsidR="0079638D">
        <w:rPr>
          <w:rFonts w:eastAsia="PMingLiU"/>
          <w:color w:val="000000"/>
          <w:szCs w:val="28"/>
          <w:lang w:val="en-HK"/>
        </w:rPr>
        <w:t>Respondent</w:t>
      </w:r>
      <w:r w:rsidR="0079638D" w:rsidRPr="00176B8D">
        <w:rPr>
          <w:rFonts w:eastAsia="PMingLiU"/>
          <w:color w:val="000000"/>
          <w:szCs w:val="28"/>
          <w:lang w:val="en-HK"/>
        </w:rPr>
        <w:t xml:space="preserve"> and </w:t>
      </w:r>
      <w:r w:rsidR="0079638D">
        <w:rPr>
          <w:rFonts w:eastAsia="PMingLiU"/>
          <w:color w:val="000000"/>
          <w:szCs w:val="28"/>
          <w:lang w:val="en-HK"/>
        </w:rPr>
        <w:t>the 7</w:t>
      </w:r>
      <w:r w:rsidR="0079638D" w:rsidRPr="001512C1">
        <w:rPr>
          <w:rFonts w:eastAsia="PMingLiU"/>
          <w:color w:val="000000"/>
          <w:szCs w:val="28"/>
          <w:vertAlign w:val="superscript"/>
          <w:lang w:val="en-HK"/>
        </w:rPr>
        <w:t>th</w:t>
      </w:r>
      <w:r w:rsidR="0079638D">
        <w:rPr>
          <w:rFonts w:eastAsia="PMingLiU"/>
          <w:color w:val="000000"/>
          <w:szCs w:val="28"/>
          <w:lang w:val="en-HK"/>
        </w:rPr>
        <w:t xml:space="preserve"> Respondent</w:t>
      </w:r>
      <w:r w:rsidRPr="00176B8D">
        <w:rPr>
          <w:rFonts w:eastAsia="PMingLiU"/>
          <w:color w:val="000000"/>
          <w:szCs w:val="28"/>
          <w:lang w:val="en-HK"/>
        </w:rPr>
        <w:t xml:space="preserve"> failed to file their responses within 28 days i.e. by 19</w:t>
      </w:r>
      <w:r>
        <w:rPr>
          <w:rFonts w:eastAsia="PMingLiU"/>
          <w:color w:val="000000"/>
          <w:szCs w:val="28"/>
          <w:lang w:val="en-HK"/>
        </w:rPr>
        <w:t> </w:t>
      </w:r>
      <w:r w:rsidRPr="00176B8D">
        <w:rPr>
          <w:rFonts w:eastAsia="PMingLiU"/>
          <w:color w:val="000000"/>
          <w:szCs w:val="28"/>
          <w:lang w:val="en-HK"/>
        </w:rPr>
        <w:t>June</w:t>
      </w:r>
      <w:r>
        <w:rPr>
          <w:rFonts w:eastAsia="PMingLiU"/>
          <w:color w:val="000000"/>
          <w:szCs w:val="28"/>
          <w:lang w:val="en-HK"/>
        </w:rPr>
        <w:t> </w:t>
      </w:r>
      <w:r w:rsidRPr="00176B8D">
        <w:rPr>
          <w:rFonts w:eastAsia="PMingLiU"/>
          <w:color w:val="000000"/>
          <w:szCs w:val="28"/>
          <w:lang w:val="en-HK"/>
        </w:rPr>
        <w:t>2023</w:t>
      </w:r>
      <w:r>
        <w:rPr>
          <w:rFonts w:eastAsia="PMingLiU"/>
          <w:color w:val="000000"/>
          <w:szCs w:val="28"/>
          <w:lang w:val="en-HK"/>
        </w:rPr>
        <w:t xml:space="preserve"> (and the default continues to date for about a year)</w:t>
      </w:r>
      <w:r w:rsidRPr="00176B8D">
        <w:rPr>
          <w:rFonts w:eastAsia="PMingLiU"/>
          <w:color w:val="000000"/>
          <w:szCs w:val="28"/>
          <w:lang w:val="en-HK"/>
        </w:rPr>
        <w:t xml:space="preserve">, this triggers the Tribunal’s discretion under </w:t>
      </w:r>
      <w:r w:rsidRPr="0018162A">
        <w:rPr>
          <w:rFonts w:eastAsia="PMingLiU"/>
          <w:i/>
          <w:color w:val="000000"/>
          <w:szCs w:val="28"/>
          <w:lang w:val="en-HK"/>
        </w:rPr>
        <w:t>rule 76</w:t>
      </w:r>
      <w:r w:rsidRPr="00176B8D">
        <w:rPr>
          <w:rFonts w:eastAsia="PMingLiU"/>
          <w:color w:val="000000"/>
          <w:szCs w:val="28"/>
          <w:lang w:val="en-HK"/>
        </w:rPr>
        <w:t xml:space="preserve"> to grant the relief sought.</w:t>
      </w:r>
      <w:bookmarkEnd w:id="7"/>
    </w:p>
    <w:p w:rsidR="0018162A" w:rsidRPr="0018162A" w:rsidRDefault="0018162A" w:rsidP="0018162A">
      <w:pPr>
        <w:pStyle w:val="Final"/>
        <w:spacing w:after="0"/>
      </w:pPr>
      <w:r w:rsidRPr="00176B8D">
        <w:rPr>
          <w:rFonts w:eastAsia="PMingLiU"/>
          <w:b/>
          <w:bCs/>
          <w:color w:val="000000"/>
          <w:szCs w:val="28"/>
          <w:lang w:val="en-HK"/>
        </w:rPr>
        <w:t>Second</w:t>
      </w:r>
      <w:r w:rsidRPr="00176B8D">
        <w:rPr>
          <w:rFonts w:eastAsia="PMingLiU"/>
          <w:color w:val="000000"/>
          <w:szCs w:val="28"/>
          <w:lang w:val="en-HK"/>
        </w:rPr>
        <w:t xml:space="preserve">, </w:t>
      </w:r>
      <w:r>
        <w:rPr>
          <w:rFonts w:eastAsia="PMingLiU"/>
          <w:color w:val="000000"/>
          <w:szCs w:val="28"/>
          <w:lang w:val="en-HK"/>
        </w:rPr>
        <w:t>i</w:t>
      </w:r>
      <w:r w:rsidRPr="00176B8D">
        <w:rPr>
          <w:rFonts w:eastAsia="PMingLiU"/>
          <w:color w:val="000000"/>
          <w:szCs w:val="28"/>
          <w:lang w:val="en-HK"/>
        </w:rPr>
        <w:t xml:space="preserve">t is appropriate for relief to be granted </w:t>
      </w:r>
      <w:r>
        <w:rPr>
          <w:rFonts w:eastAsia="PMingLiU"/>
          <w:color w:val="000000"/>
          <w:szCs w:val="28"/>
          <w:lang w:val="en-HK"/>
        </w:rPr>
        <w:t xml:space="preserve">at this stage </w:t>
      </w:r>
      <w:r w:rsidRPr="00176B8D">
        <w:rPr>
          <w:rFonts w:eastAsia="PMingLiU"/>
          <w:color w:val="000000"/>
          <w:szCs w:val="28"/>
          <w:lang w:val="en-HK"/>
        </w:rPr>
        <w:t>because:</w:t>
      </w:r>
    </w:p>
    <w:p w:rsidR="0018162A" w:rsidRPr="0018162A" w:rsidRDefault="0018162A" w:rsidP="0018162A">
      <w:pPr>
        <w:pStyle w:val="HC-Hanging"/>
        <w:ind w:left="1440"/>
      </w:pPr>
      <w:r>
        <w:rPr>
          <w:rFonts w:eastAsia="PMingLiU"/>
          <w:color w:val="000000"/>
          <w:lang w:val="en-HK"/>
        </w:rPr>
        <w:t xml:space="preserve">Rule 76 (as substantiated by the legislative intent and the statutory provisions read as a whole) confers unfettered discretion upon the Tribunal to so proceed once </w:t>
      </w:r>
      <w:r w:rsidR="0079638D">
        <w:rPr>
          <w:rFonts w:eastAsia="PMingLiU"/>
          <w:color w:val="000000"/>
          <w:lang w:val="en-HK"/>
        </w:rPr>
        <w:t>the 6</w:t>
      </w:r>
      <w:r w:rsidR="0079638D" w:rsidRPr="001512C1">
        <w:rPr>
          <w:rFonts w:eastAsia="PMingLiU"/>
          <w:color w:val="000000"/>
          <w:vertAlign w:val="superscript"/>
          <w:lang w:val="en-HK"/>
        </w:rPr>
        <w:t>th</w:t>
      </w:r>
      <w:r w:rsidR="001A390F">
        <w:rPr>
          <w:rFonts w:eastAsia="PMingLiU"/>
          <w:color w:val="000000"/>
          <w:lang w:val="en-HK"/>
        </w:rPr>
        <w:t> </w:t>
      </w:r>
      <w:r w:rsidR="0079638D">
        <w:rPr>
          <w:rFonts w:eastAsia="PMingLiU"/>
          <w:color w:val="000000"/>
          <w:lang w:val="en-HK"/>
        </w:rPr>
        <w:t>Respondent</w:t>
      </w:r>
      <w:r w:rsidR="0079638D" w:rsidRPr="00176B8D">
        <w:rPr>
          <w:rFonts w:eastAsia="PMingLiU"/>
          <w:color w:val="000000"/>
          <w:lang w:val="en-HK"/>
        </w:rPr>
        <w:t xml:space="preserve"> and </w:t>
      </w:r>
      <w:r w:rsidR="0079638D">
        <w:rPr>
          <w:rFonts w:eastAsia="PMingLiU"/>
          <w:color w:val="000000"/>
          <w:lang w:val="en-HK"/>
        </w:rPr>
        <w:t>the 7</w:t>
      </w:r>
      <w:r w:rsidR="0079638D" w:rsidRPr="001512C1">
        <w:rPr>
          <w:rFonts w:eastAsia="PMingLiU"/>
          <w:color w:val="000000"/>
          <w:vertAlign w:val="superscript"/>
          <w:lang w:val="en-HK"/>
        </w:rPr>
        <w:t>th</w:t>
      </w:r>
      <w:r w:rsidR="001A390F">
        <w:rPr>
          <w:rFonts w:eastAsia="PMingLiU"/>
          <w:color w:val="000000"/>
          <w:lang w:val="en-HK"/>
        </w:rPr>
        <w:t> </w:t>
      </w:r>
      <w:r w:rsidR="0079638D">
        <w:rPr>
          <w:rFonts w:eastAsia="PMingLiU"/>
          <w:color w:val="000000"/>
          <w:lang w:val="en-HK"/>
        </w:rPr>
        <w:t>Respondent</w:t>
      </w:r>
      <w:r>
        <w:rPr>
          <w:rFonts w:eastAsia="PMingLiU"/>
          <w:color w:val="000000"/>
          <w:lang w:val="en-HK"/>
        </w:rPr>
        <w:t xml:space="preserve"> fail to file a response within the time prescribed under the CTR.</w:t>
      </w:r>
    </w:p>
    <w:p w:rsidR="0018162A" w:rsidRPr="00295AA8" w:rsidRDefault="0018162A" w:rsidP="0018162A">
      <w:pPr>
        <w:pStyle w:val="HC-Hanging"/>
        <w:ind w:left="1440"/>
      </w:pPr>
      <w:r>
        <w:rPr>
          <w:rFonts w:eastAsia="PMingLiU"/>
          <w:color w:val="000000"/>
          <w:lang w:val="en-HK"/>
        </w:rPr>
        <w:t xml:space="preserve">Any directions or adjournment are unlikely to further facilitate disposal of the matter, as </w:t>
      </w:r>
      <w:r w:rsidR="0079638D">
        <w:rPr>
          <w:rFonts w:eastAsia="PMingLiU"/>
          <w:color w:val="000000"/>
          <w:lang w:val="en-HK"/>
        </w:rPr>
        <w:t>the 6</w:t>
      </w:r>
      <w:r w:rsidR="0079638D" w:rsidRPr="001512C1">
        <w:rPr>
          <w:rFonts w:eastAsia="PMingLiU"/>
          <w:color w:val="000000"/>
          <w:vertAlign w:val="superscript"/>
          <w:lang w:val="en-HK"/>
        </w:rPr>
        <w:t>th</w:t>
      </w:r>
      <w:r w:rsidR="0079638D">
        <w:rPr>
          <w:rFonts w:eastAsia="PMingLiU"/>
          <w:color w:val="000000"/>
          <w:lang w:val="en-HK"/>
        </w:rPr>
        <w:t xml:space="preserve"> Respondent</w:t>
      </w:r>
      <w:r w:rsidR="0079638D" w:rsidRPr="00176B8D">
        <w:rPr>
          <w:rFonts w:eastAsia="PMingLiU"/>
          <w:color w:val="000000"/>
          <w:lang w:val="en-HK"/>
        </w:rPr>
        <w:t xml:space="preserve"> and </w:t>
      </w:r>
      <w:r w:rsidR="0079638D">
        <w:rPr>
          <w:rFonts w:eastAsia="PMingLiU"/>
          <w:color w:val="000000"/>
          <w:lang w:val="en-HK"/>
        </w:rPr>
        <w:t>the 7</w:t>
      </w:r>
      <w:r w:rsidR="0079638D" w:rsidRPr="001512C1">
        <w:rPr>
          <w:rFonts w:eastAsia="PMingLiU"/>
          <w:color w:val="000000"/>
          <w:vertAlign w:val="superscript"/>
          <w:lang w:val="en-HK"/>
        </w:rPr>
        <w:t>th</w:t>
      </w:r>
      <w:r w:rsidR="0079638D">
        <w:rPr>
          <w:rFonts w:eastAsia="PMingLiU"/>
          <w:color w:val="000000"/>
          <w:lang w:val="en-HK"/>
        </w:rPr>
        <w:t xml:space="preserve"> Respondent</w:t>
      </w:r>
      <w:r>
        <w:rPr>
          <w:rFonts w:eastAsia="PMingLiU"/>
          <w:color w:val="000000"/>
          <w:lang w:val="en-HK"/>
        </w:rPr>
        <w:t xml:space="preserve"> do not have any intention to contest or participate in these proceedings, despite being given ample opportunity to do so.</w:t>
      </w:r>
    </w:p>
    <w:p w:rsidR="00295AA8" w:rsidRDefault="00295AA8" w:rsidP="00295AA8">
      <w:pPr>
        <w:pStyle w:val="HC-Hanging"/>
        <w:numPr>
          <w:ilvl w:val="0"/>
          <w:numId w:val="0"/>
        </w:numPr>
        <w:ind w:left="2160" w:hanging="720"/>
        <w:rPr>
          <w:rFonts w:eastAsia="PMingLiU"/>
          <w:color w:val="000000"/>
          <w:lang w:val="en-HK"/>
        </w:rPr>
      </w:pPr>
      <w:r>
        <w:rPr>
          <w:rFonts w:eastAsia="PMingLiU"/>
          <w:color w:val="000000"/>
          <w:lang w:val="en-HK"/>
        </w:rPr>
        <w:t>(a)</w:t>
      </w:r>
      <w:r>
        <w:rPr>
          <w:rFonts w:eastAsia="PMingLiU"/>
          <w:color w:val="000000"/>
          <w:lang w:val="en-HK"/>
        </w:rPr>
        <w:tab/>
        <w:t xml:space="preserve">In addition to duly serving the ONA on </w:t>
      </w:r>
      <w:r w:rsidR="001A390F">
        <w:rPr>
          <w:rFonts w:eastAsia="PMingLiU"/>
          <w:color w:val="000000"/>
          <w:lang w:val="en-HK"/>
        </w:rPr>
        <w:t>the 6</w:t>
      </w:r>
      <w:r w:rsidR="001A390F" w:rsidRPr="001512C1">
        <w:rPr>
          <w:rFonts w:eastAsia="PMingLiU"/>
          <w:color w:val="000000"/>
          <w:vertAlign w:val="superscript"/>
          <w:lang w:val="en-HK"/>
        </w:rPr>
        <w:t>th</w:t>
      </w:r>
      <w:r w:rsidR="001A390F">
        <w:rPr>
          <w:rFonts w:eastAsia="PMingLiU"/>
          <w:color w:val="000000"/>
          <w:lang w:val="en-HK"/>
        </w:rPr>
        <w:t> Respondent</w:t>
      </w:r>
      <w:r w:rsidR="001A390F" w:rsidRPr="00176B8D">
        <w:rPr>
          <w:rFonts w:eastAsia="PMingLiU"/>
          <w:color w:val="000000"/>
          <w:lang w:val="en-HK"/>
        </w:rPr>
        <w:t xml:space="preserve"> and </w:t>
      </w:r>
      <w:r w:rsidR="001A390F">
        <w:rPr>
          <w:rFonts w:eastAsia="PMingLiU"/>
          <w:color w:val="000000"/>
          <w:lang w:val="en-HK"/>
        </w:rPr>
        <w:t>the 7</w:t>
      </w:r>
      <w:r w:rsidR="001A390F" w:rsidRPr="001512C1">
        <w:rPr>
          <w:rFonts w:eastAsia="PMingLiU"/>
          <w:color w:val="000000"/>
          <w:vertAlign w:val="superscript"/>
          <w:lang w:val="en-HK"/>
        </w:rPr>
        <w:t>th</w:t>
      </w:r>
      <w:r w:rsidR="001A390F">
        <w:rPr>
          <w:rFonts w:eastAsia="PMingLiU"/>
          <w:color w:val="000000"/>
          <w:lang w:val="en-HK"/>
        </w:rPr>
        <w:t> Respondent</w:t>
      </w:r>
      <w:r>
        <w:rPr>
          <w:rFonts w:eastAsia="PMingLiU"/>
          <w:color w:val="000000"/>
          <w:lang w:val="en-HK"/>
        </w:rPr>
        <w:t xml:space="preserve">, the Commission also served on </w:t>
      </w:r>
      <w:r w:rsidR="009613CD">
        <w:rPr>
          <w:rFonts w:eastAsia="PMingLiU"/>
          <w:color w:val="000000"/>
          <w:lang w:val="en-HK"/>
        </w:rPr>
        <w:t>the 6</w:t>
      </w:r>
      <w:r w:rsidR="009613CD" w:rsidRPr="001512C1">
        <w:rPr>
          <w:rFonts w:eastAsia="PMingLiU"/>
          <w:color w:val="000000"/>
          <w:vertAlign w:val="superscript"/>
          <w:lang w:val="en-HK"/>
        </w:rPr>
        <w:t>th</w:t>
      </w:r>
      <w:r w:rsidR="009613CD">
        <w:rPr>
          <w:rFonts w:eastAsia="PMingLiU"/>
          <w:color w:val="000000"/>
          <w:lang w:val="en-HK"/>
        </w:rPr>
        <w:t> Respondent</w:t>
      </w:r>
      <w:r w:rsidR="009613CD" w:rsidRPr="00176B8D">
        <w:rPr>
          <w:rFonts w:eastAsia="PMingLiU"/>
          <w:color w:val="000000"/>
          <w:lang w:val="en-HK"/>
        </w:rPr>
        <w:t xml:space="preserve"> and </w:t>
      </w:r>
      <w:r w:rsidR="009613CD">
        <w:rPr>
          <w:rFonts w:eastAsia="PMingLiU"/>
          <w:color w:val="000000"/>
          <w:lang w:val="en-HK"/>
        </w:rPr>
        <w:t>the 7</w:t>
      </w:r>
      <w:r w:rsidR="009613CD" w:rsidRPr="001512C1">
        <w:rPr>
          <w:rFonts w:eastAsia="PMingLiU"/>
          <w:color w:val="000000"/>
          <w:vertAlign w:val="superscript"/>
          <w:lang w:val="en-HK"/>
        </w:rPr>
        <w:t>th</w:t>
      </w:r>
      <w:r w:rsidR="009613CD">
        <w:rPr>
          <w:rFonts w:eastAsia="PMingLiU"/>
          <w:color w:val="000000"/>
          <w:lang w:val="en-HK"/>
        </w:rPr>
        <w:t> Respondent</w:t>
      </w:r>
      <w:r>
        <w:rPr>
          <w:rFonts w:eastAsia="PMingLiU"/>
          <w:color w:val="000000"/>
          <w:lang w:val="en-HK"/>
        </w:rPr>
        <w:t xml:space="preserve"> the orders from the first CMC and sent various emails and letters between April and May 2024, including the most recent reminder on 6 May 2024 regarding the CTR 76 Summons and the present hearing.</w:t>
      </w:r>
    </w:p>
    <w:p w:rsidR="00295AA8" w:rsidRDefault="00295AA8" w:rsidP="00295AA8">
      <w:pPr>
        <w:pStyle w:val="HC-Hanging"/>
        <w:numPr>
          <w:ilvl w:val="0"/>
          <w:numId w:val="0"/>
        </w:numPr>
        <w:ind w:left="2160" w:hanging="720"/>
        <w:rPr>
          <w:rFonts w:eastAsia="PMingLiU"/>
          <w:color w:val="000000"/>
          <w:lang w:val="en-HK"/>
        </w:rPr>
      </w:pPr>
      <w:r>
        <w:rPr>
          <w:rFonts w:eastAsia="PMingLiU"/>
          <w:color w:val="000000"/>
          <w:lang w:val="en-HK"/>
        </w:rPr>
        <w:t>(b)</w:t>
      </w:r>
      <w:r>
        <w:rPr>
          <w:rFonts w:eastAsia="PMingLiU"/>
          <w:color w:val="000000"/>
          <w:lang w:val="en-HK"/>
        </w:rPr>
        <w:tab/>
        <w:t>None of these were returned undelivered, and the Commission never received any response.</w:t>
      </w:r>
    </w:p>
    <w:p w:rsidR="00295AA8" w:rsidRDefault="00295AA8" w:rsidP="00295AA8">
      <w:pPr>
        <w:pStyle w:val="HC-Hanging"/>
        <w:numPr>
          <w:ilvl w:val="0"/>
          <w:numId w:val="0"/>
        </w:numPr>
        <w:tabs>
          <w:tab w:val="clear" w:pos="1440"/>
          <w:tab w:val="left" w:pos="720"/>
        </w:tabs>
        <w:ind w:left="1440" w:hanging="1440"/>
        <w:rPr>
          <w:rFonts w:eastAsia="PMingLiU"/>
          <w:color w:val="000000"/>
          <w:lang w:val="en-HK"/>
        </w:rPr>
      </w:pPr>
      <w:r>
        <w:rPr>
          <w:rFonts w:eastAsia="PMingLiU"/>
          <w:color w:val="000000"/>
          <w:lang w:val="en-HK"/>
        </w:rPr>
        <w:tab/>
        <w:t>(3)</w:t>
      </w:r>
      <w:r>
        <w:rPr>
          <w:rFonts w:eastAsia="PMingLiU"/>
          <w:color w:val="000000"/>
          <w:lang w:val="en-HK"/>
        </w:rPr>
        <w:tab/>
        <w:t xml:space="preserve">The Commission’s case against the Respondents, including </w:t>
      </w:r>
      <w:r w:rsidR="001A390F">
        <w:rPr>
          <w:rFonts w:eastAsia="PMingLiU"/>
          <w:color w:val="000000"/>
          <w:lang w:val="en-HK"/>
        </w:rPr>
        <w:t>the 6</w:t>
      </w:r>
      <w:r w:rsidR="001A390F" w:rsidRPr="001512C1">
        <w:rPr>
          <w:rFonts w:eastAsia="PMingLiU"/>
          <w:color w:val="000000"/>
          <w:vertAlign w:val="superscript"/>
          <w:lang w:val="en-HK"/>
        </w:rPr>
        <w:t>th</w:t>
      </w:r>
      <w:r w:rsidR="001A390F">
        <w:rPr>
          <w:rFonts w:eastAsia="PMingLiU"/>
          <w:color w:val="000000"/>
          <w:lang w:val="en-HK"/>
        </w:rPr>
        <w:t xml:space="preserve"> Respondent</w:t>
      </w:r>
      <w:r w:rsidR="001A390F" w:rsidRPr="00176B8D">
        <w:rPr>
          <w:rFonts w:eastAsia="PMingLiU"/>
          <w:color w:val="000000"/>
          <w:lang w:val="en-HK"/>
        </w:rPr>
        <w:t xml:space="preserve"> and </w:t>
      </w:r>
      <w:r w:rsidR="001A390F">
        <w:rPr>
          <w:rFonts w:eastAsia="PMingLiU"/>
          <w:color w:val="000000"/>
          <w:lang w:val="en-HK"/>
        </w:rPr>
        <w:t>the 7</w:t>
      </w:r>
      <w:r w:rsidR="001A390F" w:rsidRPr="001512C1">
        <w:rPr>
          <w:rFonts w:eastAsia="PMingLiU"/>
          <w:color w:val="000000"/>
          <w:vertAlign w:val="superscript"/>
          <w:lang w:val="en-HK"/>
        </w:rPr>
        <w:t>th</w:t>
      </w:r>
      <w:r w:rsidR="001A390F">
        <w:rPr>
          <w:rFonts w:eastAsia="PMingLiU"/>
          <w:color w:val="000000"/>
          <w:lang w:val="en-HK"/>
        </w:rPr>
        <w:t xml:space="preserve"> Respondent</w:t>
      </w:r>
      <w:r>
        <w:rPr>
          <w:rFonts w:eastAsia="PMingLiU"/>
          <w:color w:val="000000"/>
          <w:lang w:val="en-HK"/>
        </w:rPr>
        <w:t>, is clear.  This is also reflected in the other Respondents’ readiness to admit liability and consent to the disposal of proceedings.</w:t>
      </w:r>
    </w:p>
    <w:p w:rsidR="00295AA8" w:rsidRDefault="00295AA8" w:rsidP="00295AA8">
      <w:pPr>
        <w:pStyle w:val="HC-Hanging"/>
        <w:numPr>
          <w:ilvl w:val="0"/>
          <w:numId w:val="0"/>
        </w:numPr>
        <w:tabs>
          <w:tab w:val="clear" w:pos="1440"/>
          <w:tab w:val="left" w:pos="720"/>
        </w:tabs>
        <w:ind w:left="1440" w:hanging="1440"/>
        <w:rPr>
          <w:rFonts w:eastAsia="PMingLiU"/>
          <w:color w:val="000000"/>
          <w:lang w:val="en-HK"/>
        </w:rPr>
      </w:pPr>
      <w:r>
        <w:rPr>
          <w:rFonts w:eastAsia="PMingLiU"/>
          <w:color w:val="000000"/>
          <w:lang w:val="en-HK"/>
        </w:rPr>
        <w:tab/>
        <w:t>(4)</w:t>
      </w:r>
      <w:r>
        <w:rPr>
          <w:rFonts w:eastAsia="PMingLiU"/>
          <w:color w:val="000000"/>
          <w:lang w:val="en-HK"/>
        </w:rPr>
        <w:tab/>
        <w:t xml:space="preserve">Insofar as the Tribunal is willing to dispose of the proceedings between the Commission and the other Respondents by consent, it would not be an effective use of the Commission’s and judicial resources to direct the Commission to continue with a full hearing against </w:t>
      </w:r>
      <w:r w:rsidR="001A390F">
        <w:rPr>
          <w:rFonts w:eastAsia="PMingLiU"/>
          <w:color w:val="000000"/>
          <w:lang w:val="en-HK"/>
        </w:rPr>
        <w:t>the 6</w:t>
      </w:r>
      <w:r w:rsidR="001A390F" w:rsidRPr="001512C1">
        <w:rPr>
          <w:rFonts w:eastAsia="PMingLiU"/>
          <w:color w:val="000000"/>
          <w:vertAlign w:val="superscript"/>
          <w:lang w:val="en-HK"/>
        </w:rPr>
        <w:t>th</w:t>
      </w:r>
      <w:r w:rsidR="001A390F">
        <w:rPr>
          <w:rFonts w:eastAsia="PMingLiU"/>
          <w:color w:val="000000"/>
          <w:lang w:val="en-HK"/>
        </w:rPr>
        <w:t> Respondent</w:t>
      </w:r>
      <w:r w:rsidR="001A390F" w:rsidRPr="00176B8D">
        <w:rPr>
          <w:rFonts w:eastAsia="PMingLiU"/>
          <w:color w:val="000000"/>
          <w:lang w:val="en-HK"/>
        </w:rPr>
        <w:t xml:space="preserve"> and </w:t>
      </w:r>
      <w:r w:rsidR="001A390F">
        <w:rPr>
          <w:rFonts w:eastAsia="PMingLiU"/>
          <w:color w:val="000000"/>
          <w:lang w:val="en-HK"/>
        </w:rPr>
        <w:t>the 7</w:t>
      </w:r>
      <w:r w:rsidR="001A390F" w:rsidRPr="001512C1">
        <w:rPr>
          <w:rFonts w:eastAsia="PMingLiU"/>
          <w:color w:val="000000"/>
          <w:vertAlign w:val="superscript"/>
          <w:lang w:val="en-HK"/>
        </w:rPr>
        <w:t>th</w:t>
      </w:r>
      <w:r w:rsidR="001A390F">
        <w:rPr>
          <w:rFonts w:eastAsia="PMingLiU"/>
          <w:color w:val="000000"/>
          <w:lang w:val="en-HK"/>
        </w:rPr>
        <w:t> Respondent</w:t>
      </w:r>
      <w:r>
        <w:rPr>
          <w:rFonts w:eastAsia="PMingLiU"/>
          <w:color w:val="000000"/>
          <w:lang w:val="en-HK"/>
        </w:rPr>
        <w:t xml:space="preserve"> alone, still less to insist that the Commission produce further evidence to prove its case against </w:t>
      </w:r>
      <w:r w:rsidR="001A390F">
        <w:rPr>
          <w:rFonts w:eastAsia="PMingLiU"/>
          <w:color w:val="000000"/>
          <w:lang w:val="en-HK"/>
        </w:rPr>
        <w:t>the 6</w:t>
      </w:r>
      <w:r w:rsidR="001A390F" w:rsidRPr="001512C1">
        <w:rPr>
          <w:rFonts w:eastAsia="PMingLiU"/>
          <w:color w:val="000000"/>
          <w:vertAlign w:val="superscript"/>
          <w:lang w:val="en-HK"/>
        </w:rPr>
        <w:t>th</w:t>
      </w:r>
      <w:r w:rsidR="001A390F">
        <w:rPr>
          <w:rFonts w:eastAsia="PMingLiU"/>
          <w:color w:val="000000"/>
          <w:lang w:val="en-HK"/>
        </w:rPr>
        <w:t> Respondent</w:t>
      </w:r>
      <w:r w:rsidR="001A390F" w:rsidRPr="00176B8D">
        <w:rPr>
          <w:rFonts w:eastAsia="PMingLiU"/>
          <w:color w:val="000000"/>
          <w:lang w:val="en-HK"/>
        </w:rPr>
        <w:t xml:space="preserve"> and </w:t>
      </w:r>
      <w:r w:rsidR="001A390F">
        <w:rPr>
          <w:rFonts w:eastAsia="PMingLiU"/>
          <w:color w:val="000000"/>
          <w:lang w:val="en-HK"/>
        </w:rPr>
        <w:t>the 7</w:t>
      </w:r>
      <w:r w:rsidR="001A390F" w:rsidRPr="001512C1">
        <w:rPr>
          <w:rFonts w:eastAsia="PMingLiU"/>
          <w:color w:val="000000"/>
          <w:vertAlign w:val="superscript"/>
          <w:lang w:val="en-HK"/>
        </w:rPr>
        <w:t>th</w:t>
      </w:r>
      <w:r w:rsidR="001A390F">
        <w:rPr>
          <w:rFonts w:eastAsia="PMingLiU"/>
          <w:color w:val="000000"/>
          <w:lang w:val="en-HK"/>
        </w:rPr>
        <w:t> Respondent</w:t>
      </w:r>
      <w:r>
        <w:rPr>
          <w:rFonts w:eastAsia="PMingLiU"/>
          <w:color w:val="000000"/>
          <w:lang w:val="en-HK"/>
        </w:rPr>
        <w:t xml:space="preserve">.  The Commission </w:t>
      </w:r>
      <w:r w:rsidR="00D10297">
        <w:rPr>
          <w:rFonts w:eastAsia="PMingLiU"/>
          <w:color w:val="000000"/>
          <w:lang w:val="en-HK"/>
        </w:rPr>
        <w:t>emphasises</w:t>
      </w:r>
      <w:r>
        <w:rPr>
          <w:rFonts w:eastAsia="PMingLiU"/>
          <w:color w:val="000000"/>
          <w:lang w:val="en-HK"/>
        </w:rPr>
        <w:t xml:space="preserve"> the importance </w:t>
      </w:r>
      <w:r w:rsidR="00D10297">
        <w:rPr>
          <w:rFonts w:eastAsia="PMingLiU"/>
          <w:color w:val="000000"/>
          <w:lang w:val="en-HK"/>
        </w:rPr>
        <w:t>of</w:t>
      </w:r>
      <w:r>
        <w:rPr>
          <w:rFonts w:eastAsia="PMingLiU"/>
          <w:color w:val="000000"/>
          <w:lang w:val="en-HK"/>
        </w:rPr>
        <w:t xml:space="preserve"> having </w:t>
      </w:r>
      <w:r w:rsidRPr="007A50F5">
        <w:rPr>
          <w:rFonts w:eastAsia="PMingLiU"/>
          <w:color w:val="000000"/>
          <w:lang w:val="en-HK"/>
        </w:rPr>
        <w:t>cases before the Tribunal dealt with as expeditiously as is reasonably practicable</w:t>
      </w:r>
      <w:r>
        <w:rPr>
          <w:rFonts w:eastAsia="PMingLiU"/>
          <w:color w:val="000000"/>
          <w:lang w:val="en-HK"/>
        </w:rPr>
        <w:t>.</w:t>
      </w:r>
    </w:p>
    <w:p w:rsidR="00295AA8" w:rsidRDefault="00295AA8" w:rsidP="00295AA8">
      <w:pPr>
        <w:pStyle w:val="HC-Hanging"/>
        <w:numPr>
          <w:ilvl w:val="0"/>
          <w:numId w:val="0"/>
        </w:numPr>
        <w:tabs>
          <w:tab w:val="clear" w:pos="1440"/>
          <w:tab w:val="left" w:pos="720"/>
        </w:tabs>
        <w:ind w:left="1440" w:hanging="1440"/>
        <w:rPr>
          <w:rFonts w:eastAsia="PMingLiU"/>
          <w:color w:val="000000"/>
          <w:lang w:val="en-HK"/>
        </w:rPr>
      </w:pPr>
      <w:r>
        <w:rPr>
          <w:rFonts w:eastAsia="PMingLiU"/>
          <w:color w:val="000000"/>
          <w:lang w:val="en-HK"/>
        </w:rPr>
        <w:tab/>
        <w:t>(5)</w:t>
      </w:r>
      <w:r>
        <w:rPr>
          <w:rFonts w:eastAsia="PMingLiU"/>
          <w:color w:val="000000"/>
          <w:lang w:val="en-HK"/>
        </w:rPr>
        <w:tab/>
      </w:r>
      <w:r w:rsidR="00325E9B">
        <w:rPr>
          <w:rFonts w:eastAsia="PMingLiU"/>
          <w:color w:val="000000"/>
          <w:lang w:val="en-HK"/>
        </w:rPr>
        <w:t>T</w:t>
      </w:r>
      <w:r w:rsidR="001A390F">
        <w:rPr>
          <w:rFonts w:eastAsia="PMingLiU"/>
          <w:color w:val="000000"/>
          <w:lang w:val="en-HK"/>
        </w:rPr>
        <w:t>he 6</w:t>
      </w:r>
      <w:r w:rsidR="001A390F" w:rsidRPr="001512C1">
        <w:rPr>
          <w:rFonts w:eastAsia="PMingLiU"/>
          <w:color w:val="000000"/>
          <w:vertAlign w:val="superscript"/>
          <w:lang w:val="en-HK"/>
        </w:rPr>
        <w:t>th</w:t>
      </w:r>
      <w:r w:rsidR="001A390F">
        <w:rPr>
          <w:rFonts w:eastAsia="PMingLiU"/>
          <w:color w:val="000000"/>
          <w:vertAlign w:val="superscript"/>
          <w:lang w:val="en-HK"/>
        </w:rPr>
        <w:t> </w:t>
      </w:r>
      <w:r w:rsidR="001A390F">
        <w:rPr>
          <w:rFonts w:eastAsia="PMingLiU"/>
          <w:color w:val="000000"/>
          <w:lang w:val="en-HK"/>
        </w:rPr>
        <w:t>Respondent</w:t>
      </w:r>
      <w:r w:rsidR="001A390F" w:rsidRPr="00176B8D">
        <w:rPr>
          <w:rFonts w:eastAsia="PMingLiU"/>
          <w:color w:val="000000"/>
          <w:lang w:val="en-HK"/>
        </w:rPr>
        <w:t xml:space="preserve"> and </w:t>
      </w:r>
      <w:r w:rsidR="001A390F">
        <w:rPr>
          <w:rFonts w:eastAsia="PMingLiU"/>
          <w:color w:val="000000"/>
          <w:lang w:val="en-HK"/>
        </w:rPr>
        <w:t>the 7</w:t>
      </w:r>
      <w:r w:rsidR="001A390F" w:rsidRPr="001512C1">
        <w:rPr>
          <w:rFonts w:eastAsia="PMingLiU"/>
          <w:color w:val="000000"/>
          <w:vertAlign w:val="superscript"/>
          <w:lang w:val="en-HK"/>
        </w:rPr>
        <w:t>th</w:t>
      </w:r>
      <w:r w:rsidR="001A390F">
        <w:rPr>
          <w:rFonts w:eastAsia="PMingLiU"/>
          <w:color w:val="000000"/>
          <w:lang w:val="en-HK"/>
        </w:rPr>
        <w:t> Respondent</w:t>
      </w:r>
      <w:r w:rsidR="002835F3">
        <w:rPr>
          <w:rFonts w:eastAsia="PMingLiU"/>
          <w:color w:val="000000"/>
          <w:lang w:val="en-HK"/>
        </w:rPr>
        <w:t xml:space="preserve"> may apply to set aside the order made by the Tribunal pursuant to </w:t>
      </w:r>
      <w:r w:rsidR="002835F3" w:rsidRPr="002835F3">
        <w:rPr>
          <w:rFonts w:eastAsia="PMingLiU"/>
          <w:i/>
          <w:color w:val="000000"/>
          <w:lang w:val="en-HK"/>
        </w:rPr>
        <w:t>subrules 76(4) and (5)</w:t>
      </w:r>
      <w:r w:rsidR="002835F3">
        <w:rPr>
          <w:rFonts w:eastAsia="PMingLiU"/>
          <w:color w:val="000000"/>
          <w:lang w:val="en-HK"/>
        </w:rPr>
        <w:t xml:space="preserve"> of the </w:t>
      </w:r>
      <w:r w:rsidR="002835F3" w:rsidRPr="002835F3">
        <w:rPr>
          <w:rFonts w:eastAsia="PMingLiU"/>
          <w:i/>
          <w:color w:val="000000"/>
          <w:lang w:val="en-HK"/>
        </w:rPr>
        <w:t>CTR</w:t>
      </w:r>
      <w:r w:rsidR="002835F3">
        <w:rPr>
          <w:rFonts w:eastAsia="PMingLiU"/>
          <w:color w:val="000000"/>
          <w:lang w:val="en-HK"/>
        </w:rPr>
        <w:t xml:space="preserve"> if they so wish, and an appeal lies against any subsequent decision by the Tribunal refusing to set aside a judgment in default to the Court of Appeal as of right.  These already afford adequate procedural safeguards and protection to </w:t>
      </w:r>
      <w:r w:rsidR="00325E9B">
        <w:rPr>
          <w:rFonts w:eastAsia="PMingLiU"/>
          <w:color w:val="000000"/>
          <w:lang w:val="en-HK"/>
        </w:rPr>
        <w:t>the 6</w:t>
      </w:r>
      <w:r w:rsidR="00325E9B" w:rsidRPr="001512C1">
        <w:rPr>
          <w:rFonts w:eastAsia="PMingLiU"/>
          <w:color w:val="000000"/>
          <w:vertAlign w:val="superscript"/>
          <w:lang w:val="en-HK"/>
        </w:rPr>
        <w:t>th</w:t>
      </w:r>
      <w:r w:rsidR="00325E9B">
        <w:rPr>
          <w:rFonts w:eastAsia="PMingLiU"/>
          <w:color w:val="000000"/>
          <w:vertAlign w:val="superscript"/>
          <w:lang w:val="en-HK"/>
        </w:rPr>
        <w:t> </w:t>
      </w:r>
      <w:r w:rsidR="00325E9B">
        <w:rPr>
          <w:rFonts w:eastAsia="PMingLiU"/>
          <w:color w:val="000000"/>
          <w:lang w:val="en-HK"/>
        </w:rPr>
        <w:t>Respondent</w:t>
      </w:r>
      <w:r w:rsidR="00325E9B" w:rsidRPr="00176B8D">
        <w:rPr>
          <w:rFonts w:eastAsia="PMingLiU"/>
          <w:color w:val="000000"/>
          <w:lang w:val="en-HK"/>
        </w:rPr>
        <w:t xml:space="preserve"> and </w:t>
      </w:r>
      <w:r w:rsidR="00325E9B">
        <w:rPr>
          <w:rFonts w:eastAsia="PMingLiU"/>
          <w:color w:val="000000"/>
          <w:lang w:val="en-HK"/>
        </w:rPr>
        <w:t>the 7</w:t>
      </w:r>
      <w:r w:rsidR="00325E9B" w:rsidRPr="001512C1">
        <w:rPr>
          <w:rFonts w:eastAsia="PMingLiU"/>
          <w:color w:val="000000"/>
          <w:vertAlign w:val="superscript"/>
          <w:lang w:val="en-HK"/>
        </w:rPr>
        <w:t>th</w:t>
      </w:r>
      <w:r w:rsidR="00325E9B">
        <w:rPr>
          <w:rFonts w:eastAsia="PMingLiU"/>
          <w:color w:val="000000"/>
          <w:lang w:val="en-HK"/>
        </w:rPr>
        <w:t> Respondent</w:t>
      </w:r>
      <w:r w:rsidR="002835F3">
        <w:rPr>
          <w:rFonts w:eastAsia="PMingLiU"/>
          <w:color w:val="000000"/>
          <w:lang w:val="en-HK"/>
        </w:rPr>
        <w:t>, insofar as they wish to take part in the proceedings subsequently.</w:t>
      </w:r>
    </w:p>
    <w:p w:rsidR="002835F3" w:rsidRDefault="002835F3" w:rsidP="00295AA8">
      <w:pPr>
        <w:pStyle w:val="HC-Hanging"/>
        <w:numPr>
          <w:ilvl w:val="0"/>
          <w:numId w:val="0"/>
        </w:numPr>
        <w:tabs>
          <w:tab w:val="clear" w:pos="1440"/>
          <w:tab w:val="left" w:pos="720"/>
        </w:tabs>
        <w:ind w:left="1440" w:hanging="1440"/>
      </w:pPr>
    </w:p>
    <w:p w:rsidR="004465E1" w:rsidRPr="002835F3" w:rsidRDefault="002835F3" w:rsidP="00705A51">
      <w:pPr>
        <w:pStyle w:val="Final"/>
        <w:spacing w:after="0"/>
      </w:pPr>
      <w:r>
        <w:rPr>
          <w:rFonts w:eastAsia="PMingLiU"/>
          <w:b/>
          <w:bCs/>
          <w:color w:val="000000"/>
          <w:szCs w:val="28"/>
          <w:lang w:val="en-HK"/>
        </w:rPr>
        <w:t>Third</w:t>
      </w:r>
      <w:r>
        <w:rPr>
          <w:rFonts w:eastAsia="PMingLiU"/>
          <w:color w:val="000000"/>
          <w:szCs w:val="28"/>
          <w:lang w:val="en-HK"/>
        </w:rPr>
        <w:t xml:space="preserve">, there are presently sufficient particulars pleaded in the ONA to support the reliefs sought by the Commission against </w:t>
      </w:r>
      <w:r w:rsidR="00325E9B">
        <w:rPr>
          <w:rFonts w:eastAsia="PMingLiU"/>
          <w:color w:val="000000"/>
          <w:lang w:val="en-HK"/>
        </w:rPr>
        <w:t>the 6</w:t>
      </w:r>
      <w:r w:rsidR="00325E9B" w:rsidRPr="001512C1">
        <w:rPr>
          <w:rFonts w:eastAsia="PMingLiU"/>
          <w:color w:val="000000"/>
          <w:vertAlign w:val="superscript"/>
          <w:lang w:val="en-HK"/>
        </w:rPr>
        <w:t>th</w:t>
      </w:r>
      <w:r w:rsidR="00325E9B">
        <w:rPr>
          <w:rFonts w:eastAsia="PMingLiU"/>
          <w:color w:val="000000"/>
          <w:vertAlign w:val="superscript"/>
          <w:lang w:val="en-HK"/>
        </w:rPr>
        <w:t> </w:t>
      </w:r>
      <w:r w:rsidR="00325E9B">
        <w:rPr>
          <w:rFonts w:eastAsia="PMingLiU"/>
          <w:color w:val="000000"/>
          <w:lang w:val="en-HK"/>
        </w:rPr>
        <w:t>Respondent</w:t>
      </w:r>
      <w:r w:rsidR="00325E9B" w:rsidRPr="00176B8D">
        <w:rPr>
          <w:rFonts w:eastAsia="PMingLiU"/>
          <w:color w:val="000000"/>
          <w:lang w:val="en-HK"/>
        </w:rPr>
        <w:t xml:space="preserve"> and </w:t>
      </w:r>
      <w:r w:rsidR="00325E9B">
        <w:rPr>
          <w:rFonts w:eastAsia="PMingLiU"/>
          <w:color w:val="000000"/>
          <w:lang w:val="en-HK"/>
        </w:rPr>
        <w:t>the 7</w:t>
      </w:r>
      <w:r w:rsidR="00325E9B" w:rsidRPr="001512C1">
        <w:rPr>
          <w:rFonts w:eastAsia="PMingLiU"/>
          <w:color w:val="000000"/>
          <w:vertAlign w:val="superscript"/>
          <w:lang w:val="en-HK"/>
        </w:rPr>
        <w:t>th</w:t>
      </w:r>
      <w:r w:rsidR="00325E9B">
        <w:rPr>
          <w:rFonts w:eastAsia="PMingLiU"/>
          <w:color w:val="000000"/>
          <w:lang w:val="en-HK"/>
        </w:rPr>
        <w:t> Respondent</w:t>
      </w:r>
      <w:r>
        <w:rPr>
          <w:rFonts w:eastAsia="PMingLiU"/>
          <w:color w:val="000000"/>
          <w:szCs w:val="28"/>
          <w:lang w:val="en-HK"/>
        </w:rPr>
        <w:t xml:space="preserve"> in the draft order, which comprise:</w:t>
      </w:r>
    </w:p>
    <w:p w:rsidR="002835F3" w:rsidRPr="00705A51" w:rsidRDefault="00705A51" w:rsidP="00705A51">
      <w:pPr>
        <w:pStyle w:val="HC-Hanging"/>
        <w:ind w:left="1440"/>
      </w:pPr>
      <w:r>
        <w:rPr>
          <w:rFonts w:eastAsia="PMingLiU"/>
          <w:color w:val="000000"/>
          <w:lang w:val="en-HK"/>
        </w:rPr>
        <w:t xml:space="preserve">Declarations of contraventions of the Ordinance as against </w:t>
      </w:r>
      <w:r w:rsidR="001A390F">
        <w:rPr>
          <w:rFonts w:eastAsia="PMingLiU"/>
          <w:color w:val="000000"/>
          <w:lang w:val="en-HK"/>
        </w:rPr>
        <w:t>the 6</w:t>
      </w:r>
      <w:r w:rsidR="001A390F" w:rsidRPr="001512C1">
        <w:rPr>
          <w:rFonts w:eastAsia="PMingLiU"/>
          <w:color w:val="000000"/>
          <w:vertAlign w:val="superscript"/>
          <w:lang w:val="en-HK"/>
        </w:rPr>
        <w:t>th</w:t>
      </w:r>
      <w:r w:rsidR="001A390F">
        <w:rPr>
          <w:rFonts w:eastAsia="PMingLiU"/>
          <w:color w:val="000000"/>
          <w:lang w:val="en-HK"/>
        </w:rPr>
        <w:t> Respondent</w:t>
      </w:r>
      <w:r w:rsidR="001A390F" w:rsidRPr="00176B8D">
        <w:rPr>
          <w:rFonts w:eastAsia="PMingLiU"/>
          <w:color w:val="000000"/>
          <w:lang w:val="en-HK"/>
        </w:rPr>
        <w:t xml:space="preserve"> and </w:t>
      </w:r>
      <w:r w:rsidR="001A390F">
        <w:rPr>
          <w:rFonts w:eastAsia="PMingLiU"/>
          <w:color w:val="000000"/>
          <w:lang w:val="en-HK"/>
        </w:rPr>
        <w:t>the 7</w:t>
      </w:r>
      <w:r w:rsidR="001A390F" w:rsidRPr="001512C1">
        <w:rPr>
          <w:rFonts w:eastAsia="PMingLiU"/>
          <w:color w:val="000000"/>
          <w:vertAlign w:val="superscript"/>
          <w:lang w:val="en-HK"/>
        </w:rPr>
        <w:t>th</w:t>
      </w:r>
      <w:r w:rsidR="001A390F">
        <w:rPr>
          <w:rFonts w:eastAsia="PMingLiU"/>
          <w:color w:val="000000"/>
          <w:lang w:val="en-HK"/>
        </w:rPr>
        <w:t> Respondent</w:t>
      </w:r>
      <w:r>
        <w:rPr>
          <w:rFonts w:eastAsia="PMingLiU"/>
          <w:color w:val="000000"/>
          <w:lang w:val="en-HK"/>
        </w:rPr>
        <w:t>;</w:t>
      </w:r>
    </w:p>
    <w:p w:rsidR="00705A51" w:rsidRPr="00705A51" w:rsidRDefault="00705A51" w:rsidP="00705A51">
      <w:pPr>
        <w:pStyle w:val="HC-Hanging"/>
        <w:ind w:left="1440"/>
      </w:pPr>
      <w:r>
        <w:rPr>
          <w:rFonts w:eastAsia="PMingLiU"/>
          <w:color w:val="000000"/>
          <w:lang w:val="en-HK"/>
        </w:rPr>
        <w:t xml:space="preserve">Pecuniary penalties of HK$242,000 and HK$160,000 for </w:t>
      </w:r>
      <w:r w:rsidR="001A390F">
        <w:rPr>
          <w:rFonts w:eastAsia="PMingLiU"/>
          <w:color w:val="000000"/>
          <w:lang w:val="en-HK"/>
        </w:rPr>
        <w:t>the 6</w:t>
      </w:r>
      <w:r w:rsidR="001A390F" w:rsidRPr="001512C1">
        <w:rPr>
          <w:rFonts w:eastAsia="PMingLiU"/>
          <w:color w:val="000000"/>
          <w:vertAlign w:val="superscript"/>
          <w:lang w:val="en-HK"/>
        </w:rPr>
        <w:t>th</w:t>
      </w:r>
      <w:r w:rsidR="001A390F">
        <w:rPr>
          <w:rFonts w:eastAsia="PMingLiU"/>
          <w:color w:val="000000"/>
          <w:lang w:val="en-HK"/>
        </w:rPr>
        <w:t xml:space="preserve"> Respondent</w:t>
      </w:r>
      <w:r w:rsidR="001A390F" w:rsidRPr="00176B8D">
        <w:rPr>
          <w:rFonts w:eastAsia="PMingLiU"/>
          <w:color w:val="000000"/>
          <w:lang w:val="en-HK"/>
        </w:rPr>
        <w:t xml:space="preserve"> and </w:t>
      </w:r>
      <w:r w:rsidR="001A390F">
        <w:rPr>
          <w:rFonts w:eastAsia="PMingLiU"/>
          <w:color w:val="000000"/>
          <w:lang w:val="en-HK"/>
        </w:rPr>
        <w:t>the 7</w:t>
      </w:r>
      <w:r w:rsidR="001A390F" w:rsidRPr="001512C1">
        <w:rPr>
          <w:rFonts w:eastAsia="PMingLiU"/>
          <w:color w:val="000000"/>
          <w:vertAlign w:val="superscript"/>
          <w:lang w:val="en-HK"/>
        </w:rPr>
        <w:t>th</w:t>
      </w:r>
      <w:r w:rsidR="001A390F">
        <w:rPr>
          <w:rFonts w:eastAsia="PMingLiU"/>
          <w:color w:val="000000"/>
          <w:lang w:val="en-HK"/>
        </w:rPr>
        <w:t xml:space="preserve"> Respondent</w:t>
      </w:r>
      <w:r>
        <w:rPr>
          <w:rFonts w:eastAsia="PMingLiU"/>
          <w:color w:val="000000"/>
          <w:lang w:val="en-HK"/>
        </w:rPr>
        <w:t xml:space="preserve"> respectively;</w:t>
      </w:r>
    </w:p>
    <w:p w:rsidR="00705A51" w:rsidRPr="00705A51" w:rsidRDefault="00705A51" w:rsidP="00705A51">
      <w:pPr>
        <w:pStyle w:val="HC-Hanging"/>
        <w:ind w:left="1440"/>
      </w:pPr>
      <w:r>
        <w:rPr>
          <w:rFonts w:eastAsia="PMingLiU"/>
          <w:color w:val="000000"/>
          <w:lang w:val="en-HK"/>
        </w:rPr>
        <w:t xml:space="preserve">An order for </w:t>
      </w:r>
      <w:r w:rsidR="001A390F">
        <w:rPr>
          <w:rFonts w:eastAsia="PMingLiU"/>
          <w:color w:val="000000"/>
          <w:lang w:val="en-HK"/>
        </w:rPr>
        <w:t>the 6</w:t>
      </w:r>
      <w:r w:rsidR="001A390F" w:rsidRPr="001A390F">
        <w:rPr>
          <w:rFonts w:eastAsia="PMingLiU"/>
          <w:color w:val="000000"/>
          <w:vertAlign w:val="superscript"/>
          <w:lang w:val="en-HK"/>
        </w:rPr>
        <w:t>th</w:t>
      </w:r>
      <w:r w:rsidR="001A390F">
        <w:rPr>
          <w:rFonts w:eastAsia="PMingLiU"/>
          <w:color w:val="000000"/>
          <w:lang w:val="en-HK"/>
        </w:rPr>
        <w:t> Respondent</w:t>
      </w:r>
      <w:r>
        <w:rPr>
          <w:rFonts w:eastAsia="PMingLiU"/>
          <w:color w:val="000000"/>
          <w:lang w:val="en-HK"/>
        </w:rPr>
        <w:t xml:space="preserve"> as an undertaking to adopt and implement an effective competition compliance programme;</w:t>
      </w:r>
    </w:p>
    <w:p w:rsidR="00705A51" w:rsidRPr="00705A51" w:rsidRDefault="00705A51" w:rsidP="00705A51">
      <w:pPr>
        <w:pStyle w:val="HC-Hanging"/>
        <w:ind w:left="1440"/>
      </w:pPr>
      <w:r>
        <w:rPr>
          <w:rFonts w:eastAsia="PMingLiU"/>
          <w:color w:val="000000"/>
          <w:lang w:val="en-HK"/>
        </w:rPr>
        <w:t xml:space="preserve">An order for </w:t>
      </w:r>
      <w:r w:rsidR="001A390F">
        <w:rPr>
          <w:rFonts w:eastAsia="PMingLiU"/>
          <w:color w:val="000000"/>
          <w:lang w:val="en-HK"/>
        </w:rPr>
        <w:t>the 6</w:t>
      </w:r>
      <w:r w:rsidR="001A390F" w:rsidRPr="001A390F">
        <w:rPr>
          <w:rFonts w:eastAsia="PMingLiU"/>
          <w:color w:val="000000"/>
          <w:vertAlign w:val="superscript"/>
          <w:lang w:val="en-HK"/>
        </w:rPr>
        <w:t>th</w:t>
      </w:r>
      <w:r w:rsidR="001A390F">
        <w:rPr>
          <w:rFonts w:eastAsia="PMingLiU"/>
          <w:color w:val="000000"/>
          <w:lang w:val="en-HK"/>
        </w:rPr>
        <w:t> Respondent</w:t>
      </w:r>
      <w:r>
        <w:rPr>
          <w:rFonts w:eastAsia="PMingLiU"/>
          <w:color w:val="000000"/>
          <w:lang w:val="en-HK"/>
        </w:rPr>
        <w:t xml:space="preserve"> to pay its share of the Commission’s investigation costs;</w:t>
      </w:r>
    </w:p>
    <w:p w:rsidR="00705A51" w:rsidRPr="00705A51" w:rsidRDefault="00705A51" w:rsidP="00705A51">
      <w:pPr>
        <w:pStyle w:val="HC-Hanging"/>
        <w:ind w:left="1440"/>
      </w:pPr>
      <w:r>
        <w:rPr>
          <w:rFonts w:eastAsia="PMingLiU"/>
          <w:color w:val="000000"/>
        </w:rPr>
        <w:t xml:space="preserve">Payment of the Commission’s costs of and incidental to the application in these proceedings vis-à-vis </w:t>
      </w:r>
      <w:r w:rsidR="001A390F">
        <w:rPr>
          <w:rFonts w:eastAsia="PMingLiU"/>
          <w:color w:val="000000"/>
          <w:lang w:val="en-HK"/>
        </w:rPr>
        <w:t>the 6</w:t>
      </w:r>
      <w:r w:rsidR="001A390F" w:rsidRPr="001512C1">
        <w:rPr>
          <w:rFonts w:eastAsia="PMingLiU"/>
          <w:color w:val="000000"/>
          <w:vertAlign w:val="superscript"/>
          <w:lang w:val="en-HK"/>
        </w:rPr>
        <w:t>th</w:t>
      </w:r>
      <w:r w:rsidR="001A390F">
        <w:rPr>
          <w:rFonts w:eastAsia="PMingLiU"/>
          <w:color w:val="000000"/>
          <w:lang w:val="en-HK"/>
        </w:rPr>
        <w:t> Respondent</w:t>
      </w:r>
      <w:r w:rsidR="001A390F" w:rsidRPr="00176B8D">
        <w:rPr>
          <w:rFonts w:eastAsia="PMingLiU"/>
          <w:color w:val="000000"/>
          <w:lang w:val="en-HK"/>
        </w:rPr>
        <w:t xml:space="preserve"> and </w:t>
      </w:r>
      <w:r w:rsidR="001A390F">
        <w:rPr>
          <w:rFonts w:eastAsia="PMingLiU"/>
          <w:color w:val="000000"/>
          <w:lang w:val="en-HK"/>
        </w:rPr>
        <w:t>the 7</w:t>
      </w:r>
      <w:r w:rsidR="001A390F" w:rsidRPr="001512C1">
        <w:rPr>
          <w:rFonts w:eastAsia="PMingLiU"/>
          <w:color w:val="000000"/>
          <w:vertAlign w:val="superscript"/>
          <w:lang w:val="en-HK"/>
        </w:rPr>
        <w:t>th</w:t>
      </w:r>
      <w:r w:rsidR="001A390F">
        <w:rPr>
          <w:rFonts w:eastAsia="PMingLiU"/>
          <w:color w:val="000000"/>
          <w:lang w:val="en-HK"/>
        </w:rPr>
        <w:t> Respondent</w:t>
      </w:r>
      <w:r>
        <w:rPr>
          <w:rFonts w:eastAsia="PMingLiU"/>
          <w:color w:val="000000"/>
          <w:lang w:val="en-HK"/>
        </w:rPr>
        <w:t>.</w:t>
      </w:r>
    </w:p>
    <w:p w:rsidR="00705A51" w:rsidRDefault="00705A51" w:rsidP="00705A51">
      <w:pPr>
        <w:pStyle w:val="HC-Hanging"/>
        <w:numPr>
          <w:ilvl w:val="0"/>
          <w:numId w:val="0"/>
        </w:numPr>
        <w:ind w:left="1440"/>
      </w:pPr>
    </w:p>
    <w:p w:rsidR="00705A51" w:rsidRPr="00705A51" w:rsidRDefault="00705A51" w:rsidP="00705A51">
      <w:pPr>
        <w:pStyle w:val="Final"/>
        <w:spacing w:after="0"/>
      </w:pPr>
      <w:r>
        <w:rPr>
          <w:rFonts w:eastAsia="PMingLiU"/>
          <w:color w:val="000000"/>
          <w:szCs w:val="28"/>
          <w:lang w:val="en-HK"/>
        </w:rPr>
        <w:t xml:space="preserve">In terms of liability, the </w:t>
      </w:r>
      <w:r w:rsidR="00325E9B">
        <w:rPr>
          <w:rFonts w:eastAsia="PMingLiU"/>
          <w:color w:val="000000"/>
          <w:szCs w:val="28"/>
          <w:lang w:val="en-HK"/>
        </w:rPr>
        <w:t>Commission emphasises</w:t>
      </w:r>
      <w:r>
        <w:rPr>
          <w:rFonts w:eastAsia="PMingLiU"/>
          <w:color w:val="000000"/>
          <w:szCs w:val="28"/>
          <w:lang w:val="en-HK"/>
        </w:rPr>
        <w:t xml:space="preserve"> that:</w:t>
      </w:r>
    </w:p>
    <w:p w:rsidR="00705A51" w:rsidRPr="00705A51" w:rsidRDefault="00705A51" w:rsidP="00705A51">
      <w:pPr>
        <w:pStyle w:val="HC-Hanging"/>
        <w:ind w:left="1440"/>
      </w:pPr>
      <w:r>
        <w:rPr>
          <w:rFonts w:eastAsia="PMingLiU"/>
          <w:color w:val="000000"/>
          <w:lang w:val="en-HK"/>
        </w:rPr>
        <w:t xml:space="preserve">It was at the birthday party held by Agnes Au Yeung and Joe Fan for Agnes Au Yeung in early May 2020 that the Respondents (save for KWEK and Koki Tang, who </w:t>
      </w:r>
      <w:r w:rsidR="00325E9B">
        <w:rPr>
          <w:rFonts w:eastAsia="PMingLiU"/>
          <w:color w:val="000000"/>
          <w:lang w:val="en-HK"/>
        </w:rPr>
        <w:t xml:space="preserve">participated </w:t>
      </w:r>
      <w:r>
        <w:rPr>
          <w:rFonts w:eastAsia="PMingLiU"/>
          <w:color w:val="000000"/>
          <w:lang w:val="en-HK"/>
        </w:rPr>
        <w:t>later) agreed to engage in the Collusive Conduct;</w:t>
      </w:r>
    </w:p>
    <w:p w:rsidR="00705A51" w:rsidRPr="00705A51" w:rsidRDefault="00705A51" w:rsidP="00705A51">
      <w:pPr>
        <w:pStyle w:val="HC-Hanging"/>
        <w:ind w:left="1440"/>
      </w:pPr>
      <w:r>
        <w:rPr>
          <w:rFonts w:eastAsia="PMingLiU"/>
          <w:color w:val="000000"/>
          <w:lang w:val="en-HK"/>
        </w:rPr>
        <w:t>After the birthday gathering, Agnes Au Yeung instructed Joe Fan to contact and coordinate with Vincent Wu on Yat Ying and BP/Noble’s behalf to arrange for Multisoft to provide cover bids for Yat Ying and BP/Noble;</w:t>
      </w:r>
    </w:p>
    <w:p w:rsidR="00705A51" w:rsidRPr="00705A51" w:rsidRDefault="00705A51" w:rsidP="00705A51">
      <w:pPr>
        <w:pStyle w:val="HC-Hanging"/>
        <w:ind w:left="1440"/>
      </w:pPr>
      <w:r>
        <w:rPr>
          <w:rFonts w:eastAsia="PMingLiU"/>
          <w:color w:val="000000"/>
          <w:lang w:val="en-HK"/>
        </w:rPr>
        <w:t>In or around the period between 14 May and 24 May 2020, Agnes Au Yeung, Joe Fan and Koki Tang liaised for KWEK (through Koki Tang) to provide cover bids for Yat Ying and BP/Noble.  Joe Fan even agreed to pay Koki Tang HK$30,000 for her provision of cover bids.</w:t>
      </w:r>
    </w:p>
    <w:p w:rsidR="00705A51" w:rsidRPr="00705A51" w:rsidRDefault="00705A51" w:rsidP="00705A51">
      <w:pPr>
        <w:pStyle w:val="HC-Hanging"/>
        <w:ind w:left="1440"/>
      </w:pPr>
      <w:r>
        <w:rPr>
          <w:rFonts w:eastAsia="PMingLiU"/>
          <w:color w:val="000000"/>
          <w:lang w:val="en-HK"/>
        </w:rPr>
        <w:t xml:space="preserve">The Collusive Conduct clearly involved price fixing, customer allocation, bid-rigging and the exchange of competitively sensitive information between undertakings in contravention of </w:t>
      </w:r>
      <w:r w:rsidRPr="00705A51">
        <w:rPr>
          <w:rFonts w:eastAsia="PMingLiU"/>
          <w:i/>
          <w:color w:val="000000"/>
          <w:lang w:val="en-HK"/>
        </w:rPr>
        <w:t>section 6</w:t>
      </w:r>
      <w:r>
        <w:rPr>
          <w:rFonts w:eastAsia="PMingLiU"/>
          <w:color w:val="000000"/>
          <w:lang w:val="en-HK"/>
        </w:rPr>
        <w:t xml:space="preserve"> of the </w:t>
      </w:r>
      <w:r w:rsidRPr="00705A51">
        <w:rPr>
          <w:rFonts w:eastAsia="PMingLiU"/>
          <w:i/>
          <w:color w:val="000000"/>
          <w:lang w:val="en-HK"/>
        </w:rPr>
        <w:t>Ordinance</w:t>
      </w:r>
      <w:r>
        <w:rPr>
          <w:rFonts w:eastAsia="PMingLiU"/>
          <w:color w:val="000000"/>
          <w:lang w:val="en-HK"/>
        </w:rPr>
        <w:t>.</w:t>
      </w:r>
    </w:p>
    <w:p w:rsidR="00705A51" w:rsidRDefault="00705A51" w:rsidP="00705A51">
      <w:pPr>
        <w:pStyle w:val="HC-Hanging"/>
        <w:numPr>
          <w:ilvl w:val="0"/>
          <w:numId w:val="0"/>
        </w:numPr>
        <w:ind w:left="1440"/>
      </w:pPr>
    </w:p>
    <w:p w:rsidR="00705A51" w:rsidRPr="00705A51" w:rsidRDefault="00325E9B" w:rsidP="00705A51">
      <w:pPr>
        <w:pStyle w:val="Final"/>
        <w:spacing w:after="0"/>
      </w:pPr>
      <w:r>
        <w:rPr>
          <w:rFonts w:eastAsia="PMingLiU"/>
          <w:color w:val="000000"/>
          <w:szCs w:val="28"/>
          <w:lang w:val="en-HK"/>
        </w:rPr>
        <w:t>I accept that b</w:t>
      </w:r>
      <w:r w:rsidR="00705A51">
        <w:rPr>
          <w:rFonts w:eastAsia="PMingLiU"/>
          <w:color w:val="000000"/>
          <w:szCs w:val="28"/>
          <w:lang w:val="en-HK"/>
        </w:rPr>
        <w:t xml:space="preserve">oth </w:t>
      </w:r>
      <w:r>
        <w:rPr>
          <w:rFonts w:eastAsia="PMingLiU"/>
          <w:color w:val="000000"/>
          <w:szCs w:val="28"/>
          <w:lang w:val="en-HK"/>
        </w:rPr>
        <w:t>the 6</w:t>
      </w:r>
      <w:r w:rsidRPr="00325E9B">
        <w:rPr>
          <w:rFonts w:eastAsia="PMingLiU"/>
          <w:color w:val="000000"/>
          <w:szCs w:val="28"/>
          <w:vertAlign w:val="superscript"/>
          <w:lang w:val="en-HK"/>
        </w:rPr>
        <w:t>th</w:t>
      </w:r>
      <w:r>
        <w:rPr>
          <w:rFonts w:eastAsia="PMingLiU"/>
          <w:color w:val="000000"/>
          <w:szCs w:val="28"/>
          <w:lang w:val="en-HK"/>
        </w:rPr>
        <w:t> Respondent</w:t>
      </w:r>
      <w:r w:rsidR="00705A51">
        <w:rPr>
          <w:rFonts w:eastAsia="PMingLiU"/>
          <w:color w:val="000000"/>
          <w:szCs w:val="28"/>
          <w:lang w:val="en-HK"/>
        </w:rPr>
        <w:t xml:space="preserve"> (Agnes Au Yeung in her personal capacity) and </w:t>
      </w:r>
      <w:r>
        <w:rPr>
          <w:rFonts w:eastAsia="PMingLiU"/>
          <w:color w:val="000000"/>
          <w:szCs w:val="28"/>
          <w:lang w:val="en-HK"/>
        </w:rPr>
        <w:t>the 7</w:t>
      </w:r>
      <w:r w:rsidRPr="00325E9B">
        <w:rPr>
          <w:rFonts w:eastAsia="PMingLiU"/>
          <w:color w:val="000000"/>
          <w:szCs w:val="28"/>
          <w:vertAlign w:val="superscript"/>
          <w:lang w:val="en-HK"/>
        </w:rPr>
        <w:t>th</w:t>
      </w:r>
      <w:r>
        <w:rPr>
          <w:rFonts w:eastAsia="PMingLiU"/>
          <w:color w:val="000000"/>
          <w:szCs w:val="28"/>
          <w:lang w:val="en-HK"/>
        </w:rPr>
        <w:t> Respondent</w:t>
      </w:r>
      <w:r w:rsidR="00705A51">
        <w:rPr>
          <w:rFonts w:eastAsia="PMingLiU"/>
          <w:color w:val="000000"/>
          <w:szCs w:val="28"/>
          <w:lang w:val="en-HK"/>
        </w:rPr>
        <w:t xml:space="preserve"> (Joe Fan) were persons involved in a contravention of a competition rule under </w:t>
      </w:r>
      <w:r w:rsidR="00705A51" w:rsidRPr="00705A51">
        <w:rPr>
          <w:rFonts w:eastAsia="PMingLiU"/>
          <w:i/>
          <w:color w:val="000000"/>
          <w:szCs w:val="28"/>
          <w:lang w:val="en-HK"/>
        </w:rPr>
        <w:t>section 91</w:t>
      </w:r>
      <w:r w:rsidR="00705A51">
        <w:rPr>
          <w:rFonts w:eastAsia="PMingLiU"/>
          <w:color w:val="000000"/>
          <w:szCs w:val="28"/>
          <w:lang w:val="en-HK"/>
        </w:rPr>
        <w:t xml:space="preserve"> of the </w:t>
      </w:r>
      <w:r w:rsidR="00705A51" w:rsidRPr="00705A51">
        <w:rPr>
          <w:rFonts w:eastAsia="PMingLiU"/>
          <w:i/>
          <w:color w:val="000000"/>
          <w:szCs w:val="28"/>
          <w:lang w:val="en-HK"/>
        </w:rPr>
        <w:t>Ordinance</w:t>
      </w:r>
      <w:r w:rsidR="00705A51">
        <w:rPr>
          <w:rFonts w:eastAsia="PMingLiU"/>
          <w:color w:val="000000"/>
          <w:szCs w:val="28"/>
          <w:lang w:val="en-HK"/>
        </w:rPr>
        <w:t>, because:</w:t>
      </w:r>
    </w:p>
    <w:p w:rsidR="00705A51" w:rsidRPr="00705A51" w:rsidRDefault="00705A51" w:rsidP="00705A51">
      <w:pPr>
        <w:pStyle w:val="HC-Hanging"/>
        <w:ind w:left="1440"/>
      </w:pPr>
      <w:r>
        <w:rPr>
          <w:rFonts w:eastAsia="PMingLiU"/>
          <w:color w:val="000000"/>
          <w:lang w:val="en-HK"/>
        </w:rPr>
        <w:t>Agnes Au Yeung is the sole proprietor of Yat Ying;</w:t>
      </w:r>
    </w:p>
    <w:p w:rsidR="00705A51" w:rsidRPr="00705A51" w:rsidRDefault="00705A51" w:rsidP="00705A51">
      <w:pPr>
        <w:pStyle w:val="HC-Hanging"/>
        <w:ind w:left="1440"/>
      </w:pPr>
      <w:r>
        <w:rPr>
          <w:rFonts w:eastAsia="PMingLiU"/>
          <w:color w:val="000000"/>
          <w:lang w:val="en-HK"/>
        </w:rPr>
        <w:t>Agnes Au Yeung and Joe Fan were the individuals instigating and directly agreeing with other Respondents to implement the Collusive Conduct;</w:t>
      </w:r>
    </w:p>
    <w:p w:rsidR="00705A51" w:rsidRPr="004D03EC" w:rsidRDefault="00705A51" w:rsidP="00705A51">
      <w:pPr>
        <w:pStyle w:val="HC-Hanging"/>
        <w:ind w:left="1440"/>
      </w:pPr>
      <w:r>
        <w:rPr>
          <w:rFonts w:eastAsia="PMingLiU"/>
          <w:color w:val="000000"/>
          <w:lang w:val="en-HK"/>
        </w:rPr>
        <w:t>Joe Fan was also a primary cartelist who liaised and coordinated the Collusive Conduct, and even prepared and forged the quotations in question.</w:t>
      </w:r>
    </w:p>
    <w:p w:rsidR="004D03EC" w:rsidRPr="00705A51" w:rsidRDefault="004D03EC" w:rsidP="004D03EC">
      <w:pPr>
        <w:pStyle w:val="HC-Hanging"/>
        <w:numPr>
          <w:ilvl w:val="0"/>
          <w:numId w:val="0"/>
        </w:numPr>
        <w:ind w:left="1440"/>
      </w:pPr>
    </w:p>
    <w:p w:rsidR="004465E1" w:rsidRDefault="00705A51" w:rsidP="009F0836">
      <w:pPr>
        <w:pStyle w:val="Final"/>
      </w:pPr>
      <w:r>
        <w:rPr>
          <w:rFonts w:eastAsia="PMingLiU"/>
          <w:color w:val="000000"/>
          <w:szCs w:val="28"/>
          <w:lang w:val="en-HK"/>
        </w:rPr>
        <w:t xml:space="preserve">In terms of penalty, applying the 4-step approach set out in </w:t>
      </w:r>
      <w:r w:rsidRPr="00705A51">
        <w:rPr>
          <w:rFonts w:eastAsia="PMingLiU"/>
          <w:bCs/>
          <w:i/>
          <w:iCs/>
          <w:color w:val="000000"/>
          <w:szCs w:val="28"/>
          <w:lang w:val="en-HK"/>
        </w:rPr>
        <w:t>W Hing Construction</w:t>
      </w:r>
      <w:r>
        <w:rPr>
          <w:rFonts w:eastAsia="PMingLiU"/>
          <w:color w:val="000000"/>
          <w:szCs w:val="28"/>
          <w:lang w:val="en-HK"/>
        </w:rPr>
        <w:t>,</w:t>
      </w:r>
      <w:r>
        <w:rPr>
          <w:rFonts w:eastAsia="PMingLiU"/>
          <w:b/>
          <w:bCs/>
          <w:color w:val="000000"/>
          <w:szCs w:val="28"/>
          <w:lang w:val="en-HK"/>
        </w:rPr>
        <w:t xml:space="preserve"> </w:t>
      </w:r>
      <w:r>
        <w:rPr>
          <w:rFonts w:eastAsia="PMingLiU"/>
          <w:color w:val="000000"/>
          <w:szCs w:val="28"/>
          <w:lang w:val="en-HK"/>
        </w:rPr>
        <w:t>the Commission proposes</w:t>
      </w:r>
      <w:r w:rsidR="00325E9B">
        <w:rPr>
          <w:rFonts w:eastAsia="PMingLiU"/>
          <w:color w:val="000000"/>
          <w:szCs w:val="28"/>
          <w:lang w:val="en-HK"/>
        </w:rPr>
        <w:t>, and I agree,</w:t>
      </w:r>
      <w:r>
        <w:rPr>
          <w:rFonts w:eastAsia="PMingLiU"/>
          <w:color w:val="000000"/>
          <w:szCs w:val="28"/>
          <w:lang w:val="en-HK"/>
        </w:rPr>
        <w:t xml:space="preserve"> the figure of </w:t>
      </w:r>
      <w:r w:rsidRPr="00F01923">
        <w:rPr>
          <w:rFonts w:eastAsia="PMingLiU"/>
          <w:bCs/>
          <w:color w:val="000000"/>
          <w:szCs w:val="28"/>
          <w:lang w:val="en-HK"/>
        </w:rPr>
        <w:t>HK$242,000</w:t>
      </w:r>
      <w:r w:rsidRPr="00F01923">
        <w:rPr>
          <w:rFonts w:eastAsia="PMingLiU"/>
          <w:color w:val="000000"/>
          <w:szCs w:val="28"/>
          <w:lang w:val="en-HK"/>
        </w:rPr>
        <w:t xml:space="preserve"> </w:t>
      </w:r>
      <w:r>
        <w:rPr>
          <w:rFonts w:eastAsia="PMingLiU"/>
          <w:color w:val="000000"/>
          <w:szCs w:val="28"/>
          <w:lang w:val="en-HK"/>
        </w:rPr>
        <w:t xml:space="preserve">for </w:t>
      </w:r>
      <w:r w:rsidR="00325E9B">
        <w:rPr>
          <w:rFonts w:eastAsia="PMingLiU"/>
          <w:color w:val="000000"/>
          <w:szCs w:val="28"/>
          <w:lang w:val="en-HK"/>
        </w:rPr>
        <w:t>the 6</w:t>
      </w:r>
      <w:r w:rsidR="00325E9B" w:rsidRPr="00325E9B">
        <w:rPr>
          <w:rFonts w:eastAsia="PMingLiU"/>
          <w:color w:val="000000"/>
          <w:szCs w:val="28"/>
          <w:vertAlign w:val="superscript"/>
          <w:lang w:val="en-HK"/>
        </w:rPr>
        <w:t>th</w:t>
      </w:r>
      <w:r w:rsidR="006256F3">
        <w:rPr>
          <w:rFonts w:eastAsia="PMingLiU"/>
          <w:color w:val="000000"/>
          <w:szCs w:val="28"/>
          <w:lang w:val="en-HK"/>
        </w:rPr>
        <w:t> </w:t>
      </w:r>
      <w:r w:rsidR="00325E9B">
        <w:rPr>
          <w:rFonts w:eastAsia="PMingLiU"/>
          <w:color w:val="000000"/>
          <w:szCs w:val="28"/>
          <w:lang w:val="en-HK"/>
        </w:rPr>
        <w:t>Respondent</w:t>
      </w:r>
      <w:r>
        <w:rPr>
          <w:rFonts w:eastAsia="PMingLiU"/>
          <w:color w:val="000000"/>
          <w:szCs w:val="28"/>
          <w:lang w:val="en-HK"/>
        </w:rPr>
        <w:t xml:space="preserve"> and </w:t>
      </w:r>
      <w:r w:rsidRPr="00F01923">
        <w:rPr>
          <w:rFonts w:eastAsia="PMingLiU"/>
          <w:bCs/>
          <w:color w:val="000000"/>
          <w:szCs w:val="28"/>
          <w:lang w:val="en-HK"/>
        </w:rPr>
        <w:t>HK$160,000</w:t>
      </w:r>
      <w:r>
        <w:rPr>
          <w:rFonts w:eastAsia="PMingLiU"/>
          <w:color w:val="000000"/>
          <w:szCs w:val="28"/>
          <w:lang w:val="en-HK"/>
        </w:rPr>
        <w:t xml:space="preserve"> for </w:t>
      </w:r>
      <w:r w:rsidR="00325E9B">
        <w:rPr>
          <w:rFonts w:eastAsia="PMingLiU"/>
          <w:color w:val="000000"/>
          <w:szCs w:val="28"/>
          <w:lang w:val="en-HK"/>
        </w:rPr>
        <w:t>the 7</w:t>
      </w:r>
      <w:r w:rsidR="00325E9B" w:rsidRPr="00325E9B">
        <w:rPr>
          <w:rFonts w:eastAsia="PMingLiU"/>
          <w:color w:val="000000"/>
          <w:szCs w:val="28"/>
          <w:vertAlign w:val="superscript"/>
          <w:lang w:val="en-HK"/>
        </w:rPr>
        <w:t>th</w:t>
      </w:r>
      <w:r w:rsidR="00325E9B">
        <w:rPr>
          <w:rFonts w:eastAsia="PMingLiU"/>
          <w:color w:val="000000"/>
          <w:szCs w:val="28"/>
          <w:lang w:val="en-HK"/>
        </w:rPr>
        <w:t> Respondent</w:t>
      </w:r>
      <w:r>
        <w:rPr>
          <w:rFonts w:eastAsia="PMingLiU"/>
          <w:color w:val="000000"/>
          <w:szCs w:val="28"/>
          <w:lang w:val="en-HK"/>
        </w:rPr>
        <w:t>.</w:t>
      </w:r>
    </w:p>
    <w:p w:rsidR="004465E1" w:rsidRPr="00F01923" w:rsidRDefault="00F01923" w:rsidP="00F01923">
      <w:pPr>
        <w:pStyle w:val="Final"/>
        <w:spacing w:after="0"/>
      </w:pPr>
      <w:r>
        <w:rPr>
          <w:rFonts w:eastAsia="PMingLiU"/>
          <w:color w:val="000000"/>
          <w:szCs w:val="28"/>
          <w:lang w:val="en-HK"/>
        </w:rPr>
        <w:t xml:space="preserve">For </w:t>
      </w:r>
      <w:r w:rsidR="00325E9B">
        <w:rPr>
          <w:rFonts w:eastAsia="PMingLiU"/>
          <w:color w:val="000000"/>
          <w:szCs w:val="28"/>
          <w:lang w:val="en-HK"/>
        </w:rPr>
        <w:t>the 6</w:t>
      </w:r>
      <w:r w:rsidR="00325E9B" w:rsidRPr="00325E9B">
        <w:rPr>
          <w:rFonts w:eastAsia="PMingLiU"/>
          <w:color w:val="000000"/>
          <w:szCs w:val="28"/>
          <w:vertAlign w:val="superscript"/>
          <w:lang w:val="en-HK"/>
        </w:rPr>
        <w:t>th</w:t>
      </w:r>
      <w:r w:rsidR="00325E9B">
        <w:rPr>
          <w:rFonts w:eastAsia="PMingLiU"/>
          <w:color w:val="000000"/>
          <w:szCs w:val="28"/>
          <w:lang w:val="en-HK"/>
        </w:rPr>
        <w:t xml:space="preserve"> Respondent</w:t>
      </w:r>
      <w:r>
        <w:rPr>
          <w:rFonts w:eastAsia="PMingLiU"/>
          <w:color w:val="000000"/>
          <w:szCs w:val="28"/>
          <w:lang w:val="en-HK"/>
        </w:rPr>
        <w:t>:</w:t>
      </w:r>
    </w:p>
    <w:p w:rsidR="00F01923" w:rsidRPr="00F01923" w:rsidRDefault="00F01923" w:rsidP="00F01923">
      <w:pPr>
        <w:pStyle w:val="HC-Hanging"/>
        <w:ind w:left="1440"/>
      </w:pPr>
      <w:r>
        <w:rPr>
          <w:rFonts w:eastAsia="PMingLiU"/>
          <w:b/>
          <w:bCs/>
          <w:color w:val="000000"/>
          <w:lang w:val="en-HK"/>
        </w:rPr>
        <w:t>Step 1</w:t>
      </w:r>
      <w:r>
        <w:rPr>
          <w:rFonts w:eastAsia="PMingLiU"/>
          <w:color w:val="000000"/>
          <w:lang w:val="en-HK"/>
        </w:rPr>
        <w:t>:</w:t>
      </w:r>
      <w:r>
        <w:rPr>
          <w:rFonts w:eastAsia="PMingLiU"/>
          <w:b/>
          <w:bCs/>
          <w:color w:val="000000"/>
          <w:lang w:val="en-HK"/>
        </w:rPr>
        <w:t xml:space="preserve"> </w:t>
      </w:r>
      <w:r>
        <w:rPr>
          <w:rFonts w:eastAsia="PMingLiU"/>
          <w:color w:val="000000"/>
          <w:lang w:val="en-HK"/>
        </w:rPr>
        <w:t>In determining the Base Amount:</w:t>
      </w:r>
    </w:p>
    <w:p w:rsidR="00F01923" w:rsidRDefault="00F01923" w:rsidP="00F01923">
      <w:pPr>
        <w:pStyle w:val="HC-Hanging"/>
        <w:numPr>
          <w:ilvl w:val="0"/>
          <w:numId w:val="0"/>
        </w:numPr>
        <w:ind w:left="2160" w:hanging="720"/>
        <w:rPr>
          <w:rFonts w:eastAsia="PMingLiU"/>
          <w:color w:val="000000"/>
          <w:lang w:val="en-HK"/>
        </w:rPr>
      </w:pPr>
      <w:r w:rsidRPr="00F01923">
        <w:rPr>
          <w:rFonts w:eastAsia="PMingLiU"/>
          <w:bCs/>
          <w:color w:val="000000"/>
          <w:lang w:val="en-HK"/>
        </w:rPr>
        <w:t>(a)</w:t>
      </w:r>
      <w:r w:rsidRPr="00F01923">
        <w:rPr>
          <w:rFonts w:eastAsia="PMingLiU"/>
          <w:bCs/>
          <w:color w:val="000000"/>
          <w:lang w:val="en-HK"/>
        </w:rPr>
        <w:tab/>
      </w:r>
      <w:r w:rsidRPr="00F01923">
        <w:rPr>
          <w:rFonts w:eastAsia="PMingLiU"/>
          <w:color w:val="000000"/>
          <w:lang w:val="en-HK"/>
        </w:rPr>
        <w:t>The VOS is taken from the total amount of funding approved from D-Biz, i.e. HK$8,006,455;</w:t>
      </w:r>
    </w:p>
    <w:p w:rsidR="005C5ED8" w:rsidRDefault="005C5ED8" w:rsidP="00F01923">
      <w:pPr>
        <w:pStyle w:val="HC-Hanging"/>
        <w:numPr>
          <w:ilvl w:val="0"/>
          <w:numId w:val="0"/>
        </w:numPr>
        <w:ind w:left="2160" w:hanging="720"/>
        <w:rPr>
          <w:rFonts w:eastAsia="PMingLiU"/>
          <w:color w:val="000000"/>
          <w:lang w:val="en-HK"/>
        </w:rPr>
      </w:pPr>
      <w:r>
        <w:rPr>
          <w:rFonts w:eastAsia="PMingLiU"/>
          <w:color w:val="000000"/>
          <w:lang w:val="en-HK"/>
        </w:rPr>
        <w:t>(b)</w:t>
      </w:r>
      <w:r>
        <w:rPr>
          <w:rFonts w:eastAsia="PMingLiU"/>
          <w:color w:val="000000"/>
          <w:lang w:val="en-HK"/>
        </w:rPr>
        <w:tab/>
        <w:t xml:space="preserve">A moderate gravity percentage of 24% is adopted (i.e. the same percentage adopted for other Respondents in the </w:t>
      </w:r>
      <w:r>
        <w:rPr>
          <w:rFonts w:eastAsia="PMingLiU"/>
          <w:i/>
          <w:iCs/>
          <w:color w:val="000000"/>
          <w:lang w:val="en-HK"/>
        </w:rPr>
        <w:t xml:space="preserve">Kam Kwong </w:t>
      </w:r>
      <w:r>
        <w:rPr>
          <w:rFonts w:eastAsia="PMingLiU"/>
          <w:color w:val="000000"/>
          <w:lang w:val="en-HK"/>
        </w:rPr>
        <w:t>applications);</w:t>
      </w:r>
    </w:p>
    <w:p w:rsidR="005C5ED8" w:rsidRDefault="005C5ED8" w:rsidP="00F01923">
      <w:pPr>
        <w:pStyle w:val="HC-Hanging"/>
        <w:numPr>
          <w:ilvl w:val="0"/>
          <w:numId w:val="0"/>
        </w:numPr>
        <w:ind w:left="2160" w:hanging="720"/>
        <w:rPr>
          <w:rFonts w:eastAsia="PMingLiU"/>
          <w:color w:val="000000"/>
          <w:lang w:val="en-GB"/>
        </w:rPr>
      </w:pPr>
      <w:r>
        <w:rPr>
          <w:rFonts w:eastAsia="PMingLiU"/>
          <w:color w:val="000000"/>
          <w:lang w:val="en-HK"/>
        </w:rPr>
        <w:t>(c)</w:t>
      </w:r>
      <w:r>
        <w:rPr>
          <w:rFonts w:eastAsia="PMingLiU"/>
          <w:color w:val="000000"/>
          <w:lang w:val="en-HK"/>
        </w:rPr>
        <w:tab/>
        <w:t xml:space="preserve">As the VOS </w:t>
      </w:r>
      <w:r w:rsidRPr="00E753C3">
        <w:rPr>
          <w:rFonts w:eastAsia="PMingLiU"/>
          <w:color w:val="000000"/>
          <w:lang w:val="en-GB"/>
        </w:rPr>
        <w:t xml:space="preserve">is the result of adding up all approved </w:t>
      </w:r>
      <w:r w:rsidR="00FF0F36">
        <w:rPr>
          <w:rFonts w:eastAsia="PMingLiU"/>
          <w:color w:val="000000"/>
          <w:lang w:val="en-GB"/>
        </w:rPr>
        <w:t xml:space="preserve">       </w:t>
      </w:r>
      <w:r w:rsidRPr="00E753C3">
        <w:rPr>
          <w:rFonts w:eastAsia="PMingLiU"/>
          <w:color w:val="000000"/>
          <w:lang w:val="en-GB"/>
        </w:rPr>
        <w:t xml:space="preserve">D-Biz fundings from all financial years in the relevant period, </w:t>
      </w:r>
      <w:r>
        <w:rPr>
          <w:rFonts w:eastAsia="PMingLiU"/>
          <w:color w:val="000000"/>
          <w:lang w:val="en-GB"/>
        </w:rPr>
        <w:t>the duration multiplier of 1 is</w:t>
      </w:r>
      <w:r w:rsidRPr="00E753C3">
        <w:rPr>
          <w:rFonts w:eastAsia="PMingLiU"/>
          <w:color w:val="000000"/>
          <w:lang w:val="en-GB"/>
        </w:rPr>
        <w:t xml:space="preserve"> applied</w:t>
      </w:r>
      <w:r>
        <w:rPr>
          <w:rFonts w:eastAsia="PMingLiU"/>
          <w:color w:val="000000"/>
          <w:lang w:val="en-GB"/>
        </w:rPr>
        <w:t>;</w:t>
      </w:r>
    </w:p>
    <w:p w:rsidR="005C5ED8" w:rsidRDefault="005C5ED8" w:rsidP="00F01923">
      <w:pPr>
        <w:pStyle w:val="HC-Hanging"/>
        <w:numPr>
          <w:ilvl w:val="0"/>
          <w:numId w:val="0"/>
        </w:numPr>
        <w:ind w:left="2160" w:hanging="720"/>
        <w:rPr>
          <w:rFonts w:eastAsia="PMingLiU"/>
          <w:color w:val="000000"/>
          <w:lang w:val="en-HK"/>
        </w:rPr>
      </w:pPr>
      <w:r>
        <w:rPr>
          <w:rFonts w:eastAsia="PMingLiU"/>
          <w:color w:val="000000"/>
          <w:lang w:val="en-GB"/>
        </w:rPr>
        <w:t>(d)</w:t>
      </w:r>
      <w:r>
        <w:rPr>
          <w:rFonts w:eastAsia="PMingLiU"/>
          <w:color w:val="000000"/>
          <w:lang w:val="en-GB"/>
        </w:rPr>
        <w:tab/>
      </w:r>
      <w:r>
        <w:rPr>
          <w:rFonts w:eastAsia="PMingLiU"/>
          <w:color w:val="000000"/>
          <w:lang w:val="en-HK"/>
        </w:rPr>
        <w:t>Therefore, the Base Amount is HK$1,921,549.20;</w:t>
      </w:r>
    </w:p>
    <w:p w:rsidR="005C5ED8" w:rsidRDefault="005C5ED8" w:rsidP="00574120">
      <w:pPr>
        <w:pStyle w:val="HC-Hanging"/>
        <w:numPr>
          <w:ilvl w:val="0"/>
          <w:numId w:val="0"/>
        </w:numPr>
        <w:spacing w:before="240"/>
        <w:ind w:left="1440" w:hanging="720"/>
        <w:rPr>
          <w:rFonts w:eastAsia="PMingLiU"/>
          <w:color w:val="000000"/>
          <w:lang w:val="en-HK"/>
        </w:rPr>
      </w:pPr>
      <w:r>
        <w:rPr>
          <w:rFonts w:eastAsia="PMingLiU"/>
          <w:color w:val="000000"/>
          <w:lang w:val="en-HK"/>
        </w:rPr>
        <w:t>(2)</w:t>
      </w:r>
      <w:r>
        <w:rPr>
          <w:rFonts w:eastAsia="PMingLiU"/>
          <w:color w:val="000000"/>
          <w:lang w:val="en-HK"/>
        </w:rPr>
        <w:tab/>
      </w:r>
      <w:r>
        <w:rPr>
          <w:rFonts w:eastAsia="PMingLiU"/>
          <w:b/>
          <w:bCs/>
          <w:color w:val="000000"/>
          <w:lang w:val="en-HK"/>
        </w:rPr>
        <w:t>Step 2</w:t>
      </w:r>
      <w:r>
        <w:rPr>
          <w:rFonts w:eastAsia="PMingLiU"/>
          <w:color w:val="000000"/>
          <w:lang w:val="en-HK"/>
        </w:rPr>
        <w:t>:</w:t>
      </w:r>
      <w:r>
        <w:rPr>
          <w:rFonts w:eastAsia="PMingLiU"/>
          <w:b/>
          <w:bCs/>
          <w:color w:val="000000"/>
          <w:lang w:val="en-HK"/>
        </w:rPr>
        <w:t xml:space="preserve"> </w:t>
      </w:r>
      <w:r>
        <w:rPr>
          <w:rFonts w:eastAsia="PMingLiU"/>
          <w:color w:val="000000"/>
          <w:lang w:val="en-HK"/>
        </w:rPr>
        <w:t>As to aggravating and mitigating factors:</w:t>
      </w:r>
    </w:p>
    <w:p w:rsidR="005C5ED8" w:rsidRDefault="005C5ED8" w:rsidP="005C5ED8">
      <w:pPr>
        <w:pStyle w:val="HC-Hanging"/>
        <w:numPr>
          <w:ilvl w:val="0"/>
          <w:numId w:val="0"/>
        </w:numPr>
        <w:ind w:left="2160" w:hanging="1440"/>
        <w:rPr>
          <w:rFonts w:eastAsia="PMingLiU"/>
          <w:color w:val="000000"/>
          <w:lang w:val="en-HK"/>
        </w:rPr>
      </w:pPr>
      <w:r>
        <w:rPr>
          <w:rFonts w:eastAsia="PMingLiU"/>
          <w:color w:val="000000"/>
          <w:lang w:val="en-HK"/>
        </w:rPr>
        <w:tab/>
        <w:t>(a)</w:t>
      </w:r>
      <w:r>
        <w:rPr>
          <w:rFonts w:eastAsia="PMingLiU"/>
          <w:color w:val="000000"/>
          <w:lang w:val="en-HK"/>
        </w:rPr>
        <w:tab/>
        <w:t xml:space="preserve">Due to non-compliance with the NCC, the Commission seeks an uplift of 25% which is the same as the uplift applied to the other Respondents in the </w:t>
      </w:r>
      <w:r>
        <w:rPr>
          <w:rFonts w:eastAsia="PMingLiU"/>
          <w:i/>
          <w:iCs/>
          <w:color w:val="000000"/>
          <w:lang w:val="en-HK"/>
        </w:rPr>
        <w:t xml:space="preserve">Kam Kwong </w:t>
      </w:r>
      <w:r>
        <w:rPr>
          <w:rFonts w:eastAsia="PMingLiU"/>
          <w:color w:val="000000"/>
          <w:lang w:val="en-HK"/>
        </w:rPr>
        <w:t>applications;</w:t>
      </w:r>
    </w:p>
    <w:p w:rsidR="005C5ED8" w:rsidRDefault="005C5ED8" w:rsidP="005C5ED8">
      <w:pPr>
        <w:pStyle w:val="HC-Hanging"/>
        <w:numPr>
          <w:ilvl w:val="0"/>
          <w:numId w:val="0"/>
        </w:numPr>
        <w:ind w:left="2160" w:hanging="1440"/>
        <w:rPr>
          <w:rFonts w:eastAsia="PMingLiU"/>
          <w:color w:val="000000"/>
          <w:lang w:val="en-GB"/>
        </w:rPr>
      </w:pPr>
      <w:r>
        <w:rPr>
          <w:rFonts w:eastAsia="PMingLiU"/>
          <w:color w:val="000000"/>
          <w:lang w:val="en-HK"/>
        </w:rPr>
        <w:tab/>
        <w:t>(b)</w:t>
      </w:r>
      <w:r>
        <w:rPr>
          <w:rFonts w:eastAsia="PMingLiU"/>
          <w:color w:val="000000"/>
          <w:lang w:val="en-HK"/>
        </w:rPr>
        <w:tab/>
        <w:t xml:space="preserve">Yat Ying is a small business run by Agnes Au Yeung as the sole proprietor, so the Commission </w:t>
      </w:r>
      <w:r w:rsidR="004F410F">
        <w:rPr>
          <w:rFonts w:eastAsia="PMingLiU"/>
          <w:color w:val="000000"/>
          <w:lang w:val="en-HK"/>
        </w:rPr>
        <w:t>consider</w:t>
      </w:r>
      <w:r>
        <w:rPr>
          <w:rFonts w:eastAsia="PMingLiU"/>
          <w:color w:val="000000"/>
          <w:lang w:val="en-HK"/>
        </w:rPr>
        <w:t xml:space="preserve"> it unnecessary to impose an uplift for </w:t>
      </w:r>
      <w:r w:rsidRPr="00E753C3">
        <w:rPr>
          <w:rFonts w:eastAsia="PMingLiU"/>
          <w:color w:val="000000"/>
          <w:lang w:val="en-GB"/>
        </w:rPr>
        <w:t>director/senior management participation</w:t>
      </w:r>
      <w:r>
        <w:rPr>
          <w:rFonts w:eastAsia="PMingLiU"/>
          <w:color w:val="000000"/>
          <w:lang w:val="en-GB"/>
        </w:rPr>
        <w:t>;</w:t>
      </w:r>
    </w:p>
    <w:p w:rsidR="005C5ED8" w:rsidRDefault="005C5ED8" w:rsidP="005C5ED8">
      <w:pPr>
        <w:pStyle w:val="HC-Hanging"/>
        <w:numPr>
          <w:ilvl w:val="0"/>
          <w:numId w:val="0"/>
        </w:numPr>
        <w:ind w:left="2160" w:hanging="1440"/>
        <w:rPr>
          <w:rFonts w:eastAsia="PMingLiU"/>
          <w:color w:val="000000"/>
          <w:lang w:val="en-GB"/>
        </w:rPr>
      </w:pPr>
      <w:r>
        <w:rPr>
          <w:rFonts w:eastAsia="PMingLiU"/>
          <w:color w:val="000000"/>
          <w:lang w:val="en-GB"/>
        </w:rPr>
        <w:tab/>
        <w:t>(c)</w:t>
      </w:r>
      <w:r>
        <w:rPr>
          <w:rFonts w:eastAsia="PMingLiU"/>
          <w:color w:val="000000"/>
          <w:lang w:val="en-GB"/>
        </w:rPr>
        <w:tab/>
        <w:t>Based on the information available, the Commission does not see any applicable mitigating factors;</w:t>
      </w:r>
    </w:p>
    <w:p w:rsidR="005C5ED8" w:rsidRDefault="005C5ED8" w:rsidP="005C5ED8">
      <w:pPr>
        <w:pStyle w:val="HC-Hanging"/>
        <w:numPr>
          <w:ilvl w:val="0"/>
          <w:numId w:val="0"/>
        </w:numPr>
        <w:ind w:left="2160" w:hanging="1440"/>
        <w:rPr>
          <w:rFonts w:eastAsia="PMingLiU"/>
          <w:color w:val="000000"/>
          <w:lang w:val="en-GB"/>
        </w:rPr>
      </w:pPr>
      <w:r>
        <w:rPr>
          <w:rFonts w:eastAsia="PMingLiU"/>
          <w:color w:val="000000"/>
          <w:lang w:val="en-GB"/>
        </w:rPr>
        <w:tab/>
        <w:t>(d)</w:t>
      </w:r>
      <w:r>
        <w:rPr>
          <w:rFonts w:eastAsia="PMingLiU"/>
          <w:color w:val="000000"/>
          <w:lang w:val="en-GB"/>
        </w:rPr>
        <w:tab/>
        <w:t>Therefore, the Step 2 figure is HK$1,921,549.20 x 1.25 = HK$2,401,936.50;</w:t>
      </w:r>
    </w:p>
    <w:p w:rsidR="00C242C9" w:rsidRDefault="00C242C9" w:rsidP="00C242C9">
      <w:pPr>
        <w:pStyle w:val="HC-Hanging"/>
        <w:numPr>
          <w:ilvl w:val="0"/>
          <w:numId w:val="0"/>
        </w:numPr>
        <w:ind w:left="1440" w:hanging="720"/>
        <w:rPr>
          <w:rFonts w:eastAsia="PMingLiU"/>
          <w:color w:val="000000"/>
          <w:lang w:val="en-HK"/>
        </w:rPr>
      </w:pPr>
      <w:r>
        <w:rPr>
          <w:rFonts w:eastAsia="PMingLiU"/>
          <w:color w:val="000000"/>
          <w:lang w:val="en-GB"/>
        </w:rPr>
        <w:t>(3)</w:t>
      </w:r>
      <w:r>
        <w:rPr>
          <w:rFonts w:eastAsia="PMingLiU"/>
          <w:color w:val="000000"/>
          <w:lang w:val="en-GB"/>
        </w:rPr>
        <w:tab/>
      </w:r>
      <w:r w:rsidR="004F410F">
        <w:rPr>
          <w:rFonts w:eastAsia="PMingLiU"/>
          <w:color w:val="000000"/>
          <w:lang w:val="en-GB"/>
        </w:rPr>
        <w:t>The 6</w:t>
      </w:r>
      <w:r w:rsidR="004F410F" w:rsidRPr="004F410F">
        <w:rPr>
          <w:rFonts w:eastAsia="PMingLiU"/>
          <w:color w:val="000000"/>
          <w:vertAlign w:val="superscript"/>
          <w:lang w:val="en-GB"/>
        </w:rPr>
        <w:t>th</w:t>
      </w:r>
      <w:r w:rsidR="004F410F">
        <w:rPr>
          <w:rFonts w:eastAsia="PMingLiU"/>
          <w:color w:val="000000"/>
          <w:lang w:val="en-GB"/>
        </w:rPr>
        <w:t> Respondent</w:t>
      </w:r>
      <w:r>
        <w:rPr>
          <w:rFonts w:eastAsia="PMingLiU"/>
          <w:color w:val="000000"/>
          <w:lang w:val="en-HK"/>
        </w:rPr>
        <w:t xml:space="preserve"> has not </w:t>
      </w:r>
      <w:r w:rsidRPr="00B92077">
        <w:rPr>
          <w:color w:val="000000"/>
          <w:lang w:val="en-HK"/>
        </w:rPr>
        <w:t xml:space="preserve">been found by the Tribunal to have contravened the </w:t>
      </w:r>
      <w:r w:rsidRPr="00C242C9">
        <w:rPr>
          <w:i/>
          <w:color w:val="000000"/>
          <w:lang w:val="en-HK"/>
        </w:rPr>
        <w:t>Ordinance</w:t>
      </w:r>
      <w:r>
        <w:rPr>
          <w:rFonts w:eastAsia="PMingLiU"/>
          <w:color w:val="000000"/>
          <w:lang w:val="en-HK"/>
        </w:rPr>
        <w:t xml:space="preserve"> previously, and there is no specific or concrete loss or damage from the conduct;</w:t>
      </w:r>
    </w:p>
    <w:p w:rsidR="00C242C9" w:rsidRDefault="00C242C9" w:rsidP="00C242C9">
      <w:pPr>
        <w:pStyle w:val="HC-Hanging"/>
        <w:numPr>
          <w:ilvl w:val="0"/>
          <w:numId w:val="0"/>
        </w:numPr>
        <w:ind w:left="1440" w:hanging="720"/>
        <w:rPr>
          <w:rFonts w:eastAsia="PMingLiU"/>
          <w:color w:val="000000"/>
          <w:lang w:val="en-HK"/>
        </w:rPr>
      </w:pPr>
      <w:r>
        <w:rPr>
          <w:rFonts w:eastAsia="PMingLiU"/>
          <w:color w:val="000000"/>
          <w:lang w:val="en-HK"/>
        </w:rPr>
        <w:t>(4)</w:t>
      </w:r>
      <w:r>
        <w:rPr>
          <w:rFonts w:eastAsia="PMingLiU"/>
          <w:color w:val="000000"/>
          <w:lang w:val="en-HK"/>
        </w:rPr>
        <w:tab/>
      </w:r>
      <w:r w:rsidR="004F410F">
        <w:rPr>
          <w:rFonts w:eastAsia="PMingLiU"/>
          <w:color w:val="000000"/>
          <w:lang w:val="en-GB"/>
        </w:rPr>
        <w:t>The 6</w:t>
      </w:r>
      <w:r w:rsidR="004F410F" w:rsidRPr="004F410F">
        <w:rPr>
          <w:rFonts w:eastAsia="PMingLiU"/>
          <w:color w:val="000000"/>
          <w:vertAlign w:val="superscript"/>
          <w:lang w:val="en-GB"/>
        </w:rPr>
        <w:t>th</w:t>
      </w:r>
      <w:r w:rsidR="004F410F">
        <w:rPr>
          <w:rFonts w:eastAsia="PMingLiU"/>
          <w:color w:val="000000"/>
          <w:lang w:val="en-GB"/>
        </w:rPr>
        <w:t> Respondent</w:t>
      </w:r>
      <w:r>
        <w:rPr>
          <w:rFonts w:eastAsia="PMingLiU"/>
          <w:color w:val="000000"/>
          <w:lang w:val="en-HK"/>
        </w:rPr>
        <w:t xml:space="preserve"> had provided a financial statement stating its turnover and profits as follows, which appears to be false and misleading when compared to the information provided by the HKPC;</w:t>
      </w:r>
    </w:p>
    <w:p w:rsidR="00C242C9" w:rsidRDefault="00C242C9" w:rsidP="00C242C9">
      <w:pPr>
        <w:pStyle w:val="HC-Hanging"/>
        <w:numPr>
          <w:ilvl w:val="0"/>
          <w:numId w:val="0"/>
        </w:numPr>
        <w:ind w:left="1440" w:hanging="720"/>
        <w:rPr>
          <w:rFonts w:eastAsia="PMingLiU"/>
          <w:color w:val="000000"/>
          <w:lang w:val="en-HK"/>
        </w:rPr>
      </w:pPr>
      <w:r>
        <w:rPr>
          <w:rFonts w:eastAsia="PMingLiU"/>
          <w:color w:val="000000"/>
          <w:lang w:val="en-HK"/>
        </w:rPr>
        <w:tab/>
      </w:r>
    </w:p>
    <w:tbl>
      <w:tblPr>
        <w:tblStyle w:val="TableGrid"/>
        <w:tblW w:w="7767" w:type="dxa"/>
        <w:tblInd w:w="1260" w:type="dxa"/>
        <w:tblLook w:val="04A0" w:firstRow="1" w:lastRow="0" w:firstColumn="1" w:lastColumn="0" w:noHBand="0" w:noVBand="1"/>
      </w:tblPr>
      <w:tblGrid>
        <w:gridCol w:w="3364"/>
        <w:gridCol w:w="2530"/>
        <w:gridCol w:w="1873"/>
      </w:tblGrid>
      <w:tr w:rsidR="00C242C9" w:rsidRPr="002749DA" w:rsidTr="001A374C">
        <w:tc>
          <w:tcPr>
            <w:tcW w:w="3364" w:type="dxa"/>
          </w:tcPr>
          <w:p w:rsidR="00C242C9" w:rsidRPr="002749DA" w:rsidRDefault="00C242C9"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b/>
                <w:bCs/>
                <w:color w:val="000000"/>
              </w:rPr>
              <w:t>Financial Year</w:t>
            </w:r>
          </w:p>
        </w:tc>
        <w:tc>
          <w:tcPr>
            <w:tcW w:w="2530" w:type="dxa"/>
          </w:tcPr>
          <w:p w:rsidR="00C242C9" w:rsidRPr="002749DA" w:rsidRDefault="00C242C9"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b/>
                <w:bCs/>
                <w:color w:val="000000"/>
              </w:rPr>
              <w:t>Turnover (minus tax)</w:t>
            </w:r>
          </w:p>
        </w:tc>
        <w:tc>
          <w:tcPr>
            <w:tcW w:w="1873" w:type="dxa"/>
          </w:tcPr>
          <w:p w:rsidR="00C242C9" w:rsidRPr="002749DA" w:rsidRDefault="00C242C9" w:rsidP="001A374C">
            <w:pPr>
              <w:pStyle w:val="ListI"/>
              <w:tabs>
                <w:tab w:val="left" w:pos="540"/>
              </w:tabs>
              <w:jc w:val="center"/>
              <w:rPr>
                <w:rFonts w:ascii="Times New Roman" w:hAnsi="Times New Roman" w:cs="Times New Roman"/>
                <w:b/>
                <w:bCs/>
                <w:color w:val="000000"/>
              </w:rPr>
            </w:pPr>
            <w:r w:rsidRPr="002749DA">
              <w:rPr>
                <w:rFonts w:ascii="Times New Roman" w:hAnsi="Times New Roman" w:cs="Times New Roman"/>
                <w:b/>
                <w:bCs/>
                <w:color w:val="000000"/>
              </w:rPr>
              <w:t>Profit (loss)</w:t>
            </w:r>
          </w:p>
        </w:tc>
      </w:tr>
      <w:tr w:rsidR="00C242C9" w:rsidRPr="002749DA" w:rsidTr="001A374C">
        <w:tc>
          <w:tcPr>
            <w:tcW w:w="3364" w:type="dxa"/>
            <w:vAlign w:val="bottom"/>
          </w:tcPr>
          <w:p w:rsidR="00C242C9" w:rsidRPr="002749DA" w:rsidRDefault="00C242C9" w:rsidP="001A374C">
            <w:pPr>
              <w:pStyle w:val="ListI"/>
              <w:tabs>
                <w:tab w:val="left" w:pos="540"/>
              </w:tabs>
              <w:jc w:val="center"/>
              <w:rPr>
                <w:rFonts w:ascii="Times New Roman" w:hAnsi="Times New Roman" w:cs="Times New Roman"/>
                <w:color w:val="000000"/>
              </w:rPr>
            </w:pPr>
            <w:r w:rsidRPr="002749DA">
              <w:rPr>
                <w:rFonts w:ascii="Times New Roman" w:hAnsi="Times New Roman" w:cs="Times New Roman"/>
                <w:color w:val="000000"/>
              </w:rPr>
              <w:t>1 April 2020 to 31 March 2021</w:t>
            </w:r>
          </w:p>
        </w:tc>
        <w:tc>
          <w:tcPr>
            <w:tcW w:w="2530" w:type="dxa"/>
          </w:tcPr>
          <w:p w:rsidR="00C242C9" w:rsidRPr="002749DA" w:rsidRDefault="00C242C9"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rPr>
              <w:t>HK$</w:t>
            </w:r>
            <w:r w:rsidRPr="002749DA">
              <w:rPr>
                <w:rFonts w:ascii="Times New Roman" w:hAnsi="Times New Roman" w:cs="Times New Roman"/>
                <w:lang w:val="en-GB"/>
              </w:rPr>
              <w:t>108,216</w:t>
            </w:r>
          </w:p>
        </w:tc>
        <w:tc>
          <w:tcPr>
            <w:tcW w:w="1873" w:type="dxa"/>
          </w:tcPr>
          <w:p w:rsidR="00C242C9" w:rsidRPr="002749DA" w:rsidRDefault="00C242C9" w:rsidP="001A374C">
            <w:pPr>
              <w:pStyle w:val="ListI"/>
              <w:tabs>
                <w:tab w:val="left" w:pos="540"/>
              </w:tabs>
              <w:jc w:val="center"/>
              <w:rPr>
                <w:rFonts w:ascii="Times New Roman" w:hAnsi="Times New Roman" w:cs="Times New Roman"/>
                <w:color w:val="000000"/>
              </w:rPr>
            </w:pPr>
            <w:r w:rsidRPr="002749DA">
              <w:rPr>
                <w:rFonts w:ascii="Times New Roman" w:hAnsi="Times New Roman" w:cs="Times New Roman"/>
                <w:color w:val="000000"/>
              </w:rPr>
              <w:t>HK$108,216</w:t>
            </w:r>
          </w:p>
        </w:tc>
      </w:tr>
      <w:tr w:rsidR="00C242C9" w:rsidRPr="002749DA" w:rsidTr="001A374C">
        <w:tc>
          <w:tcPr>
            <w:tcW w:w="3364" w:type="dxa"/>
            <w:vAlign w:val="bottom"/>
          </w:tcPr>
          <w:p w:rsidR="00C242C9" w:rsidRPr="002749DA" w:rsidRDefault="00C242C9"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color w:val="000000"/>
              </w:rPr>
              <w:t>1 April 2021 to 31 March 2022</w:t>
            </w:r>
          </w:p>
        </w:tc>
        <w:tc>
          <w:tcPr>
            <w:tcW w:w="2530" w:type="dxa"/>
          </w:tcPr>
          <w:p w:rsidR="00C242C9" w:rsidRPr="002749DA" w:rsidRDefault="00C242C9"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noProof/>
                <w:lang w:val="en-GB" w:eastAsia="zh-CN"/>
              </w:rPr>
              <w:t>HK$556,911.4</w:t>
            </w:r>
            <w:r>
              <w:rPr>
                <w:rFonts w:ascii="Times New Roman" w:hAnsi="Times New Roman" w:cs="Times New Roman"/>
                <w:noProof/>
                <w:lang w:val="en-GB" w:eastAsia="zh-CN"/>
              </w:rPr>
              <w:t>0</w:t>
            </w:r>
          </w:p>
        </w:tc>
        <w:tc>
          <w:tcPr>
            <w:tcW w:w="1873" w:type="dxa"/>
          </w:tcPr>
          <w:p w:rsidR="00C242C9" w:rsidRPr="002749DA" w:rsidRDefault="00C242C9" w:rsidP="001A374C">
            <w:pPr>
              <w:pStyle w:val="ListI"/>
              <w:tabs>
                <w:tab w:val="left" w:pos="540"/>
              </w:tabs>
              <w:jc w:val="center"/>
              <w:rPr>
                <w:rFonts w:ascii="Times New Roman" w:hAnsi="Times New Roman" w:cs="Times New Roman"/>
                <w:color w:val="000000"/>
              </w:rPr>
            </w:pPr>
            <w:r w:rsidRPr="002749DA">
              <w:rPr>
                <w:rFonts w:ascii="Times New Roman" w:hAnsi="Times New Roman" w:cs="Times New Roman"/>
                <w:color w:val="000000"/>
              </w:rPr>
              <w:t>(HK$31,986.66)</w:t>
            </w:r>
          </w:p>
        </w:tc>
      </w:tr>
    </w:tbl>
    <w:p w:rsidR="00C242C9" w:rsidRDefault="00C242C9" w:rsidP="00C242C9">
      <w:pPr>
        <w:pStyle w:val="HC-Hanging"/>
        <w:numPr>
          <w:ilvl w:val="0"/>
          <w:numId w:val="0"/>
        </w:numPr>
        <w:ind w:left="1440" w:hanging="720"/>
        <w:rPr>
          <w:rFonts w:eastAsia="PMingLiU"/>
          <w:color w:val="000000"/>
          <w:lang w:val="en-HK"/>
        </w:rPr>
      </w:pPr>
      <w:r>
        <w:rPr>
          <w:rFonts w:eastAsia="PMingLiU"/>
          <w:color w:val="000000"/>
          <w:lang w:val="en-HK"/>
        </w:rPr>
        <w:t>(5)</w:t>
      </w:r>
      <w:r>
        <w:rPr>
          <w:rFonts w:eastAsia="PMingLiU"/>
          <w:color w:val="000000"/>
          <w:lang w:val="en-HK"/>
        </w:rPr>
        <w:tab/>
        <w:t xml:space="preserve">Instead, the Commission adopted the figures provided by the HKPC for the total amount of funding actually released by D-Biz to Yat Ying during the relevant period as proxy for Yat Ying’s annual turnover, because: </w:t>
      </w:r>
      <w:r>
        <w:rPr>
          <w:rFonts w:eastAsia="PMingLiU"/>
          <w:b/>
          <w:bCs/>
          <w:color w:val="000000"/>
          <w:lang w:val="en-HK"/>
        </w:rPr>
        <w:t>(i)</w:t>
      </w:r>
      <w:r>
        <w:rPr>
          <w:rFonts w:eastAsia="PMingLiU"/>
          <w:color w:val="000000"/>
          <w:lang w:val="en-HK"/>
        </w:rPr>
        <w:t xml:space="preserve"> Yat Ying did not have any VOS or business outside its awards under D-Biz, and </w:t>
      </w:r>
      <w:r>
        <w:rPr>
          <w:rFonts w:eastAsia="PMingLiU"/>
          <w:b/>
          <w:bCs/>
          <w:color w:val="000000"/>
          <w:lang w:val="en-HK"/>
        </w:rPr>
        <w:t xml:space="preserve">(ii) </w:t>
      </w:r>
      <w:r>
        <w:rPr>
          <w:rFonts w:eastAsia="PMingLiU"/>
          <w:color w:val="000000"/>
          <w:lang w:val="en-HK"/>
        </w:rPr>
        <w:t>HKPC is an independent source of information whose figures will likely be more reliable;</w:t>
      </w:r>
    </w:p>
    <w:p w:rsidR="00C242C9" w:rsidRDefault="00C242C9" w:rsidP="00C242C9">
      <w:pPr>
        <w:pStyle w:val="HC-Hanging"/>
        <w:numPr>
          <w:ilvl w:val="0"/>
          <w:numId w:val="0"/>
        </w:numPr>
        <w:ind w:left="1440" w:hanging="720"/>
        <w:rPr>
          <w:rFonts w:eastAsia="PMingLiU"/>
          <w:color w:val="000000"/>
          <w:lang w:val="en-HK"/>
        </w:rPr>
      </w:pPr>
      <w:r>
        <w:rPr>
          <w:rFonts w:eastAsia="PMingLiU"/>
          <w:color w:val="000000"/>
          <w:lang w:val="en-HK"/>
        </w:rPr>
        <w:tab/>
      </w:r>
    </w:p>
    <w:tbl>
      <w:tblPr>
        <w:tblStyle w:val="TableGrid"/>
        <w:tblW w:w="6803" w:type="dxa"/>
        <w:tblInd w:w="1556" w:type="dxa"/>
        <w:tblLook w:val="04A0" w:firstRow="1" w:lastRow="0" w:firstColumn="1" w:lastColumn="0" w:noHBand="0" w:noVBand="1"/>
      </w:tblPr>
      <w:tblGrid>
        <w:gridCol w:w="3364"/>
        <w:gridCol w:w="3439"/>
      </w:tblGrid>
      <w:tr w:rsidR="00C242C9" w:rsidRPr="002749DA" w:rsidTr="001A374C">
        <w:tc>
          <w:tcPr>
            <w:tcW w:w="3364" w:type="dxa"/>
          </w:tcPr>
          <w:p w:rsidR="00C242C9" w:rsidRPr="002749DA" w:rsidRDefault="00C242C9"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b/>
                <w:bCs/>
                <w:color w:val="000000"/>
              </w:rPr>
              <w:t>Financial Year</w:t>
            </w:r>
          </w:p>
        </w:tc>
        <w:tc>
          <w:tcPr>
            <w:tcW w:w="3439" w:type="dxa"/>
          </w:tcPr>
          <w:p w:rsidR="00C242C9" w:rsidRPr="002749DA" w:rsidRDefault="00C242C9"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b/>
                <w:bCs/>
                <w:color w:val="000000"/>
              </w:rPr>
              <w:t>Turnover (</w:t>
            </w:r>
            <w:r>
              <w:rPr>
                <w:rFonts w:ascii="Times New Roman" w:hAnsi="Times New Roman" w:cs="Times New Roman"/>
                <w:b/>
                <w:bCs/>
                <w:color w:val="000000"/>
              </w:rPr>
              <w:t>funding released)</w:t>
            </w:r>
          </w:p>
        </w:tc>
      </w:tr>
      <w:tr w:rsidR="00C242C9" w:rsidRPr="002749DA" w:rsidTr="001A374C">
        <w:tc>
          <w:tcPr>
            <w:tcW w:w="3364" w:type="dxa"/>
            <w:vAlign w:val="bottom"/>
          </w:tcPr>
          <w:p w:rsidR="00C242C9" w:rsidRPr="002749DA" w:rsidRDefault="00C242C9" w:rsidP="001A374C">
            <w:pPr>
              <w:pStyle w:val="ListI"/>
              <w:tabs>
                <w:tab w:val="left" w:pos="540"/>
              </w:tabs>
              <w:jc w:val="center"/>
              <w:rPr>
                <w:rFonts w:ascii="Times New Roman" w:hAnsi="Times New Roman" w:cs="Times New Roman"/>
                <w:color w:val="000000"/>
              </w:rPr>
            </w:pPr>
            <w:r w:rsidRPr="002749DA">
              <w:rPr>
                <w:rFonts w:ascii="Times New Roman" w:hAnsi="Times New Roman" w:cs="Times New Roman"/>
                <w:color w:val="000000"/>
              </w:rPr>
              <w:t>1 April 2020 to 31 March 2021</w:t>
            </w:r>
          </w:p>
        </w:tc>
        <w:tc>
          <w:tcPr>
            <w:tcW w:w="3439" w:type="dxa"/>
          </w:tcPr>
          <w:p w:rsidR="00C242C9" w:rsidRPr="002749DA" w:rsidRDefault="00C242C9" w:rsidP="001A374C">
            <w:pPr>
              <w:pStyle w:val="ListI"/>
              <w:tabs>
                <w:tab w:val="left" w:pos="540"/>
              </w:tabs>
              <w:jc w:val="center"/>
              <w:rPr>
                <w:rFonts w:ascii="Times New Roman" w:hAnsi="Times New Roman" w:cs="Times New Roman"/>
                <w:noProof/>
                <w:lang w:val="en-GB" w:eastAsia="zh-CN"/>
              </w:rPr>
            </w:pPr>
            <w:r w:rsidRPr="002A01E5">
              <w:rPr>
                <w:rFonts w:ascii="Times New Roman" w:hAnsi="Times New Roman" w:cs="Times New Roman"/>
                <w:lang w:val="en-GB"/>
              </w:rPr>
              <w:t>HK$1,485,696</w:t>
            </w:r>
          </w:p>
        </w:tc>
      </w:tr>
      <w:tr w:rsidR="00C242C9" w:rsidRPr="002749DA" w:rsidTr="001A374C">
        <w:tc>
          <w:tcPr>
            <w:tcW w:w="3364" w:type="dxa"/>
            <w:vAlign w:val="bottom"/>
          </w:tcPr>
          <w:p w:rsidR="00C242C9" w:rsidRPr="002749DA" w:rsidRDefault="00C242C9" w:rsidP="001A374C">
            <w:pPr>
              <w:pStyle w:val="ListI"/>
              <w:tabs>
                <w:tab w:val="left" w:pos="540"/>
              </w:tabs>
              <w:jc w:val="center"/>
              <w:rPr>
                <w:rFonts w:ascii="Times New Roman" w:hAnsi="Times New Roman" w:cs="Times New Roman"/>
                <w:noProof/>
                <w:lang w:val="en-GB" w:eastAsia="zh-CN"/>
              </w:rPr>
            </w:pPr>
            <w:r w:rsidRPr="002749DA">
              <w:rPr>
                <w:rFonts w:ascii="Times New Roman" w:hAnsi="Times New Roman" w:cs="Times New Roman"/>
                <w:color w:val="000000"/>
              </w:rPr>
              <w:t>1 April 2021 to 31 March 2022</w:t>
            </w:r>
          </w:p>
        </w:tc>
        <w:tc>
          <w:tcPr>
            <w:tcW w:w="3439" w:type="dxa"/>
          </w:tcPr>
          <w:p w:rsidR="00C242C9" w:rsidRPr="002749DA" w:rsidRDefault="00C242C9" w:rsidP="001A374C">
            <w:pPr>
              <w:pStyle w:val="ListI"/>
              <w:tabs>
                <w:tab w:val="left" w:pos="540"/>
              </w:tabs>
              <w:jc w:val="center"/>
              <w:rPr>
                <w:rFonts w:ascii="Times New Roman" w:hAnsi="Times New Roman" w:cs="Times New Roman"/>
                <w:noProof/>
                <w:lang w:val="en-GB" w:eastAsia="zh-CN"/>
              </w:rPr>
            </w:pPr>
            <w:r w:rsidRPr="002A01E5">
              <w:rPr>
                <w:rFonts w:ascii="Times New Roman" w:hAnsi="Times New Roman" w:cs="Times New Roman"/>
                <w:noProof/>
                <w:lang w:val="en-GB" w:eastAsia="zh-CN"/>
              </w:rPr>
              <w:t>HK$940,934</w:t>
            </w:r>
          </w:p>
        </w:tc>
      </w:tr>
      <w:tr w:rsidR="00C242C9" w:rsidRPr="00981294" w:rsidTr="001A374C">
        <w:tc>
          <w:tcPr>
            <w:tcW w:w="6803" w:type="dxa"/>
            <w:gridSpan w:val="2"/>
            <w:vAlign w:val="bottom"/>
          </w:tcPr>
          <w:p w:rsidR="00C242C9" w:rsidRPr="00981294" w:rsidRDefault="00C242C9" w:rsidP="001A374C">
            <w:pPr>
              <w:pStyle w:val="ListI"/>
              <w:tabs>
                <w:tab w:val="left" w:pos="540"/>
              </w:tabs>
              <w:jc w:val="center"/>
              <w:rPr>
                <w:rFonts w:ascii="Times New Roman" w:hAnsi="Times New Roman" w:cs="Times New Roman"/>
                <w:noProof/>
                <w:lang w:val="en-GB" w:eastAsia="zh-CN"/>
              </w:rPr>
            </w:pPr>
            <w:r>
              <w:rPr>
                <w:rFonts w:ascii="Times New Roman" w:hAnsi="Times New Roman" w:cs="Times New Roman"/>
                <w:b/>
                <w:bCs/>
                <w:noProof/>
                <w:lang w:val="en-GB" w:eastAsia="zh-CN"/>
              </w:rPr>
              <w:t>Total</w:t>
            </w:r>
            <w:r>
              <w:rPr>
                <w:rFonts w:ascii="Times New Roman" w:hAnsi="Times New Roman" w:cs="Times New Roman"/>
                <w:noProof/>
                <w:lang w:val="en-GB" w:eastAsia="zh-CN"/>
              </w:rPr>
              <w:t>: HK$2,426,630</w:t>
            </w:r>
          </w:p>
        </w:tc>
      </w:tr>
    </w:tbl>
    <w:p w:rsidR="00C242C9" w:rsidRPr="007D3092" w:rsidRDefault="00C242C9" w:rsidP="007D3092">
      <w:pPr>
        <w:pStyle w:val="HC-Hanging"/>
        <w:numPr>
          <w:ilvl w:val="0"/>
          <w:numId w:val="0"/>
        </w:numPr>
        <w:spacing w:before="0" w:line="380" w:lineRule="exact"/>
        <w:ind w:left="1440" w:hanging="720"/>
        <w:rPr>
          <w:rFonts w:eastAsia="PMingLiU"/>
          <w:color w:val="000000"/>
          <w:sz w:val="22"/>
          <w:lang w:val="en-HK"/>
        </w:rPr>
      </w:pPr>
    </w:p>
    <w:p w:rsidR="00C242C9" w:rsidRDefault="00C242C9" w:rsidP="00C242C9">
      <w:pPr>
        <w:pStyle w:val="HC-Hanging"/>
        <w:numPr>
          <w:ilvl w:val="0"/>
          <w:numId w:val="0"/>
        </w:numPr>
        <w:ind w:left="1440" w:hanging="720"/>
        <w:rPr>
          <w:rFonts w:eastAsia="PMingLiU"/>
          <w:color w:val="000000"/>
          <w:lang w:val="en-HK"/>
        </w:rPr>
      </w:pPr>
      <w:r>
        <w:rPr>
          <w:rFonts w:eastAsia="PMingLiU"/>
          <w:color w:val="000000"/>
          <w:lang w:val="en-HK"/>
        </w:rPr>
        <w:t>(6)</w:t>
      </w:r>
      <w:r>
        <w:rPr>
          <w:rFonts w:eastAsia="PMingLiU"/>
          <w:color w:val="000000"/>
          <w:lang w:val="en-HK"/>
        </w:rPr>
        <w:tab/>
        <w:t xml:space="preserve">The proposed penalty significantly exceeds the statutory cap under Step 3, so it is not necessary to </w:t>
      </w:r>
      <w:r w:rsidRPr="009F2490">
        <w:rPr>
          <w:rFonts w:eastAsia="PMingLiU"/>
          <w:color w:val="000000"/>
          <w:lang w:val="en-HK"/>
        </w:rPr>
        <w:t>consider any uplift for specific deterrence</w:t>
      </w:r>
      <w:r>
        <w:rPr>
          <w:rFonts w:eastAsia="PMingLiU"/>
          <w:color w:val="000000"/>
          <w:lang w:val="en-HK"/>
        </w:rPr>
        <w:t>;</w:t>
      </w:r>
    </w:p>
    <w:p w:rsidR="00C242C9" w:rsidRDefault="00C242C9" w:rsidP="00C242C9">
      <w:pPr>
        <w:pStyle w:val="HC-Hanging"/>
        <w:numPr>
          <w:ilvl w:val="0"/>
          <w:numId w:val="0"/>
        </w:numPr>
        <w:ind w:left="1440" w:hanging="720"/>
        <w:rPr>
          <w:rFonts w:eastAsia="PMingLiU"/>
          <w:color w:val="000000"/>
          <w:lang w:val="en-HK"/>
        </w:rPr>
      </w:pPr>
      <w:r>
        <w:rPr>
          <w:rFonts w:eastAsia="PMingLiU"/>
          <w:color w:val="000000"/>
          <w:lang w:val="en-HK"/>
        </w:rPr>
        <w:t>(7)</w:t>
      </w:r>
      <w:r>
        <w:rPr>
          <w:rFonts w:eastAsia="PMingLiU"/>
          <w:color w:val="000000"/>
          <w:lang w:val="en-HK"/>
        </w:rPr>
        <w:tab/>
      </w:r>
      <w:r>
        <w:rPr>
          <w:rFonts w:eastAsia="PMingLiU"/>
          <w:b/>
          <w:bCs/>
          <w:color w:val="000000"/>
          <w:lang w:val="en-HK"/>
        </w:rPr>
        <w:t>Step 3</w:t>
      </w:r>
      <w:r>
        <w:rPr>
          <w:rFonts w:eastAsia="PMingLiU"/>
          <w:color w:val="000000"/>
          <w:lang w:val="en-HK"/>
        </w:rPr>
        <w:t>: applying the statutory cap of 10% to the combined turnover, the Step 3 figure is HK$242,663;</w:t>
      </w:r>
    </w:p>
    <w:p w:rsidR="00C242C9" w:rsidRPr="00C242C9" w:rsidRDefault="00C242C9" w:rsidP="00C242C9">
      <w:pPr>
        <w:pStyle w:val="HC-Hanging"/>
        <w:numPr>
          <w:ilvl w:val="0"/>
          <w:numId w:val="0"/>
        </w:numPr>
        <w:ind w:left="1440" w:hanging="720"/>
        <w:rPr>
          <w:rFonts w:eastAsia="PMingLiU"/>
          <w:color w:val="000000"/>
          <w:lang w:val="en-GB"/>
        </w:rPr>
      </w:pPr>
      <w:r>
        <w:rPr>
          <w:rFonts w:eastAsia="PMingLiU"/>
          <w:color w:val="000000"/>
          <w:lang w:val="en-HK"/>
        </w:rPr>
        <w:t>(8)</w:t>
      </w:r>
      <w:r>
        <w:rPr>
          <w:rFonts w:eastAsia="PMingLiU"/>
          <w:color w:val="000000"/>
          <w:lang w:val="en-HK"/>
        </w:rPr>
        <w:tab/>
      </w:r>
      <w:r>
        <w:rPr>
          <w:rFonts w:eastAsia="PMingLiU"/>
          <w:b/>
          <w:bCs/>
          <w:color w:val="000000"/>
          <w:lang w:val="en-HK"/>
        </w:rPr>
        <w:t>Step 4</w:t>
      </w:r>
      <w:r>
        <w:rPr>
          <w:rFonts w:eastAsia="PMingLiU"/>
          <w:color w:val="000000"/>
          <w:lang w:val="en-HK"/>
        </w:rPr>
        <w:t>: There is no cooperation discount.  There is also no evidence suggesting any basis to claim a reduction for inability to pay.  The Step 4 figure is therefore HK$242,000 (</w:t>
      </w:r>
      <w:r w:rsidRPr="002749DA">
        <w:rPr>
          <w:rFonts w:eastAsia="PMingLiU"/>
          <w:color w:val="000000"/>
          <w:lang w:val="en-GB"/>
        </w:rPr>
        <w:t>rounding down to the nearest thousand from HK$242,663)</w:t>
      </w:r>
      <w:r>
        <w:rPr>
          <w:rFonts w:eastAsia="PMingLiU"/>
          <w:color w:val="000000"/>
          <w:lang w:val="en-GB"/>
        </w:rPr>
        <w:t>.</w:t>
      </w:r>
    </w:p>
    <w:p w:rsidR="00C242C9" w:rsidRPr="00F01923" w:rsidRDefault="00C242C9" w:rsidP="00C242C9">
      <w:pPr>
        <w:pStyle w:val="HC-Hanging"/>
        <w:numPr>
          <w:ilvl w:val="0"/>
          <w:numId w:val="0"/>
        </w:numPr>
        <w:ind w:left="1440" w:hanging="720"/>
      </w:pPr>
      <w:r>
        <w:rPr>
          <w:rFonts w:eastAsia="PMingLiU"/>
          <w:color w:val="000000"/>
          <w:lang w:val="en-HK"/>
        </w:rPr>
        <w:tab/>
      </w:r>
    </w:p>
    <w:p w:rsidR="00F01923" w:rsidRPr="00C242C9" w:rsidRDefault="00C242C9" w:rsidP="00C242C9">
      <w:pPr>
        <w:pStyle w:val="Final"/>
        <w:spacing w:after="0"/>
      </w:pPr>
      <w:r>
        <w:rPr>
          <w:rFonts w:eastAsia="PMingLiU"/>
          <w:color w:val="000000"/>
          <w:szCs w:val="28"/>
          <w:lang w:val="en-HK"/>
        </w:rPr>
        <w:t xml:space="preserve">Similar to the case of </w:t>
      </w:r>
      <w:r w:rsidR="004F410F">
        <w:rPr>
          <w:rFonts w:eastAsia="PMingLiU"/>
          <w:color w:val="000000"/>
          <w:szCs w:val="28"/>
          <w:lang w:val="en-HK"/>
        </w:rPr>
        <w:t>the 8</w:t>
      </w:r>
      <w:r w:rsidR="004F410F" w:rsidRPr="004F410F">
        <w:rPr>
          <w:rFonts w:eastAsia="PMingLiU"/>
          <w:color w:val="000000"/>
          <w:szCs w:val="28"/>
          <w:vertAlign w:val="superscript"/>
          <w:lang w:val="en-HK"/>
        </w:rPr>
        <w:t>th</w:t>
      </w:r>
      <w:r w:rsidR="004F410F">
        <w:rPr>
          <w:rFonts w:eastAsia="PMingLiU"/>
          <w:color w:val="000000"/>
          <w:szCs w:val="28"/>
          <w:lang w:val="en-HK"/>
        </w:rPr>
        <w:t xml:space="preserve"> Respondent</w:t>
      </w:r>
      <w:r>
        <w:rPr>
          <w:rFonts w:eastAsia="PMingLiU"/>
          <w:color w:val="000000"/>
          <w:szCs w:val="28"/>
          <w:lang w:val="en-HK"/>
        </w:rPr>
        <w:t>, the Commission proposes</w:t>
      </w:r>
      <w:r w:rsidR="004F410F">
        <w:rPr>
          <w:rFonts w:eastAsia="PMingLiU"/>
          <w:color w:val="000000"/>
          <w:szCs w:val="28"/>
          <w:lang w:val="en-HK"/>
        </w:rPr>
        <w:t>, and I agree, that</w:t>
      </w:r>
      <w:r>
        <w:rPr>
          <w:rFonts w:eastAsia="PMingLiU"/>
          <w:color w:val="000000"/>
          <w:szCs w:val="28"/>
          <w:lang w:val="en-HK"/>
        </w:rPr>
        <w:t xml:space="preserve"> a lump sum penalty of HK$160,000 for </w:t>
      </w:r>
      <w:r w:rsidR="004F410F">
        <w:rPr>
          <w:rFonts w:eastAsia="PMingLiU"/>
          <w:color w:val="000000"/>
          <w:szCs w:val="28"/>
          <w:lang w:val="en-HK"/>
        </w:rPr>
        <w:t>the 7</w:t>
      </w:r>
      <w:r w:rsidR="004F410F" w:rsidRPr="004F410F">
        <w:rPr>
          <w:rFonts w:eastAsia="PMingLiU"/>
          <w:color w:val="000000"/>
          <w:szCs w:val="28"/>
          <w:vertAlign w:val="superscript"/>
          <w:lang w:val="en-HK"/>
        </w:rPr>
        <w:t>th</w:t>
      </w:r>
      <w:r w:rsidR="004F410F">
        <w:rPr>
          <w:rFonts w:eastAsia="PMingLiU"/>
          <w:color w:val="000000"/>
          <w:szCs w:val="28"/>
          <w:lang w:val="en-HK"/>
        </w:rPr>
        <w:t> Respondent</w:t>
      </w:r>
      <w:r>
        <w:rPr>
          <w:rFonts w:eastAsia="PMingLiU"/>
          <w:color w:val="000000"/>
          <w:szCs w:val="28"/>
          <w:lang w:val="en-HK"/>
        </w:rPr>
        <w:t xml:space="preserve"> </w:t>
      </w:r>
      <w:r w:rsidR="004F410F">
        <w:rPr>
          <w:rFonts w:eastAsia="PMingLiU"/>
          <w:color w:val="000000"/>
          <w:szCs w:val="28"/>
          <w:lang w:val="en-HK"/>
        </w:rPr>
        <w:t xml:space="preserve">is appropriate </w:t>
      </w:r>
      <w:r>
        <w:rPr>
          <w:rFonts w:eastAsia="PMingLiU"/>
          <w:color w:val="000000"/>
          <w:szCs w:val="28"/>
          <w:lang w:val="en-HK"/>
        </w:rPr>
        <w:t>considering the following factors:</w:t>
      </w:r>
    </w:p>
    <w:p w:rsidR="00C242C9" w:rsidRPr="00C242C9" w:rsidRDefault="00C242C9" w:rsidP="00C242C9">
      <w:pPr>
        <w:pStyle w:val="HC-Hanging"/>
        <w:ind w:left="1440"/>
      </w:pPr>
      <w:r>
        <w:rPr>
          <w:rFonts w:eastAsia="PMingLiU"/>
          <w:color w:val="000000"/>
          <w:lang w:val="en-HK"/>
        </w:rPr>
        <w:t xml:space="preserve">In terms of the nature and extent of the subject conduct, </w:t>
      </w:r>
      <w:r w:rsidR="004F410F">
        <w:rPr>
          <w:rFonts w:eastAsia="PMingLiU"/>
          <w:color w:val="000000"/>
          <w:lang w:val="en-HK"/>
        </w:rPr>
        <w:t>the 7</w:t>
      </w:r>
      <w:r w:rsidR="004F410F" w:rsidRPr="004F410F">
        <w:rPr>
          <w:rFonts w:eastAsia="PMingLiU"/>
          <w:color w:val="000000"/>
          <w:vertAlign w:val="superscript"/>
          <w:lang w:val="en-HK"/>
        </w:rPr>
        <w:t>th</w:t>
      </w:r>
      <w:r w:rsidR="004F410F">
        <w:rPr>
          <w:rFonts w:eastAsia="PMingLiU"/>
          <w:color w:val="000000"/>
          <w:lang w:val="en-HK"/>
        </w:rPr>
        <w:t> Respondent</w:t>
      </w:r>
      <w:r>
        <w:rPr>
          <w:rFonts w:eastAsia="PMingLiU"/>
          <w:color w:val="000000"/>
          <w:lang w:val="en-HK"/>
        </w:rPr>
        <w:t xml:space="preserve"> played a key role in the subject contravention and was the main cartelist who instigated and facilitated the implementation of the anti-competitive conduct in question, by acting as the point of liaison between the Respondents.  In addition, there is </w:t>
      </w:r>
      <w:r w:rsidRPr="004D2CE3">
        <w:rPr>
          <w:rFonts w:eastAsia="PMingLiU"/>
          <w:color w:val="000000"/>
          <w:lang w:val="en-HK"/>
        </w:rPr>
        <w:t xml:space="preserve">evidence supporting that the quotations of </w:t>
      </w:r>
      <w:r w:rsidR="004F410F">
        <w:rPr>
          <w:rFonts w:eastAsia="PMingLiU"/>
          <w:color w:val="000000"/>
          <w:lang w:val="en-HK"/>
        </w:rPr>
        <w:t>the 3</w:t>
      </w:r>
      <w:r w:rsidR="004F410F" w:rsidRPr="004F410F">
        <w:rPr>
          <w:rFonts w:eastAsia="PMingLiU"/>
          <w:color w:val="000000"/>
          <w:vertAlign w:val="superscript"/>
          <w:lang w:val="en-HK"/>
        </w:rPr>
        <w:t>rd</w:t>
      </w:r>
      <w:r w:rsidR="004F410F">
        <w:rPr>
          <w:rFonts w:eastAsia="PMingLiU"/>
          <w:color w:val="000000"/>
          <w:lang w:val="en-HK"/>
        </w:rPr>
        <w:t> Respondent</w:t>
      </w:r>
      <w:r>
        <w:rPr>
          <w:rFonts w:eastAsia="PMingLiU"/>
          <w:color w:val="000000"/>
          <w:lang w:val="en-HK"/>
        </w:rPr>
        <w:t xml:space="preserve"> to </w:t>
      </w:r>
      <w:r w:rsidR="004F410F">
        <w:rPr>
          <w:rFonts w:eastAsia="PMingLiU"/>
          <w:color w:val="000000"/>
          <w:lang w:val="en-HK"/>
        </w:rPr>
        <w:t>the 6</w:t>
      </w:r>
      <w:r w:rsidR="004F410F" w:rsidRPr="004F410F">
        <w:rPr>
          <w:rFonts w:eastAsia="PMingLiU"/>
          <w:color w:val="000000"/>
          <w:vertAlign w:val="superscript"/>
          <w:lang w:val="en-HK"/>
        </w:rPr>
        <w:t>th</w:t>
      </w:r>
      <w:r w:rsidR="004F410F">
        <w:rPr>
          <w:rFonts w:eastAsia="PMingLiU"/>
          <w:color w:val="000000"/>
          <w:lang w:val="en-HK"/>
        </w:rPr>
        <w:t> Respondent</w:t>
      </w:r>
      <w:r w:rsidRPr="004D2CE3">
        <w:rPr>
          <w:rFonts w:eastAsia="PMingLiU"/>
          <w:color w:val="000000"/>
          <w:lang w:val="en-HK"/>
        </w:rPr>
        <w:t xml:space="preserve"> were all prepared by </w:t>
      </w:r>
      <w:r w:rsidR="004F410F">
        <w:rPr>
          <w:rFonts w:eastAsia="PMingLiU"/>
          <w:color w:val="000000"/>
          <w:lang w:val="en-HK"/>
        </w:rPr>
        <w:t>the 7</w:t>
      </w:r>
      <w:r w:rsidR="004F410F" w:rsidRPr="004F410F">
        <w:rPr>
          <w:rFonts w:eastAsia="PMingLiU"/>
          <w:color w:val="000000"/>
          <w:vertAlign w:val="superscript"/>
          <w:lang w:val="en-HK"/>
        </w:rPr>
        <w:t>th</w:t>
      </w:r>
      <w:r w:rsidR="004F410F">
        <w:rPr>
          <w:rFonts w:eastAsia="PMingLiU"/>
          <w:color w:val="000000"/>
          <w:lang w:val="en-HK"/>
        </w:rPr>
        <w:t> Respondent</w:t>
      </w:r>
      <w:r w:rsidRPr="004D2CE3">
        <w:rPr>
          <w:rFonts w:eastAsia="PMingLiU"/>
          <w:color w:val="000000"/>
          <w:lang w:val="en-HK"/>
        </w:rPr>
        <w:t xml:space="preserve"> who also forged the signatures of </w:t>
      </w:r>
      <w:r w:rsidR="004F410F">
        <w:rPr>
          <w:rFonts w:eastAsia="PMingLiU"/>
          <w:color w:val="000000"/>
          <w:lang w:val="en-HK"/>
        </w:rPr>
        <w:t>the 8</w:t>
      </w:r>
      <w:r w:rsidR="004F410F" w:rsidRPr="004F410F">
        <w:rPr>
          <w:rFonts w:eastAsia="PMingLiU"/>
          <w:color w:val="000000"/>
          <w:vertAlign w:val="superscript"/>
          <w:lang w:val="en-HK"/>
        </w:rPr>
        <w:t>th</w:t>
      </w:r>
      <w:r w:rsidR="004F410F">
        <w:rPr>
          <w:rFonts w:eastAsia="PMingLiU"/>
          <w:color w:val="000000"/>
          <w:lang w:val="en-HK"/>
        </w:rPr>
        <w:t> Respondent</w:t>
      </w:r>
      <w:r w:rsidRPr="004D2CE3">
        <w:rPr>
          <w:rFonts w:eastAsia="PMingLiU"/>
          <w:color w:val="000000"/>
          <w:lang w:val="en-HK"/>
        </w:rPr>
        <w:t xml:space="preserve"> to issue at least 102 set of </w:t>
      </w:r>
      <w:r w:rsidR="004F410F">
        <w:rPr>
          <w:rFonts w:eastAsia="PMingLiU"/>
          <w:color w:val="000000"/>
          <w:lang w:val="en-HK"/>
        </w:rPr>
        <w:t>the 5</w:t>
      </w:r>
      <w:r w:rsidR="004F410F" w:rsidRPr="004F410F">
        <w:rPr>
          <w:rFonts w:eastAsia="PMingLiU"/>
          <w:color w:val="000000"/>
          <w:vertAlign w:val="superscript"/>
          <w:lang w:val="en-HK"/>
        </w:rPr>
        <w:t>th</w:t>
      </w:r>
      <w:r w:rsidR="004F410F">
        <w:rPr>
          <w:rFonts w:eastAsia="PMingLiU"/>
          <w:color w:val="000000"/>
          <w:lang w:val="en-HK"/>
        </w:rPr>
        <w:t> Respondent</w:t>
      </w:r>
      <w:r w:rsidRPr="004D2CE3">
        <w:rPr>
          <w:rFonts w:eastAsia="PMingLiU"/>
          <w:color w:val="000000"/>
          <w:lang w:val="en-HK"/>
        </w:rPr>
        <w:t>’s quotations as cover bids</w:t>
      </w:r>
      <w:r>
        <w:rPr>
          <w:rFonts w:eastAsia="PMingLiU"/>
          <w:color w:val="000000"/>
          <w:lang w:val="en-HK"/>
        </w:rPr>
        <w:t>;</w:t>
      </w:r>
    </w:p>
    <w:p w:rsidR="00C242C9" w:rsidRPr="00C242C9" w:rsidRDefault="00C242C9" w:rsidP="00C242C9">
      <w:pPr>
        <w:pStyle w:val="HC-Hanging"/>
        <w:ind w:left="1440"/>
      </w:pPr>
      <w:r>
        <w:rPr>
          <w:rFonts w:eastAsia="PMingLiU"/>
          <w:color w:val="000000"/>
          <w:lang w:val="en-HK"/>
        </w:rPr>
        <w:t xml:space="preserve">Even though </w:t>
      </w:r>
      <w:r w:rsidR="004F410F">
        <w:rPr>
          <w:rFonts w:eastAsia="PMingLiU"/>
          <w:color w:val="000000"/>
          <w:lang w:val="en-HK"/>
        </w:rPr>
        <w:t>the 7</w:t>
      </w:r>
      <w:r w:rsidR="004F410F" w:rsidRPr="004F410F">
        <w:rPr>
          <w:rFonts w:eastAsia="PMingLiU"/>
          <w:color w:val="000000"/>
          <w:vertAlign w:val="superscript"/>
          <w:lang w:val="en-HK"/>
        </w:rPr>
        <w:t>th</w:t>
      </w:r>
      <w:r w:rsidR="004F410F">
        <w:rPr>
          <w:rFonts w:eastAsia="PMingLiU"/>
          <w:color w:val="000000"/>
          <w:lang w:val="en-HK"/>
        </w:rPr>
        <w:t> Respondent</w:t>
      </w:r>
      <w:r>
        <w:rPr>
          <w:rFonts w:eastAsia="PMingLiU"/>
          <w:color w:val="000000"/>
          <w:lang w:val="en-HK"/>
        </w:rPr>
        <w:t xml:space="preserve"> appeared to have used his personal bank account to receive HK$890,199.60 from Yat Ying’s customers who successfully applied for and received D-Biz Funding, the adoption of that figure as lump sum penalty would appear to be too high compared to the penalties proposed for/ agreed by other Respondents;</w:t>
      </w:r>
    </w:p>
    <w:p w:rsidR="00C242C9" w:rsidRPr="00C242C9" w:rsidRDefault="004F410F" w:rsidP="00C242C9">
      <w:pPr>
        <w:pStyle w:val="HC-Hanging"/>
        <w:ind w:left="1440"/>
      </w:pPr>
      <w:r>
        <w:rPr>
          <w:rFonts w:eastAsia="PMingLiU"/>
          <w:color w:val="000000"/>
        </w:rPr>
        <w:t>T</w:t>
      </w:r>
      <w:r>
        <w:rPr>
          <w:rFonts w:eastAsia="PMingLiU"/>
          <w:color w:val="000000"/>
          <w:lang w:val="en-HK"/>
        </w:rPr>
        <w:t>he 7</w:t>
      </w:r>
      <w:r w:rsidRPr="004F410F">
        <w:rPr>
          <w:rFonts w:eastAsia="PMingLiU"/>
          <w:color w:val="000000"/>
          <w:vertAlign w:val="superscript"/>
          <w:lang w:val="en-HK"/>
        </w:rPr>
        <w:t>th</w:t>
      </w:r>
      <w:r>
        <w:rPr>
          <w:rFonts w:eastAsia="PMingLiU"/>
          <w:color w:val="000000"/>
          <w:lang w:val="en-HK"/>
        </w:rPr>
        <w:t> Respondent</w:t>
      </w:r>
      <w:r w:rsidR="00C242C9">
        <w:rPr>
          <w:rFonts w:eastAsia="PMingLiU"/>
          <w:color w:val="000000"/>
          <w:lang w:val="en-HK"/>
        </w:rPr>
        <w:t xml:space="preserve"> has not been found by the Tribunal to have contravened the Ordinance previously;</w:t>
      </w:r>
    </w:p>
    <w:p w:rsidR="00C242C9" w:rsidRPr="00C242C9" w:rsidRDefault="00C242C9" w:rsidP="00C242C9">
      <w:pPr>
        <w:pStyle w:val="HC-Hanging"/>
        <w:ind w:left="1440"/>
      </w:pPr>
      <w:r>
        <w:rPr>
          <w:rFonts w:eastAsia="PMingLiU"/>
          <w:color w:val="000000"/>
          <w:lang w:val="en-HK"/>
        </w:rPr>
        <w:t xml:space="preserve">The lump sum to be paid by </w:t>
      </w:r>
      <w:r w:rsidR="004F410F">
        <w:rPr>
          <w:rFonts w:eastAsia="PMingLiU"/>
          <w:color w:val="000000"/>
        </w:rPr>
        <w:t>T</w:t>
      </w:r>
      <w:r w:rsidR="004F410F">
        <w:rPr>
          <w:rFonts w:eastAsia="PMingLiU"/>
          <w:color w:val="000000"/>
          <w:lang w:val="en-HK"/>
        </w:rPr>
        <w:t>he 7</w:t>
      </w:r>
      <w:r w:rsidR="004F410F" w:rsidRPr="004F410F">
        <w:rPr>
          <w:rFonts w:eastAsia="PMingLiU"/>
          <w:color w:val="000000"/>
          <w:vertAlign w:val="superscript"/>
          <w:lang w:val="en-HK"/>
        </w:rPr>
        <w:t>th</w:t>
      </w:r>
      <w:r w:rsidR="004F410F">
        <w:rPr>
          <w:rFonts w:eastAsia="PMingLiU"/>
          <w:color w:val="000000"/>
          <w:lang w:val="en-HK"/>
        </w:rPr>
        <w:t> Respondent</w:t>
      </w:r>
      <w:r>
        <w:rPr>
          <w:rFonts w:eastAsia="PMingLiU"/>
          <w:color w:val="000000"/>
          <w:lang w:val="en-HK"/>
        </w:rPr>
        <w:t xml:space="preserve"> should be higher than the lump sum for another involved individual, </w:t>
      </w:r>
      <w:r w:rsidR="004F410F">
        <w:rPr>
          <w:rFonts w:eastAsia="PMingLiU"/>
          <w:color w:val="000000"/>
          <w:lang w:val="en-HK"/>
        </w:rPr>
        <w:t>the 8</w:t>
      </w:r>
      <w:r w:rsidR="004F410F" w:rsidRPr="004F410F">
        <w:rPr>
          <w:rFonts w:eastAsia="PMingLiU"/>
          <w:color w:val="000000"/>
          <w:vertAlign w:val="superscript"/>
          <w:lang w:val="en-HK"/>
        </w:rPr>
        <w:t>th</w:t>
      </w:r>
      <w:r w:rsidR="004F410F">
        <w:rPr>
          <w:rFonts w:eastAsia="PMingLiU"/>
          <w:color w:val="000000"/>
          <w:lang w:val="en-HK"/>
        </w:rPr>
        <w:t> Respondent</w:t>
      </w:r>
      <w:r>
        <w:rPr>
          <w:rFonts w:eastAsia="PMingLiU"/>
          <w:color w:val="000000"/>
          <w:lang w:val="en-HK"/>
        </w:rPr>
        <w:t xml:space="preserve">, to reflect the primary/ secondary cartelist distinction.  By way of comparison, </w:t>
      </w:r>
      <w:r w:rsidR="004F410F">
        <w:rPr>
          <w:rFonts w:eastAsia="PMingLiU"/>
          <w:color w:val="000000"/>
          <w:lang w:val="en-HK"/>
        </w:rPr>
        <w:t>the 8</w:t>
      </w:r>
      <w:r w:rsidR="004F410F" w:rsidRPr="004F410F">
        <w:rPr>
          <w:rFonts w:eastAsia="PMingLiU"/>
          <w:color w:val="000000"/>
          <w:vertAlign w:val="superscript"/>
          <w:lang w:val="en-HK"/>
        </w:rPr>
        <w:t>th</w:t>
      </w:r>
      <w:r w:rsidR="004F410F">
        <w:rPr>
          <w:rFonts w:eastAsia="PMingLiU"/>
          <w:color w:val="000000"/>
          <w:lang w:val="en-HK"/>
        </w:rPr>
        <w:t> Respondent</w:t>
      </w:r>
      <w:r>
        <w:rPr>
          <w:rFonts w:eastAsia="PMingLiU"/>
          <w:color w:val="000000"/>
          <w:lang w:val="en-HK"/>
        </w:rPr>
        <w:t xml:space="preserve"> was only invited by </w:t>
      </w:r>
      <w:r w:rsidR="004F410F">
        <w:rPr>
          <w:rFonts w:eastAsia="PMingLiU"/>
          <w:color w:val="000000"/>
          <w:lang w:val="en-HK"/>
        </w:rPr>
        <w:t>the 7</w:t>
      </w:r>
      <w:r w:rsidR="004F410F" w:rsidRPr="004F410F">
        <w:rPr>
          <w:rFonts w:eastAsia="PMingLiU"/>
          <w:color w:val="000000"/>
          <w:vertAlign w:val="superscript"/>
          <w:lang w:val="en-HK"/>
        </w:rPr>
        <w:t>th</w:t>
      </w:r>
      <w:r w:rsidR="004F410F">
        <w:rPr>
          <w:rFonts w:eastAsia="PMingLiU"/>
          <w:color w:val="000000"/>
          <w:lang w:val="en-HK"/>
        </w:rPr>
        <w:t> Respondent</w:t>
      </w:r>
      <w:r>
        <w:rPr>
          <w:rFonts w:eastAsia="PMingLiU"/>
          <w:color w:val="000000"/>
          <w:lang w:val="en-HK"/>
        </w:rPr>
        <w:t xml:space="preserve"> to provide </w:t>
      </w:r>
      <w:r w:rsidR="004F410F">
        <w:rPr>
          <w:rFonts w:eastAsia="PMingLiU"/>
          <w:color w:val="000000"/>
          <w:lang w:val="en-HK"/>
        </w:rPr>
        <w:t>the 5</w:t>
      </w:r>
      <w:r w:rsidR="004F410F" w:rsidRPr="004F410F">
        <w:rPr>
          <w:rFonts w:eastAsia="PMingLiU"/>
          <w:color w:val="000000"/>
          <w:vertAlign w:val="superscript"/>
          <w:lang w:val="en-HK"/>
        </w:rPr>
        <w:t>th</w:t>
      </w:r>
      <w:r w:rsidR="004F410F">
        <w:rPr>
          <w:rFonts w:eastAsia="PMingLiU"/>
          <w:color w:val="000000"/>
          <w:lang w:val="en-HK"/>
        </w:rPr>
        <w:t> Respondent</w:t>
      </w:r>
      <w:r>
        <w:rPr>
          <w:rFonts w:eastAsia="PMingLiU"/>
          <w:color w:val="000000"/>
          <w:lang w:val="en-HK"/>
        </w:rPr>
        <w:t xml:space="preserve">’s quotations as cover bids, but </w:t>
      </w:r>
      <w:r w:rsidR="004F410F">
        <w:rPr>
          <w:rFonts w:eastAsia="PMingLiU"/>
          <w:color w:val="000000"/>
          <w:lang w:val="en-HK"/>
        </w:rPr>
        <w:t>the 7</w:t>
      </w:r>
      <w:r w:rsidR="004F410F" w:rsidRPr="004F410F">
        <w:rPr>
          <w:rFonts w:eastAsia="PMingLiU"/>
          <w:color w:val="000000"/>
          <w:vertAlign w:val="superscript"/>
          <w:lang w:val="en-HK"/>
        </w:rPr>
        <w:t>th</w:t>
      </w:r>
      <w:r w:rsidR="004F410F">
        <w:rPr>
          <w:rFonts w:eastAsia="PMingLiU"/>
          <w:color w:val="000000"/>
          <w:lang w:val="en-HK"/>
        </w:rPr>
        <w:t> Respondent</w:t>
      </w:r>
      <w:r>
        <w:rPr>
          <w:rFonts w:eastAsia="PMingLiU"/>
          <w:color w:val="000000"/>
          <w:lang w:val="en-HK"/>
        </w:rPr>
        <w:t xml:space="preserve"> participated throughout the whole period of the contravention and acted for </w:t>
      </w:r>
      <w:r w:rsidRPr="00406A3E">
        <w:rPr>
          <w:rFonts w:eastAsia="PMingLiU"/>
          <w:color w:val="000000"/>
          <w:lang w:val="en-HK"/>
        </w:rPr>
        <w:t>multiple parties, preparing and forging quotations;</w:t>
      </w:r>
    </w:p>
    <w:p w:rsidR="00C242C9" w:rsidRPr="00C242C9" w:rsidRDefault="00C242C9" w:rsidP="00C242C9">
      <w:pPr>
        <w:pStyle w:val="HC-Hanging"/>
        <w:ind w:left="1440"/>
      </w:pPr>
      <w:r w:rsidRPr="0002251A">
        <w:rPr>
          <w:color w:val="000000"/>
          <w:lang w:val="en-HK"/>
        </w:rPr>
        <w:t xml:space="preserve">Taking the above into consideration, the Commission proposes to use the recommended penalty for </w:t>
      </w:r>
      <w:r w:rsidR="007A4F0E">
        <w:rPr>
          <w:rFonts w:eastAsia="PMingLiU"/>
          <w:color w:val="000000"/>
          <w:lang w:val="en-HK"/>
        </w:rPr>
        <w:t>the 8</w:t>
      </w:r>
      <w:r w:rsidR="007A4F0E" w:rsidRPr="004F410F">
        <w:rPr>
          <w:rFonts w:eastAsia="PMingLiU"/>
          <w:color w:val="000000"/>
          <w:vertAlign w:val="superscript"/>
          <w:lang w:val="en-HK"/>
        </w:rPr>
        <w:t>th</w:t>
      </w:r>
      <w:r w:rsidR="007A4F0E">
        <w:rPr>
          <w:rFonts w:eastAsia="PMingLiU"/>
          <w:color w:val="000000"/>
          <w:lang w:val="en-HK"/>
        </w:rPr>
        <w:t> Respondent</w:t>
      </w:r>
      <w:r w:rsidRPr="0002251A">
        <w:rPr>
          <w:color w:val="000000"/>
          <w:lang w:val="en-HK"/>
        </w:rPr>
        <w:t xml:space="preserve"> before cooperation discount (HK$40,000) as a starting point to determine the appropriate recommended penalty for </w:t>
      </w:r>
      <w:r w:rsidR="007A4F0E">
        <w:rPr>
          <w:rFonts w:eastAsia="PMingLiU"/>
          <w:color w:val="000000"/>
          <w:lang w:val="en-HK"/>
        </w:rPr>
        <w:t>the 7</w:t>
      </w:r>
      <w:r w:rsidR="007A4F0E" w:rsidRPr="004F410F">
        <w:rPr>
          <w:rFonts w:eastAsia="PMingLiU"/>
          <w:color w:val="000000"/>
          <w:vertAlign w:val="superscript"/>
          <w:lang w:val="en-HK"/>
        </w:rPr>
        <w:t>th</w:t>
      </w:r>
      <w:r w:rsidR="007A4F0E">
        <w:rPr>
          <w:rFonts w:eastAsia="PMingLiU"/>
          <w:color w:val="000000"/>
          <w:lang w:val="en-HK"/>
        </w:rPr>
        <w:t> Respondent</w:t>
      </w:r>
      <w:r w:rsidRPr="0002251A">
        <w:rPr>
          <w:color w:val="000000"/>
          <w:lang w:val="en-HK"/>
        </w:rPr>
        <w:t xml:space="preserve">.  The Commission proposes to multiply the recommended penalty for </w:t>
      </w:r>
      <w:r w:rsidR="007A4F0E">
        <w:rPr>
          <w:rFonts w:eastAsia="PMingLiU"/>
          <w:color w:val="000000"/>
          <w:lang w:val="en-HK"/>
        </w:rPr>
        <w:t>the 8</w:t>
      </w:r>
      <w:r w:rsidR="007A4F0E" w:rsidRPr="004F410F">
        <w:rPr>
          <w:rFonts w:eastAsia="PMingLiU"/>
          <w:color w:val="000000"/>
          <w:vertAlign w:val="superscript"/>
          <w:lang w:val="en-HK"/>
        </w:rPr>
        <w:t>th</w:t>
      </w:r>
      <w:r w:rsidR="007A4F0E">
        <w:rPr>
          <w:rFonts w:eastAsia="PMingLiU"/>
          <w:color w:val="000000"/>
          <w:lang w:val="en-HK"/>
        </w:rPr>
        <w:t> Respondent</w:t>
      </w:r>
      <w:r w:rsidRPr="0002251A">
        <w:rPr>
          <w:color w:val="000000"/>
          <w:lang w:val="en-HK"/>
        </w:rPr>
        <w:t xml:space="preserve"> before cooperation discount</w:t>
      </w:r>
      <w:r w:rsidRPr="0002251A" w:rsidDel="0069768E">
        <w:rPr>
          <w:color w:val="000000"/>
          <w:lang w:val="en-HK"/>
        </w:rPr>
        <w:t xml:space="preserve"> </w:t>
      </w:r>
      <w:r w:rsidRPr="00406A3E">
        <w:rPr>
          <w:rFonts w:eastAsia="PMingLiU"/>
          <w:color w:val="000000"/>
          <w:lang w:val="en-HK"/>
        </w:rPr>
        <w:t xml:space="preserve">by 4 because </w:t>
      </w:r>
      <w:r w:rsidR="007A4F0E">
        <w:rPr>
          <w:rFonts w:eastAsia="PMingLiU"/>
          <w:color w:val="000000"/>
          <w:lang w:val="en-HK"/>
        </w:rPr>
        <w:t>the 7</w:t>
      </w:r>
      <w:r w:rsidR="007A4F0E" w:rsidRPr="004F410F">
        <w:rPr>
          <w:rFonts w:eastAsia="PMingLiU"/>
          <w:color w:val="000000"/>
          <w:vertAlign w:val="superscript"/>
          <w:lang w:val="en-HK"/>
        </w:rPr>
        <w:t>th</w:t>
      </w:r>
      <w:r w:rsidR="007A4F0E">
        <w:rPr>
          <w:rFonts w:eastAsia="PMingLiU"/>
          <w:color w:val="000000"/>
          <w:lang w:val="en-HK"/>
        </w:rPr>
        <w:t> Respondent</w:t>
      </w:r>
      <w:r w:rsidRPr="00406A3E">
        <w:rPr>
          <w:rFonts w:eastAsia="PMingLiU"/>
          <w:color w:val="000000"/>
          <w:lang w:val="en-HK"/>
        </w:rPr>
        <w:t xml:space="preserve"> acted for 4 subject companies (i.e. </w:t>
      </w:r>
      <w:r w:rsidR="007A4F0E">
        <w:rPr>
          <w:rFonts w:eastAsia="PMingLiU"/>
          <w:color w:val="000000"/>
          <w:lang w:val="en-HK"/>
        </w:rPr>
        <w:t>the 3</w:t>
      </w:r>
      <w:r w:rsidR="007A4F0E" w:rsidRPr="007A4F0E">
        <w:rPr>
          <w:rFonts w:eastAsia="PMingLiU"/>
          <w:color w:val="000000"/>
          <w:vertAlign w:val="superscript"/>
          <w:lang w:val="en-HK"/>
        </w:rPr>
        <w:t>rd</w:t>
      </w:r>
      <w:r w:rsidR="007A4F0E">
        <w:rPr>
          <w:rFonts w:eastAsia="PMingLiU"/>
          <w:color w:val="000000"/>
          <w:lang w:val="en-HK"/>
        </w:rPr>
        <w:t> Respondent</w:t>
      </w:r>
      <w:r w:rsidRPr="00406A3E">
        <w:rPr>
          <w:rFonts w:eastAsia="PMingLiU"/>
          <w:color w:val="000000"/>
          <w:lang w:val="en-HK"/>
        </w:rPr>
        <w:t xml:space="preserve"> to </w:t>
      </w:r>
      <w:r w:rsidR="007A4F0E">
        <w:rPr>
          <w:rFonts w:eastAsia="PMingLiU"/>
          <w:color w:val="000000"/>
          <w:lang w:val="en-HK"/>
        </w:rPr>
        <w:t>the 6</w:t>
      </w:r>
      <w:r w:rsidR="007A4F0E" w:rsidRPr="004F410F">
        <w:rPr>
          <w:rFonts w:eastAsia="PMingLiU"/>
          <w:color w:val="000000"/>
          <w:vertAlign w:val="superscript"/>
          <w:lang w:val="en-HK"/>
        </w:rPr>
        <w:t>th</w:t>
      </w:r>
      <w:r w:rsidR="007A4F0E">
        <w:rPr>
          <w:rFonts w:eastAsia="PMingLiU"/>
          <w:color w:val="000000"/>
          <w:lang w:val="en-HK"/>
        </w:rPr>
        <w:t> Respondent</w:t>
      </w:r>
      <w:r w:rsidRPr="00406A3E">
        <w:rPr>
          <w:rFonts w:eastAsia="PMingLiU"/>
          <w:color w:val="000000"/>
          <w:lang w:val="en-HK"/>
        </w:rPr>
        <w:t>) in the contravention, the Commission proposes the penalty of HK$160,000 for</w:t>
      </w:r>
      <w:r>
        <w:rPr>
          <w:rFonts w:eastAsia="PMingLiU"/>
          <w:color w:val="000000"/>
          <w:lang w:val="en-HK"/>
        </w:rPr>
        <w:t xml:space="preserve"> </w:t>
      </w:r>
      <w:r w:rsidR="007A4F0E">
        <w:rPr>
          <w:rFonts w:eastAsia="PMingLiU"/>
          <w:color w:val="000000"/>
          <w:lang w:val="en-HK"/>
        </w:rPr>
        <w:t>the 7</w:t>
      </w:r>
      <w:r w:rsidR="007A4F0E" w:rsidRPr="004F410F">
        <w:rPr>
          <w:rFonts w:eastAsia="PMingLiU"/>
          <w:color w:val="000000"/>
          <w:vertAlign w:val="superscript"/>
          <w:lang w:val="en-HK"/>
        </w:rPr>
        <w:t>th</w:t>
      </w:r>
      <w:r w:rsidR="007A4F0E">
        <w:rPr>
          <w:rFonts w:eastAsia="PMingLiU"/>
          <w:color w:val="000000"/>
          <w:lang w:val="en-HK"/>
        </w:rPr>
        <w:t> Respondent</w:t>
      </w:r>
      <w:r>
        <w:rPr>
          <w:rFonts w:eastAsia="PMingLiU"/>
          <w:color w:val="000000"/>
          <w:lang w:val="en-HK"/>
        </w:rPr>
        <w:t>.</w:t>
      </w:r>
    </w:p>
    <w:p w:rsidR="00C242C9" w:rsidRDefault="00C242C9" w:rsidP="00C242C9">
      <w:pPr>
        <w:pStyle w:val="HC-Hanging"/>
        <w:numPr>
          <w:ilvl w:val="0"/>
          <w:numId w:val="0"/>
        </w:numPr>
        <w:ind w:left="1440"/>
      </w:pPr>
    </w:p>
    <w:p w:rsidR="003D7482" w:rsidRPr="00C337AA" w:rsidRDefault="003D7482" w:rsidP="003D7482">
      <w:pPr>
        <w:pStyle w:val="H1"/>
        <w:rPr>
          <w:b/>
        </w:rPr>
      </w:pPr>
      <w:r w:rsidRPr="00C337AA">
        <w:rPr>
          <w:b/>
        </w:rPr>
        <w:t>Disposition</w:t>
      </w:r>
    </w:p>
    <w:p w:rsidR="00C242C9" w:rsidRPr="00F30624" w:rsidRDefault="003D7482" w:rsidP="003D7482">
      <w:pPr>
        <w:pStyle w:val="Final"/>
        <w:spacing w:after="0"/>
      </w:pPr>
      <w:r>
        <w:rPr>
          <w:rFonts w:eastAsia="PMingLiU"/>
          <w:color w:val="000000"/>
          <w:szCs w:val="28"/>
        </w:rPr>
        <w:t>I</w:t>
      </w:r>
      <w:r w:rsidR="00AE0360">
        <w:rPr>
          <w:rFonts w:eastAsia="PMingLiU"/>
          <w:color w:val="000000"/>
          <w:szCs w:val="28"/>
        </w:rPr>
        <w:t xml:space="preserve"> will make the following orders:</w:t>
      </w:r>
    </w:p>
    <w:p w:rsidR="00F30624" w:rsidRDefault="00F30624" w:rsidP="00F30624">
      <w:pPr>
        <w:pStyle w:val="HC-Hanging"/>
        <w:ind w:left="1440"/>
      </w:pPr>
      <w:r>
        <w:t>In relation to the 1</w:t>
      </w:r>
      <w:r w:rsidRPr="00F30624">
        <w:rPr>
          <w:vertAlign w:val="superscript"/>
        </w:rPr>
        <w:t>st</w:t>
      </w:r>
      <w:r>
        <w:t xml:space="preserve"> and 2</w:t>
      </w:r>
      <w:r w:rsidRPr="00F30624">
        <w:rPr>
          <w:vertAlign w:val="superscript"/>
        </w:rPr>
        <w:t>nd</w:t>
      </w:r>
      <w:r>
        <w:t xml:space="preserve"> Respondents:</w:t>
      </w:r>
    </w:p>
    <w:p w:rsidR="00F30624" w:rsidRDefault="00F30624" w:rsidP="00F30624">
      <w:pPr>
        <w:pStyle w:val="HC-Hanging"/>
        <w:numPr>
          <w:ilvl w:val="0"/>
          <w:numId w:val="0"/>
        </w:numPr>
        <w:ind w:left="2160" w:hanging="720"/>
      </w:pPr>
      <w:r>
        <w:t>(a)</w:t>
      </w:r>
      <w:r>
        <w:tab/>
        <w:t xml:space="preserve">there be a declaration pursuant to </w:t>
      </w:r>
      <w:r w:rsidRPr="00F30624">
        <w:rPr>
          <w:i/>
        </w:rPr>
        <w:t>section 94(1)</w:t>
      </w:r>
      <w:r w:rsidR="00AE0360">
        <w:t xml:space="preserve"> of, and </w:t>
      </w:r>
      <w:r w:rsidRPr="00F30624">
        <w:rPr>
          <w:i/>
        </w:rPr>
        <w:t>section 1(a)</w:t>
      </w:r>
      <w:r>
        <w:t xml:space="preserve"> of Schedule 3 to, the </w:t>
      </w:r>
      <w:r w:rsidRPr="00AE0360">
        <w:rPr>
          <w:i/>
        </w:rPr>
        <w:t>Competition Ordinance</w:t>
      </w:r>
      <w:r>
        <w:t xml:space="preserve"> (Cap. 619) (“</w:t>
      </w:r>
      <w:r w:rsidRPr="00F30624">
        <w:rPr>
          <w:b/>
        </w:rPr>
        <w:t>Ordinance</w:t>
      </w:r>
      <w:r>
        <w:t>”) that the 1</w:t>
      </w:r>
      <w:r w:rsidRPr="00F30624">
        <w:rPr>
          <w:vertAlign w:val="superscript"/>
        </w:rPr>
        <w:t>st</w:t>
      </w:r>
      <w:r>
        <w:t xml:space="preserve"> Respondent has contravened the First Conduct Rule under </w:t>
      </w:r>
      <w:r w:rsidRPr="00F30624">
        <w:rPr>
          <w:i/>
        </w:rPr>
        <w:t>section 6</w:t>
      </w:r>
      <w:r>
        <w:t xml:space="preserve"> of the </w:t>
      </w:r>
      <w:r w:rsidRPr="00F30624">
        <w:rPr>
          <w:i/>
        </w:rPr>
        <w:t>Ordinance</w:t>
      </w:r>
      <w:r>
        <w:t>;</w:t>
      </w:r>
    </w:p>
    <w:p w:rsidR="00F30624" w:rsidRDefault="00F30624" w:rsidP="00F30624">
      <w:pPr>
        <w:pStyle w:val="HC-Hanging"/>
        <w:numPr>
          <w:ilvl w:val="0"/>
          <w:numId w:val="0"/>
        </w:numPr>
        <w:ind w:left="2160" w:hanging="1080"/>
      </w:pPr>
      <w:r>
        <w:tab/>
        <w:t>(b)</w:t>
      </w:r>
      <w:r>
        <w:tab/>
        <w:t xml:space="preserve">there be an order under </w:t>
      </w:r>
      <w:r w:rsidRPr="00F30624">
        <w:rPr>
          <w:i/>
        </w:rPr>
        <w:t>section 93(1)</w:t>
      </w:r>
      <w:r>
        <w:t xml:space="preserve"> of the </w:t>
      </w:r>
      <w:r w:rsidRPr="00F30624">
        <w:rPr>
          <w:i/>
        </w:rPr>
        <w:t>Ordinance</w:t>
      </w:r>
      <w:r>
        <w:t xml:space="preserve"> that the 1</w:t>
      </w:r>
      <w:r w:rsidRPr="00F30624">
        <w:rPr>
          <w:vertAlign w:val="superscript"/>
        </w:rPr>
        <w:t>st</w:t>
      </w:r>
      <w:r>
        <w:t xml:space="preserve"> Respondent shall pay to the Government a pecuniary penalty in the sum of HK$1,190,000 within 14 days from the date </w:t>
      </w:r>
      <w:r w:rsidR="00683D34">
        <w:t>of the Judgment</w:t>
      </w:r>
      <w:r>
        <w:t>, and provide documentary evidence of such payment to the Applicant within 7 days from the date of payment;</w:t>
      </w:r>
    </w:p>
    <w:p w:rsidR="00A01344" w:rsidRDefault="00A01344" w:rsidP="00A01344">
      <w:pPr>
        <w:pStyle w:val="HC-Hanging"/>
        <w:numPr>
          <w:ilvl w:val="0"/>
          <w:numId w:val="0"/>
        </w:numPr>
        <w:ind w:left="2160" w:hanging="1080"/>
      </w:pPr>
      <w:r>
        <w:tab/>
      </w:r>
      <w:r w:rsidR="00F30624">
        <w:t>(c)</w:t>
      </w:r>
      <w:r>
        <w:tab/>
        <w:t xml:space="preserve">there be an order pursuant to </w:t>
      </w:r>
      <w:r w:rsidRPr="00A01344">
        <w:rPr>
          <w:i/>
        </w:rPr>
        <w:t>section 94(1)</w:t>
      </w:r>
      <w:r>
        <w:t xml:space="preserve"> of, and </w:t>
      </w:r>
      <w:r w:rsidRPr="00A01344">
        <w:rPr>
          <w:i/>
        </w:rPr>
        <w:t>section 1(c)</w:t>
      </w:r>
      <w:r>
        <w:t xml:space="preserve"> of Schedule 3 to, the </w:t>
      </w:r>
      <w:r w:rsidRPr="00AE0360">
        <w:rPr>
          <w:i/>
        </w:rPr>
        <w:t>Ordinance</w:t>
      </w:r>
      <w:r>
        <w:t xml:space="preserve"> requiring the </w:t>
      </w:r>
      <w:r w:rsidRPr="00AE0360">
        <w:t>1</w:t>
      </w:r>
      <w:r w:rsidRPr="00AE0360">
        <w:rPr>
          <w:vertAlign w:val="superscript"/>
        </w:rPr>
        <w:t>st</w:t>
      </w:r>
      <w:r w:rsidRPr="00AE0360">
        <w:t> Respondent to</w:t>
      </w:r>
      <w:r>
        <w:t xml:space="preserve"> adopt and to implement, to the reasonable satisfaction of the Applicant, an effective competition compliance programme;</w:t>
      </w:r>
    </w:p>
    <w:p w:rsidR="00A01344" w:rsidRDefault="00A01344" w:rsidP="00595785">
      <w:pPr>
        <w:pStyle w:val="HC-Hanging"/>
        <w:numPr>
          <w:ilvl w:val="0"/>
          <w:numId w:val="0"/>
        </w:numPr>
        <w:ind w:left="2160" w:hanging="720"/>
      </w:pPr>
      <w:r>
        <w:t>(d)</w:t>
      </w:r>
      <w:r>
        <w:tab/>
        <w:t xml:space="preserve">there be an order under </w:t>
      </w:r>
      <w:r w:rsidRPr="00AE0360">
        <w:rPr>
          <w:i/>
        </w:rPr>
        <w:t>section</w:t>
      </w:r>
      <w:r w:rsidR="00AE0360" w:rsidRPr="00AE0360">
        <w:rPr>
          <w:i/>
        </w:rPr>
        <w:t> </w:t>
      </w:r>
      <w:r w:rsidRPr="00AE0360">
        <w:rPr>
          <w:i/>
        </w:rPr>
        <w:t>96(1)</w:t>
      </w:r>
      <w:r>
        <w:t xml:space="preserve"> of the </w:t>
      </w:r>
      <w:r w:rsidRPr="00AE0360">
        <w:rPr>
          <w:i/>
        </w:rPr>
        <w:t>Ordinance</w:t>
      </w:r>
      <w:r>
        <w:t xml:space="preserve"> that the </w:t>
      </w:r>
      <w:r w:rsidR="00AE0360">
        <w:t>1</w:t>
      </w:r>
      <w:r w:rsidR="00AE0360" w:rsidRPr="00AE0360">
        <w:rPr>
          <w:vertAlign w:val="superscript"/>
        </w:rPr>
        <w:t>st</w:t>
      </w:r>
      <w:r w:rsidR="00AE0360">
        <w:t> </w:t>
      </w:r>
      <w:r>
        <w:t>Respondent shall, within</w:t>
      </w:r>
      <w:r w:rsidR="00595785">
        <w:t xml:space="preserve"> 14 days from the date</w:t>
      </w:r>
      <w:r w:rsidR="00683D34">
        <w:t xml:space="preserve"> of the Judgment</w:t>
      </w:r>
      <w:r w:rsidR="00595785">
        <w:t xml:space="preserve">, pay to the Government an amount in the sum of HK$155,000, being the </w:t>
      </w:r>
      <w:r w:rsidR="00AE0360">
        <w:t>1</w:t>
      </w:r>
      <w:r w:rsidR="00AE0360" w:rsidRPr="00AE0360">
        <w:rPr>
          <w:vertAlign w:val="superscript"/>
        </w:rPr>
        <w:t>st</w:t>
      </w:r>
      <w:r w:rsidR="00AE0360">
        <w:t> Respondent’s share of the Applicant’</w:t>
      </w:r>
      <w:r w:rsidR="00595785">
        <w:t xml:space="preserve">s reasonably incurred costs of and </w:t>
      </w:r>
      <w:r w:rsidR="00AE0360">
        <w:t>incidental to the Applicant’</w:t>
      </w:r>
      <w:r w:rsidR="00595785">
        <w:t xml:space="preserve">s investigation into matters relating to the </w:t>
      </w:r>
      <w:r w:rsidR="00AE0360">
        <w:t>1</w:t>
      </w:r>
      <w:r w:rsidR="00AE0360" w:rsidRPr="00AE0360">
        <w:rPr>
          <w:vertAlign w:val="superscript"/>
        </w:rPr>
        <w:t>st</w:t>
      </w:r>
      <w:r w:rsidR="00AE0360">
        <w:t> Respondent’</w:t>
      </w:r>
      <w:r w:rsidR="00595785">
        <w:t>s contravention of the First Conduct Rule, and provide documentary evidence of such payment to the Applicant within 7 days from the date of payment;</w:t>
      </w:r>
    </w:p>
    <w:p w:rsidR="00AE0360" w:rsidRDefault="00AE0360" w:rsidP="00AE0360">
      <w:pPr>
        <w:pStyle w:val="HC-Hanging"/>
        <w:numPr>
          <w:ilvl w:val="0"/>
          <w:numId w:val="0"/>
        </w:numPr>
        <w:ind w:left="2160" w:hanging="720"/>
      </w:pPr>
      <w:r>
        <w:t>(e)</w:t>
      </w:r>
      <w:r>
        <w:tab/>
        <w:t>there be an order that the 1</w:t>
      </w:r>
      <w:r w:rsidRPr="00AE0360">
        <w:rPr>
          <w:vertAlign w:val="superscript"/>
        </w:rPr>
        <w:t>st</w:t>
      </w:r>
      <w:r>
        <w:t> Respondent shall pay the Applicant’s costs of and incidental to the application in these proceedings as against the 1</w:t>
      </w:r>
      <w:r w:rsidRPr="00AE0360">
        <w:rPr>
          <w:vertAlign w:val="superscript"/>
        </w:rPr>
        <w:t>st</w:t>
      </w:r>
      <w:r>
        <w:t xml:space="preserve"> and 2</w:t>
      </w:r>
      <w:r w:rsidRPr="00AE0360">
        <w:rPr>
          <w:vertAlign w:val="superscript"/>
        </w:rPr>
        <w:t>nd</w:t>
      </w:r>
      <w:r>
        <w:t xml:space="preserve"> Respondents up to the date of </w:t>
      </w:r>
      <w:r w:rsidR="00683D34">
        <w:t>the Judgment</w:t>
      </w:r>
      <w:r>
        <w:t xml:space="preserve"> (including this application and reserved costs, if any), to be taxed if not agreed; and</w:t>
      </w:r>
    </w:p>
    <w:p w:rsidR="00AE0360" w:rsidRDefault="00AE0360" w:rsidP="00AE0360">
      <w:pPr>
        <w:pStyle w:val="HC-Hanging"/>
        <w:numPr>
          <w:ilvl w:val="0"/>
          <w:numId w:val="0"/>
        </w:numPr>
        <w:ind w:left="2160" w:hanging="720"/>
      </w:pPr>
      <w:r>
        <w:t>(f)</w:t>
      </w:r>
      <w:r>
        <w:tab/>
        <w:t>all further proceedings in this action relating to the Applicant’s claims against the 2</w:t>
      </w:r>
      <w:r w:rsidRPr="00AE0360">
        <w:rPr>
          <w:vertAlign w:val="superscript"/>
        </w:rPr>
        <w:t>nd</w:t>
      </w:r>
      <w:r>
        <w:t xml:space="preserve"> Respondent as set out in paragraph 122(1) of the Originating Notice of Application, be stayed upon the terms set out in the schedule to </w:t>
      </w:r>
      <w:r w:rsidR="00683D34">
        <w:t>the draft order</w:t>
      </w:r>
      <w:r>
        <w:t xml:space="preserve"> with liberty to apply as to carrying such terms into effect.  For the avoidance of doubt, there be also a liberty to restore the stayed proceedings in the event of any non-compliance of the terms as set out in the schedule to</w:t>
      </w:r>
      <w:r w:rsidR="00683D34">
        <w:t xml:space="preserve"> the draft order</w:t>
      </w:r>
      <w:r>
        <w:t>.</w:t>
      </w:r>
    </w:p>
    <w:p w:rsidR="00F30624" w:rsidRDefault="0013709F" w:rsidP="0013709F">
      <w:pPr>
        <w:pStyle w:val="HC-Hanging"/>
        <w:numPr>
          <w:ilvl w:val="0"/>
          <w:numId w:val="0"/>
        </w:numPr>
        <w:ind w:left="1440" w:hanging="720"/>
      </w:pPr>
      <w:r>
        <w:t>(2)</w:t>
      </w:r>
      <w:r>
        <w:tab/>
        <w:t>In relation to the 3</w:t>
      </w:r>
      <w:r w:rsidRPr="0013709F">
        <w:rPr>
          <w:vertAlign w:val="superscript"/>
        </w:rPr>
        <w:t>rd</w:t>
      </w:r>
      <w:r>
        <w:t xml:space="preserve"> and 4</w:t>
      </w:r>
      <w:r w:rsidRPr="0013709F">
        <w:rPr>
          <w:vertAlign w:val="superscript"/>
        </w:rPr>
        <w:t>th</w:t>
      </w:r>
      <w:r>
        <w:t xml:space="preserve"> Respondents:</w:t>
      </w:r>
    </w:p>
    <w:p w:rsidR="0013709F" w:rsidRDefault="0013709F" w:rsidP="0013709F">
      <w:pPr>
        <w:pStyle w:val="HC-Hanging"/>
        <w:numPr>
          <w:ilvl w:val="0"/>
          <w:numId w:val="0"/>
        </w:numPr>
        <w:ind w:left="2160" w:hanging="720"/>
      </w:pPr>
      <w:r>
        <w:t>(a)</w:t>
      </w:r>
      <w:r>
        <w:tab/>
        <w:t xml:space="preserve">there be a declaration pursuant to </w:t>
      </w:r>
      <w:r w:rsidRPr="0013709F">
        <w:rPr>
          <w:i/>
        </w:rPr>
        <w:t>section 94(1)</w:t>
      </w:r>
      <w:r>
        <w:t xml:space="preserve"> of, and </w:t>
      </w:r>
      <w:r w:rsidRPr="0013709F">
        <w:rPr>
          <w:i/>
        </w:rPr>
        <w:t>section 1(a)</w:t>
      </w:r>
      <w:r>
        <w:t xml:space="preserve"> of </w:t>
      </w:r>
      <w:r w:rsidRPr="0013709F">
        <w:rPr>
          <w:i/>
        </w:rPr>
        <w:t>Schedule 3</w:t>
      </w:r>
      <w:r>
        <w:t xml:space="preserve"> to, the </w:t>
      </w:r>
      <w:r w:rsidRPr="0013709F">
        <w:rPr>
          <w:i/>
        </w:rPr>
        <w:t>Competition Ordinance</w:t>
      </w:r>
      <w:r>
        <w:t xml:space="preserve"> (Cap. 619) (“</w:t>
      </w:r>
      <w:r w:rsidRPr="0013709F">
        <w:rPr>
          <w:b/>
        </w:rPr>
        <w:t>Ordinance</w:t>
      </w:r>
      <w:r>
        <w:t>”) that each of the 3</w:t>
      </w:r>
      <w:r w:rsidRPr="0013709F">
        <w:rPr>
          <w:vertAlign w:val="superscript"/>
        </w:rPr>
        <w:t>rd</w:t>
      </w:r>
      <w:r>
        <w:t xml:space="preserve"> and 4</w:t>
      </w:r>
      <w:r w:rsidRPr="0013709F">
        <w:rPr>
          <w:vertAlign w:val="superscript"/>
        </w:rPr>
        <w:t>th</w:t>
      </w:r>
      <w:r>
        <w:t xml:space="preserve"> Respondents has contravened the First Conduct Rule under </w:t>
      </w:r>
      <w:r w:rsidRPr="0013709F">
        <w:rPr>
          <w:i/>
        </w:rPr>
        <w:t>section 6</w:t>
      </w:r>
      <w:r>
        <w:t xml:space="preserve"> of the </w:t>
      </w:r>
      <w:r w:rsidRPr="0013709F">
        <w:rPr>
          <w:i/>
        </w:rPr>
        <w:t>Ordinance</w:t>
      </w:r>
      <w:r>
        <w:t>;</w:t>
      </w:r>
    </w:p>
    <w:p w:rsidR="0013709F" w:rsidRDefault="0013709F" w:rsidP="0013709F">
      <w:pPr>
        <w:pStyle w:val="HC-Hanging"/>
        <w:numPr>
          <w:ilvl w:val="0"/>
          <w:numId w:val="0"/>
        </w:numPr>
        <w:ind w:left="2160" w:hanging="720"/>
      </w:pPr>
      <w:r>
        <w:t>(b)</w:t>
      </w:r>
      <w:r>
        <w:tab/>
        <w:t xml:space="preserve">there be an order under </w:t>
      </w:r>
      <w:r w:rsidRPr="0013709F">
        <w:rPr>
          <w:i/>
        </w:rPr>
        <w:t>section 93(1)</w:t>
      </w:r>
      <w:r>
        <w:t xml:space="preserve"> of the </w:t>
      </w:r>
      <w:r w:rsidRPr="0013709F">
        <w:rPr>
          <w:i/>
        </w:rPr>
        <w:t>Ordinance</w:t>
      </w:r>
      <w:r>
        <w:t xml:space="preserve"> that each of the 3</w:t>
      </w:r>
      <w:r w:rsidRPr="0013709F">
        <w:rPr>
          <w:vertAlign w:val="superscript"/>
        </w:rPr>
        <w:t>rd</w:t>
      </w:r>
      <w:r>
        <w:t xml:space="preserve"> and 4</w:t>
      </w:r>
      <w:r w:rsidRPr="0013709F">
        <w:rPr>
          <w:vertAlign w:val="superscript"/>
        </w:rPr>
        <w:t>th</w:t>
      </w:r>
      <w:r>
        <w:t> Respondents shall jointly and severally pay to the Government a pecuniary penalty in the sum of HK$90,000 within 14 days from the date</w:t>
      </w:r>
      <w:r w:rsidR="00683D96">
        <w:t xml:space="preserve"> of the Judgment</w:t>
      </w:r>
      <w:r>
        <w:t>, and provide documentary evidence of such payment to the Applicant within 7 days from the date of payment;</w:t>
      </w:r>
    </w:p>
    <w:p w:rsidR="0013709F" w:rsidRDefault="0013709F" w:rsidP="0013709F">
      <w:pPr>
        <w:pStyle w:val="HC-Hanging"/>
        <w:numPr>
          <w:ilvl w:val="0"/>
          <w:numId w:val="0"/>
        </w:numPr>
        <w:ind w:left="2160" w:hanging="720"/>
      </w:pPr>
      <w:r>
        <w:t>(c)</w:t>
      </w:r>
      <w:r>
        <w:tab/>
        <w:t xml:space="preserve">there be an order pursuant to </w:t>
      </w:r>
      <w:r w:rsidRPr="0013709F">
        <w:rPr>
          <w:i/>
        </w:rPr>
        <w:t>section 94(1)</w:t>
      </w:r>
      <w:r>
        <w:t xml:space="preserve"> of, and/or </w:t>
      </w:r>
      <w:r w:rsidRPr="0013709F">
        <w:rPr>
          <w:i/>
        </w:rPr>
        <w:t>section 1(c)</w:t>
      </w:r>
      <w:r>
        <w:t xml:space="preserve"> of </w:t>
      </w:r>
      <w:r w:rsidRPr="0013709F">
        <w:rPr>
          <w:i/>
        </w:rPr>
        <w:t>Schedule 3</w:t>
      </w:r>
      <w:r>
        <w:t xml:space="preserve"> to, the </w:t>
      </w:r>
      <w:r w:rsidRPr="0013709F">
        <w:rPr>
          <w:i/>
        </w:rPr>
        <w:t>Ordinance</w:t>
      </w:r>
      <w:r>
        <w:t xml:space="preserve"> requiring each of the 3</w:t>
      </w:r>
      <w:r w:rsidRPr="0013709F">
        <w:rPr>
          <w:vertAlign w:val="superscript"/>
        </w:rPr>
        <w:t>rd</w:t>
      </w:r>
      <w:r>
        <w:t xml:space="preserve"> and 4</w:t>
      </w:r>
      <w:r w:rsidRPr="0013709F">
        <w:rPr>
          <w:vertAlign w:val="superscript"/>
        </w:rPr>
        <w:t>th</w:t>
      </w:r>
      <w:r>
        <w:t> Respondents to adopt and to implement, to the reasonable satisfaction of the Applicant, an effective competition compliance programme;</w:t>
      </w:r>
    </w:p>
    <w:p w:rsidR="0013709F" w:rsidRDefault="0013709F" w:rsidP="0013709F">
      <w:pPr>
        <w:pStyle w:val="HC-Hanging"/>
        <w:numPr>
          <w:ilvl w:val="0"/>
          <w:numId w:val="0"/>
        </w:numPr>
        <w:ind w:left="2160" w:hanging="720"/>
      </w:pPr>
      <w:r>
        <w:t>(d)</w:t>
      </w:r>
      <w:r>
        <w:tab/>
        <w:t xml:space="preserve">there be an order under </w:t>
      </w:r>
      <w:r w:rsidRPr="0013709F">
        <w:rPr>
          <w:i/>
        </w:rPr>
        <w:t>section 96(1)</w:t>
      </w:r>
      <w:r>
        <w:t xml:space="preserve"> of the </w:t>
      </w:r>
      <w:r w:rsidRPr="0013709F">
        <w:rPr>
          <w:i/>
        </w:rPr>
        <w:t>Ordinance</w:t>
      </w:r>
      <w:r>
        <w:t xml:space="preserve"> that the 3</w:t>
      </w:r>
      <w:r w:rsidRPr="0013709F">
        <w:rPr>
          <w:vertAlign w:val="superscript"/>
        </w:rPr>
        <w:t>rd</w:t>
      </w:r>
      <w:r>
        <w:t xml:space="preserve"> and 4</w:t>
      </w:r>
      <w:r w:rsidRPr="0013709F">
        <w:rPr>
          <w:vertAlign w:val="superscript"/>
        </w:rPr>
        <w:t>th</w:t>
      </w:r>
      <w:r>
        <w:t> Respondents shall jointly and severally pay to the Government an amount in the sum of HK$155,000, being the 3</w:t>
      </w:r>
      <w:r w:rsidRPr="0013709F">
        <w:rPr>
          <w:vertAlign w:val="superscript"/>
        </w:rPr>
        <w:t>rd</w:t>
      </w:r>
      <w:r>
        <w:t xml:space="preserve"> and 4</w:t>
      </w:r>
      <w:r w:rsidRPr="0013709F">
        <w:rPr>
          <w:vertAlign w:val="superscript"/>
        </w:rPr>
        <w:t>th</w:t>
      </w:r>
      <w:r>
        <w:t> Respondents’ share of the Applicant’s reasonably incurred costs of and incidental to the Applicant’s investigation into matters relating to the 3</w:t>
      </w:r>
      <w:r w:rsidRPr="0013709F">
        <w:rPr>
          <w:vertAlign w:val="superscript"/>
        </w:rPr>
        <w:t>rd</w:t>
      </w:r>
      <w:r>
        <w:t xml:space="preserve"> and 4</w:t>
      </w:r>
      <w:r w:rsidRPr="0013709F">
        <w:rPr>
          <w:vertAlign w:val="superscript"/>
        </w:rPr>
        <w:t>th</w:t>
      </w:r>
      <w:r>
        <w:t xml:space="preserve"> Respondents’ contravention of the First Conduct Rule, and provide documentary evidence of such payment to the Applicant within 7 days from the date of payment; and</w:t>
      </w:r>
    </w:p>
    <w:p w:rsidR="008A1E93" w:rsidRDefault="008A1E93" w:rsidP="008A1E93">
      <w:pPr>
        <w:pStyle w:val="HC-Hanging"/>
        <w:numPr>
          <w:ilvl w:val="0"/>
          <w:numId w:val="0"/>
        </w:numPr>
        <w:ind w:left="2160" w:hanging="720"/>
      </w:pPr>
      <w:r>
        <w:t>(e)</w:t>
      </w:r>
      <w:r>
        <w:tab/>
        <w:t>there be an order that the 3</w:t>
      </w:r>
      <w:r w:rsidRPr="008A1E93">
        <w:rPr>
          <w:vertAlign w:val="superscript"/>
        </w:rPr>
        <w:t>rd</w:t>
      </w:r>
      <w:r>
        <w:t xml:space="preserve"> and 4</w:t>
      </w:r>
      <w:r w:rsidRPr="008A1E93">
        <w:rPr>
          <w:vertAlign w:val="superscript"/>
        </w:rPr>
        <w:t>th</w:t>
      </w:r>
      <w:r>
        <w:t> Respondents shall jointly and severally pay the Applicant’s costs (limited to the 3</w:t>
      </w:r>
      <w:r w:rsidRPr="008A1E93">
        <w:rPr>
          <w:vertAlign w:val="superscript"/>
        </w:rPr>
        <w:t>rd</w:t>
      </w:r>
      <w:r>
        <w:t xml:space="preserve"> and 4</w:t>
      </w:r>
      <w:r w:rsidRPr="008A1E93">
        <w:rPr>
          <w:vertAlign w:val="superscript"/>
        </w:rPr>
        <w:t>th</w:t>
      </w:r>
      <w:r>
        <w:t xml:space="preserve"> Respondents’ part) of and incidental to the these proceedings up to the date of </w:t>
      </w:r>
      <w:r w:rsidR="002F0338">
        <w:t>the Judgment</w:t>
      </w:r>
      <w:r>
        <w:t xml:space="preserve"> (including this application and reserved costs, if any), to be taxed if not agreed.</w:t>
      </w:r>
    </w:p>
    <w:p w:rsidR="008A1E93" w:rsidRDefault="008A1E93" w:rsidP="008A1E93">
      <w:pPr>
        <w:pStyle w:val="HC-Hanging"/>
        <w:numPr>
          <w:ilvl w:val="0"/>
          <w:numId w:val="0"/>
        </w:numPr>
        <w:ind w:left="1440" w:hanging="720"/>
      </w:pPr>
      <w:r>
        <w:t>(3)</w:t>
      </w:r>
      <w:r>
        <w:tab/>
        <w:t>In relation to the 5</w:t>
      </w:r>
      <w:r w:rsidRPr="008A1E93">
        <w:rPr>
          <w:vertAlign w:val="superscript"/>
        </w:rPr>
        <w:t>th</w:t>
      </w:r>
      <w:r>
        <w:t xml:space="preserve"> and 8</w:t>
      </w:r>
      <w:r w:rsidRPr="008A1E93">
        <w:rPr>
          <w:vertAlign w:val="superscript"/>
        </w:rPr>
        <w:t>th</w:t>
      </w:r>
      <w:r>
        <w:t xml:space="preserve"> Respondents:</w:t>
      </w:r>
    </w:p>
    <w:p w:rsidR="00940883" w:rsidRDefault="00940883" w:rsidP="00940883">
      <w:pPr>
        <w:pStyle w:val="HC-Hanging"/>
        <w:numPr>
          <w:ilvl w:val="0"/>
          <w:numId w:val="0"/>
        </w:numPr>
        <w:tabs>
          <w:tab w:val="clear" w:pos="1440"/>
        </w:tabs>
        <w:ind w:left="2160" w:hanging="720"/>
      </w:pPr>
      <w:r>
        <w:t>(a)</w:t>
      </w:r>
      <w:r>
        <w:tab/>
        <w:t xml:space="preserve">there be a declaration pursuant to </w:t>
      </w:r>
      <w:r w:rsidRPr="00940883">
        <w:rPr>
          <w:i/>
        </w:rPr>
        <w:t>section 94(1)</w:t>
      </w:r>
      <w:r>
        <w:t xml:space="preserve"> of, and </w:t>
      </w:r>
      <w:r w:rsidRPr="00940883">
        <w:rPr>
          <w:i/>
        </w:rPr>
        <w:t>section 1(a)</w:t>
      </w:r>
      <w:r>
        <w:t xml:space="preserve"> of </w:t>
      </w:r>
      <w:r w:rsidRPr="00940883">
        <w:rPr>
          <w:i/>
        </w:rPr>
        <w:t>Schedule 3</w:t>
      </w:r>
      <w:r>
        <w:t xml:space="preserve"> to, the </w:t>
      </w:r>
      <w:r w:rsidRPr="00940883">
        <w:rPr>
          <w:i/>
        </w:rPr>
        <w:t>Competition Ordinance</w:t>
      </w:r>
      <w:r>
        <w:t xml:space="preserve"> (Cap. 619) (“</w:t>
      </w:r>
      <w:r w:rsidRPr="00940883">
        <w:rPr>
          <w:b/>
        </w:rPr>
        <w:t>Ordinance</w:t>
      </w:r>
      <w:r>
        <w:t>”) that the 5</w:t>
      </w:r>
      <w:r w:rsidRPr="00940883">
        <w:rPr>
          <w:vertAlign w:val="superscript"/>
        </w:rPr>
        <w:t>th</w:t>
      </w:r>
      <w:r>
        <w:t xml:space="preserve"> Respondent has contravened the First Conduct Rule under </w:t>
      </w:r>
      <w:r w:rsidRPr="00940883">
        <w:rPr>
          <w:i/>
        </w:rPr>
        <w:t>section 6</w:t>
      </w:r>
      <w:r>
        <w:t xml:space="preserve"> of the </w:t>
      </w:r>
      <w:r w:rsidRPr="00940883">
        <w:rPr>
          <w:i/>
        </w:rPr>
        <w:t>Ordinance</w:t>
      </w:r>
      <w:r>
        <w:t>;</w:t>
      </w:r>
    </w:p>
    <w:p w:rsidR="00940883" w:rsidRDefault="00940883" w:rsidP="00940883">
      <w:pPr>
        <w:pStyle w:val="HC-Hanging"/>
        <w:numPr>
          <w:ilvl w:val="0"/>
          <w:numId w:val="0"/>
        </w:numPr>
        <w:ind w:left="2160" w:hanging="720"/>
      </w:pPr>
      <w:r>
        <w:t>(b)</w:t>
      </w:r>
      <w:r>
        <w:tab/>
        <w:t xml:space="preserve">there be an order pursuant to </w:t>
      </w:r>
      <w:r w:rsidRPr="00940883">
        <w:rPr>
          <w:i/>
        </w:rPr>
        <w:t>section 94(1)</w:t>
      </w:r>
      <w:r>
        <w:t xml:space="preserve"> of, and </w:t>
      </w:r>
      <w:r w:rsidRPr="00940883">
        <w:rPr>
          <w:i/>
        </w:rPr>
        <w:t>section 1(c)</w:t>
      </w:r>
      <w:r>
        <w:t xml:space="preserve"> of </w:t>
      </w:r>
      <w:r w:rsidRPr="00940883">
        <w:rPr>
          <w:i/>
        </w:rPr>
        <w:t>Schedule 3</w:t>
      </w:r>
      <w:r>
        <w:t xml:space="preserve"> to, the </w:t>
      </w:r>
      <w:r w:rsidRPr="00940883">
        <w:rPr>
          <w:i/>
        </w:rPr>
        <w:t>Ordinance</w:t>
      </w:r>
      <w:r>
        <w:t xml:space="preserve"> requiring the 5</w:t>
      </w:r>
      <w:r w:rsidRPr="00940883">
        <w:rPr>
          <w:vertAlign w:val="superscript"/>
        </w:rPr>
        <w:t>th</w:t>
      </w:r>
      <w:r>
        <w:t> Respondent to adopt and to implement, to the reasonable satisfaction of the Applicant, an effective competition compliance programme;</w:t>
      </w:r>
    </w:p>
    <w:p w:rsidR="00940883" w:rsidRDefault="00940883" w:rsidP="00940883">
      <w:pPr>
        <w:pStyle w:val="HC-Hanging"/>
        <w:numPr>
          <w:ilvl w:val="0"/>
          <w:numId w:val="0"/>
        </w:numPr>
        <w:ind w:left="2160" w:hanging="720"/>
      </w:pPr>
      <w:r>
        <w:t>(c)</w:t>
      </w:r>
      <w:r>
        <w:tab/>
        <w:t xml:space="preserve">there be an order under </w:t>
      </w:r>
      <w:r w:rsidRPr="00940883">
        <w:rPr>
          <w:i/>
        </w:rPr>
        <w:t>section 96(1)</w:t>
      </w:r>
      <w:r>
        <w:t xml:space="preserve"> of the </w:t>
      </w:r>
      <w:r w:rsidRPr="00940883">
        <w:rPr>
          <w:i/>
        </w:rPr>
        <w:t>Ordinance</w:t>
      </w:r>
      <w:r>
        <w:t xml:space="preserve"> that the 5</w:t>
      </w:r>
      <w:r w:rsidRPr="00940883">
        <w:rPr>
          <w:vertAlign w:val="superscript"/>
        </w:rPr>
        <w:t>th</w:t>
      </w:r>
      <w:r>
        <w:t> Respondent shall pay to the Government a total amount in the sum of HK$155,000, being the 5</w:t>
      </w:r>
      <w:r w:rsidRPr="00940883">
        <w:rPr>
          <w:vertAlign w:val="superscript"/>
        </w:rPr>
        <w:t>th</w:t>
      </w:r>
      <w:r>
        <w:t> Respondent’s share of the Applicant’s reasonably incurred costs of and incidental to the Applicant’s investigation into matters relating to the 5</w:t>
      </w:r>
      <w:r w:rsidRPr="00940883">
        <w:rPr>
          <w:vertAlign w:val="superscript"/>
        </w:rPr>
        <w:t>th</w:t>
      </w:r>
      <w:r>
        <w:t xml:space="preserve"> Respondent’s contravention of the First Conduct Rule, such sum being payable in 24 monthly instalments of HK$6,458.33 </w:t>
      </w:r>
      <w:r w:rsidR="002F0338">
        <w:t>for the 1</w:t>
      </w:r>
      <w:r w:rsidR="002F0338" w:rsidRPr="002F0338">
        <w:rPr>
          <w:vertAlign w:val="superscript"/>
        </w:rPr>
        <w:t>st</w:t>
      </w:r>
      <w:r w:rsidR="002F0338">
        <w:t xml:space="preserve"> to 23</w:t>
      </w:r>
      <w:r w:rsidR="002F0338" w:rsidRPr="002F0338">
        <w:rPr>
          <w:vertAlign w:val="superscript"/>
        </w:rPr>
        <w:t>rd</w:t>
      </w:r>
      <w:r w:rsidR="002F0338">
        <w:t> instalments and HK$6,458.41 for the 24</w:t>
      </w:r>
      <w:r w:rsidR="002F0338" w:rsidRPr="002F0338">
        <w:rPr>
          <w:vertAlign w:val="superscript"/>
        </w:rPr>
        <w:t>th</w:t>
      </w:r>
      <w:r w:rsidR="002F0338">
        <w:t xml:space="preserve"> instalment </w:t>
      </w:r>
      <w:r>
        <w:t>on the 1</w:t>
      </w:r>
      <w:r w:rsidRPr="00940883">
        <w:rPr>
          <w:vertAlign w:val="superscript"/>
        </w:rPr>
        <w:t>st</w:t>
      </w:r>
      <w:r>
        <w:t xml:space="preserve"> working day on every calendar month from the date of </w:t>
      </w:r>
      <w:r w:rsidR="002F0338">
        <w:t>the Judgment</w:t>
      </w:r>
      <w:r>
        <w:t>, and the 5</w:t>
      </w:r>
      <w:r w:rsidRPr="00940883">
        <w:rPr>
          <w:vertAlign w:val="superscript"/>
        </w:rPr>
        <w:t>th</w:t>
      </w:r>
      <w:r>
        <w:t> Respondent shall provide documentary evidence of each monthly payment to the Applicant within 7 days from the date of payment;</w:t>
      </w:r>
    </w:p>
    <w:p w:rsidR="00901CA3" w:rsidRDefault="00940883" w:rsidP="00901CA3">
      <w:pPr>
        <w:pStyle w:val="HC-Hanging"/>
        <w:numPr>
          <w:ilvl w:val="0"/>
          <w:numId w:val="0"/>
        </w:numPr>
        <w:ind w:left="2160" w:hanging="720"/>
      </w:pPr>
      <w:r>
        <w:t>(d)</w:t>
      </w:r>
      <w:r>
        <w:tab/>
      </w:r>
      <w:r w:rsidR="00901CA3">
        <w:t xml:space="preserve">there be a declaration pursuant to </w:t>
      </w:r>
      <w:r w:rsidR="00901CA3" w:rsidRPr="00901CA3">
        <w:rPr>
          <w:i/>
        </w:rPr>
        <w:t>section 94(1)</w:t>
      </w:r>
      <w:r w:rsidR="00901CA3">
        <w:t xml:space="preserve"> of the </w:t>
      </w:r>
      <w:r w:rsidR="00901CA3" w:rsidRPr="00901CA3">
        <w:rPr>
          <w:i/>
        </w:rPr>
        <w:t>Ordinance</w:t>
      </w:r>
      <w:r w:rsidR="00901CA3">
        <w:t xml:space="preserve"> that the 8</w:t>
      </w:r>
      <w:r w:rsidR="00901CA3" w:rsidRPr="00901CA3">
        <w:rPr>
          <w:vertAlign w:val="superscript"/>
        </w:rPr>
        <w:t>th</w:t>
      </w:r>
      <w:r w:rsidR="00901CA3">
        <w:t> Respondent has been involved in the contravention of the First Conduct Rule by the 5</w:t>
      </w:r>
      <w:r w:rsidR="00901CA3" w:rsidRPr="00901CA3">
        <w:rPr>
          <w:vertAlign w:val="superscript"/>
        </w:rPr>
        <w:t>th</w:t>
      </w:r>
      <w:r w:rsidR="00901CA3">
        <w:t> Respondent;</w:t>
      </w:r>
    </w:p>
    <w:p w:rsidR="00901CA3" w:rsidRDefault="00901CA3" w:rsidP="00901CA3">
      <w:pPr>
        <w:pStyle w:val="HC-Hanging"/>
        <w:numPr>
          <w:ilvl w:val="0"/>
          <w:numId w:val="0"/>
        </w:numPr>
        <w:ind w:left="2160" w:hanging="720"/>
      </w:pPr>
      <w:r>
        <w:t>(e)</w:t>
      </w:r>
      <w:r>
        <w:tab/>
        <w:t xml:space="preserve">there be an order under </w:t>
      </w:r>
      <w:r w:rsidRPr="00901CA3">
        <w:rPr>
          <w:i/>
        </w:rPr>
        <w:t>section 93(1)</w:t>
      </w:r>
      <w:r>
        <w:t xml:space="preserve"> of the </w:t>
      </w:r>
      <w:r w:rsidRPr="00901CA3">
        <w:rPr>
          <w:i/>
        </w:rPr>
        <w:t>Ordinance</w:t>
      </w:r>
      <w:r>
        <w:t xml:space="preserve"> that the 8</w:t>
      </w:r>
      <w:r w:rsidRPr="00901CA3">
        <w:rPr>
          <w:vertAlign w:val="superscript"/>
        </w:rPr>
        <w:t>th</w:t>
      </w:r>
      <w:r>
        <w:t xml:space="preserve"> Respondent shall pay to the Government a pecuniary penalty in the sum of HK$32,000 within 14 days from the date </w:t>
      </w:r>
      <w:r w:rsidR="00AD4E64">
        <w:t>of the Judgment</w:t>
      </w:r>
      <w:r>
        <w:t>, and provide documentary evidence of such payment to the Applicant within 7 days from the date of payment;</w:t>
      </w:r>
    </w:p>
    <w:p w:rsidR="001C57EF" w:rsidRDefault="00901CA3" w:rsidP="001C57EF">
      <w:pPr>
        <w:pStyle w:val="HC-Hanging"/>
        <w:numPr>
          <w:ilvl w:val="0"/>
          <w:numId w:val="0"/>
        </w:numPr>
        <w:ind w:left="2160" w:hanging="720"/>
      </w:pPr>
      <w:r>
        <w:t>(f)</w:t>
      </w:r>
      <w:r>
        <w:tab/>
      </w:r>
      <w:r w:rsidR="001C57EF">
        <w:t xml:space="preserve">there be an order under </w:t>
      </w:r>
      <w:r w:rsidR="001C57EF" w:rsidRPr="001C57EF">
        <w:rPr>
          <w:i/>
        </w:rPr>
        <w:t>section 101</w:t>
      </w:r>
      <w:r w:rsidR="001C57EF">
        <w:t xml:space="preserve"> of the </w:t>
      </w:r>
      <w:r w:rsidR="001C57EF" w:rsidRPr="001C57EF">
        <w:rPr>
          <w:i/>
        </w:rPr>
        <w:t>Ordinance</w:t>
      </w:r>
      <w:r w:rsidR="001C57EF">
        <w:t xml:space="preserve"> that the 8</w:t>
      </w:r>
      <w:r w:rsidR="001C57EF" w:rsidRPr="001C57EF">
        <w:rPr>
          <w:vertAlign w:val="superscript"/>
        </w:rPr>
        <w:t>th</w:t>
      </w:r>
      <w:r w:rsidR="001C57EF">
        <w:t xml:space="preserve"> Respondent may not, without the leave of the Tribunal, (a) be, or continue to be, a director of a company and (b) in any way, whether directly or indirectly, be concerned or take part in the promotion, formation or management of a company, for a period of 2 years from the date </w:t>
      </w:r>
      <w:r w:rsidR="00AD4E64">
        <w:t>of the Judgment</w:t>
      </w:r>
      <w:r w:rsidR="001C57EF">
        <w:t>; and</w:t>
      </w:r>
    </w:p>
    <w:p w:rsidR="00767AB8" w:rsidRDefault="001C57EF" w:rsidP="00767AB8">
      <w:pPr>
        <w:pStyle w:val="HC-Hanging"/>
        <w:numPr>
          <w:ilvl w:val="0"/>
          <w:numId w:val="0"/>
        </w:numPr>
        <w:ind w:left="2160" w:hanging="720"/>
      </w:pPr>
      <w:r>
        <w:t>(g)</w:t>
      </w:r>
      <w:r>
        <w:tab/>
      </w:r>
      <w:r w:rsidR="00767AB8">
        <w:t>there be an order that the 5</w:t>
      </w:r>
      <w:r w:rsidR="00767AB8" w:rsidRPr="00767AB8">
        <w:rPr>
          <w:vertAlign w:val="superscript"/>
        </w:rPr>
        <w:t>th</w:t>
      </w:r>
      <w:r w:rsidR="00767AB8">
        <w:t xml:space="preserve"> and 8</w:t>
      </w:r>
      <w:r w:rsidR="00767AB8" w:rsidRPr="00767AB8">
        <w:rPr>
          <w:vertAlign w:val="superscript"/>
        </w:rPr>
        <w:t>th</w:t>
      </w:r>
      <w:r w:rsidR="00767AB8">
        <w:t> Respondents shall jointly and severally pay the Applicant’s costs of and incidental to the application in these proceedings (including this application and reserved costs), agreed in the sum of HK$405,000, such sum being payable in 24 equal monthly instalments of HK$16,875 on the 1</w:t>
      </w:r>
      <w:r w:rsidR="00767AB8" w:rsidRPr="00767AB8">
        <w:rPr>
          <w:vertAlign w:val="superscript"/>
        </w:rPr>
        <w:t>st</w:t>
      </w:r>
      <w:r w:rsidR="00767AB8">
        <w:t xml:space="preserve"> working day on every calendar month from the date of </w:t>
      </w:r>
      <w:r w:rsidR="00AD4E64">
        <w:t>the Judgment.</w:t>
      </w:r>
    </w:p>
    <w:p w:rsidR="00842610" w:rsidRDefault="00842610" w:rsidP="00842610">
      <w:pPr>
        <w:pStyle w:val="HC-Hanging"/>
        <w:numPr>
          <w:ilvl w:val="0"/>
          <w:numId w:val="0"/>
        </w:numPr>
        <w:ind w:left="1800" w:hanging="1080"/>
      </w:pPr>
      <w:r>
        <w:t>(4)</w:t>
      </w:r>
      <w:r>
        <w:tab/>
        <w:t>In relation to the 6</w:t>
      </w:r>
      <w:r w:rsidRPr="008A1E93">
        <w:rPr>
          <w:vertAlign w:val="superscript"/>
        </w:rPr>
        <w:t>th</w:t>
      </w:r>
      <w:r>
        <w:t xml:space="preserve"> and 7</w:t>
      </w:r>
      <w:r w:rsidRPr="008A1E93">
        <w:rPr>
          <w:vertAlign w:val="superscript"/>
        </w:rPr>
        <w:t>th</w:t>
      </w:r>
      <w:r>
        <w:t xml:space="preserve"> Respondents:</w:t>
      </w:r>
    </w:p>
    <w:p w:rsidR="00842610" w:rsidRDefault="00842610" w:rsidP="00842610">
      <w:pPr>
        <w:pStyle w:val="HC-Hanging"/>
        <w:numPr>
          <w:ilvl w:val="0"/>
          <w:numId w:val="0"/>
        </w:numPr>
        <w:ind w:left="2160" w:hanging="720"/>
      </w:pPr>
      <w:r>
        <w:t>(a)</w:t>
      </w:r>
      <w:r>
        <w:tab/>
        <w:t xml:space="preserve">there be a declaration pursuant to </w:t>
      </w:r>
      <w:r w:rsidRPr="00842610">
        <w:rPr>
          <w:i/>
        </w:rPr>
        <w:t>section 94(1)</w:t>
      </w:r>
      <w:r>
        <w:t xml:space="preserve"> of, and </w:t>
      </w:r>
      <w:r w:rsidRPr="00842610">
        <w:rPr>
          <w:i/>
        </w:rPr>
        <w:t>section 1(a)</w:t>
      </w:r>
      <w:r>
        <w:t xml:space="preserve"> of </w:t>
      </w:r>
      <w:r w:rsidRPr="00842610">
        <w:rPr>
          <w:i/>
        </w:rPr>
        <w:t>Schedule 3</w:t>
      </w:r>
      <w:r>
        <w:t xml:space="preserve"> to, the </w:t>
      </w:r>
      <w:r w:rsidRPr="00842610">
        <w:rPr>
          <w:i/>
        </w:rPr>
        <w:t>Competition Ordinance</w:t>
      </w:r>
      <w:r>
        <w:t xml:space="preserve"> (Cap. 619) (“</w:t>
      </w:r>
      <w:r w:rsidRPr="00842610">
        <w:rPr>
          <w:b/>
        </w:rPr>
        <w:t>Ordinance</w:t>
      </w:r>
      <w:r>
        <w:t>”) that the 6</w:t>
      </w:r>
      <w:r w:rsidRPr="00842610">
        <w:rPr>
          <w:vertAlign w:val="superscript"/>
        </w:rPr>
        <w:t>th</w:t>
      </w:r>
      <w:r>
        <w:t xml:space="preserve"> Respondent (trading as YAT YING HONG) as an undertaking has contravened the First Conduct Rule under </w:t>
      </w:r>
      <w:r w:rsidRPr="00842610">
        <w:rPr>
          <w:i/>
        </w:rPr>
        <w:t>section 6</w:t>
      </w:r>
      <w:r>
        <w:t xml:space="preserve"> of the </w:t>
      </w:r>
      <w:r w:rsidRPr="00842610">
        <w:rPr>
          <w:i/>
        </w:rPr>
        <w:t>Ordinance</w:t>
      </w:r>
      <w:r>
        <w:t>;</w:t>
      </w:r>
    </w:p>
    <w:p w:rsidR="00842610" w:rsidRDefault="00842610" w:rsidP="00842610">
      <w:pPr>
        <w:pStyle w:val="HC-Hanging"/>
        <w:numPr>
          <w:ilvl w:val="0"/>
          <w:numId w:val="0"/>
        </w:numPr>
        <w:ind w:left="2160" w:hanging="1080"/>
      </w:pPr>
      <w:r>
        <w:tab/>
        <w:t>(b)</w:t>
      </w:r>
      <w:r>
        <w:tab/>
        <w:t xml:space="preserve">there be a declaration pursuant to </w:t>
      </w:r>
      <w:r w:rsidRPr="00842610">
        <w:rPr>
          <w:i/>
        </w:rPr>
        <w:t>section 94(1)</w:t>
      </w:r>
      <w:r>
        <w:t xml:space="preserve"> of the </w:t>
      </w:r>
      <w:r w:rsidRPr="00842610">
        <w:rPr>
          <w:i/>
        </w:rPr>
        <w:t>Ordinance</w:t>
      </w:r>
      <w:r>
        <w:t xml:space="preserve"> that the 6</w:t>
      </w:r>
      <w:r w:rsidRPr="00842610">
        <w:rPr>
          <w:vertAlign w:val="superscript"/>
        </w:rPr>
        <w:t>th</w:t>
      </w:r>
      <w:r>
        <w:t xml:space="preserve"> Respondent in her personal capacity has been involved in a contravention of the First Conduct Rule within the meaning of </w:t>
      </w:r>
      <w:r w:rsidRPr="00842610">
        <w:rPr>
          <w:i/>
        </w:rPr>
        <w:t>section 91</w:t>
      </w:r>
      <w:r>
        <w:t xml:space="preserve"> of the </w:t>
      </w:r>
      <w:r w:rsidRPr="00842610">
        <w:rPr>
          <w:i/>
        </w:rPr>
        <w:t>Ordinance</w:t>
      </w:r>
      <w:r>
        <w:t>;</w:t>
      </w:r>
    </w:p>
    <w:p w:rsidR="00842610" w:rsidRDefault="00842610" w:rsidP="00842610">
      <w:pPr>
        <w:pStyle w:val="HC-Hanging"/>
        <w:numPr>
          <w:ilvl w:val="0"/>
          <w:numId w:val="0"/>
        </w:numPr>
        <w:ind w:left="2160" w:hanging="720"/>
      </w:pPr>
      <w:r>
        <w:t>(c)</w:t>
      </w:r>
      <w:r>
        <w:tab/>
        <w:t xml:space="preserve">there be an order pursuant to </w:t>
      </w:r>
      <w:r w:rsidRPr="00842610">
        <w:rPr>
          <w:i/>
        </w:rPr>
        <w:t>section 93(1)</w:t>
      </w:r>
      <w:r>
        <w:t xml:space="preserve"> of the </w:t>
      </w:r>
      <w:r w:rsidRPr="00842610">
        <w:rPr>
          <w:i/>
        </w:rPr>
        <w:t>Ordinance</w:t>
      </w:r>
      <w:r>
        <w:t xml:space="preserve"> that the 6</w:t>
      </w:r>
      <w:r w:rsidRPr="00842610">
        <w:rPr>
          <w:vertAlign w:val="superscript"/>
        </w:rPr>
        <w:t>th</w:t>
      </w:r>
      <w:r>
        <w:t> Respondent as an undertaking shall pay to the Government a pecuniary penalty in</w:t>
      </w:r>
      <w:r w:rsidR="00CB489A">
        <w:t xml:space="preserve"> the sum of HK$242,000 within 28</w:t>
      </w:r>
      <w:r>
        <w:t xml:space="preserve"> days from </w:t>
      </w:r>
      <w:r w:rsidR="00CB489A">
        <w:t>30 July 2024</w:t>
      </w:r>
      <w:r>
        <w:t xml:space="preserve"> and provide documentary evidence of such payment to the Applicant within 7 days from the date of payment;</w:t>
      </w:r>
    </w:p>
    <w:p w:rsidR="00842610" w:rsidRDefault="00CB489A" w:rsidP="00842610">
      <w:pPr>
        <w:pStyle w:val="HC-Hanging"/>
        <w:numPr>
          <w:ilvl w:val="0"/>
          <w:numId w:val="0"/>
        </w:numPr>
        <w:ind w:left="2160" w:hanging="720"/>
      </w:pPr>
      <w:r>
        <w:t>(d)</w:t>
      </w:r>
      <w:r>
        <w:tab/>
      </w:r>
      <w:r w:rsidRPr="00CB489A">
        <w:t xml:space="preserve">there be an order pursuant to section 94(1) of, and </w:t>
      </w:r>
      <w:r w:rsidRPr="002F38AA">
        <w:rPr>
          <w:i/>
        </w:rPr>
        <w:t>section 1(c)</w:t>
      </w:r>
      <w:r w:rsidRPr="00CB489A">
        <w:t xml:space="preserve"> of </w:t>
      </w:r>
      <w:r w:rsidRPr="002F38AA">
        <w:rPr>
          <w:i/>
        </w:rPr>
        <w:t>Schedule 3</w:t>
      </w:r>
      <w:r w:rsidRPr="00CB489A">
        <w:t xml:space="preserve"> to,</w:t>
      </w:r>
      <w:r>
        <w:t xml:space="preserve"> the </w:t>
      </w:r>
      <w:r w:rsidRPr="00CB489A">
        <w:rPr>
          <w:i/>
        </w:rPr>
        <w:t>Ordinance</w:t>
      </w:r>
      <w:r>
        <w:t xml:space="preserve"> requiring the 6</w:t>
      </w:r>
      <w:r w:rsidRPr="00CB489A">
        <w:rPr>
          <w:vertAlign w:val="superscript"/>
        </w:rPr>
        <w:t>th</w:t>
      </w:r>
      <w:r>
        <w:t xml:space="preserve"> </w:t>
      </w:r>
      <w:r w:rsidRPr="00CB489A">
        <w:t xml:space="preserve">Respondent </w:t>
      </w:r>
      <w:r>
        <w:t xml:space="preserve">as an undertaking </w:t>
      </w:r>
      <w:r w:rsidRPr="00CB489A">
        <w:t>to adopt and to implement, to the reasonable satisfaction of the Applicant, an effective competition compliance programme</w:t>
      </w:r>
      <w:r w:rsidR="00842610">
        <w:t>;</w:t>
      </w:r>
    </w:p>
    <w:p w:rsidR="00B14456" w:rsidRDefault="00B14456" w:rsidP="00B14456">
      <w:pPr>
        <w:pStyle w:val="HC-Hanging"/>
        <w:numPr>
          <w:ilvl w:val="0"/>
          <w:numId w:val="0"/>
        </w:numPr>
        <w:ind w:left="2160" w:hanging="720"/>
      </w:pPr>
      <w:r>
        <w:t>(e)</w:t>
      </w:r>
      <w:r>
        <w:tab/>
        <w:t xml:space="preserve">there be an order pursuant to </w:t>
      </w:r>
      <w:r w:rsidRPr="00B14456">
        <w:rPr>
          <w:i/>
        </w:rPr>
        <w:t>section 96(1)</w:t>
      </w:r>
      <w:r>
        <w:t xml:space="preserve"> of the </w:t>
      </w:r>
      <w:r w:rsidRPr="00B14456">
        <w:rPr>
          <w:i/>
        </w:rPr>
        <w:t>Ordinance</w:t>
      </w:r>
      <w:r>
        <w:t xml:space="preserve"> that the 6</w:t>
      </w:r>
      <w:r w:rsidRPr="00B14456">
        <w:rPr>
          <w:vertAlign w:val="superscript"/>
        </w:rPr>
        <w:t>th</w:t>
      </w:r>
      <w:r>
        <w:t> Respondent as</w:t>
      </w:r>
      <w:r w:rsidR="00CB489A">
        <w:t xml:space="preserve"> an undertaking shall, within 28</w:t>
      </w:r>
      <w:r>
        <w:t xml:space="preserve"> days from </w:t>
      </w:r>
      <w:r w:rsidR="00CB489A">
        <w:t>30 July 2024</w:t>
      </w:r>
      <w:r>
        <w:t xml:space="preserve"> pay to the Government an amount of HK$155,000, being the Applicant’s reasonably incurred costs of and incidental to the Applicant’s investigation into matters relating to the 6</w:t>
      </w:r>
      <w:r w:rsidRPr="00B14456">
        <w:rPr>
          <w:vertAlign w:val="superscript"/>
        </w:rPr>
        <w:t>th</w:t>
      </w:r>
      <w:r>
        <w:t> Respondent’s contravention of the First Conduct Rule and provide documentary evidence of such payment to the Applicant within 7 days from the date of payment;</w:t>
      </w:r>
    </w:p>
    <w:p w:rsidR="00D26C1D" w:rsidRDefault="00B14456" w:rsidP="00D26C1D">
      <w:pPr>
        <w:pStyle w:val="HC-Hanging"/>
        <w:numPr>
          <w:ilvl w:val="0"/>
          <w:numId w:val="0"/>
        </w:numPr>
        <w:ind w:left="2160" w:hanging="720"/>
      </w:pPr>
      <w:r>
        <w:t>(f)</w:t>
      </w:r>
      <w:r>
        <w:tab/>
      </w:r>
      <w:r w:rsidR="00D26C1D">
        <w:t xml:space="preserve">there be a declaration pursuant to </w:t>
      </w:r>
      <w:r w:rsidR="00D26C1D" w:rsidRPr="00D26C1D">
        <w:rPr>
          <w:i/>
        </w:rPr>
        <w:t>section 94(1)</w:t>
      </w:r>
      <w:r w:rsidR="00D26C1D">
        <w:t xml:space="preserve"> of the </w:t>
      </w:r>
      <w:r w:rsidR="00D26C1D" w:rsidRPr="00D26C1D">
        <w:rPr>
          <w:i/>
        </w:rPr>
        <w:t>Ordinance</w:t>
      </w:r>
      <w:r w:rsidR="00D26C1D">
        <w:t xml:space="preserve"> that the 7</w:t>
      </w:r>
      <w:r w:rsidR="00D26C1D" w:rsidRPr="00D26C1D">
        <w:rPr>
          <w:vertAlign w:val="superscript"/>
        </w:rPr>
        <w:t>th</w:t>
      </w:r>
      <w:r w:rsidR="00D26C1D">
        <w:t xml:space="preserve"> Respondent has been involved in a contravention of the First Conduct Rule within the meaning of </w:t>
      </w:r>
      <w:r w:rsidR="00D26C1D" w:rsidRPr="00D26C1D">
        <w:rPr>
          <w:i/>
        </w:rPr>
        <w:t>section 91</w:t>
      </w:r>
      <w:r w:rsidR="00D26C1D">
        <w:t xml:space="preserve"> of the </w:t>
      </w:r>
      <w:r w:rsidR="00D26C1D" w:rsidRPr="00D26C1D">
        <w:rPr>
          <w:i/>
        </w:rPr>
        <w:t>Ordinance</w:t>
      </w:r>
      <w:r w:rsidR="00D26C1D">
        <w:t>;</w:t>
      </w:r>
    </w:p>
    <w:p w:rsidR="00842610" w:rsidRDefault="00D26C1D" w:rsidP="00D26C1D">
      <w:pPr>
        <w:pStyle w:val="HC-Hanging"/>
        <w:numPr>
          <w:ilvl w:val="0"/>
          <w:numId w:val="0"/>
        </w:numPr>
        <w:ind w:left="2160" w:hanging="720"/>
      </w:pPr>
      <w:r>
        <w:t>(g)</w:t>
      </w:r>
      <w:r>
        <w:tab/>
        <w:t xml:space="preserve">there be an order pursuant to </w:t>
      </w:r>
      <w:r w:rsidRPr="00D26C1D">
        <w:rPr>
          <w:i/>
        </w:rPr>
        <w:t>section 93(1)</w:t>
      </w:r>
      <w:r>
        <w:t xml:space="preserve"> of the </w:t>
      </w:r>
      <w:r w:rsidRPr="00D26C1D">
        <w:rPr>
          <w:i/>
        </w:rPr>
        <w:t>Ordinance</w:t>
      </w:r>
      <w:r>
        <w:t xml:space="preserve"> that the 7</w:t>
      </w:r>
      <w:r w:rsidRPr="00D26C1D">
        <w:rPr>
          <w:vertAlign w:val="superscript"/>
        </w:rPr>
        <w:t>th</w:t>
      </w:r>
      <w:r>
        <w:t> Respondent shall pay to the Government a pecuniary penalty in</w:t>
      </w:r>
      <w:r w:rsidR="00CB489A">
        <w:t xml:space="preserve"> the sum of HK$160,000 within 28</w:t>
      </w:r>
      <w:r>
        <w:t xml:space="preserve"> days from </w:t>
      </w:r>
      <w:r w:rsidR="00CB489A">
        <w:t>30 July 2024</w:t>
      </w:r>
      <w:r w:rsidR="00F65892">
        <w:t xml:space="preserve"> </w:t>
      </w:r>
      <w:r>
        <w:t>and provide documentary evidence of such payment to the Applicant within 7 days from the date of payment; and</w:t>
      </w:r>
    </w:p>
    <w:p w:rsidR="00F65892" w:rsidRDefault="00F65892" w:rsidP="00F65892">
      <w:pPr>
        <w:pStyle w:val="HC-Hanging"/>
        <w:numPr>
          <w:ilvl w:val="0"/>
          <w:numId w:val="0"/>
        </w:numPr>
        <w:ind w:left="2160" w:hanging="720"/>
      </w:pPr>
      <w:r>
        <w:t>(h)</w:t>
      </w:r>
      <w:r>
        <w:tab/>
        <w:t>there be an order that the 6</w:t>
      </w:r>
      <w:r w:rsidRPr="00F65892">
        <w:rPr>
          <w:vertAlign w:val="superscript"/>
        </w:rPr>
        <w:t>th</w:t>
      </w:r>
      <w:r>
        <w:t xml:space="preserve"> and 7</w:t>
      </w:r>
      <w:r w:rsidRPr="00F65892">
        <w:rPr>
          <w:vertAlign w:val="superscript"/>
        </w:rPr>
        <w:t>th</w:t>
      </w:r>
      <w:r>
        <w:t> Respondents shall jointly and severally pay the Applicant’s costs of and incidental to these proceedings, to be taxed if not agreed.</w:t>
      </w:r>
    </w:p>
    <w:p w:rsidR="0006482F" w:rsidRPr="00C7081F" w:rsidRDefault="00F62B9A" w:rsidP="00B34390">
      <w:pPr>
        <w:pStyle w:val="para"/>
        <w:numPr>
          <w:ilvl w:val="0"/>
          <w:numId w:val="0"/>
        </w:numPr>
        <w:tabs>
          <w:tab w:val="center" w:pos="5760"/>
        </w:tabs>
        <w:spacing w:before="840" w:line="276" w:lineRule="auto"/>
        <w:rPr>
          <w:lang w:eastAsia="zh-TW"/>
        </w:rPr>
      </w:pPr>
      <w:r>
        <w:rPr>
          <w:lang w:eastAsia="zh-TW"/>
        </w:rPr>
        <w:tab/>
      </w:r>
      <w:r w:rsidR="0006482F" w:rsidRPr="00C7081F">
        <w:rPr>
          <w:lang w:eastAsia="zh-TW"/>
        </w:rPr>
        <w:t>(</w:t>
      </w:r>
      <w:r w:rsidR="00C7081F">
        <w:rPr>
          <w:lang w:eastAsia="zh-TW"/>
        </w:rPr>
        <w:t>Jonathan Harris</w:t>
      </w:r>
      <w:r w:rsidR="0006482F" w:rsidRPr="00C7081F">
        <w:rPr>
          <w:lang w:eastAsia="zh-TW"/>
        </w:rPr>
        <w:t>)</w:t>
      </w:r>
    </w:p>
    <w:p w:rsidR="00BD1773" w:rsidRPr="00B574EF" w:rsidRDefault="00647B00" w:rsidP="008F298E">
      <w:pPr>
        <w:tabs>
          <w:tab w:val="center" w:pos="5760"/>
        </w:tabs>
        <w:spacing w:line="276" w:lineRule="auto"/>
        <w:ind w:left="0" w:firstLine="0"/>
        <w:rPr>
          <w:color w:val="000000" w:themeColor="text1"/>
          <w:lang w:eastAsia="zh-TW"/>
        </w:rPr>
      </w:pPr>
      <w:r w:rsidRPr="00B574EF">
        <w:rPr>
          <w:color w:val="000000" w:themeColor="text1"/>
          <w:lang w:eastAsia="zh-TW"/>
        </w:rPr>
        <w:tab/>
      </w:r>
      <w:r w:rsidR="008F298E">
        <w:rPr>
          <w:color w:val="000000" w:themeColor="text1"/>
          <w:lang w:eastAsia="zh-TW"/>
        </w:rPr>
        <w:t>President of the Competition Tribunal</w:t>
      </w:r>
    </w:p>
    <w:p w:rsidR="00EA5AB9" w:rsidRPr="00F12C8C" w:rsidRDefault="00EA5AB9" w:rsidP="00C47F2D">
      <w:pPr>
        <w:tabs>
          <w:tab w:val="left" w:pos="360"/>
        </w:tabs>
        <w:spacing w:line="276" w:lineRule="auto"/>
        <w:ind w:left="360" w:right="-331" w:hanging="360"/>
        <w:jc w:val="left"/>
        <w:rPr>
          <w:color w:val="000000" w:themeColor="text1"/>
          <w:sz w:val="2"/>
        </w:rPr>
      </w:pPr>
    </w:p>
    <w:p w:rsidR="00CB489A" w:rsidRDefault="00CB489A" w:rsidP="00A91460">
      <w:pPr>
        <w:tabs>
          <w:tab w:val="left" w:pos="360"/>
        </w:tabs>
        <w:spacing w:before="480" w:line="276" w:lineRule="auto"/>
        <w:ind w:left="358" w:right="-331" w:hangingChars="128" w:hanging="358"/>
        <w:rPr>
          <w:color w:val="000000" w:themeColor="text1"/>
        </w:rPr>
      </w:pPr>
    </w:p>
    <w:p w:rsidR="00BE4154" w:rsidRPr="00B476F7" w:rsidRDefault="00D72A9D" w:rsidP="00A91460">
      <w:pPr>
        <w:tabs>
          <w:tab w:val="left" w:pos="360"/>
        </w:tabs>
        <w:spacing w:before="480" w:line="276" w:lineRule="auto"/>
        <w:ind w:left="358" w:right="-331" w:hangingChars="128" w:hanging="358"/>
        <w:rPr>
          <w:color w:val="000000" w:themeColor="text1"/>
        </w:rPr>
      </w:pPr>
      <w:r w:rsidRPr="00B476F7">
        <w:rPr>
          <w:color w:val="000000" w:themeColor="text1"/>
        </w:rPr>
        <w:t>M</w:t>
      </w:r>
      <w:r w:rsidR="00B476F7">
        <w:rPr>
          <w:color w:val="000000" w:themeColor="text1"/>
        </w:rPr>
        <w:t xml:space="preserve">r Jenkin Suen SC and Ms Tinny Chan, </w:t>
      </w:r>
      <w:r w:rsidR="00BE4154" w:rsidRPr="00B476F7">
        <w:rPr>
          <w:color w:val="000000" w:themeColor="text1"/>
        </w:rPr>
        <w:t xml:space="preserve">instructed by </w:t>
      </w:r>
      <w:r w:rsidR="00B476F7">
        <w:t>MinterEllison LLP</w:t>
      </w:r>
      <w:r w:rsidRPr="00B476F7">
        <w:rPr>
          <w:color w:val="000000" w:themeColor="text1"/>
        </w:rPr>
        <w:t>, for the Applicant</w:t>
      </w:r>
    </w:p>
    <w:p w:rsidR="00F12C8C" w:rsidRDefault="009813BC" w:rsidP="009813BC">
      <w:pPr>
        <w:tabs>
          <w:tab w:val="left" w:pos="360"/>
        </w:tabs>
        <w:spacing w:before="200" w:line="276" w:lineRule="auto"/>
        <w:ind w:left="358" w:right="-331" w:hangingChars="128" w:hanging="358"/>
        <w:rPr>
          <w:rFonts w:eastAsia="Times New Roman"/>
          <w:color w:val="000000" w:themeColor="text1"/>
        </w:rPr>
      </w:pPr>
      <w:r w:rsidRPr="00B476F7">
        <w:rPr>
          <w:color w:val="000000" w:themeColor="text1"/>
        </w:rPr>
        <w:t xml:space="preserve">Ms </w:t>
      </w:r>
      <w:r w:rsidR="00B476F7">
        <w:rPr>
          <w:color w:val="000000" w:themeColor="text1"/>
        </w:rPr>
        <w:t xml:space="preserve">Annie Lai, </w:t>
      </w:r>
      <w:r w:rsidR="00F12C8C" w:rsidRPr="00B476F7">
        <w:rPr>
          <w:color w:val="000000" w:themeColor="text1"/>
        </w:rPr>
        <w:t xml:space="preserve">instructed by </w:t>
      </w:r>
      <w:r w:rsidR="00B476F7">
        <w:t>Mandy Wan &amp; Co</w:t>
      </w:r>
      <w:r w:rsidRPr="00B476F7">
        <w:rPr>
          <w:color w:val="000000" w:themeColor="text1"/>
        </w:rPr>
        <w:t xml:space="preserve">, for the </w:t>
      </w:r>
      <w:r w:rsidR="00B476F7">
        <w:rPr>
          <w:color w:val="000000" w:themeColor="text1"/>
        </w:rPr>
        <w:t>3</w:t>
      </w:r>
      <w:r w:rsidR="00B476F7" w:rsidRPr="00B476F7">
        <w:rPr>
          <w:color w:val="000000" w:themeColor="text1"/>
          <w:vertAlign w:val="superscript"/>
        </w:rPr>
        <w:t>rd</w:t>
      </w:r>
      <w:r w:rsidR="00B476F7">
        <w:rPr>
          <w:color w:val="000000" w:themeColor="text1"/>
        </w:rPr>
        <w:t xml:space="preserve"> </w:t>
      </w:r>
      <w:r w:rsidRPr="00B476F7">
        <w:rPr>
          <w:rFonts w:eastAsia="Times New Roman"/>
          <w:color w:val="000000" w:themeColor="text1"/>
        </w:rPr>
        <w:t>and 4</w:t>
      </w:r>
      <w:r w:rsidRPr="00B476F7">
        <w:rPr>
          <w:rFonts w:eastAsia="Times New Roman"/>
          <w:color w:val="000000" w:themeColor="text1"/>
          <w:vertAlign w:val="superscript"/>
        </w:rPr>
        <w:t>th</w:t>
      </w:r>
      <w:r w:rsidRPr="00B476F7">
        <w:rPr>
          <w:rFonts w:eastAsia="Times New Roman"/>
          <w:color w:val="000000" w:themeColor="text1"/>
        </w:rPr>
        <w:t xml:space="preserve"> Respondents</w:t>
      </w:r>
    </w:p>
    <w:p w:rsidR="00B476F7" w:rsidRPr="00B476F7" w:rsidRDefault="00B476F7" w:rsidP="009813BC">
      <w:pPr>
        <w:tabs>
          <w:tab w:val="left" w:pos="360"/>
        </w:tabs>
        <w:spacing w:before="200" w:line="276" w:lineRule="auto"/>
        <w:ind w:left="358" w:right="-331" w:hangingChars="128" w:hanging="358"/>
        <w:rPr>
          <w:color w:val="000000" w:themeColor="text1"/>
        </w:rPr>
      </w:pPr>
      <w:r>
        <w:rPr>
          <w:rFonts w:eastAsia="Times New Roman"/>
          <w:color w:val="000000" w:themeColor="text1"/>
        </w:rPr>
        <w:t xml:space="preserve">Mr Lam Chi Yau, </w:t>
      </w:r>
      <w:r w:rsidR="007558DB">
        <w:rPr>
          <w:rFonts w:eastAsia="Times New Roman"/>
          <w:color w:val="000000" w:themeColor="text1"/>
        </w:rPr>
        <w:t>of</w:t>
      </w:r>
      <w:r>
        <w:rPr>
          <w:rFonts w:eastAsia="Times New Roman"/>
          <w:color w:val="000000" w:themeColor="text1"/>
        </w:rPr>
        <w:t xml:space="preserve"> </w:t>
      </w:r>
      <w:r>
        <w:t xml:space="preserve">C Y Lam &amp; Co, </w:t>
      </w:r>
      <w:r w:rsidRPr="0012349B">
        <w:t xml:space="preserve">for the </w:t>
      </w:r>
      <w:r>
        <w:t>5</w:t>
      </w:r>
      <w:r w:rsidRPr="00DF7127">
        <w:rPr>
          <w:vertAlign w:val="superscript"/>
        </w:rPr>
        <w:t>th</w:t>
      </w:r>
      <w:r>
        <w:t xml:space="preserve"> and 8</w:t>
      </w:r>
      <w:r w:rsidRPr="005F6007">
        <w:rPr>
          <w:vertAlign w:val="superscript"/>
        </w:rPr>
        <w:t>th</w:t>
      </w:r>
      <w:r>
        <w:t xml:space="preserve"> Respondents</w:t>
      </w:r>
    </w:p>
    <w:p w:rsidR="00F12C8C" w:rsidRDefault="00B476F7" w:rsidP="009813BC">
      <w:pPr>
        <w:tabs>
          <w:tab w:val="left" w:pos="360"/>
        </w:tabs>
        <w:spacing w:before="200" w:line="276" w:lineRule="auto"/>
        <w:ind w:left="358" w:right="-331" w:hangingChars="128" w:hanging="358"/>
        <w:rPr>
          <w:color w:val="000000" w:themeColor="text1"/>
        </w:rPr>
      </w:pPr>
      <w:r>
        <w:rPr>
          <w:color w:val="000000" w:themeColor="text1"/>
        </w:rPr>
        <w:t xml:space="preserve">The attendance of </w:t>
      </w:r>
      <w:r w:rsidR="00E65829">
        <w:rPr>
          <w:color w:val="000000" w:themeColor="text1"/>
        </w:rPr>
        <w:t>Pauline Wong &amp; Co, for the 1</w:t>
      </w:r>
      <w:r w:rsidR="00E65829" w:rsidRPr="00E65829">
        <w:rPr>
          <w:color w:val="000000" w:themeColor="text1"/>
          <w:vertAlign w:val="superscript"/>
        </w:rPr>
        <w:t>st</w:t>
      </w:r>
      <w:r w:rsidR="00E65829">
        <w:rPr>
          <w:color w:val="000000" w:themeColor="text1"/>
        </w:rPr>
        <w:t xml:space="preserve"> and 2</w:t>
      </w:r>
      <w:r w:rsidR="00E65829" w:rsidRPr="00E65829">
        <w:rPr>
          <w:color w:val="000000" w:themeColor="text1"/>
          <w:vertAlign w:val="superscript"/>
        </w:rPr>
        <w:t>nd</w:t>
      </w:r>
      <w:r w:rsidR="00E65829">
        <w:rPr>
          <w:color w:val="000000" w:themeColor="text1"/>
        </w:rPr>
        <w:t xml:space="preserve"> Respondents, was excused</w:t>
      </w:r>
    </w:p>
    <w:p w:rsidR="00E65829" w:rsidRDefault="00E65829" w:rsidP="009813BC">
      <w:pPr>
        <w:tabs>
          <w:tab w:val="left" w:pos="360"/>
        </w:tabs>
        <w:spacing w:before="200" w:line="276" w:lineRule="auto"/>
        <w:ind w:left="358" w:right="-331" w:hangingChars="128" w:hanging="358"/>
        <w:rPr>
          <w:color w:val="000000" w:themeColor="text1"/>
        </w:rPr>
      </w:pPr>
      <w:r>
        <w:rPr>
          <w:color w:val="000000" w:themeColor="text1"/>
        </w:rPr>
        <w:t>The 6</w:t>
      </w:r>
      <w:r w:rsidRPr="00E65829">
        <w:rPr>
          <w:color w:val="000000" w:themeColor="text1"/>
          <w:vertAlign w:val="superscript"/>
        </w:rPr>
        <w:t>th</w:t>
      </w:r>
      <w:r>
        <w:rPr>
          <w:color w:val="000000" w:themeColor="text1"/>
        </w:rPr>
        <w:t xml:space="preserve"> Respondent was not represented and did not appear</w:t>
      </w:r>
    </w:p>
    <w:p w:rsidR="00E65829" w:rsidRDefault="00E65829" w:rsidP="009813BC">
      <w:pPr>
        <w:tabs>
          <w:tab w:val="left" w:pos="360"/>
        </w:tabs>
        <w:spacing w:before="200" w:line="276" w:lineRule="auto"/>
        <w:ind w:left="358" w:right="-331" w:hangingChars="128" w:hanging="358"/>
        <w:rPr>
          <w:color w:val="000000" w:themeColor="text1"/>
        </w:rPr>
      </w:pPr>
      <w:r>
        <w:rPr>
          <w:color w:val="000000" w:themeColor="text1"/>
        </w:rPr>
        <w:t>The 7</w:t>
      </w:r>
      <w:r w:rsidRPr="00E65829">
        <w:rPr>
          <w:color w:val="000000" w:themeColor="text1"/>
          <w:vertAlign w:val="superscript"/>
        </w:rPr>
        <w:t>th</w:t>
      </w:r>
      <w:r>
        <w:rPr>
          <w:color w:val="000000" w:themeColor="text1"/>
        </w:rPr>
        <w:t xml:space="preserve"> Respondent was not represented and did not appear</w:t>
      </w:r>
    </w:p>
    <w:p w:rsidR="00CE6723" w:rsidRDefault="00CE6723" w:rsidP="009813BC">
      <w:pPr>
        <w:tabs>
          <w:tab w:val="left" w:pos="360"/>
        </w:tabs>
        <w:spacing w:before="200" w:line="276" w:lineRule="auto"/>
        <w:ind w:left="358" w:right="-331" w:hangingChars="128" w:hanging="358"/>
        <w:rPr>
          <w:color w:val="000000" w:themeColor="text1"/>
        </w:rPr>
        <w:sectPr w:rsidR="00CE6723" w:rsidSect="00B34390">
          <w:headerReference w:type="default" r:id="rId8"/>
          <w:footerReference w:type="default" r:id="rId9"/>
          <w:headerReference w:type="first" r:id="rId10"/>
          <w:footerReference w:type="first" r:id="rId11"/>
          <w:pgSz w:w="11909" w:h="16834" w:code="9"/>
          <w:pgMar w:top="1530" w:right="1800" w:bottom="1350" w:left="1800" w:header="576" w:footer="576" w:gutter="0"/>
          <w:pgNumType w:start="1"/>
          <w:cols w:space="708"/>
          <w:titlePg/>
          <w:docGrid w:linePitch="381"/>
        </w:sectPr>
      </w:pPr>
    </w:p>
    <w:p w:rsidR="00CE6723" w:rsidRDefault="00CE6723" w:rsidP="00CE6723">
      <w:pPr>
        <w:tabs>
          <w:tab w:val="left" w:pos="360"/>
        </w:tabs>
        <w:spacing w:before="240" w:line="240" w:lineRule="exact"/>
        <w:ind w:left="308" w:right="-331" w:hangingChars="128" w:hanging="308"/>
        <w:jc w:val="center"/>
        <w:rPr>
          <w:b/>
          <w:sz w:val="24"/>
          <w:szCs w:val="24"/>
        </w:rPr>
      </w:pPr>
      <w:r w:rsidRPr="00BD70B2">
        <w:rPr>
          <w:b/>
          <w:sz w:val="24"/>
          <w:szCs w:val="24"/>
        </w:rPr>
        <w:t>STATEMENT OF AGREED FACTS</w:t>
      </w:r>
      <w:r>
        <w:rPr>
          <w:b/>
          <w:sz w:val="24"/>
          <w:szCs w:val="24"/>
        </w:rPr>
        <w:t xml:space="preserve"> BETWEEN THE</w:t>
      </w:r>
    </w:p>
    <w:p w:rsidR="00CE6723" w:rsidRDefault="00CE6723" w:rsidP="00CE6723">
      <w:pPr>
        <w:tabs>
          <w:tab w:val="left" w:pos="360"/>
        </w:tabs>
        <w:spacing w:before="240" w:line="240" w:lineRule="exact"/>
        <w:ind w:leftChars="-290" w:left="304" w:right="-871" w:hangingChars="463" w:hanging="1116"/>
        <w:jc w:val="center"/>
        <w:rPr>
          <w:b/>
          <w:sz w:val="24"/>
          <w:szCs w:val="24"/>
        </w:rPr>
      </w:pPr>
      <w:r>
        <w:rPr>
          <w:b/>
          <w:sz w:val="24"/>
          <w:szCs w:val="24"/>
        </w:rPr>
        <w:t>COMPETITION COMMISSION (“COMMISSION”) AND THE 1</w:t>
      </w:r>
      <w:r w:rsidRPr="00CE6723">
        <w:rPr>
          <w:b/>
          <w:sz w:val="24"/>
          <w:szCs w:val="24"/>
          <w:vertAlign w:val="superscript"/>
        </w:rPr>
        <w:t>ST</w:t>
      </w:r>
      <w:r>
        <w:rPr>
          <w:b/>
          <w:sz w:val="24"/>
          <w:szCs w:val="24"/>
        </w:rPr>
        <w:t xml:space="preserve"> AND 2</w:t>
      </w:r>
      <w:r w:rsidRPr="00CE6723">
        <w:rPr>
          <w:b/>
          <w:sz w:val="24"/>
          <w:szCs w:val="24"/>
          <w:vertAlign w:val="superscript"/>
        </w:rPr>
        <w:t>ND</w:t>
      </w:r>
      <w:r>
        <w:rPr>
          <w:b/>
          <w:sz w:val="24"/>
          <w:szCs w:val="24"/>
        </w:rPr>
        <w:t xml:space="preserve"> RESPONDENTS</w:t>
      </w:r>
    </w:p>
    <w:p w:rsidR="00CE6723" w:rsidRPr="00BD70B2" w:rsidRDefault="00CE6723" w:rsidP="00CE6723">
      <w:pPr>
        <w:spacing w:before="240" w:line="240" w:lineRule="exact"/>
        <w:ind w:leftChars="-64" w:left="361" w:right="-331" w:hangingChars="225" w:hanging="540"/>
        <w:jc w:val="center"/>
        <w:rPr>
          <w:i/>
          <w:sz w:val="24"/>
          <w:szCs w:val="24"/>
        </w:rPr>
      </w:pPr>
      <w:r w:rsidRPr="00BD70B2">
        <w:rPr>
          <w:i/>
          <w:sz w:val="24"/>
          <w:szCs w:val="24"/>
        </w:rPr>
        <w:t>(Prepared pursuant to Rule 39 of the Competition Tribunal Rules, Cap. 619D (“</w:t>
      </w:r>
      <w:r w:rsidRPr="00CE6723">
        <w:rPr>
          <w:b/>
          <w:i/>
          <w:sz w:val="24"/>
          <w:szCs w:val="24"/>
        </w:rPr>
        <w:t>CTR</w:t>
      </w:r>
      <w:r w:rsidRPr="00BD70B2">
        <w:rPr>
          <w:i/>
          <w:sz w:val="24"/>
          <w:szCs w:val="24"/>
        </w:rPr>
        <w:t xml:space="preserve">”) and </w:t>
      </w:r>
    </w:p>
    <w:p w:rsidR="00CE6723" w:rsidRDefault="00CE6723" w:rsidP="00CE6723">
      <w:pPr>
        <w:tabs>
          <w:tab w:val="left" w:pos="360"/>
        </w:tabs>
        <w:spacing w:before="240" w:line="240" w:lineRule="exact"/>
        <w:ind w:left="307" w:right="-331" w:hangingChars="128" w:hanging="307"/>
        <w:jc w:val="center"/>
        <w:rPr>
          <w:i/>
          <w:sz w:val="24"/>
          <w:szCs w:val="24"/>
        </w:rPr>
      </w:pPr>
      <w:r w:rsidRPr="00BD70B2">
        <w:rPr>
          <w:i/>
          <w:sz w:val="24"/>
          <w:szCs w:val="24"/>
        </w:rPr>
        <w:t>Paragraph 72 of the Competition Tribunal Practice Direction 1 (“</w:t>
      </w:r>
      <w:r w:rsidRPr="00CE6723">
        <w:rPr>
          <w:b/>
          <w:i/>
          <w:sz w:val="24"/>
          <w:szCs w:val="24"/>
        </w:rPr>
        <w:t>CTPD1</w:t>
      </w:r>
      <w:r w:rsidRPr="00BD70B2">
        <w:rPr>
          <w:i/>
          <w:sz w:val="24"/>
          <w:szCs w:val="24"/>
        </w:rPr>
        <w:t>”))</w:t>
      </w:r>
    </w:p>
    <w:p w:rsidR="00CE6723" w:rsidRDefault="00CE6723" w:rsidP="00CE6723">
      <w:pPr>
        <w:tabs>
          <w:tab w:val="left" w:pos="360"/>
        </w:tabs>
        <w:spacing w:before="360"/>
        <w:ind w:left="308" w:right="-331" w:hangingChars="128" w:hanging="308"/>
        <w:jc w:val="center"/>
        <w:rPr>
          <w:b/>
          <w:sz w:val="24"/>
          <w:szCs w:val="24"/>
        </w:rPr>
      </w:pPr>
      <w:r>
        <w:rPr>
          <w:b/>
          <w:sz w:val="24"/>
          <w:szCs w:val="24"/>
        </w:rPr>
        <w:t>PART A — INTRODUCTION</w:t>
      </w:r>
    </w:p>
    <w:p w:rsidR="00CE6723" w:rsidRPr="00CE6723" w:rsidRDefault="00CE6723" w:rsidP="0071101B">
      <w:pPr>
        <w:numPr>
          <w:ilvl w:val="0"/>
          <w:numId w:val="28"/>
        </w:numPr>
        <w:spacing w:before="360" w:line="360" w:lineRule="auto"/>
        <w:ind w:left="720"/>
        <w:rPr>
          <w:sz w:val="24"/>
          <w:szCs w:val="24"/>
        </w:rPr>
      </w:pPr>
      <w:r w:rsidRPr="00CE6723">
        <w:rPr>
          <w:rFonts w:eastAsia="Lucida Sans"/>
          <w:sz w:val="24"/>
          <w:szCs w:val="24"/>
        </w:rPr>
        <w:t>On 22 March 2023, the Commission issued proceedings pursuant to sections 92(1), 94(1), 96(1) and 101(1) of the Competition Ordinance, Cap. 619 (“</w:t>
      </w:r>
      <w:r w:rsidRPr="00CE6723">
        <w:rPr>
          <w:rFonts w:eastAsia="Lucida Sans"/>
          <w:b/>
          <w:sz w:val="24"/>
          <w:szCs w:val="24"/>
        </w:rPr>
        <w:t>Ordinance</w:t>
      </w:r>
      <w:r w:rsidRPr="00CE6723">
        <w:rPr>
          <w:rFonts w:eastAsia="Lucida Sans"/>
          <w:sz w:val="24"/>
          <w:szCs w:val="24"/>
        </w:rPr>
        <w:t>”) before the Competition Tribunal (“</w:t>
      </w:r>
      <w:r w:rsidRPr="00CE6723">
        <w:rPr>
          <w:rFonts w:eastAsia="Lucida Sans"/>
          <w:b/>
          <w:sz w:val="24"/>
          <w:szCs w:val="24"/>
        </w:rPr>
        <w:t>Tribunal</w:t>
      </w:r>
      <w:r w:rsidRPr="00CE6723">
        <w:rPr>
          <w:rFonts w:eastAsia="Lucida Sans"/>
          <w:sz w:val="24"/>
          <w:szCs w:val="24"/>
        </w:rPr>
        <w:t>”) against, amongst others, Multisoft Limited (“</w:t>
      </w:r>
      <w:r w:rsidRPr="00CE6723">
        <w:rPr>
          <w:rFonts w:eastAsia="Lucida Sans"/>
          <w:b/>
          <w:sz w:val="24"/>
          <w:szCs w:val="24"/>
        </w:rPr>
        <w:t>ML</w:t>
      </w:r>
      <w:r w:rsidRPr="00CE6723">
        <w:rPr>
          <w:rFonts w:eastAsia="Lucida Sans"/>
          <w:sz w:val="24"/>
          <w:szCs w:val="24"/>
        </w:rPr>
        <w:t>”) and MTT Group Holdings Limited (“</w:t>
      </w:r>
      <w:r w:rsidRPr="00CE6723">
        <w:rPr>
          <w:rFonts w:eastAsia="Lucida Sans"/>
          <w:b/>
          <w:sz w:val="24"/>
          <w:szCs w:val="24"/>
        </w:rPr>
        <w:t>MTT</w:t>
      </w:r>
      <w:r w:rsidRPr="00CE6723">
        <w:rPr>
          <w:rFonts w:eastAsia="Lucida Sans"/>
          <w:sz w:val="24"/>
          <w:szCs w:val="24"/>
        </w:rPr>
        <w:t xml:space="preserve">”), being the </w:t>
      </w:r>
      <w:r>
        <w:rPr>
          <w:rFonts w:eastAsia="Lucida Sans"/>
          <w:sz w:val="24"/>
          <w:szCs w:val="24"/>
        </w:rPr>
        <w:t>1</w:t>
      </w:r>
      <w:r>
        <w:rPr>
          <w:rFonts w:eastAsia="Lucida Sans"/>
          <w:sz w:val="24"/>
          <w:szCs w:val="24"/>
          <w:vertAlign w:val="superscript"/>
        </w:rPr>
        <w:t xml:space="preserve">st </w:t>
      </w:r>
      <w:r w:rsidRPr="00CE6723">
        <w:rPr>
          <w:rFonts w:eastAsia="Lucida Sans"/>
          <w:sz w:val="24"/>
          <w:szCs w:val="24"/>
        </w:rPr>
        <w:t xml:space="preserve">and </w:t>
      </w:r>
      <w:r>
        <w:rPr>
          <w:rFonts w:eastAsia="Lucida Sans"/>
          <w:sz w:val="24"/>
          <w:szCs w:val="24"/>
        </w:rPr>
        <w:t>2</w:t>
      </w:r>
      <w:r w:rsidRPr="00CE6723">
        <w:rPr>
          <w:rFonts w:eastAsia="Lucida Sans"/>
          <w:sz w:val="24"/>
          <w:szCs w:val="24"/>
          <w:vertAlign w:val="superscript"/>
        </w:rPr>
        <w:t>nd</w:t>
      </w:r>
      <w:r>
        <w:rPr>
          <w:rFonts w:eastAsia="Lucida Sans"/>
          <w:sz w:val="24"/>
          <w:szCs w:val="24"/>
        </w:rPr>
        <w:t xml:space="preserve"> R</w:t>
      </w:r>
      <w:r w:rsidRPr="00CE6723">
        <w:rPr>
          <w:rFonts w:eastAsia="Lucida Sans"/>
          <w:sz w:val="24"/>
          <w:szCs w:val="24"/>
        </w:rPr>
        <w:t>espondents in these proceedings respectively.</w:t>
      </w:r>
    </w:p>
    <w:p w:rsidR="00CE6723" w:rsidRPr="00842715" w:rsidRDefault="00CE6723" w:rsidP="0071101B">
      <w:pPr>
        <w:numPr>
          <w:ilvl w:val="0"/>
          <w:numId w:val="28"/>
        </w:numPr>
        <w:spacing w:before="360" w:line="360" w:lineRule="auto"/>
        <w:ind w:left="720"/>
        <w:rPr>
          <w:sz w:val="24"/>
          <w:szCs w:val="24"/>
        </w:rPr>
      </w:pPr>
      <w:r w:rsidRPr="00CE6723">
        <w:rPr>
          <w:sz w:val="24"/>
          <w:szCs w:val="24"/>
        </w:rPr>
        <w:t>The Commission sought, as against each of ML and MTT:</w:t>
      </w:r>
    </w:p>
    <w:p w:rsidR="00CE6723" w:rsidRDefault="00CE6723" w:rsidP="0071101B">
      <w:pPr>
        <w:spacing w:before="240" w:line="360" w:lineRule="auto"/>
        <w:ind w:left="1260" w:hanging="540"/>
        <w:rPr>
          <w:sz w:val="24"/>
          <w:szCs w:val="24"/>
        </w:rPr>
      </w:pPr>
      <w:r>
        <w:rPr>
          <w:rFonts w:eastAsia="Lucida Sans"/>
          <w:sz w:val="24"/>
          <w:szCs w:val="24"/>
        </w:rPr>
        <w:t>(1)</w:t>
      </w:r>
      <w:r>
        <w:rPr>
          <w:rFonts w:eastAsia="Lucida Sans"/>
          <w:sz w:val="24"/>
          <w:szCs w:val="24"/>
        </w:rPr>
        <w:tab/>
      </w:r>
      <w:r w:rsidR="0071101B" w:rsidRPr="0071101B">
        <w:rPr>
          <w:sz w:val="24"/>
          <w:szCs w:val="24"/>
        </w:rPr>
        <w:t>a declaration pursuant to section 94(1) of, and section 1(a) of Schedule 3 to, the Ordinance that each of ML and MTT has contravened the First Conduct Rule (“</w:t>
      </w:r>
      <w:r w:rsidR="0071101B" w:rsidRPr="0071101B">
        <w:rPr>
          <w:b/>
          <w:sz w:val="24"/>
          <w:szCs w:val="24"/>
        </w:rPr>
        <w:t>FCR</w:t>
      </w:r>
      <w:r w:rsidR="0071101B" w:rsidRPr="0071101B">
        <w:rPr>
          <w:sz w:val="24"/>
          <w:szCs w:val="24"/>
        </w:rPr>
        <w:t>”) under section 6 of the Ordinance;</w:t>
      </w:r>
    </w:p>
    <w:p w:rsidR="0071101B" w:rsidRDefault="0071101B" w:rsidP="0071101B">
      <w:pPr>
        <w:spacing w:before="240" w:line="360" w:lineRule="auto"/>
        <w:ind w:left="1260" w:hanging="540"/>
        <w:rPr>
          <w:sz w:val="24"/>
          <w:szCs w:val="24"/>
        </w:rPr>
      </w:pPr>
      <w:r>
        <w:rPr>
          <w:sz w:val="24"/>
          <w:szCs w:val="24"/>
        </w:rPr>
        <w:t>(2)</w:t>
      </w:r>
      <w:r>
        <w:rPr>
          <w:sz w:val="24"/>
          <w:szCs w:val="24"/>
        </w:rPr>
        <w:tab/>
      </w:r>
      <w:r w:rsidRPr="0071101B">
        <w:rPr>
          <w:sz w:val="24"/>
          <w:szCs w:val="24"/>
        </w:rPr>
        <w:t>an order under section 93(1) of the Ordinance that each of ML and MTT shall jointly and severally pay to the Government a pecuniary penalty in such amount as the Tribunal considers appropriate;</w:t>
      </w:r>
    </w:p>
    <w:p w:rsidR="0071101B" w:rsidRDefault="0071101B" w:rsidP="0071101B">
      <w:pPr>
        <w:spacing w:before="240" w:line="360" w:lineRule="auto"/>
        <w:ind w:left="1260" w:hanging="540"/>
        <w:rPr>
          <w:sz w:val="24"/>
          <w:szCs w:val="24"/>
        </w:rPr>
      </w:pPr>
      <w:r>
        <w:rPr>
          <w:sz w:val="24"/>
          <w:szCs w:val="24"/>
        </w:rPr>
        <w:t>(3)</w:t>
      </w:r>
      <w:r>
        <w:rPr>
          <w:sz w:val="24"/>
          <w:szCs w:val="24"/>
        </w:rPr>
        <w:tab/>
      </w:r>
      <w:r w:rsidRPr="0071101B">
        <w:rPr>
          <w:sz w:val="24"/>
          <w:szCs w:val="24"/>
        </w:rPr>
        <w:t>an order pursuant to section 94(1) of, and/or section 1(c) of Schedule 3 to, the Ordinance requiring each of ML and MTT to adopt and to implement, to the reasonable satisfaction of the Commission, an effective competition compliance programme in such time period and manner as the Tribunal shall determine;</w:t>
      </w:r>
    </w:p>
    <w:p w:rsidR="0071101B" w:rsidRDefault="0071101B" w:rsidP="0071101B">
      <w:pPr>
        <w:spacing w:before="240" w:line="360" w:lineRule="auto"/>
        <w:ind w:left="1260" w:hanging="540"/>
        <w:rPr>
          <w:sz w:val="24"/>
          <w:szCs w:val="24"/>
        </w:rPr>
      </w:pPr>
      <w:r>
        <w:rPr>
          <w:sz w:val="24"/>
          <w:szCs w:val="24"/>
        </w:rPr>
        <w:t>(4)</w:t>
      </w:r>
      <w:r>
        <w:rPr>
          <w:sz w:val="24"/>
          <w:szCs w:val="24"/>
        </w:rPr>
        <w:tab/>
      </w:r>
      <w:r w:rsidRPr="0071101B">
        <w:rPr>
          <w:sz w:val="24"/>
          <w:szCs w:val="24"/>
        </w:rPr>
        <w:t>an order under section 96(1) of the Ordinance that each of ML and MTT shall jointly and severally pay to the Government an amount equal to the reasonably incurred costs of and incidental to the Commission’s investigation into its conduct or affairs, to be assessed;</w:t>
      </w:r>
    </w:p>
    <w:p w:rsidR="0071101B" w:rsidRDefault="0071101B" w:rsidP="0071101B">
      <w:pPr>
        <w:spacing w:before="240" w:line="360" w:lineRule="auto"/>
        <w:ind w:left="1260" w:hanging="540"/>
        <w:rPr>
          <w:sz w:val="24"/>
          <w:szCs w:val="24"/>
        </w:rPr>
      </w:pPr>
      <w:r>
        <w:rPr>
          <w:sz w:val="24"/>
          <w:szCs w:val="24"/>
        </w:rPr>
        <w:t>(5)</w:t>
      </w:r>
      <w:r>
        <w:rPr>
          <w:sz w:val="24"/>
          <w:szCs w:val="24"/>
        </w:rPr>
        <w:tab/>
      </w:r>
      <w:r w:rsidRPr="0071101B">
        <w:rPr>
          <w:sz w:val="24"/>
          <w:szCs w:val="24"/>
        </w:rPr>
        <w:t>an order that each of ML and MTT shall jointly and severally pay the Commission’s costs of and incidental to the application in these proceedings; and</w:t>
      </w:r>
    </w:p>
    <w:p w:rsidR="00CE6723" w:rsidRPr="0071101B" w:rsidRDefault="0071101B" w:rsidP="0071101B">
      <w:pPr>
        <w:spacing w:before="240" w:line="360" w:lineRule="auto"/>
        <w:ind w:left="1260" w:hanging="540"/>
        <w:rPr>
          <w:rFonts w:eastAsiaTheme="minorEastAsia"/>
          <w:sz w:val="24"/>
          <w:szCs w:val="24"/>
          <w:lang w:eastAsia="zh-TW"/>
        </w:rPr>
      </w:pPr>
      <w:r>
        <w:rPr>
          <w:sz w:val="24"/>
          <w:szCs w:val="24"/>
        </w:rPr>
        <w:t>(6)</w:t>
      </w:r>
      <w:r>
        <w:rPr>
          <w:sz w:val="24"/>
          <w:szCs w:val="24"/>
        </w:rPr>
        <w:tab/>
      </w:r>
      <w:r w:rsidRPr="0071101B">
        <w:rPr>
          <w:sz w:val="24"/>
          <w:szCs w:val="24"/>
        </w:rPr>
        <w:t>such further or other relief as the Tribunal considers appropriate.</w:t>
      </w:r>
    </w:p>
    <w:p w:rsidR="00CE6723" w:rsidRDefault="00CE6723" w:rsidP="0071101B">
      <w:pPr>
        <w:spacing w:before="360" w:line="360" w:lineRule="auto"/>
        <w:ind w:right="-331" w:hangingChars="300"/>
        <w:rPr>
          <w:rFonts w:eastAsia="Lucida Sans"/>
          <w:sz w:val="24"/>
          <w:szCs w:val="24"/>
        </w:rPr>
      </w:pPr>
      <w:r>
        <w:rPr>
          <w:rFonts w:eastAsia="Lucida Sans"/>
          <w:sz w:val="24"/>
          <w:szCs w:val="24"/>
        </w:rPr>
        <w:t>3</w:t>
      </w:r>
      <w:r w:rsidR="0071101B">
        <w:rPr>
          <w:rFonts w:eastAsia="Lucida Sans"/>
          <w:sz w:val="24"/>
          <w:szCs w:val="24"/>
        </w:rPr>
        <w:t>.</w:t>
      </w:r>
      <w:r w:rsidR="0071101B">
        <w:rPr>
          <w:rFonts w:eastAsia="Lucida Sans"/>
          <w:sz w:val="24"/>
          <w:szCs w:val="24"/>
        </w:rPr>
        <w:tab/>
      </w:r>
      <w:r w:rsidR="0071101B" w:rsidRPr="0071101B">
        <w:rPr>
          <w:rFonts w:eastAsia="Lucida Sans"/>
          <w:sz w:val="24"/>
          <w:szCs w:val="24"/>
        </w:rPr>
        <w:t xml:space="preserve">Subject to the approval of the Tribunal, the Commission and each of ML and MTT agree to (1) enter judgment on liability and consequential orders in favour of the Commission against ML alone, and (2) stay the portion of the proceedings against MTT upon terms set out in the schedule to the draft consent order, by way of the summary procedure as provided for in Rule 39 of the CTR and §72 of the CTPD1. The procedure as envisaged by the parties is that sanctioned by the High Court of England and Wales in the case of </w:t>
      </w:r>
      <w:r w:rsidR="0071101B" w:rsidRPr="0071101B">
        <w:rPr>
          <w:rFonts w:eastAsia="Lucida Sans"/>
          <w:b/>
          <w:sz w:val="24"/>
          <w:szCs w:val="24"/>
          <w:u w:val="single"/>
        </w:rPr>
        <w:t>Re Carecraft Construction Co Ltd</w:t>
      </w:r>
      <w:r w:rsidR="0071101B" w:rsidRPr="0071101B">
        <w:rPr>
          <w:rFonts w:eastAsia="Lucida Sans"/>
          <w:sz w:val="24"/>
          <w:szCs w:val="24"/>
        </w:rPr>
        <w:t xml:space="preserve"> [1994] 1 WLR 172 and clarified by the Court of Appeal of England and Wales in </w:t>
      </w:r>
      <w:r w:rsidR="0071101B" w:rsidRPr="0071101B">
        <w:rPr>
          <w:rFonts w:eastAsia="Lucida Sans"/>
          <w:b/>
          <w:sz w:val="24"/>
          <w:szCs w:val="24"/>
          <w:u w:val="single"/>
        </w:rPr>
        <w:t>Secretary of State for Trade and Industry v Rogers</w:t>
      </w:r>
      <w:r w:rsidR="0071101B" w:rsidRPr="0071101B">
        <w:rPr>
          <w:rFonts w:eastAsia="Lucida Sans"/>
          <w:sz w:val="24"/>
          <w:szCs w:val="24"/>
        </w:rPr>
        <w:t xml:space="preserve"> [1996] 1 WLR 1569, and as adopted in Hong Kong for proceedings under section 214 of the Securities and Futures Ordinance (Cap. 571) and section 168H of the former Companies Ordinance (Cap. 32).  Further, the procedure was</w:t>
      </w:r>
      <w:r w:rsidR="0071101B">
        <w:rPr>
          <w:rFonts w:eastAsia="Lucida Sans"/>
          <w:sz w:val="24"/>
          <w:szCs w:val="24"/>
        </w:rPr>
        <w:t xml:space="preserve"> </w:t>
      </w:r>
      <w:r w:rsidR="0071101B" w:rsidRPr="0071101B">
        <w:rPr>
          <w:rFonts w:eastAsia="Lucida Sans"/>
          <w:sz w:val="24"/>
          <w:szCs w:val="24"/>
        </w:rPr>
        <w:t xml:space="preserve">endorsed by the Honourable Mr Justice Jonathan Harris in the case of </w:t>
      </w:r>
      <w:r w:rsidR="0071101B" w:rsidRPr="0071101B">
        <w:rPr>
          <w:rFonts w:eastAsia="Lucida Sans"/>
          <w:b/>
          <w:sz w:val="24"/>
          <w:szCs w:val="24"/>
          <w:u w:val="single"/>
        </w:rPr>
        <w:t>Competition Commission v Kam Kwong Engineering Co Ltd</w:t>
      </w:r>
      <w:r w:rsidR="0071101B" w:rsidRPr="0071101B">
        <w:rPr>
          <w:rFonts w:eastAsia="Lucida Sans"/>
          <w:sz w:val="24"/>
          <w:szCs w:val="24"/>
        </w:rPr>
        <w:t xml:space="preserve"> [2020] 4 HKLRD 61 as a </w:t>
      </w:r>
      <w:r w:rsidR="0071101B" w:rsidRPr="00981479">
        <w:rPr>
          <w:rFonts w:eastAsia="Lucida Sans"/>
          <w:i/>
          <w:sz w:val="24"/>
          <w:szCs w:val="24"/>
        </w:rPr>
        <w:t>“readymade blueprint for disposing of proceedings under the Ordinance”</w:t>
      </w:r>
      <w:r w:rsidR="0071101B" w:rsidRPr="0071101B">
        <w:rPr>
          <w:rFonts w:eastAsia="Lucida Sans"/>
          <w:sz w:val="24"/>
          <w:szCs w:val="24"/>
        </w:rPr>
        <w:t xml:space="preserve"> (at §17) and by the Honourable Madam Justice Linda Chan in her judgment handed down on 3 November 2020 (</w:t>
      </w:r>
      <w:r w:rsidR="0071101B" w:rsidRPr="0071101B">
        <w:rPr>
          <w:rFonts w:eastAsia="Lucida Sans"/>
          <w:b/>
          <w:sz w:val="24"/>
          <w:szCs w:val="24"/>
          <w:u w:val="single"/>
        </w:rPr>
        <w:t>Competition Commission v. Quantr Limited and Others</w:t>
      </w:r>
      <w:r w:rsidR="0071101B" w:rsidRPr="0071101B">
        <w:rPr>
          <w:rFonts w:eastAsia="Lucida Sans"/>
          <w:sz w:val="24"/>
          <w:szCs w:val="24"/>
        </w:rPr>
        <w:t xml:space="preserve"> [2020] HKCT 10).  Additionally, the same procedure was adopted by the Honourable Mr Justice Godfrey Lam (as he then was) in his judgment handed down on 16 December 2020 in relation to the penalty proceedings in </w:t>
      </w:r>
      <w:r w:rsidR="0071101B" w:rsidRPr="0071101B">
        <w:rPr>
          <w:rFonts w:eastAsia="Lucida Sans"/>
          <w:b/>
          <w:sz w:val="24"/>
          <w:szCs w:val="24"/>
          <w:u w:val="single"/>
        </w:rPr>
        <w:t>Competition Commission v. Nutanix Hong Kong Limited and Others</w:t>
      </w:r>
      <w:r w:rsidR="0071101B" w:rsidRPr="0071101B">
        <w:rPr>
          <w:rFonts w:eastAsia="Lucida Sans"/>
          <w:sz w:val="24"/>
          <w:szCs w:val="24"/>
        </w:rPr>
        <w:t xml:space="preserve"> [2020] HKCT 11.</w:t>
      </w:r>
    </w:p>
    <w:p w:rsidR="0071101B" w:rsidRDefault="0071101B" w:rsidP="0071101B">
      <w:pPr>
        <w:spacing w:before="360" w:line="360" w:lineRule="auto"/>
        <w:ind w:right="-331" w:hangingChars="300"/>
        <w:rPr>
          <w:rFonts w:eastAsia="Lucida Sans"/>
          <w:sz w:val="24"/>
          <w:szCs w:val="24"/>
        </w:rPr>
      </w:pPr>
      <w:r>
        <w:rPr>
          <w:rFonts w:eastAsia="Lucida Sans"/>
          <w:sz w:val="24"/>
          <w:szCs w:val="24"/>
        </w:rPr>
        <w:t>4.</w:t>
      </w:r>
      <w:r>
        <w:rPr>
          <w:rFonts w:eastAsia="Lucida Sans"/>
          <w:sz w:val="24"/>
          <w:szCs w:val="24"/>
        </w:rPr>
        <w:tab/>
      </w:r>
      <w:r w:rsidR="005A79A6" w:rsidRPr="005A79A6">
        <w:rPr>
          <w:rFonts w:eastAsia="Lucida Sans"/>
          <w:sz w:val="24"/>
          <w:szCs w:val="24"/>
        </w:rPr>
        <w:t>This Statement of Agreed Facts (“</w:t>
      </w:r>
      <w:r w:rsidR="005A79A6" w:rsidRPr="005A79A6">
        <w:rPr>
          <w:rFonts w:eastAsia="Lucida Sans"/>
          <w:b/>
          <w:sz w:val="24"/>
          <w:szCs w:val="24"/>
        </w:rPr>
        <w:t>Statement</w:t>
      </w:r>
      <w:r w:rsidR="005A79A6" w:rsidRPr="005A79A6">
        <w:rPr>
          <w:rFonts w:eastAsia="Lucida Sans"/>
          <w:sz w:val="24"/>
          <w:szCs w:val="24"/>
        </w:rPr>
        <w:t>”) is submitted pursuant to Rule 39 of the CTR and §72 of the CTPD1.  The Tribunal is asked to make the orders sought in the draft consent order on the basis of the facts set out in this Statement.</w:t>
      </w:r>
    </w:p>
    <w:p w:rsidR="0071101B" w:rsidRDefault="005A79A6" w:rsidP="005A79A6">
      <w:pPr>
        <w:spacing w:before="360" w:line="360" w:lineRule="auto"/>
        <w:ind w:right="-331" w:hangingChars="300"/>
        <w:rPr>
          <w:color w:val="000000" w:themeColor="text1"/>
          <w:sz w:val="24"/>
          <w:szCs w:val="24"/>
        </w:rPr>
      </w:pPr>
      <w:r w:rsidRPr="00DE44A8">
        <w:rPr>
          <w:color w:val="000000" w:themeColor="text1"/>
          <w:sz w:val="24"/>
          <w:szCs w:val="24"/>
        </w:rPr>
        <w:t>5.</w:t>
      </w:r>
      <w:r>
        <w:rPr>
          <w:color w:val="000000" w:themeColor="text1"/>
        </w:rPr>
        <w:tab/>
      </w:r>
      <w:r w:rsidRPr="005A79A6">
        <w:rPr>
          <w:color w:val="000000" w:themeColor="text1"/>
          <w:sz w:val="24"/>
          <w:szCs w:val="24"/>
        </w:rPr>
        <w:t>For the purpose of resolving these proceedings summarily, by reference to the facts as set out in Part B below, the Commission contends and each of ML and MTT admits that between early May 2020 until at least 19 April 2021, ML has contravened the FCR by having made and given effect to an agreement and engaged in a concerted practice involving price fixing, customer allocation, bid-rigging and the exchange of competitively sensitive information with three other undertakings</w:t>
      </w:r>
      <w:r w:rsidR="00C87C53">
        <w:rPr>
          <w:rStyle w:val="FootnoteReference"/>
          <w:color w:val="000000" w:themeColor="text1"/>
          <w:sz w:val="24"/>
          <w:szCs w:val="24"/>
        </w:rPr>
        <w:footnoteReference w:id="6"/>
      </w:r>
      <w:r w:rsidRPr="005A79A6">
        <w:rPr>
          <w:color w:val="000000" w:themeColor="text1"/>
          <w:sz w:val="24"/>
          <w:szCs w:val="24"/>
        </w:rPr>
        <w:t>, namely (1) BP/Noble (consisting of BP Enterprise Company Limited (“</w:t>
      </w:r>
      <w:r w:rsidRPr="00DE44A8">
        <w:rPr>
          <w:b/>
          <w:color w:val="000000" w:themeColor="text1"/>
          <w:sz w:val="24"/>
          <w:szCs w:val="24"/>
        </w:rPr>
        <w:t>BP</w:t>
      </w:r>
      <w:r w:rsidRPr="005A79A6">
        <w:rPr>
          <w:color w:val="000000" w:themeColor="text1"/>
          <w:sz w:val="24"/>
          <w:szCs w:val="24"/>
        </w:rPr>
        <w:t>”) and Noble Nursing Home Company Limited (“</w:t>
      </w:r>
      <w:r w:rsidRPr="00DE44A8">
        <w:rPr>
          <w:b/>
          <w:color w:val="000000" w:themeColor="text1"/>
          <w:sz w:val="24"/>
          <w:szCs w:val="24"/>
        </w:rPr>
        <w:t>Noble</w:t>
      </w:r>
      <w:r w:rsidRPr="005A79A6">
        <w:rPr>
          <w:color w:val="000000" w:themeColor="text1"/>
          <w:sz w:val="24"/>
          <w:szCs w:val="24"/>
        </w:rPr>
        <w:t xml:space="preserve">”), being the </w:t>
      </w:r>
      <w:r w:rsidR="00DE44A8">
        <w:rPr>
          <w:color w:val="000000" w:themeColor="text1"/>
          <w:sz w:val="24"/>
          <w:szCs w:val="24"/>
        </w:rPr>
        <w:t>3</w:t>
      </w:r>
      <w:r w:rsidR="00DE44A8" w:rsidRPr="00DE44A8">
        <w:rPr>
          <w:color w:val="000000" w:themeColor="text1"/>
          <w:sz w:val="24"/>
          <w:szCs w:val="24"/>
          <w:vertAlign w:val="superscript"/>
        </w:rPr>
        <w:t>rd</w:t>
      </w:r>
      <w:r w:rsidR="00DE44A8">
        <w:rPr>
          <w:color w:val="000000" w:themeColor="text1"/>
          <w:sz w:val="24"/>
          <w:szCs w:val="24"/>
        </w:rPr>
        <w:t xml:space="preserve"> </w:t>
      </w:r>
      <w:r w:rsidRPr="005A79A6">
        <w:rPr>
          <w:color w:val="000000" w:themeColor="text1"/>
          <w:sz w:val="24"/>
          <w:szCs w:val="24"/>
        </w:rPr>
        <w:t xml:space="preserve">and </w:t>
      </w:r>
      <w:r w:rsidR="00DE44A8">
        <w:rPr>
          <w:color w:val="000000" w:themeColor="text1"/>
          <w:sz w:val="24"/>
          <w:szCs w:val="24"/>
        </w:rPr>
        <w:t>4</w:t>
      </w:r>
      <w:r w:rsidR="00DE44A8" w:rsidRPr="00DE44A8">
        <w:rPr>
          <w:color w:val="000000" w:themeColor="text1"/>
          <w:sz w:val="24"/>
          <w:szCs w:val="24"/>
          <w:vertAlign w:val="superscript"/>
        </w:rPr>
        <w:t>th</w:t>
      </w:r>
      <w:r w:rsidR="00DE44A8">
        <w:rPr>
          <w:color w:val="000000" w:themeColor="text1"/>
          <w:sz w:val="24"/>
          <w:szCs w:val="24"/>
        </w:rPr>
        <w:t xml:space="preserve"> </w:t>
      </w:r>
      <w:r w:rsidRPr="005A79A6">
        <w:rPr>
          <w:color w:val="000000" w:themeColor="text1"/>
          <w:sz w:val="24"/>
          <w:szCs w:val="24"/>
        </w:rPr>
        <w:t>Respondents in these proceedings respectively); (2) KWEK Studio Limited (“</w:t>
      </w:r>
      <w:r w:rsidRPr="00DE44A8">
        <w:rPr>
          <w:b/>
          <w:color w:val="000000" w:themeColor="text1"/>
          <w:sz w:val="24"/>
          <w:szCs w:val="24"/>
        </w:rPr>
        <w:t>KWEK</w:t>
      </w:r>
      <w:r w:rsidRPr="005A79A6">
        <w:rPr>
          <w:color w:val="000000" w:themeColor="text1"/>
          <w:sz w:val="24"/>
          <w:szCs w:val="24"/>
        </w:rPr>
        <w:t xml:space="preserve">”), being  the </w:t>
      </w:r>
      <w:r w:rsidR="00DE44A8">
        <w:rPr>
          <w:color w:val="000000" w:themeColor="text1"/>
          <w:sz w:val="24"/>
          <w:szCs w:val="24"/>
        </w:rPr>
        <w:t>5</w:t>
      </w:r>
      <w:r w:rsidR="00DE44A8" w:rsidRPr="00DE44A8">
        <w:rPr>
          <w:color w:val="000000" w:themeColor="text1"/>
          <w:sz w:val="24"/>
          <w:szCs w:val="24"/>
          <w:vertAlign w:val="superscript"/>
        </w:rPr>
        <w:t>th</w:t>
      </w:r>
      <w:r w:rsidR="00DE44A8">
        <w:rPr>
          <w:color w:val="000000" w:themeColor="text1"/>
          <w:sz w:val="24"/>
          <w:szCs w:val="24"/>
        </w:rPr>
        <w:t xml:space="preserve"> </w:t>
      </w:r>
      <w:r w:rsidRPr="005A79A6">
        <w:rPr>
          <w:color w:val="000000" w:themeColor="text1"/>
          <w:sz w:val="24"/>
          <w:szCs w:val="24"/>
        </w:rPr>
        <w:t>Respondent in these proceedings; and (3) Au Yeung Kit Yee, also known as Agnes Au Yeung (“</w:t>
      </w:r>
      <w:r w:rsidRPr="00DE44A8">
        <w:rPr>
          <w:b/>
          <w:color w:val="000000" w:themeColor="text1"/>
          <w:sz w:val="24"/>
          <w:szCs w:val="24"/>
        </w:rPr>
        <w:t>Agnes Au Yeung</w:t>
      </w:r>
      <w:r w:rsidRPr="005A79A6">
        <w:rPr>
          <w:color w:val="000000" w:themeColor="text1"/>
          <w:sz w:val="24"/>
          <w:szCs w:val="24"/>
        </w:rPr>
        <w:t>”) (trading as Yat Ying Hong (“</w:t>
      </w:r>
      <w:r w:rsidRPr="00DE44A8">
        <w:rPr>
          <w:b/>
          <w:color w:val="000000" w:themeColor="text1"/>
          <w:sz w:val="24"/>
          <w:szCs w:val="24"/>
        </w:rPr>
        <w:t>Yat Ying</w:t>
      </w:r>
      <w:r w:rsidRPr="005A79A6">
        <w:rPr>
          <w:color w:val="000000" w:themeColor="text1"/>
          <w:sz w:val="24"/>
          <w:szCs w:val="24"/>
        </w:rPr>
        <w:t>”)), being the 6th Respondent in these proceedings, in relation to the supply of quotations for the provision of IT services under the Distance Business Programme (“</w:t>
      </w:r>
      <w:r w:rsidRPr="00DE44A8">
        <w:rPr>
          <w:b/>
          <w:color w:val="000000" w:themeColor="text1"/>
          <w:sz w:val="24"/>
          <w:szCs w:val="24"/>
        </w:rPr>
        <w:t>D-Biz</w:t>
      </w:r>
      <w:r w:rsidRPr="005A79A6">
        <w:rPr>
          <w:color w:val="000000" w:themeColor="text1"/>
          <w:sz w:val="24"/>
          <w:szCs w:val="24"/>
        </w:rPr>
        <w:t>”) (“</w:t>
      </w:r>
      <w:r w:rsidRPr="00DE44A8">
        <w:rPr>
          <w:b/>
          <w:color w:val="000000" w:themeColor="text1"/>
          <w:sz w:val="24"/>
          <w:szCs w:val="24"/>
        </w:rPr>
        <w:t>Subject Arrangement</w:t>
      </w:r>
      <w:r w:rsidRPr="005A79A6">
        <w:rPr>
          <w:color w:val="000000" w:themeColor="text1"/>
          <w:sz w:val="24"/>
          <w:szCs w:val="24"/>
        </w:rPr>
        <w:t>”). The Subject Arrangement contravened section 6 of the Ordinance, as more particularly described in paragraphs 26 to 34 below (“</w:t>
      </w:r>
      <w:r w:rsidRPr="00DE44A8">
        <w:rPr>
          <w:b/>
          <w:color w:val="000000" w:themeColor="text1"/>
          <w:sz w:val="24"/>
          <w:szCs w:val="24"/>
        </w:rPr>
        <w:t>Contravention</w:t>
      </w:r>
      <w:r w:rsidRPr="005A79A6">
        <w:rPr>
          <w:color w:val="000000" w:themeColor="text1"/>
          <w:sz w:val="24"/>
          <w:szCs w:val="24"/>
        </w:rPr>
        <w:t>”).</w:t>
      </w:r>
    </w:p>
    <w:p w:rsidR="00DE44A8" w:rsidRDefault="00DE44A8" w:rsidP="005A79A6">
      <w:pPr>
        <w:spacing w:before="360" w:line="360" w:lineRule="auto"/>
        <w:ind w:right="-331" w:hangingChars="300"/>
        <w:rPr>
          <w:color w:val="000000" w:themeColor="text1"/>
          <w:sz w:val="24"/>
          <w:szCs w:val="24"/>
        </w:rPr>
      </w:pPr>
      <w:r>
        <w:rPr>
          <w:color w:val="000000" w:themeColor="text1"/>
          <w:sz w:val="24"/>
          <w:szCs w:val="24"/>
        </w:rPr>
        <w:t>6.</w:t>
      </w:r>
      <w:r>
        <w:rPr>
          <w:color w:val="000000" w:themeColor="text1"/>
          <w:sz w:val="24"/>
          <w:szCs w:val="24"/>
        </w:rPr>
        <w:tab/>
      </w:r>
      <w:r w:rsidRPr="00DE44A8">
        <w:rPr>
          <w:color w:val="000000" w:themeColor="text1"/>
          <w:sz w:val="24"/>
          <w:szCs w:val="24"/>
        </w:rPr>
        <w:t>The facts as set out in this Statement are agreed by the Commission and each of ML and MTT.  This Statement is filed before the Tribunal to support the joint application by the Commission and ML and MTT for the orders sought in the draft consent order submitted as part of the application to be made under Rule 39 of the CTR (“</w:t>
      </w:r>
      <w:r w:rsidRPr="00DE44A8">
        <w:rPr>
          <w:b/>
          <w:color w:val="000000" w:themeColor="text1"/>
          <w:sz w:val="24"/>
          <w:szCs w:val="24"/>
        </w:rPr>
        <w:t>Joint Application</w:t>
      </w:r>
      <w:r w:rsidRPr="00DE44A8">
        <w:rPr>
          <w:color w:val="000000" w:themeColor="text1"/>
          <w:sz w:val="24"/>
          <w:szCs w:val="24"/>
        </w:rPr>
        <w:t>”).</w:t>
      </w:r>
    </w:p>
    <w:p w:rsidR="00DE44A8" w:rsidRDefault="00DE44A8" w:rsidP="005A79A6">
      <w:pPr>
        <w:spacing w:before="360" w:line="360" w:lineRule="auto"/>
        <w:ind w:right="-331" w:hangingChars="300"/>
        <w:rPr>
          <w:color w:val="000000" w:themeColor="text1"/>
          <w:sz w:val="24"/>
          <w:szCs w:val="24"/>
        </w:rPr>
      </w:pPr>
      <w:r>
        <w:rPr>
          <w:color w:val="000000" w:themeColor="text1"/>
          <w:sz w:val="24"/>
          <w:szCs w:val="24"/>
        </w:rPr>
        <w:t>7.</w:t>
      </w:r>
      <w:r>
        <w:rPr>
          <w:color w:val="000000" w:themeColor="text1"/>
          <w:sz w:val="24"/>
          <w:szCs w:val="24"/>
        </w:rPr>
        <w:tab/>
      </w:r>
      <w:r w:rsidRPr="00DE44A8">
        <w:rPr>
          <w:color w:val="000000" w:themeColor="text1"/>
          <w:sz w:val="24"/>
          <w:szCs w:val="24"/>
        </w:rPr>
        <w:t>If the Tribunal for whatever reason is of the view that these proceedings shall not be dealt with by way of the Joint Application, no admission or concession by either the Commission or ML or MTT regarding liability to a pecuniary penalty (save and except the matters set out in paragraphs 36 to 37 below) shall be referred to or relied upon by either the Commission or ML or MTT at any adjourned or subsequent hearing or in any other proceedings without the prior written consent of both the Commission and each of ML and MTT.</w:t>
      </w:r>
    </w:p>
    <w:p w:rsidR="00DE44A8" w:rsidRDefault="00DE44A8" w:rsidP="005A79A6">
      <w:pPr>
        <w:spacing w:before="360" w:line="360" w:lineRule="auto"/>
        <w:ind w:right="-331" w:hangingChars="300"/>
        <w:rPr>
          <w:color w:val="000000" w:themeColor="text1"/>
          <w:sz w:val="24"/>
          <w:szCs w:val="24"/>
        </w:rPr>
      </w:pPr>
      <w:r>
        <w:rPr>
          <w:color w:val="000000" w:themeColor="text1"/>
          <w:sz w:val="24"/>
          <w:szCs w:val="24"/>
        </w:rPr>
        <w:t>8.</w:t>
      </w:r>
      <w:r>
        <w:rPr>
          <w:color w:val="000000" w:themeColor="text1"/>
          <w:sz w:val="24"/>
          <w:szCs w:val="24"/>
        </w:rPr>
        <w:tab/>
      </w:r>
      <w:r w:rsidRPr="00DE44A8">
        <w:rPr>
          <w:color w:val="000000" w:themeColor="text1"/>
          <w:sz w:val="24"/>
          <w:szCs w:val="24"/>
        </w:rPr>
        <w:t>The Commission and each of ML and MTT accept and acknowledge that none of the admissions made by ML or MTT in this Statement shall be binding on any other Respondents in these proceedings.</w:t>
      </w:r>
    </w:p>
    <w:p w:rsidR="00DE44A8" w:rsidRDefault="00DE44A8" w:rsidP="005A79A6">
      <w:pPr>
        <w:spacing w:before="360" w:line="360" w:lineRule="auto"/>
        <w:ind w:right="-331" w:hangingChars="300"/>
        <w:rPr>
          <w:color w:val="000000" w:themeColor="text1"/>
          <w:sz w:val="24"/>
          <w:szCs w:val="24"/>
        </w:rPr>
      </w:pPr>
      <w:r>
        <w:rPr>
          <w:color w:val="000000" w:themeColor="text1"/>
          <w:sz w:val="24"/>
          <w:szCs w:val="24"/>
        </w:rPr>
        <w:t>9.</w:t>
      </w:r>
      <w:r>
        <w:rPr>
          <w:color w:val="000000" w:themeColor="text1"/>
          <w:sz w:val="24"/>
          <w:szCs w:val="24"/>
        </w:rPr>
        <w:tab/>
      </w:r>
      <w:r w:rsidRPr="00DE44A8">
        <w:rPr>
          <w:color w:val="000000" w:themeColor="text1"/>
          <w:sz w:val="24"/>
          <w:szCs w:val="24"/>
        </w:rPr>
        <w:t>The Commission reserves the right to refer to this Statement for all purposes connected with or ancillary to these proceedings.</w:t>
      </w:r>
    </w:p>
    <w:p w:rsidR="00DE44A8" w:rsidRDefault="00DE44A8" w:rsidP="00DE44A8">
      <w:pPr>
        <w:spacing w:before="360" w:line="360" w:lineRule="auto"/>
        <w:ind w:left="723" w:right="-331" w:hangingChars="300" w:hanging="723"/>
        <w:jc w:val="center"/>
        <w:rPr>
          <w:b/>
          <w:color w:val="000000" w:themeColor="text1"/>
          <w:sz w:val="24"/>
          <w:szCs w:val="24"/>
        </w:rPr>
      </w:pPr>
      <w:r w:rsidRPr="00DE44A8">
        <w:rPr>
          <w:b/>
          <w:color w:val="000000" w:themeColor="text1"/>
          <w:sz w:val="24"/>
          <w:szCs w:val="24"/>
        </w:rPr>
        <w:t>PART B – UNDISPUTED FACTS RELEVANT TO LIABILITY</w:t>
      </w:r>
    </w:p>
    <w:p w:rsidR="00DE44A8" w:rsidRDefault="00DE44A8" w:rsidP="00DE44A8">
      <w:pPr>
        <w:spacing w:before="360" w:line="360" w:lineRule="auto"/>
        <w:ind w:left="723" w:right="-331" w:hangingChars="300" w:hanging="723"/>
        <w:rPr>
          <w:b/>
          <w:color w:val="000000" w:themeColor="text1"/>
          <w:sz w:val="24"/>
          <w:szCs w:val="24"/>
          <w:u w:val="single"/>
        </w:rPr>
      </w:pPr>
      <w:r w:rsidRPr="00DE44A8">
        <w:rPr>
          <w:b/>
          <w:color w:val="000000" w:themeColor="text1"/>
          <w:sz w:val="24"/>
          <w:szCs w:val="24"/>
          <w:u w:val="single"/>
        </w:rPr>
        <w:t>B1.</w:t>
      </w:r>
      <w:r w:rsidRPr="00DE44A8">
        <w:rPr>
          <w:b/>
          <w:color w:val="000000" w:themeColor="text1"/>
          <w:sz w:val="24"/>
          <w:szCs w:val="24"/>
          <w:u w:val="single"/>
        </w:rPr>
        <w:tab/>
        <w:t>ML and the relevant employees</w:t>
      </w:r>
    </w:p>
    <w:p w:rsidR="00DE44A8" w:rsidRDefault="00DE44A8" w:rsidP="00DE44A8">
      <w:pPr>
        <w:spacing w:before="360" w:line="360" w:lineRule="auto"/>
        <w:ind w:right="-331" w:hangingChars="300"/>
        <w:rPr>
          <w:color w:val="000000" w:themeColor="text1"/>
          <w:sz w:val="24"/>
          <w:szCs w:val="24"/>
        </w:rPr>
      </w:pPr>
      <w:r w:rsidRPr="00DE44A8">
        <w:rPr>
          <w:color w:val="000000" w:themeColor="text1"/>
          <w:sz w:val="24"/>
          <w:szCs w:val="24"/>
        </w:rPr>
        <w:t>10.</w:t>
      </w:r>
      <w:r w:rsidRPr="00DE44A8">
        <w:rPr>
          <w:color w:val="000000" w:themeColor="text1"/>
          <w:sz w:val="24"/>
          <w:szCs w:val="24"/>
        </w:rPr>
        <w:tab/>
        <w:t>ML is and was at all material times a limited liability company incorporated under the laws of Hong Kong.  Its current sole shareholder is Multisoft Holding Limited, which is a company incorporated in the British Virgin Islands.  Multisoft Holding Limited is 100% owned by MTT.</w:t>
      </w:r>
    </w:p>
    <w:p w:rsidR="00DE44A8" w:rsidRDefault="00DE44A8" w:rsidP="00DE44A8">
      <w:pPr>
        <w:spacing w:before="360" w:line="360" w:lineRule="auto"/>
        <w:ind w:right="-331" w:hangingChars="300"/>
        <w:rPr>
          <w:color w:val="000000" w:themeColor="text1"/>
          <w:sz w:val="24"/>
          <w:szCs w:val="24"/>
        </w:rPr>
      </w:pPr>
      <w:r>
        <w:rPr>
          <w:color w:val="000000" w:themeColor="text1"/>
          <w:sz w:val="24"/>
          <w:szCs w:val="24"/>
        </w:rPr>
        <w:t>11.</w:t>
      </w:r>
      <w:r>
        <w:rPr>
          <w:color w:val="000000" w:themeColor="text1"/>
          <w:sz w:val="24"/>
          <w:szCs w:val="24"/>
        </w:rPr>
        <w:tab/>
      </w:r>
      <w:r w:rsidR="00BE5250" w:rsidRPr="00BE5250">
        <w:rPr>
          <w:color w:val="000000" w:themeColor="text1"/>
          <w:sz w:val="24"/>
          <w:szCs w:val="24"/>
        </w:rPr>
        <w:t>ML was at all relevant times, and is, engaged in economic activity, namely the business of providing IT enterprise solutions, specialising in systems, networking, security and cloud services.  ML participated in D-Biz as an IT service provider.  From 17 December 2013 to 1 February 2021, the late WU Wai Hung, also known as Vincent Wu (“</w:t>
      </w:r>
      <w:r w:rsidR="00BE5250" w:rsidRPr="00BE5250">
        <w:rPr>
          <w:b/>
          <w:color w:val="000000" w:themeColor="text1"/>
          <w:sz w:val="24"/>
          <w:szCs w:val="24"/>
        </w:rPr>
        <w:t>Vincent Wu</w:t>
      </w:r>
      <w:r w:rsidR="00BE5250" w:rsidRPr="00BE5250">
        <w:rPr>
          <w:color w:val="000000" w:themeColor="text1"/>
          <w:sz w:val="24"/>
          <w:szCs w:val="24"/>
        </w:rPr>
        <w:t>”), was a director of ML.  His last position, and his position at all material times, was sales director, responsible for the divisions consisting of sales, marketing and business development.  He passed away in early 2021.  In January 2021, Vincent Wu’s position as sales director for ML was taken up by another director of ML who had previously been, and was at all material times, the designated person responsible for signing NCCs for ML under the D-Biz scheme.</w:t>
      </w:r>
    </w:p>
    <w:p w:rsidR="00BE5250" w:rsidRDefault="00BE5250" w:rsidP="00DE44A8">
      <w:pPr>
        <w:spacing w:before="360" w:line="360" w:lineRule="auto"/>
        <w:ind w:right="-331" w:hangingChars="300"/>
        <w:rPr>
          <w:color w:val="000000" w:themeColor="text1"/>
          <w:sz w:val="24"/>
          <w:szCs w:val="24"/>
        </w:rPr>
      </w:pPr>
      <w:r>
        <w:rPr>
          <w:color w:val="000000" w:themeColor="text1"/>
          <w:sz w:val="24"/>
          <w:szCs w:val="24"/>
        </w:rPr>
        <w:t>12.</w:t>
      </w:r>
      <w:r>
        <w:rPr>
          <w:color w:val="000000" w:themeColor="text1"/>
          <w:sz w:val="24"/>
          <w:szCs w:val="24"/>
        </w:rPr>
        <w:tab/>
      </w:r>
      <w:r w:rsidRPr="00BE5250">
        <w:rPr>
          <w:color w:val="000000" w:themeColor="text1"/>
          <w:sz w:val="24"/>
          <w:szCs w:val="24"/>
        </w:rPr>
        <w:t>The employees reporting to Vincent Wu at all material times included one who had joined ML, on 16 January 2018, as a product executive (“</w:t>
      </w:r>
      <w:r w:rsidRPr="00BE5250">
        <w:rPr>
          <w:b/>
          <w:color w:val="000000" w:themeColor="text1"/>
          <w:sz w:val="24"/>
          <w:szCs w:val="24"/>
        </w:rPr>
        <w:t>the Relevant ML Employee</w:t>
      </w:r>
      <w:r w:rsidRPr="00BE5250">
        <w:rPr>
          <w:color w:val="000000" w:themeColor="text1"/>
          <w:sz w:val="24"/>
          <w:szCs w:val="24"/>
        </w:rPr>
        <w:t xml:space="preserve">”).  On 1 April 2019, the Relevant ML Employee was promoted to product manager in ML’s business development team.  That remained his position at all material times.  In that role, his duties included product planning, benchmarking and feasibility studies, product definition, product development, project management and ensure customer satisfaction.  His employment contract for that position also required him to perform </w:t>
      </w:r>
      <w:r w:rsidRPr="00BE5250">
        <w:rPr>
          <w:i/>
          <w:color w:val="000000" w:themeColor="text1"/>
          <w:sz w:val="24"/>
          <w:szCs w:val="24"/>
        </w:rPr>
        <w:t>“any other functions as may be assigned by the management from time to time”</w:t>
      </w:r>
      <w:r w:rsidRPr="00BE5250">
        <w:rPr>
          <w:color w:val="000000" w:themeColor="text1"/>
          <w:sz w:val="24"/>
          <w:szCs w:val="24"/>
        </w:rPr>
        <w:t>.  In October 2021, he was dismissed by ML, after the Commission conducted searches of ML’s premises as part of its investigation of the Contravention.</w:t>
      </w:r>
    </w:p>
    <w:p w:rsidR="0029112E" w:rsidRDefault="0029112E" w:rsidP="00DE44A8">
      <w:pPr>
        <w:spacing w:before="360" w:line="360" w:lineRule="auto"/>
        <w:ind w:right="-331" w:hangingChars="300"/>
        <w:rPr>
          <w:color w:val="000000" w:themeColor="text1"/>
          <w:sz w:val="24"/>
          <w:szCs w:val="24"/>
        </w:rPr>
      </w:pPr>
      <w:r>
        <w:rPr>
          <w:color w:val="000000" w:themeColor="text1"/>
          <w:sz w:val="24"/>
          <w:szCs w:val="24"/>
        </w:rPr>
        <w:t>13.</w:t>
      </w:r>
      <w:r>
        <w:rPr>
          <w:color w:val="000000" w:themeColor="text1"/>
          <w:sz w:val="24"/>
          <w:szCs w:val="24"/>
        </w:rPr>
        <w:tab/>
      </w:r>
      <w:r w:rsidRPr="0029112E">
        <w:rPr>
          <w:color w:val="000000" w:themeColor="text1"/>
          <w:sz w:val="24"/>
          <w:szCs w:val="24"/>
        </w:rPr>
        <w:t>At the material times, ML actively sought business opportunities under D-Biz and was enrolled to D-Biz’s IT Service Providers Reference List (“</w:t>
      </w:r>
      <w:r w:rsidRPr="0029112E">
        <w:rPr>
          <w:b/>
          <w:color w:val="000000" w:themeColor="text1"/>
          <w:sz w:val="24"/>
          <w:szCs w:val="24"/>
        </w:rPr>
        <w:t>Reference List</w:t>
      </w:r>
      <w:r w:rsidRPr="0029112E">
        <w:rPr>
          <w:color w:val="000000" w:themeColor="text1"/>
          <w:sz w:val="24"/>
          <w:szCs w:val="24"/>
        </w:rPr>
        <w:t>”) for 5 out of the 12 designated categories of IT solutions mentioned in paragraph 16 below.  However, businesses applying for D-Biz funding were allowed to choose other IT service providers than those set out in the Reference List.  In fact, none of the other parties involved in the Subject Arrangement, i.e. BP, Noble, KWEK and Yat Ying, were enrolled to the Reference List but they were still eligible to participate in D-Biz by providing quotations to D-Biz applicants, just as ML was.</w:t>
      </w:r>
    </w:p>
    <w:p w:rsidR="0029112E" w:rsidRDefault="0029112E" w:rsidP="00DE44A8">
      <w:pPr>
        <w:spacing w:before="360" w:line="360" w:lineRule="auto"/>
        <w:ind w:right="-331" w:hangingChars="300"/>
        <w:rPr>
          <w:color w:val="000000" w:themeColor="text1"/>
          <w:sz w:val="24"/>
          <w:szCs w:val="24"/>
        </w:rPr>
      </w:pPr>
      <w:r>
        <w:rPr>
          <w:color w:val="000000" w:themeColor="text1"/>
          <w:sz w:val="24"/>
          <w:szCs w:val="24"/>
        </w:rPr>
        <w:t>14.</w:t>
      </w:r>
      <w:r>
        <w:rPr>
          <w:color w:val="000000" w:themeColor="text1"/>
          <w:sz w:val="24"/>
          <w:szCs w:val="24"/>
        </w:rPr>
        <w:tab/>
      </w:r>
      <w:r w:rsidRPr="0029112E">
        <w:rPr>
          <w:color w:val="000000" w:themeColor="text1"/>
          <w:sz w:val="24"/>
          <w:szCs w:val="24"/>
        </w:rPr>
        <w:t>Prior to the launch of the D-Biz scheme, Vincent Wu and the Relevant ML Employee were already acquainted with BP and Noble’s joint director (“</w:t>
      </w:r>
      <w:r w:rsidRPr="0029112E">
        <w:rPr>
          <w:b/>
          <w:color w:val="000000" w:themeColor="text1"/>
          <w:sz w:val="24"/>
          <w:szCs w:val="24"/>
        </w:rPr>
        <w:t>BP/Noble Director</w:t>
      </w:r>
      <w:r w:rsidRPr="0029112E">
        <w:rPr>
          <w:color w:val="000000" w:themeColor="text1"/>
          <w:sz w:val="24"/>
          <w:szCs w:val="24"/>
        </w:rPr>
        <w:t>”), KWEK’s shareholder and director Tang Wai Chun, also known as Koki Tang (“</w:t>
      </w:r>
      <w:r w:rsidRPr="0029112E">
        <w:rPr>
          <w:b/>
          <w:color w:val="000000" w:themeColor="text1"/>
          <w:sz w:val="24"/>
          <w:szCs w:val="24"/>
        </w:rPr>
        <w:t>Koki Tang</w:t>
      </w:r>
      <w:r w:rsidRPr="0029112E">
        <w:rPr>
          <w:color w:val="000000" w:themeColor="text1"/>
          <w:sz w:val="24"/>
          <w:szCs w:val="24"/>
        </w:rPr>
        <w:t>”, being the 8th Respondent in these proceedings), Yat Ying’s owner Agnes Au Yueng as well as her husband, Fan Sing Chi, also known as Joe Fan (“</w:t>
      </w:r>
      <w:r w:rsidRPr="0029112E">
        <w:rPr>
          <w:b/>
          <w:color w:val="000000" w:themeColor="text1"/>
          <w:sz w:val="24"/>
          <w:szCs w:val="24"/>
        </w:rPr>
        <w:t>Joe Fan</w:t>
      </w:r>
      <w:r w:rsidRPr="0029112E">
        <w:rPr>
          <w:color w:val="000000" w:themeColor="text1"/>
          <w:sz w:val="24"/>
          <w:szCs w:val="24"/>
        </w:rPr>
        <w:t xml:space="preserve">”, being the </w:t>
      </w:r>
      <w:r>
        <w:rPr>
          <w:color w:val="000000" w:themeColor="text1"/>
          <w:sz w:val="24"/>
          <w:szCs w:val="24"/>
        </w:rPr>
        <w:t>7</w:t>
      </w:r>
      <w:r w:rsidRPr="0029112E">
        <w:rPr>
          <w:color w:val="000000" w:themeColor="text1"/>
          <w:sz w:val="24"/>
          <w:szCs w:val="24"/>
          <w:vertAlign w:val="superscript"/>
        </w:rPr>
        <w:t>th</w:t>
      </w:r>
      <w:r>
        <w:rPr>
          <w:color w:val="000000" w:themeColor="text1"/>
          <w:sz w:val="24"/>
          <w:szCs w:val="24"/>
        </w:rPr>
        <w:t xml:space="preserve"> </w:t>
      </w:r>
      <w:r w:rsidRPr="0029112E">
        <w:rPr>
          <w:color w:val="000000" w:themeColor="text1"/>
          <w:sz w:val="24"/>
          <w:szCs w:val="24"/>
        </w:rPr>
        <w:t>Respondent in these proceedings).</w:t>
      </w:r>
    </w:p>
    <w:p w:rsidR="0029112E" w:rsidRPr="0029112E" w:rsidRDefault="0029112E" w:rsidP="00DE44A8">
      <w:pPr>
        <w:spacing w:before="360" w:line="360" w:lineRule="auto"/>
        <w:ind w:left="723" w:right="-331" w:hangingChars="300" w:hanging="723"/>
        <w:rPr>
          <w:b/>
          <w:color w:val="000000" w:themeColor="text1"/>
          <w:sz w:val="24"/>
          <w:szCs w:val="24"/>
          <w:u w:val="single"/>
        </w:rPr>
      </w:pPr>
      <w:r w:rsidRPr="0029112E">
        <w:rPr>
          <w:b/>
          <w:color w:val="000000" w:themeColor="text1"/>
          <w:sz w:val="24"/>
          <w:szCs w:val="24"/>
          <w:u w:val="single"/>
        </w:rPr>
        <w:t>B2.</w:t>
      </w:r>
      <w:r w:rsidRPr="0029112E">
        <w:rPr>
          <w:b/>
          <w:color w:val="000000" w:themeColor="text1"/>
          <w:sz w:val="24"/>
          <w:szCs w:val="24"/>
          <w:u w:val="single"/>
        </w:rPr>
        <w:tab/>
        <w:t>The D-Biz scheme</w:t>
      </w:r>
    </w:p>
    <w:p w:rsidR="0029112E" w:rsidRDefault="0029112E" w:rsidP="00DE44A8">
      <w:pPr>
        <w:spacing w:before="360" w:line="360" w:lineRule="auto"/>
        <w:ind w:right="-331" w:hangingChars="300"/>
        <w:rPr>
          <w:color w:val="000000" w:themeColor="text1"/>
          <w:sz w:val="24"/>
          <w:szCs w:val="24"/>
        </w:rPr>
      </w:pPr>
      <w:r>
        <w:rPr>
          <w:color w:val="000000" w:themeColor="text1"/>
          <w:sz w:val="24"/>
          <w:szCs w:val="24"/>
        </w:rPr>
        <w:t>15.</w:t>
      </w:r>
      <w:r>
        <w:rPr>
          <w:color w:val="000000" w:themeColor="text1"/>
          <w:sz w:val="24"/>
          <w:szCs w:val="24"/>
        </w:rPr>
        <w:tab/>
      </w:r>
      <w:r w:rsidRPr="0029112E">
        <w:rPr>
          <w:color w:val="000000" w:themeColor="text1"/>
          <w:sz w:val="24"/>
          <w:szCs w:val="24"/>
        </w:rPr>
        <w:t>On 20 April 2020, the Innovation and Technology Commission (“</w:t>
      </w:r>
      <w:r w:rsidRPr="0029112E">
        <w:rPr>
          <w:b/>
          <w:color w:val="000000" w:themeColor="text1"/>
          <w:sz w:val="24"/>
          <w:szCs w:val="24"/>
        </w:rPr>
        <w:t>ITC</w:t>
      </w:r>
      <w:r w:rsidRPr="0029112E">
        <w:rPr>
          <w:color w:val="000000" w:themeColor="text1"/>
          <w:sz w:val="24"/>
          <w:szCs w:val="24"/>
        </w:rPr>
        <w:t>”) launched the D-Biz funding scheme, using public funds from the Government’s anti-epidemic fund to support local enterprises to adopt IT solutions to continue their businesses and services during the COVID-19 epidemic. The Hong Kong Productivity Council (“</w:t>
      </w:r>
      <w:r w:rsidRPr="00080DA2">
        <w:rPr>
          <w:b/>
          <w:color w:val="000000" w:themeColor="text1"/>
          <w:sz w:val="24"/>
          <w:szCs w:val="24"/>
        </w:rPr>
        <w:t>HKPC</w:t>
      </w:r>
      <w:r w:rsidRPr="0029112E">
        <w:rPr>
          <w:color w:val="000000" w:themeColor="text1"/>
          <w:sz w:val="24"/>
          <w:szCs w:val="24"/>
        </w:rPr>
        <w:t>”) was appointed as the secretariat of D-Biz and was responsible for conducting eligibility checking and preliminary screening on the applications. Once screened, eligible applications were submitted to the Distance Business Programme Vetting Committee (“</w:t>
      </w:r>
      <w:r w:rsidRPr="00080DA2">
        <w:rPr>
          <w:b/>
          <w:color w:val="000000" w:themeColor="text1"/>
          <w:sz w:val="24"/>
          <w:szCs w:val="24"/>
        </w:rPr>
        <w:t>Committee</w:t>
      </w:r>
      <w:r w:rsidRPr="0029112E">
        <w:rPr>
          <w:color w:val="000000" w:themeColor="text1"/>
          <w:sz w:val="24"/>
          <w:szCs w:val="24"/>
        </w:rPr>
        <w:t>”), chaired by the Commissioner for Innovation and Technology, for consideration.</w:t>
      </w:r>
    </w:p>
    <w:p w:rsidR="00080DA2" w:rsidRDefault="00080DA2" w:rsidP="00DE44A8">
      <w:pPr>
        <w:spacing w:before="360" w:line="360" w:lineRule="auto"/>
        <w:ind w:right="-331" w:hangingChars="300"/>
        <w:rPr>
          <w:color w:val="000000" w:themeColor="text1"/>
          <w:sz w:val="24"/>
          <w:szCs w:val="24"/>
        </w:rPr>
      </w:pPr>
      <w:r>
        <w:rPr>
          <w:color w:val="000000" w:themeColor="text1"/>
          <w:sz w:val="24"/>
          <w:szCs w:val="24"/>
        </w:rPr>
        <w:t>16.</w:t>
      </w:r>
      <w:r>
        <w:rPr>
          <w:color w:val="000000" w:themeColor="text1"/>
          <w:sz w:val="24"/>
          <w:szCs w:val="24"/>
        </w:rPr>
        <w:tab/>
      </w:r>
      <w:r w:rsidRPr="00080DA2">
        <w:rPr>
          <w:color w:val="000000" w:themeColor="text1"/>
          <w:sz w:val="24"/>
          <w:szCs w:val="24"/>
        </w:rPr>
        <w:t>D-Biz covered twelve IT solution categories relating to distance business, namely:</w:t>
      </w:r>
    </w:p>
    <w:p w:rsidR="00080DA2" w:rsidRDefault="00080DA2" w:rsidP="00DE44A8">
      <w:pPr>
        <w:spacing w:before="360" w:line="360" w:lineRule="auto"/>
        <w:ind w:right="-331" w:hangingChars="300"/>
        <w:rPr>
          <w:color w:val="000000" w:themeColor="text1"/>
          <w:sz w:val="24"/>
          <w:szCs w:val="24"/>
        </w:rPr>
      </w:pPr>
      <w:r>
        <w:rPr>
          <w:color w:val="000000" w:themeColor="text1"/>
          <w:sz w:val="24"/>
          <w:szCs w:val="24"/>
        </w:rPr>
        <w:tab/>
        <w:t>(1)</w:t>
      </w:r>
      <w:r>
        <w:rPr>
          <w:color w:val="000000" w:themeColor="text1"/>
          <w:sz w:val="24"/>
          <w:szCs w:val="24"/>
        </w:rPr>
        <w:tab/>
      </w:r>
      <w:r w:rsidRPr="00080DA2">
        <w:rPr>
          <w:color w:val="000000" w:themeColor="text1"/>
          <w:sz w:val="24"/>
          <w:szCs w:val="24"/>
        </w:rPr>
        <w:t>online business;</w:t>
      </w:r>
    </w:p>
    <w:p w:rsidR="00080DA2" w:rsidRDefault="00080DA2" w:rsidP="00080DA2">
      <w:pPr>
        <w:spacing w:before="240" w:line="360" w:lineRule="auto"/>
        <w:ind w:right="-331" w:hangingChars="300"/>
        <w:rPr>
          <w:color w:val="000000" w:themeColor="text1"/>
          <w:sz w:val="24"/>
          <w:szCs w:val="24"/>
        </w:rPr>
      </w:pPr>
      <w:r>
        <w:rPr>
          <w:color w:val="000000" w:themeColor="text1"/>
          <w:sz w:val="24"/>
          <w:szCs w:val="24"/>
        </w:rPr>
        <w:tab/>
        <w:t>(2)</w:t>
      </w:r>
      <w:r>
        <w:rPr>
          <w:color w:val="000000" w:themeColor="text1"/>
          <w:sz w:val="24"/>
          <w:szCs w:val="24"/>
        </w:rPr>
        <w:tab/>
      </w:r>
      <w:r w:rsidRPr="00080DA2">
        <w:rPr>
          <w:color w:val="000000" w:themeColor="text1"/>
          <w:sz w:val="24"/>
          <w:szCs w:val="24"/>
        </w:rPr>
        <w:t>online order taking and delivery, and smart self-service systems;</w:t>
      </w:r>
    </w:p>
    <w:p w:rsidR="00080DA2" w:rsidRDefault="00080DA2" w:rsidP="00080DA2">
      <w:pPr>
        <w:spacing w:before="240" w:line="360" w:lineRule="auto"/>
        <w:ind w:right="-331" w:hangingChars="300"/>
        <w:rPr>
          <w:color w:val="000000" w:themeColor="text1"/>
          <w:sz w:val="24"/>
          <w:szCs w:val="24"/>
        </w:rPr>
      </w:pPr>
      <w:r>
        <w:rPr>
          <w:color w:val="000000" w:themeColor="text1"/>
          <w:sz w:val="24"/>
          <w:szCs w:val="24"/>
        </w:rPr>
        <w:tab/>
        <w:t>(3)</w:t>
      </w:r>
      <w:r>
        <w:rPr>
          <w:color w:val="000000" w:themeColor="text1"/>
          <w:sz w:val="24"/>
          <w:szCs w:val="24"/>
        </w:rPr>
        <w:tab/>
      </w:r>
      <w:r w:rsidRPr="00080DA2">
        <w:rPr>
          <w:color w:val="000000" w:themeColor="text1"/>
          <w:sz w:val="24"/>
          <w:szCs w:val="24"/>
        </w:rPr>
        <w:t>online customer services and engagement;</w:t>
      </w:r>
    </w:p>
    <w:p w:rsidR="00080DA2" w:rsidRDefault="00080DA2" w:rsidP="00080DA2">
      <w:pPr>
        <w:spacing w:before="240" w:line="360" w:lineRule="auto"/>
        <w:ind w:right="-331" w:hangingChars="300"/>
        <w:rPr>
          <w:color w:val="000000" w:themeColor="text1"/>
          <w:sz w:val="24"/>
          <w:szCs w:val="24"/>
        </w:rPr>
      </w:pPr>
      <w:r>
        <w:rPr>
          <w:color w:val="000000" w:themeColor="text1"/>
          <w:sz w:val="24"/>
          <w:szCs w:val="24"/>
        </w:rPr>
        <w:tab/>
        <w:t>(4)</w:t>
      </w:r>
      <w:r>
        <w:rPr>
          <w:color w:val="000000" w:themeColor="text1"/>
          <w:sz w:val="24"/>
          <w:szCs w:val="24"/>
        </w:rPr>
        <w:tab/>
      </w:r>
      <w:r w:rsidRPr="00080DA2">
        <w:rPr>
          <w:color w:val="000000" w:themeColor="text1"/>
          <w:sz w:val="24"/>
          <w:szCs w:val="24"/>
        </w:rPr>
        <w:t>digital customer experience enhancement;</w:t>
      </w:r>
    </w:p>
    <w:p w:rsidR="00080DA2" w:rsidRDefault="00080DA2" w:rsidP="00080DA2">
      <w:pPr>
        <w:spacing w:before="240" w:line="360" w:lineRule="auto"/>
        <w:ind w:right="-331" w:hangingChars="300"/>
        <w:rPr>
          <w:color w:val="000000" w:themeColor="text1"/>
          <w:sz w:val="24"/>
          <w:szCs w:val="24"/>
        </w:rPr>
      </w:pPr>
      <w:r>
        <w:rPr>
          <w:color w:val="000000" w:themeColor="text1"/>
          <w:sz w:val="24"/>
          <w:szCs w:val="24"/>
        </w:rPr>
        <w:tab/>
        <w:t>(5)</w:t>
      </w:r>
      <w:r>
        <w:rPr>
          <w:color w:val="000000" w:themeColor="text1"/>
          <w:sz w:val="24"/>
          <w:szCs w:val="24"/>
        </w:rPr>
        <w:tab/>
      </w:r>
      <w:r w:rsidRPr="00080DA2">
        <w:rPr>
          <w:color w:val="000000" w:themeColor="text1"/>
          <w:sz w:val="24"/>
          <w:szCs w:val="24"/>
        </w:rPr>
        <w:t>digital payment/mobile point of sale;</w:t>
      </w:r>
    </w:p>
    <w:p w:rsidR="00080DA2" w:rsidRDefault="00080DA2" w:rsidP="00080DA2">
      <w:pPr>
        <w:spacing w:before="240" w:line="360" w:lineRule="auto"/>
        <w:ind w:right="-331" w:hangingChars="300"/>
        <w:rPr>
          <w:color w:val="000000" w:themeColor="text1"/>
          <w:sz w:val="24"/>
          <w:szCs w:val="24"/>
        </w:rPr>
      </w:pPr>
      <w:r>
        <w:rPr>
          <w:color w:val="000000" w:themeColor="text1"/>
          <w:sz w:val="24"/>
          <w:szCs w:val="24"/>
        </w:rPr>
        <w:tab/>
        <w:t>(6)</w:t>
      </w:r>
      <w:r>
        <w:rPr>
          <w:color w:val="000000" w:themeColor="text1"/>
          <w:sz w:val="24"/>
          <w:szCs w:val="24"/>
        </w:rPr>
        <w:tab/>
      </w:r>
      <w:r w:rsidR="000C4290" w:rsidRPr="000C4290">
        <w:rPr>
          <w:color w:val="000000" w:themeColor="text1"/>
          <w:sz w:val="24"/>
          <w:szCs w:val="24"/>
        </w:rPr>
        <w:t>online/cloud-based financial management systems;</w:t>
      </w:r>
    </w:p>
    <w:p w:rsidR="000C4290" w:rsidRDefault="000C4290" w:rsidP="00080DA2">
      <w:pPr>
        <w:spacing w:before="240" w:line="360" w:lineRule="auto"/>
        <w:ind w:right="-331" w:hangingChars="300"/>
        <w:rPr>
          <w:color w:val="000000" w:themeColor="text1"/>
          <w:sz w:val="24"/>
          <w:szCs w:val="24"/>
        </w:rPr>
      </w:pPr>
      <w:r>
        <w:rPr>
          <w:color w:val="000000" w:themeColor="text1"/>
          <w:sz w:val="24"/>
          <w:szCs w:val="24"/>
        </w:rPr>
        <w:tab/>
        <w:t>(7)</w:t>
      </w:r>
      <w:r>
        <w:rPr>
          <w:color w:val="000000" w:themeColor="text1"/>
          <w:sz w:val="24"/>
          <w:szCs w:val="24"/>
        </w:rPr>
        <w:tab/>
      </w:r>
      <w:r w:rsidRPr="000C4290">
        <w:rPr>
          <w:color w:val="000000" w:themeColor="text1"/>
          <w:sz w:val="24"/>
          <w:szCs w:val="24"/>
        </w:rPr>
        <w:t>online/cloud-based human resources management systems;</w:t>
      </w:r>
    </w:p>
    <w:p w:rsidR="000C4290" w:rsidRDefault="000C4290" w:rsidP="00080DA2">
      <w:pPr>
        <w:spacing w:before="240" w:line="360" w:lineRule="auto"/>
        <w:ind w:right="-331" w:hangingChars="300"/>
        <w:rPr>
          <w:color w:val="000000" w:themeColor="text1"/>
          <w:sz w:val="24"/>
          <w:szCs w:val="24"/>
        </w:rPr>
      </w:pPr>
      <w:r>
        <w:rPr>
          <w:color w:val="000000" w:themeColor="text1"/>
          <w:sz w:val="24"/>
          <w:szCs w:val="24"/>
        </w:rPr>
        <w:tab/>
        <w:t>(8)</w:t>
      </w:r>
      <w:r>
        <w:rPr>
          <w:color w:val="000000" w:themeColor="text1"/>
          <w:sz w:val="24"/>
          <w:szCs w:val="24"/>
        </w:rPr>
        <w:tab/>
      </w:r>
      <w:r w:rsidRPr="000C4290">
        <w:rPr>
          <w:color w:val="000000" w:themeColor="text1"/>
          <w:sz w:val="24"/>
          <w:szCs w:val="24"/>
        </w:rPr>
        <w:t>remote document management, cloud storage and remote access services;</w:t>
      </w:r>
    </w:p>
    <w:p w:rsidR="000C4290" w:rsidRDefault="000C4290" w:rsidP="00080DA2">
      <w:pPr>
        <w:spacing w:before="240" w:line="360" w:lineRule="auto"/>
        <w:ind w:right="-331" w:hangingChars="300"/>
        <w:rPr>
          <w:color w:val="000000" w:themeColor="text1"/>
          <w:sz w:val="24"/>
          <w:szCs w:val="24"/>
        </w:rPr>
      </w:pPr>
      <w:r>
        <w:rPr>
          <w:color w:val="000000" w:themeColor="text1"/>
          <w:sz w:val="24"/>
          <w:szCs w:val="24"/>
        </w:rPr>
        <w:tab/>
        <w:t>(9)</w:t>
      </w:r>
      <w:r>
        <w:rPr>
          <w:color w:val="000000" w:themeColor="text1"/>
          <w:sz w:val="24"/>
          <w:szCs w:val="24"/>
        </w:rPr>
        <w:tab/>
      </w:r>
      <w:r w:rsidRPr="000C4290">
        <w:rPr>
          <w:color w:val="000000" w:themeColor="text1"/>
          <w:sz w:val="24"/>
          <w:szCs w:val="24"/>
        </w:rPr>
        <w:t>virtual meeting and conference tools;</w:t>
      </w:r>
    </w:p>
    <w:p w:rsidR="000C4290" w:rsidRDefault="000C4290" w:rsidP="00080DA2">
      <w:pPr>
        <w:spacing w:before="240" w:line="360" w:lineRule="auto"/>
        <w:ind w:right="-331" w:hangingChars="300"/>
        <w:rPr>
          <w:color w:val="000000" w:themeColor="text1"/>
          <w:sz w:val="24"/>
          <w:szCs w:val="24"/>
        </w:rPr>
      </w:pPr>
      <w:r>
        <w:rPr>
          <w:color w:val="000000" w:themeColor="text1"/>
          <w:sz w:val="24"/>
          <w:szCs w:val="24"/>
        </w:rPr>
        <w:tab/>
        <w:t>(10)</w:t>
      </w:r>
      <w:r>
        <w:rPr>
          <w:color w:val="000000" w:themeColor="text1"/>
          <w:sz w:val="24"/>
          <w:szCs w:val="24"/>
        </w:rPr>
        <w:tab/>
      </w:r>
      <w:r w:rsidRPr="000C4290">
        <w:rPr>
          <w:color w:val="000000" w:themeColor="text1"/>
          <w:sz w:val="24"/>
          <w:szCs w:val="24"/>
        </w:rPr>
        <w:t>virtual team management and communications;</w:t>
      </w:r>
    </w:p>
    <w:p w:rsidR="000C4290" w:rsidRDefault="000C4290" w:rsidP="00080DA2">
      <w:pPr>
        <w:spacing w:before="240" w:line="360" w:lineRule="auto"/>
        <w:ind w:right="-331" w:hangingChars="300"/>
        <w:rPr>
          <w:color w:val="000000" w:themeColor="text1"/>
          <w:sz w:val="24"/>
          <w:szCs w:val="24"/>
        </w:rPr>
      </w:pPr>
      <w:r>
        <w:rPr>
          <w:color w:val="000000" w:themeColor="text1"/>
          <w:sz w:val="24"/>
          <w:szCs w:val="24"/>
        </w:rPr>
        <w:tab/>
        <w:t>(11)</w:t>
      </w:r>
      <w:r>
        <w:rPr>
          <w:color w:val="000000" w:themeColor="text1"/>
          <w:sz w:val="24"/>
          <w:szCs w:val="24"/>
        </w:rPr>
        <w:tab/>
      </w:r>
      <w:r w:rsidRPr="000C4290">
        <w:rPr>
          <w:color w:val="000000" w:themeColor="text1"/>
          <w:sz w:val="24"/>
          <w:szCs w:val="24"/>
        </w:rPr>
        <w:t>cybersecurity solutions; and</w:t>
      </w:r>
    </w:p>
    <w:p w:rsidR="000C4290" w:rsidRDefault="000C4290" w:rsidP="00080DA2">
      <w:pPr>
        <w:spacing w:before="240" w:line="360" w:lineRule="auto"/>
        <w:ind w:right="-331" w:hangingChars="300"/>
        <w:rPr>
          <w:color w:val="000000" w:themeColor="text1"/>
          <w:sz w:val="24"/>
          <w:szCs w:val="24"/>
        </w:rPr>
      </w:pPr>
      <w:r>
        <w:rPr>
          <w:color w:val="000000" w:themeColor="text1"/>
          <w:sz w:val="24"/>
          <w:szCs w:val="24"/>
        </w:rPr>
        <w:tab/>
        <w:t>(12)</w:t>
      </w:r>
      <w:r>
        <w:rPr>
          <w:color w:val="000000" w:themeColor="text1"/>
          <w:sz w:val="24"/>
          <w:szCs w:val="24"/>
        </w:rPr>
        <w:tab/>
      </w:r>
      <w:r w:rsidRPr="000C4290">
        <w:rPr>
          <w:color w:val="000000" w:themeColor="text1"/>
          <w:sz w:val="24"/>
          <w:szCs w:val="24"/>
        </w:rPr>
        <w:t>other online/custom-built/cloud</w:t>
      </w:r>
      <w:r>
        <w:rPr>
          <w:color w:val="000000" w:themeColor="text1"/>
          <w:sz w:val="24"/>
          <w:szCs w:val="24"/>
        </w:rPr>
        <w:t>-based business support systems.</w:t>
      </w:r>
    </w:p>
    <w:p w:rsidR="000C4290" w:rsidRDefault="000C4290" w:rsidP="000C4290">
      <w:pPr>
        <w:spacing w:before="360" w:line="360" w:lineRule="auto"/>
        <w:ind w:right="-331" w:hangingChars="300"/>
        <w:rPr>
          <w:color w:val="000000" w:themeColor="text1"/>
          <w:sz w:val="24"/>
          <w:szCs w:val="24"/>
        </w:rPr>
      </w:pPr>
      <w:r>
        <w:rPr>
          <w:color w:val="000000" w:themeColor="text1"/>
          <w:sz w:val="24"/>
          <w:szCs w:val="24"/>
        </w:rPr>
        <w:t>17.</w:t>
      </w:r>
      <w:r>
        <w:rPr>
          <w:color w:val="000000" w:themeColor="text1"/>
          <w:sz w:val="24"/>
          <w:szCs w:val="24"/>
        </w:rPr>
        <w:tab/>
      </w:r>
      <w:r w:rsidRPr="000C4290">
        <w:rPr>
          <w:color w:val="000000" w:themeColor="text1"/>
          <w:sz w:val="24"/>
          <w:szCs w:val="24"/>
        </w:rPr>
        <w:t>D-Biz opened for applications between 18 May and 31 October 2020.  At the initial stage of the scheme, each applicant was permitted to submit only one application adopting no more than three IT solutions within the designated twelve categories as set out above. On 16 August 2020, the ITC introduced enhancement measures pursuant to which each applicant was permitted to submit a second application from 31 August 2020 onwards for another three IT solutions which were different from the approved categories in any application which the applicant had made in the initial stage of the D-Biz scheme. Following these enhancement measures, each applicant was therefore permitted to submit two applications for six IT solutions in total. The funding ceiling for each IT solution was HK$100,000 and the aggregate funding ceiling granted to each applicant was HK$300,000.</w:t>
      </w:r>
    </w:p>
    <w:p w:rsidR="000C4290" w:rsidRDefault="000C4290" w:rsidP="000C4290">
      <w:pPr>
        <w:spacing w:before="360" w:line="360" w:lineRule="auto"/>
        <w:ind w:right="-331" w:hangingChars="300"/>
        <w:rPr>
          <w:color w:val="000000" w:themeColor="text1"/>
          <w:sz w:val="24"/>
          <w:szCs w:val="24"/>
        </w:rPr>
      </w:pPr>
      <w:r>
        <w:rPr>
          <w:color w:val="000000" w:themeColor="text1"/>
          <w:sz w:val="24"/>
          <w:szCs w:val="24"/>
        </w:rPr>
        <w:t>18.</w:t>
      </w:r>
      <w:r>
        <w:rPr>
          <w:color w:val="000000" w:themeColor="text1"/>
          <w:sz w:val="24"/>
          <w:szCs w:val="24"/>
        </w:rPr>
        <w:tab/>
      </w:r>
      <w:r w:rsidRPr="000C4290">
        <w:rPr>
          <w:color w:val="000000" w:themeColor="text1"/>
          <w:sz w:val="24"/>
          <w:szCs w:val="24"/>
        </w:rPr>
        <w:t>For each application for funding, the applicant was required to obtain written price quotation(s) from IT service provider(s), which set out in detail the project duration, scope of work, deliverables, and breakdown of cost items such as the software expenses, hardware expenses and IT service charges. In addition, the applicant was required to obtain from each person submitting a quotation a signed ‘probity and non-collusive quotation / tendering certificate’ (“</w:t>
      </w:r>
      <w:r w:rsidRPr="000C4290">
        <w:rPr>
          <w:b/>
          <w:color w:val="000000" w:themeColor="text1"/>
          <w:sz w:val="24"/>
          <w:szCs w:val="24"/>
        </w:rPr>
        <w:t>NCC</w:t>
      </w:r>
      <w:r w:rsidRPr="000C4290">
        <w:rPr>
          <w:color w:val="000000" w:themeColor="text1"/>
          <w:sz w:val="24"/>
          <w:szCs w:val="24"/>
        </w:rPr>
        <w:t>”) as part of their quotation submission. The NCC contains representations by the person submitting the quotation that: the quotation/bid was genuinely and independently prepared, with an intention to win and to implement the relevant project when awarded; and, in preparing the quotation/bid, no agreement, understanding or communication regarding competitively sensitive information such as price or bidding intention was made with another competing bidder.</w:t>
      </w:r>
    </w:p>
    <w:p w:rsidR="000C4290" w:rsidRDefault="000C4290" w:rsidP="000C4290">
      <w:pPr>
        <w:spacing w:before="360" w:line="360" w:lineRule="auto"/>
        <w:ind w:right="-331" w:hangingChars="300"/>
        <w:rPr>
          <w:color w:val="000000" w:themeColor="text1"/>
          <w:sz w:val="24"/>
          <w:szCs w:val="24"/>
        </w:rPr>
      </w:pPr>
      <w:r>
        <w:rPr>
          <w:color w:val="000000" w:themeColor="text1"/>
          <w:sz w:val="24"/>
          <w:szCs w:val="24"/>
        </w:rPr>
        <w:t>19.</w:t>
      </w:r>
      <w:r>
        <w:rPr>
          <w:color w:val="000000" w:themeColor="text1"/>
          <w:sz w:val="24"/>
          <w:szCs w:val="24"/>
        </w:rPr>
        <w:tab/>
      </w:r>
      <w:r w:rsidRPr="000C4290">
        <w:rPr>
          <w:color w:val="000000" w:themeColor="text1"/>
          <w:sz w:val="24"/>
          <w:szCs w:val="24"/>
        </w:rPr>
        <w:t>The number of price quotations which an applicant needed to obtain was dependent on whether the application involved (i) a subscription-based IT solution or (ii) a system integrator/non-subscription-based IT solution. In the former case, the applicant was only required to obtain one quotation. Conversely, in the latter case, the applicant was required to obtain quotations from at least two IT service providers, otherwise full justifications had to be provided. As between the two quotations, unless otherwise justified by the applicant and agreed by the Government or the HKPC, it was stipulated that the service provider submitting the lowest conforming quotation was to be selected by the applicant to provide the relevant IT solution (“</w:t>
      </w:r>
      <w:r w:rsidRPr="000C4290">
        <w:rPr>
          <w:b/>
          <w:color w:val="000000" w:themeColor="text1"/>
          <w:sz w:val="24"/>
          <w:szCs w:val="24"/>
        </w:rPr>
        <w:t>Two-Quotation Requirement</w:t>
      </w:r>
      <w:r w:rsidRPr="000C4290">
        <w:rPr>
          <w:color w:val="000000" w:themeColor="text1"/>
          <w:sz w:val="24"/>
          <w:szCs w:val="24"/>
        </w:rPr>
        <w:t>”). The Subject Applications (as defined at paragraph 25 below) concerned in this case all initially sought funding for non-subscription-based IT solutions and were thus required to meet the Two-Quotation Requirement.</w:t>
      </w:r>
    </w:p>
    <w:p w:rsidR="000C4290" w:rsidRDefault="000C4290" w:rsidP="000C4290">
      <w:pPr>
        <w:spacing w:before="360" w:line="360" w:lineRule="auto"/>
        <w:ind w:right="-331" w:hangingChars="300"/>
        <w:rPr>
          <w:color w:val="000000" w:themeColor="text1"/>
          <w:sz w:val="24"/>
          <w:szCs w:val="24"/>
        </w:rPr>
      </w:pPr>
      <w:r>
        <w:rPr>
          <w:color w:val="000000" w:themeColor="text1"/>
          <w:sz w:val="24"/>
          <w:szCs w:val="24"/>
        </w:rPr>
        <w:t>20.</w:t>
      </w:r>
      <w:r>
        <w:rPr>
          <w:color w:val="000000" w:themeColor="text1"/>
          <w:sz w:val="24"/>
          <w:szCs w:val="24"/>
        </w:rPr>
        <w:tab/>
      </w:r>
      <w:r w:rsidR="00212568" w:rsidRPr="00212568">
        <w:rPr>
          <w:color w:val="000000" w:themeColor="text1"/>
          <w:sz w:val="24"/>
          <w:szCs w:val="24"/>
        </w:rPr>
        <w:t>Each D-Biz application was done online through D-Biz’s website. As part of the application process, applicants were required:</w:t>
      </w:r>
    </w:p>
    <w:p w:rsidR="004B18A1" w:rsidRDefault="004B18A1" w:rsidP="004B18A1">
      <w:pPr>
        <w:spacing w:before="360" w:line="360" w:lineRule="auto"/>
        <w:ind w:leftChars="257" w:left="1258" w:right="-331" w:hangingChars="224" w:hanging="538"/>
        <w:rPr>
          <w:color w:val="000000" w:themeColor="text1"/>
          <w:sz w:val="24"/>
          <w:szCs w:val="24"/>
        </w:rPr>
      </w:pPr>
      <w:r>
        <w:rPr>
          <w:color w:val="000000" w:themeColor="text1"/>
          <w:sz w:val="24"/>
          <w:szCs w:val="24"/>
        </w:rPr>
        <w:t>(1)</w:t>
      </w:r>
      <w:r>
        <w:rPr>
          <w:color w:val="000000" w:themeColor="text1"/>
          <w:sz w:val="24"/>
          <w:szCs w:val="24"/>
        </w:rPr>
        <w:tab/>
      </w:r>
      <w:r w:rsidRPr="004B18A1">
        <w:rPr>
          <w:color w:val="000000" w:themeColor="text1"/>
          <w:sz w:val="24"/>
          <w:szCs w:val="24"/>
        </w:rPr>
        <w:t>to submit supporting documents including copies of the quotations obtained for each of the IT</w:t>
      </w:r>
      <w:r>
        <w:rPr>
          <w:color w:val="000000" w:themeColor="text1"/>
          <w:sz w:val="24"/>
          <w:szCs w:val="24"/>
        </w:rPr>
        <w:t xml:space="preserve"> </w:t>
      </w:r>
      <w:r w:rsidRPr="004B18A1">
        <w:rPr>
          <w:color w:val="000000" w:themeColor="text1"/>
          <w:sz w:val="24"/>
          <w:szCs w:val="24"/>
        </w:rPr>
        <w:t>solutions (both the quotation which had been selected and the quotation(s) which had not been selected) as well as the NCCs signed by each IT service provider which had provided a quotation; and</w:t>
      </w:r>
    </w:p>
    <w:p w:rsidR="004B18A1" w:rsidRDefault="004B18A1" w:rsidP="004B18A1">
      <w:pPr>
        <w:spacing w:before="360" w:line="360" w:lineRule="auto"/>
        <w:ind w:leftChars="257" w:left="1258" w:right="-331" w:hangingChars="224" w:hanging="538"/>
        <w:rPr>
          <w:color w:val="000000" w:themeColor="text1"/>
          <w:sz w:val="24"/>
          <w:szCs w:val="24"/>
        </w:rPr>
      </w:pPr>
      <w:r>
        <w:rPr>
          <w:color w:val="000000" w:themeColor="text1"/>
          <w:sz w:val="24"/>
          <w:szCs w:val="24"/>
        </w:rPr>
        <w:t>(2)</w:t>
      </w:r>
      <w:r>
        <w:rPr>
          <w:color w:val="000000" w:themeColor="text1"/>
          <w:sz w:val="24"/>
          <w:szCs w:val="24"/>
        </w:rPr>
        <w:tab/>
      </w:r>
      <w:r w:rsidRPr="004B18A1">
        <w:rPr>
          <w:color w:val="000000" w:themeColor="text1"/>
          <w:sz w:val="24"/>
          <w:szCs w:val="24"/>
        </w:rPr>
        <w:t>to assign an authorised person to represent the applicant fully in respect of the application and act as the main contact point between the applicant and the HKPC; that authorized person had to be conversant with the operation and business processes of the applicant.</w:t>
      </w:r>
    </w:p>
    <w:p w:rsidR="004B18A1" w:rsidRDefault="004B18A1" w:rsidP="000C4290">
      <w:pPr>
        <w:spacing w:before="360" w:line="360" w:lineRule="auto"/>
        <w:ind w:right="-331" w:hangingChars="300"/>
        <w:rPr>
          <w:color w:val="000000" w:themeColor="text1"/>
          <w:sz w:val="24"/>
          <w:szCs w:val="24"/>
        </w:rPr>
      </w:pPr>
      <w:r>
        <w:rPr>
          <w:color w:val="000000" w:themeColor="text1"/>
          <w:sz w:val="24"/>
          <w:szCs w:val="24"/>
        </w:rPr>
        <w:t>21.</w:t>
      </w:r>
      <w:r>
        <w:rPr>
          <w:color w:val="000000" w:themeColor="text1"/>
          <w:sz w:val="24"/>
          <w:szCs w:val="24"/>
        </w:rPr>
        <w:tab/>
      </w:r>
      <w:r w:rsidRPr="004B18A1">
        <w:rPr>
          <w:color w:val="000000" w:themeColor="text1"/>
          <w:sz w:val="24"/>
          <w:szCs w:val="24"/>
        </w:rPr>
        <w:t>Applications that the HKPC assessed as being eligible were submitted to the Committee for approval. It was also possible for the level of funding to be adjusted with reference to the project cost such that the HKPC would only approve a reduced scope for the IT solution by comparison with the scope which had been applied for.</w:t>
      </w:r>
    </w:p>
    <w:p w:rsidR="004B18A1" w:rsidRDefault="004B18A1" w:rsidP="000C4290">
      <w:pPr>
        <w:spacing w:before="360" w:line="360" w:lineRule="auto"/>
        <w:ind w:right="-331" w:hangingChars="300"/>
        <w:rPr>
          <w:color w:val="000000" w:themeColor="text1"/>
          <w:sz w:val="24"/>
          <w:szCs w:val="24"/>
        </w:rPr>
      </w:pPr>
      <w:r>
        <w:rPr>
          <w:color w:val="000000" w:themeColor="text1"/>
          <w:sz w:val="24"/>
          <w:szCs w:val="24"/>
        </w:rPr>
        <w:t>22.</w:t>
      </w:r>
      <w:r>
        <w:rPr>
          <w:color w:val="000000" w:themeColor="text1"/>
          <w:sz w:val="24"/>
          <w:szCs w:val="24"/>
        </w:rPr>
        <w:tab/>
      </w:r>
      <w:r w:rsidRPr="004B18A1">
        <w:rPr>
          <w:color w:val="000000" w:themeColor="text1"/>
          <w:sz w:val="24"/>
          <w:szCs w:val="24"/>
        </w:rPr>
        <w:t>An initial payment of 30% of the approved funding amount was payable to a designated bank account of the applicant. The selected service provider could then start to implement the IT solution(s) for the applicant.</w:t>
      </w:r>
    </w:p>
    <w:p w:rsidR="004B18A1" w:rsidRDefault="004B18A1" w:rsidP="000C4290">
      <w:pPr>
        <w:spacing w:before="360" w:line="360" w:lineRule="auto"/>
        <w:ind w:right="-331" w:hangingChars="300"/>
        <w:rPr>
          <w:color w:val="000000" w:themeColor="text1"/>
          <w:sz w:val="24"/>
          <w:szCs w:val="24"/>
        </w:rPr>
      </w:pPr>
      <w:r>
        <w:rPr>
          <w:color w:val="000000" w:themeColor="text1"/>
          <w:sz w:val="24"/>
          <w:szCs w:val="24"/>
        </w:rPr>
        <w:t>23.</w:t>
      </w:r>
      <w:r>
        <w:rPr>
          <w:color w:val="000000" w:themeColor="text1"/>
          <w:sz w:val="24"/>
          <w:szCs w:val="24"/>
        </w:rPr>
        <w:tab/>
      </w:r>
      <w:r w:rsidRPr="004B18A1">
        <w:rPr>
          <w:color w:val="000000" w:themeColor="text1"/>
          <w:sz w:val="24"/>
          <w:szCs w:val="24"/>
        </w:rPr>
        <w:t>Within two months after the completion of the IT solution(s), the applicant was required to submit among other things, a final project report indicating a summary of project expenditures and project deliverables, and an audited statement of income and expenditure covering the whole project period from an independent auditor to the HKPC, if the total approved funding exceeded HK$30,000.</w:t>
      </w:r>
    </w:p>
    <w:p w:rsidR="004B18A1" w:rsidRDefault="004B18A1" w:rsidP="000C4290">
      <w:pPr>
        <w:spacing w:before="360" w:line="360" w:lineRule="auto"/>
        <w:ind w:right="-331" w:hangingChars="300"/>
        <w:rPr>
          <w:color w:val="000000" w:themeColor="text1"/>
          <w:sz w:val="24"/>
          <w:szCs w:val="24"/>
        </w:rPr>
      </w:pPr>
      <w:r>
        <w:rPr>
          <w:color w:val="000000" w:themeColor="text1"/>
          <w:sz w:val="24"/>
          <w:szCs w:val="24"/>
        </w:rPr>
        <w:t>24.</w:t>
      </w:r>
      <w:r>
        <w:rPr>
          <w:color w:val="000000" w:themeColor="text1"/>
          <w:sz w:val="24"/>
          <w:szCs w:val="24"/>
        </w:rPr>
        <w:tab/>
      </w:r>
      <w:r w:rsidRPr="004B18A1">
        <w:rPr>
          <w:color w:val="000000" w:themeColor="text1"/>
          <w:sz w:val="24"/>
          <w:szCs w:val="24"/>
        </w:rPr>
        <w:t>Upon project completion and upon the HKPC’s acceptance of the final project report together with supporting documents, the final payment (i.e., the remaining 70% of the approved funding amount) was then released to the applicant.</w:t>
      </w:r>
    </w:p>
    <w:p w:rsidR="004B18A1" w:rsidRDefault="004B18A1" w:rsidP="000C4290">
      <w:pPr>
        <w:spacing w:before="360" w:line="360" w:lineRule="auto"/>
        <w:ind w:right="-331" w:hangingChars="300"/>
        <w:rPr>
          <w:color w:val="000000" w:themeColor="text1"/>
          <w:sz w:val="24"/>
          <w:szCs w:val="24"/>
        </w:rPr>
      </w:pPr>
      <w:r>
        <w:rPr>
          <w:color w:val="000000" w:themeColor="text1"/>
          <w:sz w:val="24"/>
          <w:szCs w:val="24"/>
        </w:rPr>
        <w:t>25.</w:t>
      </w:r>
      <w:r>
        <w:rPr>
          <w:color w:val="000000" w:themeColor="text1"/>
          <w:sz w:val="24"/>
          <w:szCs w:val="24"/>
        </w:rPr>
        <w:tab/>
      </w:r>
      <w:r w:rsidRPr="004B18A1">
        <w:rPr>
          <w:color w:val="000000" w:themeColor="text1"/>
          <w:sz w:val="24"/>
          <w:szCs w:val="24"/>
        </w:rPr>
        <w:t>The Subject Arrangement concerns 189 applications under D-Biz (“</w:t>
      </w:r>
      <w:r w:rsidRPr="004B18A1">
        <w:rPr>
          <w:b/>
          <w:color w:val="000000" w:themeColor="text1"/>
          <w:sz w:val="24"/>
          <w:szCs w:val="24"/>
        </w:rPr>
        <w:t>Subject Applications</w:t>
      </w:r>
      <w:r w:rsidRPr="004B18A1">
        <w:rPr>
          <w:color w:val="000000" w:themeColor="text1"/>
          <w:sz w:val="24"/>
          <w:szCs w:val="24"/>
        </w:rPr>
        <w:t>”), details of which are provided in Annex A to this Statement.  However, for the purpose of the Joint Application and as agreed among the Commission, ML and MTT, out of the Subject Applications, only 51 applications were affected by ML’s involvement in the Subject Arrangement, i.e., the applications as enumerated as item nos. 1 to 51 in Annex A to this Statement.</w:t>
      </w:r>
    </w:p>
    <w:p w:rsidR="004B18A1" w:rsidRDefault="004B18A1" w:rsidP="00342A8B">
      <w:pPr>
        <w:spacing w:before="360" w:line="360" w:lineRule="auto"/>
        <w:ind w:left="723" w:right="-331" w:hangingChars="300" w:hanging="723"/>
        <w:rPr>
          <w:b/>
          <w:sz w:val="24"/>
          <w:szCs w:val="24"/>
          <w:u w:val="single"/>
        </w:rPr>
      </w:pPr>
      <w:r w:rsidRPr="004B18A1">
        <w:rPr>
          <w:b/>
          <w:sz w:val="24"/>
          <w:szCs w:val="24"/>
          <w:u w:val="single"/>
        </w:rPr>
        <w:t>B3.</w:t>
      </w:r>
      <w:r w:rsidRPr="004B18A1">
        <w:rPr>
          <w:b/>
          <w:sz w:val="24"/>
          <w:szCs w:val="24"/>
          <w:u w:val="single"/>
        </w:rPr>
        <w:tab/>
        <w:t>ML’s participation in the Subject Arrangement</w:t>
      </w:r>
    </w:p>
    <w:p w:rsidR="00342A8B" w:rsidRDefault="00342A8B" w:rsidP="00342A8B">
      <w:pPr>
        <w:spacing w:before="360" w:line="360" w:lineRule="auto"/>
        <w:ind w:right="-331" w:hangingChars="300"/>
        <w:rPr>
          <w:sz w:val="24"/>
          <w:szCs w:val="24"/>
        </w:rPr>
      </w:pPr>
      <w:r w:rsidRPr="00342A8B">
        <w:rPr>
          <w:sz w:val="24"/>
          <w:szCs w:val="24"/>
        </w:rPr>
        <w:t>26.</w:t>
      </w:r>
      <w:r w:rsidRPr="00342A8B">
        <w:rPr>
          <w:sz w:val="24"/>
          <w:szCs w:val="24"/>
        </w:rPr>
        <w:tab/>
        <w:t>In early May 2020 (after the announcement of D-Biz on 20 April 2020 but before its commencement on 18 May 2020), Agnes Au Yeung and Joe Fan held a birthday gathering to celebrate Agnes Au Yeung’s birthday.  Vincent Wu and the BP/Noble Director were among those invited to attend the gathering.</w:t>
      </w:r>
    </w:p>
    <w:p w:rsidR="00342A8B" w:rsidRDefault="00342A8B" w:rsidP="00342A8B">
      <w:pPr>
        <w:spacing w:before="360" w:line="360" w:lineRule="auto"/>
        <w:ind w:right="-331" w:hangingChars="300"/>
        <w:rPr>
          <w:sz w:val="24"/>
          <w:szCs w:val="24"/>
        </w:rPr>
      </w:pPr>
      <w:r>
        <w:rPr>
          <w:sz w:val="24"/>
          <w:szCs w:val="24"/>
        </w:rPr>
        <w:t>27.</w:t>
      </w:r>
      <w:r>
        <w:rPr>
          <w:sz w:val="24"/>
          <w:szCs w:val="24"/>
        </w:rPr>
        <w:tab/>
      </w:r>
      <w:r w:rsidRPr="00342A8B">
        <w:rPr>
          <w:sz w:val="24"/>
          <w:szCs w:val="24"/>
        </w:rPr>
        <w:t>During that gathering, Vincent Wu discussed with Agnes Au Yeung and the BP/Noble Director the fact that they were both interested in participating in D-Biz as IT service providers.  Agnes Au Yeung and the BP/Noble Director told Vincent Wu that they both had potential customers, but each had found it difficult to obtain a second quotation from another IT service provider for the purpose of enabling their prospective customers to comply with the Two-Quotation Requirement.  Vincent Wu said that he would help by using ML to issue second quotations as cover bids for the quotations to be submitted by Yat Ying or BP/Noble, in order to enable Agnes Au Yeung’s and the BP/Noble Director’s prospective customers to purportedly comply with the Two-Quotation Requirement when applying for funding under D-Biz.</w:t>
      </w:r>
    </w:p>
    <w:p w:rsidR="00342A8B" w:rsidRDefault="00342A8B" w:rsidP="00342A8B">
      <w:pPr>
        <w:spacing w:before="360" w:line="360" w:lineRule="auto"/>
        <w:ind w:right="-331" w:hangingChars="300"/>
        <w:rPr>
          <w:sz w:val="24"/>
          <w:szCs w:val="24"/>
        </w:rPr>
      </w:pPr>
      <w:r>
        <w:rPr>
          <w:sz w:val="24"/>
          <w:szCs w:val="24"/>
        </w:rPr>
        <w:t>28.</w:t>
      </w:r>
      <w:r>
        <w:rPr>
          <w:sz w:val="24"/>
          <w:szCs w:val="24"/>
        </w:rPr>
        <w:tab/>
      </w:r>
      <w:r w:rsidRPr="00342A8B">
        <w:rPr>
          <w:sz w:val="24"/>
          <w:szCs w:val="24"/>
        </w:rPr>
        <w:t>At or shortly after that gathering, it was the consensus and/or common understanding of Vincent Wu, Agnes Au Yeung and the BP/Noble Director that Yat Ying and BP/Noble would determine their respective quotation prices for each of their prospective customers after seeing the prices of ML’s quotations for the same customers.</w:t>
      </w:r>
    </w:p>
    <w:p w:rsidR="00342A8B" w:rsidRDefault="00342A8B" w:rsidP="00342A8B">
      <w:pPr>
        <w:spacing w:before="360" w:line="360" w:lineRule="auto"/>
        <w:ind w:right="-331" w:hangingChars="300"/>
        <w:rPr>
          <w:sz w:val="24"/>
          <w:szCs w:val="24"/>
        </w:rPr>
      </w:pPr>
      <w:r>
        <w:rPr>
          <w:sz w:val="24"/>
          <w:szCs w:val="24"/>
        </w:rPr>
        <w:t>29.</w:t>
      </w:r>
      <w:r>
        <w:rPr>
          <w:sz w:val="24"/>
          <w:szCs w:val="24"/>
        </w:rPr>
        <w:tab/>
      </w:r>
      <w:r w:rsidRPr="00342A8B">
        <w:rPr>
          <w:sz w:val="24"/>
          <w:szCs w:val="24"/>
        </w:rPr>
        <w:t>Further, it was their consensus and/or common understanding that the two quotations submitted for each IT solution would be priced so that the lowest bid would be the one submitted by Yat Ying or BP/Noble, and Yat Ying or BP/Noble would therefore become the selected service provider for the relevant IT solution.  In this way, the contract to provide IT services to each prospective customer (and the associated D-Biz funding) would be allocated to the firm operated by the individual who had originally found the customer in question, i.e., the customers found by Agnes Au Yeung would be allocated to Yat Ying; and the customers found by the BP/Noble Director would be allocated to either BP or Noble.</w:t>
      </w:r>
    </w:p>
    <w:p w:rsidR="00342A8B" w:rsidRDefault="00342A8B" w:rsidP="00342A8B">
      <w:pPr>
        <w:spacing w:before="360" w:line="360" w:lineRule="auto"/>
        <w:ind w:right="-331" w:hangingChars="300"/>
        <w:rPr>
          <w:sz w:val="24"/>
          <w:szCs w:val="24"/>
        </w:rPr>
      </w:pPr>
      <w:r>
        <w:rPr>
          <w:sz w:val="24"/>
          <w:szCs w:val="24"/>
        </w:rPr>
        <w:t>30.</w:t>
      </w:r>
      <w:r>
        <w:rPr>
          <w:sz w:val="24"/>
          <w:szCs w:val="24"/>
        </w:rPr>
        <w:tab/>
      </w:r>
      <w:r w:rsidRPr="00342A8B">
        <w:rPr>
          <w:sz w:val="24"/>
          <w:szCs w:val="24"/>
        </w:rPr>
        <w:t>After the birthday gathering, Agnes Au Yeung and the BP/Noble Director each instructed Joe Fan to contact Vincent Wu on both Yat Ying’s and BP/Noble’s behalf to arrange for ML to provide quotations for use in D-Biz applications by Yat Ying’s and BP/Noble’s prospective customers in order purportedly to satisfy the Two-Quotation Requirement.  Accordingly, shortly after the birthday gathering and before the commencement of D-Biz on 18 May 2020, Joe Fan called Vincent Wu to obtain ML’s quotations.  In the telephone conversation, Vincent Wu asked Joe Fan to contact the Relevant ML Employee directly to follow-up on this matter.   Separately, Vincent Wu also instructed the Relevant ML Employee to issue ML’s quotations to the customers which Joe Fan would identify.</w:t>
      </w:r>
    </w:p>
    <w:p w:rsidR="00342A8B" w:rsidRDefault="00342A8B" w:rsidP="00342A8B">
      <w:pPr>
        <w:spacing w:before="360" w:line="360" w:lineRule="auto"/>
        <w:ind w:right="-331" w:hangingChars="300"/>
        <w:rPr>
          <w:sz w:val="24"/>
          <w:szCs w:val="24"/>
        </w:rPr>
      </w:pPr>
      <w:r>
        <w:rPr>
          <w:sz w:val="24"/>
          <w:szCs w:val="24"/>
        </w:rPr>
        <w:t>31.</w:t>
      </w:r>
      <w:r>
        <w:rPr>
          <w:sz w:val="24"/>
          <w:szCs w:val="24"/>
        </w:rPr>
        <w:tab/>
      </w:r>
      <w:r w:rsidRPr="00342A8B">
        <w:rPr>
          <w:sz w:val="24"/>
          <w:szCs w:val="24"/>
        </w:rPr>
        <w:t>In or around the period between 18 May 2020 and 1 June 2020, Yat Ying and BP/Noble (both through Joe Fan) and ML (through Vincent Wu and the Relevant ML Employee) further coordinated to effect the provision of 56 quotations from ML to prospective customers of Yat Ying or BP/Noble in support of their applications for D-Biz funding.  Without being exhaustive:</w:t>
      </w:r>
    </w:p>
    <w:p w:rsidR="00342A8B" w:rsidRDefault="00342A8B" w:rsidP="00342A8B">
      <w:pPr>
        <w:spacing w:before="360" w:line="360" w:lineRule="auto"/>
        <w:ind w:leftChars="257" w:left="1260" w:right="-331" w:hangingChars="225" w:hanging="540"/>
        <w:rPr>
          <w:sz w:val="24"/>
          <w:szCs w:val="24"/>
        </w:rPr>
      </w:pPr>
      <w:r>
        <w:rPr>
          <w:sz w:val="24"/>
          <w:szCs w:val="24"/>
        </w:rPr>
        <w:t>(1)</w:t>
      </w:r>
      <w:r>
        <w:rPr>
          <w:sz w:val="24"/>
          <w:szCs w:val="24"/>
        </w:rPr>
        <w:tab/>
      </w:r>
      <w:r w:rsidRPr="00342A8B">
        <w:rPr>
          <w:sz w:val="24"/>
          <w:szCs w:val="24"/>
        </w:rPr>
        <w:t>In or around the period between 18 and 21 May 2020, Joe Fan communicated with the Relevant ML Employee and, separately, Vincent Wu, regarding the customers to which Yat Ying and BP/Noble were proposing to submit quotations to provide IT solutions under the D-Biz scheme.</w:t>
      </w:r>
    </w:p>
    <w:p w:rsidR="00342A8B" w:rsidRDefault="00342A8B" w:rsidP="00342A8B">
      <w:pPr>
        <w:spacing w:before="360" w:line="360" w:lineRule="auto"/>
        <w:ind w:leftChars="257" w:left="1260" w:right="-331" w:hangingChars="225" w:hanging="540"/>
        <w:rPr>
          <w:sz w:val="24"/>
          <w:szCs w:val="24"/>
        </w:rPr>
      </w:pPr>
      <w:r>
        <w:rPr>
          <w:sz w:val="24"/>
          <w:szCs w:val="24"/>
        </w:rPr>
        <w:t>(2)</w:t>
      </w:r>
      <w:r>
        <w:rPr>
          <w:sz w:val="24"/>
          <w:szCs w:val="24"/>
        </w:rPr>
        <w:tab/>
      </w:r>
      <w:r w:rsidRPr="00342A8B">
        <w:rPr>
          <w:sz w:val="24"/>
          <w:szCs w:val="24"/>
        </w:rPr>
        <w:t>In or around the period between 20 and 22 May 2020, the Relevant ML Employee reported to Vincent Wu on Joe Fan’s requests and sought Vincent Wu’s instructions on how to respond.</w:t>
      </w:r>
    </w:p>
    <w:p w:rsidR="00342A8B" w:rsidRDefault="00342A8B" w:rsidP="00342A8B">
      <w:pPr>
        <w:spacing w:before="360" w:line="360" w:lineRule="auto"/>
        <w:ind w:leftChars="257" w:left="1260" w:right="-331" w:hangingChars="225" w:hanging="540"/>
        <w:rPr>
          <w:rFonts w:cs="Arial"/>
          <w:sz w:val="24"/>
          <w:szCs w:val="24"/>
        </w:rPr>
      </w:pPr>
      <w:r>
        <w:rPr>
          <w:sz w:val="24"/>
          <w:szCs w:val="24"/>
        </w:rPr>
        <w:t>(3)</w:t>
      </w:r>
      <w:r>
        <w:rPr>
          <w:sz w:val="24"/>
          <w:szCs w:val="24"/>
        </w:rPr>
        <w:tab/>
      </w:r>
      <w:r w:rsidRPr="00D23D4C">
        <w:rPr>
          <w:rFonts w:cs="Arial"/>
          <w:sz w:val="24"/>
          <w:szCs w:val="24"/>
        </w:rPr>
        <w:t>In or around the period between 22 and 25 May 2020, Vincent Wu instructed the Relevant ML Employee to notify Joe Fan that requests for a quotation (“</w:t>
      </w:r>
      <w:r w:rsidRPr="00D30695">
        <w:rPr>
          <w:rFonts w:cs="Arial"/>
          <w:b/>
          <w:sz w:val="24"/>
          <w:szCs w:val="24"/>
        </w:rPr>
        <w:t>RFQs</w:t>
      </w:r>
      <w:r w:rsidRPr="00D23D4C">
        <w:rPr>
          <w:rFonts w:cs="Arial"/>
          <w:sz w:val="24"/>
          <w:szCs w:val="24"/>
        </w:rPr>
        <w:t>”) should come directly from customers so that they looked non-collusive.  Joe Fan then created and sent 59 RFQs purportedly from prospective customers (using Gmail and Yahoo email accounts which Joe Fan had also created) to the Relevant ML Employee’s work email address.</w:t>
      </w:r>
    </w:p>
    <w:p w:rsidR="00D30695" w:rsidRDefault="00D30695" w:rsidP="00342A8B">
      <w:pPr>
        <w:spacing w:before="360" w:line="360" w:lineRule="auto"/>
        <w:ind w:leftChars="257" w:left="1260" w:right="-331" w:hangingChars="225" w:hanging="540"/>
        <w:rPr>
          <w:rFonts w:cs="Arial"/>
          <w:sz w:val="24"/>
          <w:szCs w:val="24"/>
        </w:rPr>
      </w:pPr>
      <w:r>
        <w:rPr>
          <w:rFonts w:cs="Arial"/>
          <w:sz w:val="24"/>
          <w:szCs w:val="24"/>
        </w:rPr>
        <w:t>(4)</w:t>
      </w:r>
      <w:r>
        <w:rPr>
          <w:rFonts w:cs="Arial"/>
          <w:sz w:val="24"/>
          <w:szCs w:val="24"/>
        </w:rPr>
        <w:tab/>
      </w:r>
      <w:r w:rsidRPr="00D30695">
        <w:rPr>
          <w:rFonts w:cs="Arial"/>
          <w:sz w:val="24"/>
          <w:szCs w:val="24"/>
        </w:rPr>
        <w:t>In or around the morning of 26 May 2020, the Relevant ML Employee asked ML’s responsible director to sign one NCC for one of the customers provided by Joe Fan, explaining that the quotation was prepared on instructions from Vincent Wu.  The Relevant ML Employee applied the signing page of that NCC to the other quotations.</w:t>
      </w:r>
    </w:p>
    <w:p w:rsidR="00D30695" w:rsidRDefault="00D30695" w:rsidP="00342A8B">
      <w:pPr>
        <w:spacing w:before="360" w:line="360" w:lineRule="auto"/>
        <w:ind w:leftChars="257" w:left="1260" w:right="-331" w:hangingChars="225" w:hanging="540"/>
        <w:rPr>
          <w:rFonts w:cs="Arial"/>
          <w:sz w:val="24"/>
          <w:szCs w:val="24"/>
        </w:rPr>
      </w:pPr>
      <w:r>
        <w:rPr>
          <w:rFonts w:cs="Arial"/>
          <w:sz w:val="24"/>
          <w:szCs w:val="24"/>
        </w:rPr>
        <w:t>(5)</w:t>
      </w:r>
      <w:r>
        <w:rPr>
          <w:rFonts w:cs="Arial"/>
          <w:sz w:val="24"/>
          <w:szCs w:val="24"/>
        </w:rPr>
        <w:tab/>
      </w:r>
      <w:r w:rsidRPr="00D30695">
        <w:rPr>
          <w:rFonts w:cs="Arial"/>
          <w:sz w:val="24"/>
          <w:szCs w:val="24"/>
        </w:rPr>
        <w:t>In or around the period between 26 May and 1 June 2020, the Relevant ML Employee responded to 56 of the 59 RFQs using his work email account.  The first three quotations issued by the Relevant ML Employee in this way were quoted at ML’s standard price for designated category 1 IT solutions, but the Relevant ML Employee subsequently revised those three quotation prices upwards to HK$99,000 and sent all of the other quotations priced at HK$99,000.  Joe Fan had asked the Relevant ML Employee to effect this price increase after Joe Fan had reviewed the first three quotations at the lower price.</w:t>
      </w:r>
    </w:p>
    <w:p w:rsidR="00D30695" w:rsidRDefault="00D30695" w:rsidP="00D30695">
      <w:pPr>
        <w:spacing w:before="360" w:line="360" w:lineRule="auto"/>
        <w:ind w:right="-331" w:hangingChars="300"/>
        <w:rPr>
          <w:rFonts w:cs="Arial"/>
          <w:sz w:val="24"/>
          <w:szCs w:val="24"/>
        </w:rPr>
      </w:pPr>
      <w:r>
        <w:rPr>
          <w:rFonts w:cs="Arial"/>
          <w:sz w:val="24"/>
          <w:szCs w:val="24"/>
        </w:rPr>
        <w:t>32.</w:t>
      </w:r>
      <w:r>
        <w:rPr>
          <w:rFonts w:cs="Arial"/>
          <w:sz w:val="24"/>
          <w:szCs w:val="24"/>
        </w:rPr>
        <w:tab/>
      </w:r>
      <w:r w:rsidRPr="00D30695">
        <w:rPr>
          <w:rFonts w:cs="Arial"/>
          <w:sz w:val="24"/>
          <w:szCs w:val="24"/>
        </w:rPr>
        <w:t>ML only provided quotations for IT solutions in designated category 1, so Joe Fan separately obtained cover bids for the other categories from KWEK through Koki Tang.  Being a co-shareholder of KWEK, the Relevant ML Employee was aware of this.</w:t>
      </w:r>
    </w:p>
    <w:p w:rsidR="00D30695" w:rsidRDefault="00D30695" w:rsidP="00D30695">
      <w:pPr>
        <w:spacing w:before="360" w:line="360" w:lineRule="auto"/>
        <w:ind w:right="-331" w:hangingChars="300"/>
        <w:rPr>
          <w:rFonts w:cs="Arial"/>
          <w:sz w:val="24"/>
          <w:szCs w:val="24"/>
        </w:rPr>
      </w:pPr>
      <w:r>
        <w:rPr>
          <w:rFonts w:cs="Arial"/>
          <w:sz w:val="24"/>
          <w:szCs w:val="24"/>
        </w:rPr>
        <w:t>33.</w:t>
      </w:r>
      <w:r>
        <w:rPr>
          <w:rFonts w:cs="Arial"/>
          <w:sz w:val="24"/>
          <w:szCs w:val="24"/>
        </w:rPr>
        <w:tab/>
      </w:r>
      <w:r w:rsidRPr="00D30695">
        <w:rPr>
          <w:rFonts w:cs="Arial"/>
          <w:sz w:val="24"/>
          <w:szCs w:val="24"/>
        </w:rPr>
        <w:t>As a result of ML’s participation in the Subject Arrangement, there was no genuine competition between the IT service providers providing quotations in the 51 applications for D-Biz funding enumerated at nos. 1 to 51 of Annex A to this Statement.  On the contrary, the intended winner (i.e., the service provider to be selected to provide the relevant IT services to be funded by the D-Biz scheme) had been pre-determined pursuant to the Subject Arrangement.  The HKPC was led to approve D-Biz funding under the false impression that the relevant applications had been made following a competitive selection process in compliance with the Two-Quotation Requirement.  Further, the prospective customers, in whose name the relevant applications were made, had not been informed of the Subject Arrangement (including in particular that one of the two IT service providers submitting quotations would only submit a cover bid rather than competing to win).</w:t>
      </w:r>
    </w:p>
    <w:p w:rsidR="00D30695" w:rsidRDefault="00D30695" w:rsidP="00D30695">
      <w:pPr>
        <w:spacing w:before="360" w:line="360" w:lineRule="auto"/>
        <w:ind w:left="723" w:right="-331" w:hangingChars="300" w:hanging="723"/>
        <w:rPr>
          <w:b/>
          <w:sz w:val="24"/>
          <w:szCs w:val="24"/>
          <w:u w:val="single"/>
        </w:rPr>
      </w:pPr>
      <w:r w:rsidRPr="00D30695">
        <w:rPr>
          <w:b/>
          <w:sz w:val="24"/>
          <w:szCs w:val="24"/>
          <w:u w:val="single"/>
        </w:rPr>
        <w:t>B5.</w:t>
      </w:r>
      <w:r w:rsidRPr="00D30695">
        <w:rPr>
          <w:b/>
          <w:sz w:val="24"/>
          <w:szCs w:val="24"/>
          <w:u w:val="single"/>
        </w:rPr>
        <w:tab/>
        <w:t>Particulars of the Contravention</w:t>
      </w:r>
    </w:p>
    <w:p w:rsidR="00D30695" w:rsidRDefault="00D30695" w:rsidP="00D30695">
      <w:pPr>
        <w:spacing w:before="360" w:line="360" w:lineRule="auto"/>
        <w:ind w:right="-331" w:hangingChars="300"/>
        <w:rPr>
          <w:sz w:val="24"/>
          <w:szCs w:val="24"/>
        </w:rPr>
      </w:pPr>
      <w:r w:rsidRPr="00D30695">
        <w:rPr>
          <w:sz w:val="24"/>
          <w:szCs w:val="24"/>
        </w:rPr>
        <w:t>34.</w:t>
      </w:r>
      <w:r w:rsidRPr="00D30695">
        <w:rPr>
          <w:sz w:val="24"/>
          <w:szCs w:val="24"/>
        </w:rPr>
        <w:tab/>
        <w:t>It is the Commission’s case (which is not disputed by ML and MTT) that the Subject Arrangement insofar as ML is concerned was agreed and given effect to in accordance with the events set out below:</w:t>
      </w:r>
    </w:p>
    <w:p w:rsidR="001710B9" w:rsidRDefault="001710B9" w:rsidP="001710B9">
      <w:pPr>
        <w:spacing w:before="360" w:line="360" w:lineRule="auto"/>
        <w:ind w:leftChars="257" w:left="1260" w:right="-331" w:hangingChars="225" w:hanging="540"/>
        <w:rPr>
          <w:sz w:val="24"/>
          <w:szCs w:val="24"/>
        </w:rPr>
      </w:pPr>
      <w:r>
        <w:rPr>
          <w:sz w:val="24"/>
          <w:szCs w:val="24"/>
        </w:rPr>
        <w:t>(1)</w:t>
      </w:r>
      <w:r>
        <w:rPr>
          <w:sz w:val="24"/>
          <w:szCs w:val="24"/>
        </w:rPr>
        <w:tab/>
      </w:r>
      <w:r w:rsidRPr="001710B9">
        <w:rPr>
          <w:sz w:val="24"/>
          <w:szCs w:val="24"/>
        </w:rPr>
        <w:t>In early May 2020, Vincent Wu made the Subject Arrangement with Agnes Au Yeung and the BP/Noble Director that he would use ML to issue second quotations as cover bids for the quotations to be submitted by Yat Ying or BP/Noble, in order to enable Agnes Au Yeung’s and the BP/Noble Director’s prospective customers to purportedly comply with the Two-Quotation Requirement when applying for funding under D-Biz, and to enable Yat Ying and BP/Noble to become the selected service provider for customers found by Agnes Au Yeung and the BP/Noble Director respectively.</w:t>
      </w:r>
    </w:p>
    <w:p w:rsidR="001710B9" w:rsidRDefault="001710B9" w:rsidP="001710B9">
      <w:pPr>
        <w:spacing w:before="360" w:line="360" w:lineRule="auto"/>
        <w:ind w:leftChars="257" w:left="1260" w:right="-331" w:hangingChars="225" w:hanging="540"/>
        <w:rPr>
          <w:sz w:val="24"/>
          <w:szCs w:val="24"/>
        </w:rPr>
      </w:pPr>
      <w:r>
        <w:rPr>
          <w:sz w:val="24"/>
          <w:szCs w:val="24"/>
        </w:rPr>
        <w:t>(2)</w:t>
      </w:r>
      <w:r>
        <w:rPr>
          <w:sz w:val="24"/>
          <w:szCs w:val="24"/>
        </w:rPr>
        <w:tab/>
      </w:r>
      <w:r w:rsidRPr="001710B9">
        <w:rPr>
          <w:sz w:val="24"/>
          <w:szCs w:val="24"/>
        </w:rPr>
        <w:t>Under Vincent Wu’s direct instruction and supervision, the Relevant ML Employee implemented the Subject Arrangement by issuing 56 cover bid quotations in ML’s name.  Consequently, ML lost all the applications in which its quotations were paired up against Yat Ying or BP/Noble’s, enabling them to become the selected IT service providers in successful applications that resulted in the relevant customer executing a funding agreement with HKPC.</w:t>
      </w:r>
    </w:p>
    <w:p w:rsidR="001710B9" w:rsidRDefault="001710B9" w:rsidP="001710B9">
      <w:pPr>
        <w:spacing w:before="360" w:line="360" w:lineRule="auto"/>
        <w:ind w:leftChars="257" w:left="1260" w:right="-331" w:hangingChars="225" w:hanging="540"/>
        <w:rPr>
          <w:sz w:val="24"/>
          <w:szCs w:val="24"/>
        </w:rPr>
      </w:pPr>
      <w:r>
        <w:rPr>
          <w:sz w:val="24"/>
          <w:szCs w:val="24"/>
        </w:rPr>
        <w:t>(3)</w:t>
      </w:r>
      <w:r>
        <w:rPr>
          <w:sz w:val="24"/>
          <w:szCs w:val="24"/>
        </w:rPr>
        <w:tab/>
      </w:r>
      <w:r w:rsidRPr="001710B9">
        <w:rPr>
          <w:sz w:val="24"/>
          <w:szCs w:val="24"/>
        </w:rPr>
        <w:t>Through the actions of Vincent Wu and the Relevant ML Employee, ML participated in the Subject Arrangement which led HKPC to approve D-Biz funding under the false impression that the relevant applications had been made following a competitive selection process in compliance with the Two-Quotation Requirement.</w:t>
      </w:r>
    </w:p>
    <w:p w:rsidR="001710B9" w:rsidRDefault="001710B9" w:rsidP="001710B9">
      <w:pPr>
        <w:spacing w:before="360" w:line="360" w:lineRule="auto"/>
        <w:ind w:leftChars="257" w:left="1260" w:right="-331" w:hangingChars="225" w:hanging="540"/>
        <w:rPr>
          <w:sz w:val="24"/>
          <w:szCs w:val="24"/>
        </w:rPr>
      </w:pPr>
      <w:r>
        <w:rPr>
          <w:sz w:val="24"/>
          <w:szCs w:val="24"/>
        </w:rPr>
        <w:t>(4)</w:t>
      </w:r>
      <w:r>
        <w:rPr>
          <w:sz w:val="24"/>
          <w:szCs w:val="24"/>
        </w:rPr>
        <w:tab/>
      </w:r>
      <w:r w:rsidRPr="001710B9">
        <w:rPr>
          <w:sz w:val="24"/>
          <w:szCs w:val="24"/>
        </w:rPr>
        <w:t>For ML’s part, its participation in the Subject Arrangement and therefore its Contravention of the FCR started from the May 2020 gathering among Vincent Wu, the BP/Noble Director, Agnes Au Yeung and Joe Fan, and continued to at least 19 April 2021, being the date when the last of the contracts for D-Biz funding relating to the affected applications (i.e., the Subject Applications</w:t>
      </w:r>
      <w:r>
        <w:rPr>
          <w:sz w:val="24"/>
          <w:szCs w:val="24"/>
        </w:rPr>
        <w:t xml:space="preserve"> </w:t>
      </w:r>
      <w:r w:rsidRPr="001710B9">
        <w:rPr>
          <w:sz w:val="24"/>
          <w:szCs w:val="24"/>
        </w:rPr>
        <w:t>enumerated at nos. 1 to 51 of Annex A to this Statement) was signed.</w:t>
      </w:r>
    </w:p>
    <w:p w:rsidR="003B6878" w:rsidRDefault="003B6878" w:rsidP="003B6878">
      <w:pPr>
        <w:spacing w:before="360" w:line="360" w:lineRule="auto"/>
        <w:ind w:leftChars="1" w:left="719" w:right="-331" w:hangingChars="297" w:hanging="716"/>
        <w:rPr>
          <w:b/>
          <w:sz w:val="24"/>
          <w:szCs w:val="24"/>
          <w:u w:val="single"/>
        </w:rPr>
      </w:pPr>
      <w:r w:rsidRPr="003B6878">
        <w:rPr>
          <w:b/>
          <w:sz w:val="24"/>
          <w:szCs w:val="24"/>
          <w:u w:val="single"/>
        </w:rPr>
        <w:t>B6.</w:t>
      </w:r>
      <w:r w:rsidRPr="003B6878">
        <w:rPr>
          <w:b/>
          <w:sz w:val="24"/>
          <w:szCs w:val="24"/>
          <w:u w:val="single"/>
        </w:rPr>
        <w:tab/>
        <w:t>Admission of ML’s liability by ML and MTT</w:t>
      </w:r>
    </w:p>
    <w:p w:rsidR="003B6878" w:rsidRDefault="003B6878" w:rsidP="003B6878">
      <w:pPr>
        <w:spacing w:before="360" w:line="360" w:lineRule="auto"/>
        <w:ind w:leftChars="1" w:left="716" w:right="-331" w:hangingChars="297" w:hanging="713"/>
        <w:rPr>
          <w:sz w:val="24"/>
          <w:szCs w:val="24"/>
        </w:rPr>
      </w:pPr>
      <w:r w:rsidRPr="003B6878">
        <w:rPr>
          <w:sz w:val="24"/>
          <w:szCs w:val="24"/>
        </w:rPr>
        <w:t>35.</w:t>
      </w:r>
      <w:r w:rsidRPr="003B6878">
        <w:rPr>
          <w:sz w:val="24"/>
          <w:szCs w:val="24"/>
        </w:rPr>
        <w:tab/>
        <w:t>By reason of the matters set out herein, each of ML and MTT admits the following:</w:t>
      </w:r>
    </w:p>
    <w:p w:rsidR="003B6878" w:rsidRDefault="003B6878" w:rsidP="003B6878">
      <w:pPr>
        <w:spacing w:before="360" w:line="360" w:lineRule="auto"/>
        <w:ind w:leftChars="257" w:left="1258" w:right="-331" w:hangingChars="224" w:hanging="538"/>
        <w:rPr>
          <w:sz w:val="24"/>
          <w:szCs w:val="24"/>
        </w:rPr>
      </w:pPr>
      <w:r>
        <w:rPr>
          <w:sz w:val="24"/>
          <w:szCs w:val="24"/>
        </w:rPr>
        <w:t>(1)</w:t>
      </w:r>
      <w:r>
        <w:rPr>
          <w:sz w:val="24"/>
          <w:szCs w:val="24"/>
        </w:rPr>
        <w:tab/>
      </w:r>
      <w:r w:rsidRPr="003B6878">
        <w:rPr>
          <w:sz w:val="24"/>
          <w:szCs w:val="24"/>
        </w:rPr>
        <w:t>ML, Agnes Au Yeung trading as Yat Ying, BP/Noble and KWEK, as separate undertakings involved in providing IT solutions to other businesses in Hong Kong, entered into the Subject Arrangement;</w:t>
      </w:r>
    </w:p>
    <w:p w:rsidR="003B6878" w:rsidRDefault="003B6878" w:rsidP="003B6878">
      <w:pPr>
        <w:spacing w:before="360" w:line="360" w:lineRule="auto"/>
        <w:ind w:leftChars="257" w:left="1258" w:right="-331" w:hangingChars="224" w:hanging="538"/>
        <w:rPr>
          <w:sz w:val="24"/>
          <w:szCs w:val="24"/>
        </w:rPr>
      </w:pPr>
      <w:r>
        <w:rPr>
          <w:sz w:val="24"/>
          <w:szCs w:val="24"/>
        </w:rPr>
        <w:t>(2)</w:t>
      </w:r>
      <w:r>
        <w:rPr>
          <w:sz w:val="24"/>
          <w:szCs w:val="24"/>
        </w:rPr>
        <w:tab/>
      </w:r>
      <w:r w:rsidRPr="003B6878">
        <w:rPr>
          <w:sz w:val="24"/>
          <w:szCs w:val="24"/>
        </w:rPr>
        <w:t>the object of the Subject Arrangement was to prevent, restrict, or distort competition in Hong Kong between IT service providers bidding to provide IT solutions to prospective customers applying for funding under the D-Biz scheme by fixing prices, allocating customers, rigging bids and/or sharing information in respect of the submission of quotations to prospective customers applying for D-Biz funding;</w:t>
      </w:r>
    </w:p>
    <w:p w:rsidR="003B6878" w:rsidRDefault="003B6878" w:rsidP="003B6878">
      <w:pPr>
        <w:spacing w:before="360" w:line="360" w:lineRule="auto"/>
        <w:ind w:leftChars="257" w:left="1258" w:right="-331" w:hangingChars="224" w:hanging="538"/>
        <w:rPr>
          <w:sz w:val="24"/>
          <w:szCs w:val="24"/>
        </w:rPr>
      </w:pPr>
      <w:r>
        <w:rPr>
          <w:sz w:val="24"/>
          <w:szCs w:val="24"/>
        </w:rPr>
        <w:t>(3)</w:t>
      </w:r>
      <w:r>
        <w:rPr>
          <w:sz w:val="24"/>
          <w:szCs w:val="24"/>
        </w:rPr>
        <w:tab/>
      </w:r>
      <w:r w:rsidRPr="003B6878">
        <w:rPr>
          <w:sz w:val="24"/>
          <w:szCs w:val="24"/>
        </w:rPr>
        <w:t>Vincent Wu and the Relevant ML Employee (both as employees of ML) participated in the formation and implementation of the portion of the Subject Arrangement involving ML (i.e., in respect of the Subject Applications enumerated at nos. 1 to 51 of Annex A to this Statement), and the conduct of each of them is attributable to ML. It is not alleged that MTT had actual knowledge of Vincent Wu and the Relevant ML Employee's participation in the Subject Arrangement;</w:t>
      </w:r>
    </w:p>
    <w:p w:rsidR="003B6878" w:rsidRDefault="003B6878" w:rsidP="003B6878">
      <w:pPr>
        <w:spacing w:before="360" w:line="360" w:lineRule="auto"/>
        <w:ind w:leftChars="257" w:left="1258" w:right="-331" w:hangingChars="224" w:hanging="538"/>
        <w:rPr>
          <w:sz w:val="24"/>
          <w:szCs w:val="24"/>
        </w:rPr>
      </w:pPr>
      <w:r>
        <w:rPr>
          <w:sz w:val="24"/>
          <w:szCs w:val="24"/>
        </w:rPr>
        <w:t>(4)</w:t>
      </w:r>
      <w:r>
        <w:rPr>
          <w:sz w:val="24"/>
          <w:szCs w:val="24"/>
        </w:rPr>
        <w:tab/>
      </w:r>
      <w:r w:rsidRPr="003B6878">
        <w:rPr>
          <w:sz w:val="24"/>
          <w:szCs w:val="24"/>
        </w:rPr>
        <w:t>the Subject Arrangement constitutes price-fixing, customer allocation, bid-rigging and/or the exchange of competitively sensitive information among competitors, in contravention of the FCR under section 6(1) of the Ordinance; and</w:t>
      </w:r>
    </w:p>
    <w:p w:rsidR="003B6878" w:rsidRDefault="003B6878" w:rsidP="003B6878">
      <w:pPr>
        <w:spacing w:before="360" w:line="360" w:lineRule="auto"/>
        <w:ind w:leftChars="257" w:left="1258" w:right="-331" w:hangingChars="224" w:hanging="538"/>
        <w:rPr>
          <w:sz w:val="24"/>
          <w:szCs w:val="24"/>
        </w:rPr>
      </w:pPr>
      <w:r>
        <w:rPr>
          <w:sz w:val="24"/>
          <w:szCs w:val="24"/>
        </w:rPr>
        <w:t>(5)</w:t>
      </w:r>
      <w:r>
        <w:rPr>
          <w:sz w:val="24"/>
          <w:szCs w:val="24"/>
        </w:rPr>
        <w:tab/>
      </w:r>
      <w:r w:rsidRPr="003B6878">
        <w:rPr>
          <w:sz w:val="24"/>
          <w:szCs w:val="24"/>
        </w:rPr>
        <w:t>such conduct constitutes “serious anti-competitive conduct” within the meaning of section 2(1) of the Ordinance.</w:t>
      </w:r>
    </w:p>
    <w:p w:rsidR="003B6878" w:rsidRDefault="00DE276B" w:rsidP="00DE276B">
      <w:pPr>
        <w:spacing w:before="360" w:line="360" w:lineRule="auto"/>
        <w:ind w:leftChars="-32" w:left="-90" w:right="-331" w:firstLineChars="37" w:firstLine="89"/>
        <w:jc w:val="center"/>
        <w:rPr>
          <w:b/>
          <w:sz w:val="24"/>
          <w:szCs w:val="24"/>
        </w:rPr>
      </w:pPr>
      <w:r w:rsidRPr="00DE276B">
        <w:rPr>
          <w:b/>
          <w:sz w:val="24"/>
          <w:szCs w:val="24"/>
        </w:rPr>
        <w:t>PART C – UNDISPUTED FACTS ON THE CALCULATION OF RECOMMENDED PECUNIARY PENALTY FOR BP/NOBLE AND THE INVESTIGATION COSTS OF THE COMMISSION</w:t>
      </w:r>
    </w:p>
    <w:p w:rsidR="00DE276B" w:rsidRDefault="00DE276B" w:rsidP="00DE276B">
      <w:pPr>
        <w:spacing w:before="360" w:line="360" w:lineRule="auto"/>
        <w:ind w:left="718" w:right="-331" w:hangingChars="299" w:hanging="718"/>
        <w:rPr>
          <w:sz w:val="24"/>
          <w:szCs w:val="24"/>
        </w:rPr>
      </w:pPr>
      <w:r w:rsidRPr="00DE276B">
        <w:rPr>
          <w:sz w:val="24"/>
          <w:szCs w:val="24"/>
        </w:rPr>
        <w:t>36.</w:t>
      </w:r>
      <w:r w:rsidRPr="00DE276B">
        <w:rPr>
          <w:sz w:val="24"/>
          <w:szCs w:val="24"/>
        </w:rPr>
        <w:tab/>
        <w:t>For the purposes of assessing the amount of recommended pecuniary penalty under section 93 of the Ordinance, each of ML and MTT admits the following:</w:t>
      </w:r>
    </w:p>
    <w:p w:rsidR="00841E44" w:rsidRDefault="00841E44" w:rsidP="00841E44">
      <w:pPr>
        <w:spacing w:before="360" w:line="360" w:lineRule="auto"/>
        <w:ind w:leftChars="257" w:left="1260" w:right="-331" w:hangingChars="225" w:hanging="540"/>
        <w:rPr>
          <w:sz w:val="24"/>
          <w:szCs w:val="24"/>
        </w:rPr>
      </w:pPr>
      <w:r>
        <w:rPr>
          <w:sz w:val="24"/>
          <w:szCs w:val="24"/>
        </w:rPr>
        <w:t>(1)</w:t>
      </w:r>
      <w:r>
        <w:rPr>
          <w:sz w:val="24"/>
          <w:szCs w:val="24"/>
        </w:rPr>
        <w:tab/>
      </w:r>
      <w:r w:rsidRPr="00841E44">
        <w:rPr>
          <w:sz w:val="24"/>
          <w:szCs w:val="24"/>
        </w:rPr>
        <w:t>The financial year of ML starts from 1 April and ends on 31 March of a calendar year.</w:t>
      </w:r>
    </w:p>
    <w:p w:rsidR="00841E44" w:rsidRDefault="00841E44" w:rsidP="00841E44">
      <w:pPr>
        <w:spacing w:before="360" w:line="360" w:lineRule="auto"/>
        <w:ind w:leftChars="257" w:left="1260" w:right="-331" w:hangingChars="225" w:hanging="540"/>
        <w:rPr>
          <w:sz w:val="24"/>
          <w:szCs w:val="24"/>
        </w:rPr>
      </w:pPr>
      <w:r>
        <w:rPr>
          <w:sz w:val="24"/>
          <w:szCs w:val="24"/>
        </w:rPr>
        <w:t>(2)</w:t>
      </w:r>
      <w:r>
        <w:rPr>
          <w:sz w:val="24"/>
          <w:szCs w:val="24"/>
        </w:rPr>
        <w:tab/>
      </w:r>
      <w:r w:rsidRPr="00841E44">
        <w:rPr>
          <w:sz w:val="24"/>
          <w:szCs w:val="24"/>
        </w:rPr>
        <w:t>According to the definition of “turnover” under section 2 of the Competition (Turnover) Regulation</w:t>
      </w:r>
      <w:r>
        <w:rPr>
          <w:sz w:val="24"/>
          <w:szCs w:val="24"/>
        </w:rPr>
        <w:t xml:space="preserve"> </w:t>
      </w:r>
      <w:r w:rsidRPr="00841E44">
        <w:rPr>
          <w:sz w:val="24"/>
          <w:szCs w:val="24"/>
        </w:rPr>
        <w:t>(Cap. 619C), the turnover of ML for each of its financial years ending on 31 March 2021 and 31 March 2022 was HK$169,667,681 and HK$197,272,214 respectively.</w:t>
      </w:r>
    </w:p>
    <w:p w:rsidR="00841E44" w:rsidRDefault="00841E44" w:rsidP="00841E44">
      <w:pPr>
        <w:spacing w:before="360" w:line="360" w:lineRule="auto"/>
        <w:ind w:leftChars="1" w:left="718" w:right="-331" w:hangingChars="298" w:hanging="715"/>
        <w:rPr>
          <w:sz w:val="24"/>
          <w:szCs w:val="24"/>
        </w:rPr>
      </w:pPr>
      <w:r>
        <w:rPr>
          <w:sz w:val="24"/>
          <w:szCs w:val="24"/>
        </w:rPr>
        <w:t>37.</w:t>
      </w:r>
      <w:r>
        <w:rPr>
          <w:sz w:val="24"/>
          <w:szCs w:val="24"/>
        </w:rPr>
        <w:tab/>
      </w:r>
      <w:r w:rsidRPr="00841E44">
        <w:rPr>
          <w:sz w:val="24"/>
          <w:szCs w:val="24"/>
        </w:rPr>
        <w:t xml:space="preserve">As to the Commission’s costs of and incidental to its investigation into this matter, the Commission has incurred such costs in the sum of HK$621,730 (see Annex B), of which HK$155,000 (rounding down to the nearest thousand) represents the </w:t>
      </w:r>
      <w:r w:rsidR="00D41887">
        <w:rPr>
          <w:sz w:val="24"/>
          <w:szCs w:val="24"/>
        </w:rPr>
        <w:t>1</w:t>
      </w:r>
      <w:r w:rsidR="00D41887" w:rsidRPr="00D41887">
        <w:rPr>
          <w:sz w:val="24"/>
          <w:szCs w:val="24"/>
          <w:vertAlign w:val="superscript"/>
        </w:rPr>
        <w:t>st</w:t>
      </w:r>
      <w:r w:rsidR="00D41887">
        <w:rPr>
          <w:sz w:val="24"/>
          <w:szCs w:val="24"/>
        </w:rPr>
        <w:t xml:space="preserve"> </w:t>
      </w:r>
      <w:r w:rsidRPr="00841E44">
        <w:rPr>
          <w:sz w:val="24"/>
          <w:szCs w:val="24"/>
        </w:rPr>
        <w:t>Respondent’s share of such investigation costs.</w:t>
      </w:r>
    </w:p>
    <w:p w:rsidR="00E52ECF" w:rsidRDefault="00E52ECF" w:rsidP="00E52ECF">
      <w:pPr>
        <w:spacing w:line="360" w:lineRule="auto"/>
        <w:ind w:leftChars="1" w:left="718" w:right="-331" w:hangingChars="298" w:hanging="715"/>
        <w:rPr>
          <w:sz w:val="24"/>
          <w:szCs w:val="24"/>
        </w:rPr>
      </w:pPr>
    </w:p>
    <w:p w:rsidR="00F3612B" w:rsidRDefault="00F3612B" w:rsidP="00841E44">
      <w:pPr>
        <w:spacing w:before="360" w:line="360" w:lineRule="auto"/>
        <w:ind w:leftChars="1" w:left="718" w:right="-331" w:hangingChars="298" w:hanging="715"/>
        <w:rPr>
          <w:sz w:val="24"/>
          <w:szCs w:val="24"/>
        </w:rPr>
      </w:pPr>
      <w:r>
        <w:rPr>
          <w:sz w:val="24"/>
          <w:szCs w:val="24"/>
        </w:rPr>
        <w:t>Dated this</w:t>
      </w:r>
      <w:r>
        <w:rPr>
          <w:sz w:val="24"/>
          <w:szCs w:val="24"/>
        </w:rPr>
        <w:tab/>
        <w:t>day of</w:t>
      </w:r>
      <w:r>
        <w:rPr>
          <w:sz w:val="24"/>
          <w:szCs w:val="24"/>
        </w:rPr>
        <w:tab/>
      </w:r>
      <w:r>
        <w:rPr>
          <w:sz w:val="24"/>
          <w:szCs w:val="24"/>
        </w:rPr>
        <w:tab/>
      </w:r>
      <w:r w:rsidRPr="00F3612B">
        <w:rPr>
          <w:sz w:val="24"/>
          <w:szCs w:val="24"/>
        </w:rPr>
        <w:t>2024.</w:t>
      </w:r>
    </w:p>
    <w:p w:rsidR="00F3612B" w:rsidRDefault="00F3612B" w:rsidP="00841E44">
      <w:pPr>
        <w:spacing w:before="360" w:line="360" w:lineRule="auto"/>
        <w:ind w:leftChars="1" w:left="718" w:right="-331" w:hangingChars="298" w:hanging="715"/>
        <w:rPr>
          <w:sz w:val="24"/>
          <w:szCs w:val="24"/>
        </w:rPr>
      </w:pPr>
    </w:p>
    <w:tbl>
      <w:tblPr>
        <w:tblStyle w:val="TableGrid"/>
        <w:tblW w:w="91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500"/>
      </w:tblGrid>
      <w:tr w:rsidR="00F3612B" w:rsidTr="00E52ECF">
        <w:tc>
          <w:tcPr>
            <w:tcW w:w="4680" w:type="dxa"/>
          </w:tcPr>
          <w:p w:rsidR="00F3612B" w:rsidRDefault="00F3612B" w:rsidP="00841E44">
            <w:pPr>
              <w:spacing w:before="360" w:line="360" w:lineRule="auto"/>
              <w:ind w:left="0" w:right="-331" w:firstLine="0"/>
              <w:rPr>
                <w:sz w:val="24"/>
                <w:szCs w:val="24"/>
              </w:rPr>
            </w:pPr>
            <w:r>
              <w:rPr>
                <w:sz w:val="24"/>
                <w:szCs w:val="24"/>
              </w:rPr>
              <w:t>____________________</w:t>
            </w:r>
            <w:r w:rsidR="00E52ECF">
              <w:rPr>
                <w:sz w:val="24"/>
                <w:szCs w:val="24"/>
              </w:rPr>
              <w:t>__</w:t>
            </w:r>
            <w:r>
              <w:rPr>
                <w:sz w:val="24"/>
                <w:szCs w:val="24"/>
              </w:rPr>
              <w:t>____</w:t>
            </w:r>
            <w:r w:rsidR="00E52ECF">
              <w:rPr>
                <w:sz w:val="24"/>
                <w:szCs w:val="24"/>
              </w:rPr>
              <w:t>_</w:t>
            </w:r>
            <w:r>
              <w:rPr>
                <w:sz w:val="24"/>
                <w:szCs w:val="24"/>
              </w:rPr>
              <w:t>_____</w:t>
            </w:r>
          </w:p>
          <w:p w:rsidR="00F3612B" w:rsidRPr="00F3612B" w:rsidRDefault="00F3612B" w:rsidP="00F3612B">
            <w:pPr>
              <w:ind w:left="0" w:right="-331" w:firstLine="0"/>
              <w:jc w:val="left"/>
              <w:rPr>
                <w:b/>
                <w:sz w:val="24"/>
                <w:szCs w:val="24"/>
              </w:rPr>
            </w:pPr>
            <w:r w:rsidRPr="00F3612B">
              <w:rPr>
                <w:b/>
                <w:sz w:val="24"/>
                <w:szCs w:val="24"/>
              </w:rPr>
              <w:t>MINTERELLISON LLP</w:t>
            </w:r>
          </w:p>
          <w:p w:rsidR="00F3612B" w:rsidRDefault="00F3612B" w:rsidP="00F3612B">
            <w:pPr>
              <w:spacing w:line="360" w:lineRule="auto"/>
              <w:ind w:left="0" w:right="-331" w:firstLine="0"/>
              <w:rPr>
                <w:sz w:val="24"/>
                <w:szCs w:val="24"/>
              </w:rPr>
            </w:pPr>
            <w:r w:rsidRPr="00F3612B">
              <w:rPr>
                <w:sz w:val="24"/>
                <w:szCs w:val="24"/>
              </w:rPr>
              <w:t>Solicitors for the Applicant</w:t>
            </w:r>
          </w:p>
        </w:tc>
        <w:tc>
          <w:tcPr>
            <w:tcW w:w="4500" w:type="dxa"/>
          </w:tcPr>
          <w:p w:rsidR="00F3612B" w:rsidRDefault="00F3612B" w:rsidP="00841E44">
            <w:pPr>
              <w:spacing w:before="360" w:line="360" w:lineRule="auto"/>
              <w:ind w:left="0" w:right="-331" w:firstLine="0"/>
              <w:rPr>
                <w:sz w:val="24"/>
                <w:szCs w:val="24"/>
              </w:rPr>
            </w:pPr>
            <w:r>
              <w:rPr>
                <w:sz w:val="24"/>
                <w:szCs w:val="24"/>
              </w:rPr>
              <w:t>_____________________</w:t>
            </w:r>
            <w:r w:rsidR="00E52ECF">
              <w:rPr>
                <w:sz w:val="24"/>
                <w:szCs w:val="24"/>
              </w:rPr>
              <w:t>____</w:t>
            </w:r>
            <w:r>
              <w:rPr>
                <w:sz w:val="24"/>
                <w:szCs w:val="24"/>
              </w:rPr>
              <w:t>________</w:t>
            </w:r>
          </w:p>
          <w:p w:rsidR="00F3612B" w:rsidRPr="00F3612B" w:rsidRDefault="00F3612B" w:rsidP="00F3612B">
            <w:pPr>
              <w:ind w:left="0" w:right="-331" w:firstLine="0"/>
              <w:rPr>
                <w:b/>
                <w:sz w:val="24"/>
                <w:szCs w:val="24"/>
              </w:rPr>
            </w:pPr>
            <w:r w:rsidRPr="00F3612B">
              <w:rPr>
                <w:b/>
                <w:sz w:val="24"/>
                <w:szCs w:val="24"/>
              </w:rPr>
              <w:t>PAULINE WONG &amp; CO</w:t>
            </w:r>
          </w:p>
          <w:p w:rsidR="00F3612B" w:rsidRDefault="00F3612B" w:rsidP="00F3612B">
            <w:pPr>
              <w:ind w:left="0" w:right="-331" w:firstLine="0"/>
              <w:rPr>
                <w:sz w:val="24"/>
                <w:szCs w:val="24"/>
              </w:rPr>
            </w:pPr>
            <w:r w:rsidRPr="00F3612B">
              <w:rPr>
                <w:sz w:val="24"/>
                <w:szCs w:val="24"/>
              </w:rPr>
              <w:t xml:space="preserve">Solicitors for the </w:t>
            </w:r>
            <w:r>
              <w:rPr>
                <w:sz w:val="24"/>
                <w:szCs w:val="24"/>
              </w:rPr>
              <w:t>1</w:t>
            </w:r>
            <w:r w:rsidRPr="00F3612B">
              <w:rPr>
                <w:sz w:val="24"/>
                <w:szCs w:val="24"/>
                <w:vertAlign w:val="superscript"/>
              </w:rPr>
              <w:t>st</w:t>
            </w:r>
            <w:r>
              <w:rPr>
                <w:sz w:val="24"/>
                <w:szCs w:val="24"/>
              </w:rPr>
              <w:t xml:space="preserve"> </w:t>
            </w:r>
            <w:r w:rsidRPr="00F3612B">
              <w:rPr>
                <w:sz w:val="24"/>
                <w:szCs w:val="24"/>
              </w:rPr>
              <w:t xml:space="preserve">and </w:t>
            </w:r>
            <w:r>
              <w:rPr>
                <w:sz w:val="24"/>
                <w:szCs w:val="24"/>
              </w:rPr>
              <w:t>2</w:t>
            </w:r>
            <w:r w:rsidRPr="00F3612B">
              <w:rPr>
                <w:sz w:val="24"/>
                <w:szCs w:val="24"/>
                <w:vertAlign w:val="superscript"/>
              </w:rPr>
              <w:t>nd</w:t>
            </w:r>
            <w:r>
              <w:rPr>
                <w:sz w:val="24"/>
                <w:szCs w:val="24"/>
              </w:rPr>
              <w:t xml:space="preserve"> </w:t>
            </w:r>
            <w:r w:rsidRPr="00F3612B">
              <w:rPr>
                <w:sz w:val="24"/>
                <w:szCs w:val="24"/>
              </w:rPr>
              <w:t>Respondents</w:t>
            </w:r>
          </w:p>
        </w:tc>
      </w:tr>
    </w:tbl>
    <w:p w:rsidR="00C31AF9" w:rsidRDefault="00C31AF9" w:rsidP="00841E44">
      <w:pPr>
        <w:spacing w:before="360" w:line="360" w:lineRule="auto"/>
        <w:ind w:leftChars="1" w:left="718" w:right="-331" w:hangingChars="298" w:hanging="715"/>
        <w:rPr>
          <w:sz w:val="24"/>
          <w:szCs w:val="24"/>
        </w:rPr>
        <w:sectPr w:rsidR="00C31AF9" w:rsidSect="006F6BC3">
          <w:headerReference w:type="default" r:id="rId12"/>
          <w:headerReference w:type="first" r:id="rId13"/>
          <w:pgSz w:w="11909" w:h="16834" w:code="9"/>
          <w:pgMar w:top="1530" w:right="1800" w:bottom="1260" w:left="1800" w:header="576" w:footer="576" w:gutter="0"/>
          <w:pgNumType w:start="1"/>
          <w:cols w:space="708"/>
          <w:titlePg/>
          <w:docGrid w:linePitch="381"/>
        </w:sectPr>
      </w:pPr>
    </w:p>
    <w:p w:rsidR="00C31AF9" w:rsidRDefault="00C31AF9" w:rsidP="00C31AF9">
      <w:pPr>
        <w:tabs>
          <w:tab w:val="left" w:pos="360"/>
        </w:tabs>
        <w:spacing w:before="240" w:line="240" w:lineRule="exact"/>
        <w:ind w:left="308" w:right="-331" w:hangingChars="128" w:hanging="308"/>
        <w:jc w:val="center"/>
        <w:rPr>
          <w:b/>
          <w:sz w:val="24"/>
          <w:szCs w:val="24"/>
        </w:rPr>
      </w:pPr>
      <w:r w:rsidRPr="00BD70B2">
        <w:rPr>
          <w:b/>
          <w:sz w:val="24"/>
          <w:szCs w:val="24"/>
        </w:rPr>
        <w:t>STATEMENT OF AGREED FACTS</w:t>
      </w:r>
      <w:r>
        <w:rPr>
          <w:b/>
          <w:sz w:val="24"/>
          <w:szCs w:val="24"/>
        </w:rPr>
        <w:t xml:space="preserve"> BETWEEN THE</w:t>
      </w:r>
    </w:p>
    <w:p w:rsidR="00C31AF9" w:rsidRDefault="00C31AF9" w:rsidP="00C31AF9">
      <w:pPr>
        <w:tabs>
          <w:tab w:val="left" w:pos="360"/>
        </w:tabs>
        <w:spacing w:before="240" w:line="240" w:lineRule="exact"/>
        <w:ind w:leftChars="-290" w:left="304" w:right="-871" w:hangingChars="463" w:hanging="1116"/>
        <w:jc w:val="center"/>
        <w:rPr>
          <w:b/>
          <w:sz w:val="24"/>
          <w:szCs w:val="24"/>
        </w:rPr>
      </w:pPr>
      <w:r>
        <w:rPr>
          <w:b/>
          <w:sz w:val="24"/>
          <w:szCs w:val="24"/>
        </w:rPr>
        <w:t xml:space="preserve">COMPETITION COMMISSION (“COMMISSION”) AND THE </w:t>
      </w:r>
      <w:r w:rsidR="00504699">
        <w:rPr>
          <w:b/>
          <w:sz w:val="24"/>
          <w:szCs w:val="24"/>
        </w:rPr>
        <w:t>3</w:t>
      </w:r>
      <w:r w:rsidR="00504699" w:rsidRPr="00504699">
        <w:rPr>
          <w:b/>
          <w:sz w:val="24"/>
          <w:szCs w:val="24"/>
          <w:vertAlign w:val="superscript"/>
        </w:rPr>
        <w:t>RD</w:t>
      </w:r>
      <w:r w:rsidR="00504699">
        <w:rPr>
          <w:b/>
          <w:sz w:val="24"/>
          <w:szCs w:val="24"/>
        </w:rPr>
        <w:t xml:space="preserve"> </w:t>
      </w:r>
      <w:r>
        <w:rPr>
          <w:b/>
          <w:sz w:val="24"/>
          <w:szCs w:val="24"/>
        </w:rPr>
        <w:t xml:space="preserve">AND </w:t>
      </w:r>
      <w:r w:rsidR="00504699">
        <w:rPr>
          <w:b/>
          <w:sz w:val="24"/>
          <w:szCs w:val="24"/>
        </w:rPr>
        <w:t>4</w:t>
      </w:r>
      <w:r w:rsidR="00504699" w:rsidRPr="00504699">
        <w:rPr>
          <w:b/>
          <w:sz w:val="24"/>
          <w:szCs w:val="24"/>
          <w:vertAlign w:val="superscript"/>
        </w:rPr>
        <w:t>TH</w:t>
      </w:r>
      <w:r w:rsidR="00504699">
        <w:rPr>
          <w:b/>
          <w:sz w:val="24"/>
          <w:szCs w:val="24"/>
        </w:rPr>
        <w:t xml:space="preserve"> </w:t>
      </w:r>
      <w:r>
        <w:rPr>
          <w:b/>
          <w:sz w:val="24"/>
          <w:szCs w:val="24"/>
        </w:rPr>
        <w:t>RESPONDENTS</w:t>
      </w:r>
    </w:p>
    <w:p w:rsidR="00C31AF9" w:rsidRPr="00BD70B2" w:rsidRDefault="00C31AF9" w:rsidP="00C31AF9">
      <w:pPr>
        <w:spacing w:before="240" w:line="240" w:lineRule="exact"/>
        <w:ind w:leftChars="-64" w:left="361" w:right="-331" w:hangingChars="225" w:hanging="540"/>
        <w:jc w:val="center"/>
        <w:rPr>
          <w:i/>
          <w:sz w:val="24"/>
          <w:szCs w:val="24"/>
        </w:rPr>
      </w:pPr>
      <w:r w:rsidRPr="00BD70B2">
        <w:rPr>
          <w:i/>
          <w:sz w:val="24"/>
          <w:szCs w:val="24"/>
        </w:rPr>
        <w:t>(Prepared pursuant to Rule 39 of the Competition Tribunal Rules, Cap. 619D (“</w:t>
      </w:r>
      <w:r w:rsidRPr="00CE6723">
        <w:rPr>
          <w:b/>
          <w:i/>
          <w:sz w:val="24"/>
          <w:szCs w:val="24"/>
        </w:rPr>
        <w:t>CTR</w:t>
      </w:r>
      <w:r w:rsidRPr="00BD70B2">
        <w:rPr>
          <w:i/>
          <w:sz w:val="24"/>
          <w:szCs w:val="24"/>
        </w:rPr>
        <w:t xml:space="preserve">”) and </w:t>
      </w:r>
    </w:p>
    <w:p w:rsidR="00C31AF9" w:rsidRDefault="00C31AF9" w:rsidP="00C31AF9">
      <w:pPr>
        <w:tabs>
          <w:tab w:val="left" w:pos="360"/>
        </w:tabs>
        <w:spacing w:before="240" w:line="240" w:lineRule="exact"/>
        <w:ind w:left="307" w:right="-331" w:hangingChars="128" w:hanging="307"/>
        <w:jc w:val="center"/>
        <w:rPr>
          <w:i/>
          <w:sz w:val="24"/>
          <w:szCs w:val="24"/>
        </w:rPr>
      </w:pPr>
      <w:r w:rsidRPr="00BD70B2">
        <w:rPr>
          <w:i/>
          <w:sz w:val="24"/>
          <w:szCs w:val="24"/>
        </w:rPr>
        <w:t>Paragraph 72 of the Competition Tribunal Practice Direction 1 (“</w:t>
      </w:r>
      <w:r w:rsidRPr="00CE6723">
        <w:rPr>
          <w:b/>
          <w:i/>
          <w:sz w:val="24"/>
          <w:szCs w:val="24"/>
        </w:rPr>
        <w:t>CTPD1</w:t>
      </w:r>
      <w:r w:rsidRPr="00BD70B2">
        <w:rPr>
          <w:i/>
          <w:sz w:val="24"/>
          <w:szCs w:val="24"/>
        </w:rPr>
        <w:t>”))</w:t>
      </w:r>
    </w:p>
    <w:p w:rsidR="00C31AF9" w:rsidRDefault="00C31AF9" w:rsidP="00C31AF9">
      <w:pPr>
        <w:tabs>
          <w:tab w:val="left" w:pos="360"/>
        </w:tabs>
        <w:spacing w:before="360"/>
        <w:ind w:left="308" w:right="-331" w:hangingChars="128" w:hanging="308"/>
        <w:jc w:val="center"/>
        <w:rPr>
          <w:b/>
          <w:sz w:val="24"/>
          <w:szCs w:val="24"/>
        </w:rPr>
      </w:pPr>
      <w:r>
        <w:rPr>
          <w:b/>
          <w:sz w:val="24"/>
          <w:szCs w:val="24"/>
        </w:rPr>
        <w:t>PART A — INTRODUCTION</w:t>
      </w:r>
    </w:p>
    <w:p w:rsidR="00504699" w:rsidRDefault="00504699" w:rsidP="00504699">
      <w:pPr>
        <w:spacing w:before="360" w:line="360" w:lineRule="auto"/>
        <w:ind w:right="-331"/>
        <w:rPr>
          <w:rFonts w:eastAsia="Lucida Sans"/>
          <w:sz w:val="24"/>
          <w:szCs w:val="24"/>
        </w:rPr>
      </w:pPr>
      <w:r>
        <w:rPr>
          <w:rFonts w:eastAsia="Lucida Sans"/>
          <w:sz w:val="24"/>
          <w:szCs w:val="24"/>
        </w:rPr>
        <w:t>1.</w:t>
      </w:r>
      <w:r>
        <w:rPr>
          <w:rFonts w:eastAsia="Lucida Sans"/>
          <w:sz w:val="24"/>
          <w:szCs w:val="24"/>
        </w:rPr>
        <w:tab/>
      </w:r>
      <w:r w:rsidRPr="00504699">
        <w:rPr>
          <w:rFonts w:eastAsia="Lucida Sans"/>
          <w:sz w:val="24"/>
          <w:szCs w:val="24"/>
        </w:rPr>
        <w:t>On 22 March 2023, the Commission issued proceedings pursuant to sections 92(1), 94(1), 96(1) and 101(1) of the Competition Ordinance, Cap. 619 (“</w:t>
      </w:r>
      <w:r w:rsidRPr="00504699">
        <w:rPr>
          <w:rFonts w:eastAsia="Lucida Sans"/>
          <w:b/>
          <w:sz w:val="24"/>
          <w:szCs w:val="24"/>
        </w:rPr>
        <w:t>Ordinance</w:t>
      </w:r>
      <w:r w:rsidRPr="00504699">
        <w:rPr>
          <w:rFonts w:eastAsia="Lucida Sans"/>
          <w:sz w:val="24"/>
          <w:szCs w:val="24"/>
        </w:rPr>
        <w:t>”) before the Competition Tribunal (“</w:t>
      </w:r>
      <w:r w:rsidRPr="00504699">
        <w:rPr>
          <w:rFonts w:eastAsia="Lucida Sans"/>
          <w:b/>
          <w:sz w:val="24"/>
          <w:szCs w:val="24"/>
        </w:rPr>
        <w:t>Tribunal</w:t>
      </w:r>
      <w:r w:rsidRPr="00504699">
        <w:rPr>
          <w:rFonts w:eastAsia="Lucida Sans"/>
          <w:sz w:val="24"/>
          <w:szCs w:val="24"/>
        </w:rPr>
        <w:t>”) against, amongst others, BP Enterprise Company Limited (“</w:t>
      </w:r>
      <w:r w:rsidRPr="00504699">
        <w:rPr>
          <w:rFonts w:eastAsia="Lucida Sans"/>
          <w:b/>
          <w:sz w:val="24"/>
          <w:szCs w:val="24"/>
        </w:rPr>
        <w:t>BP</w:t>
      </w:r>
      <w:r w:rsidRPr="00504699">
        <w:rPr>
          <w:rFonts w:eastAsia="Lucida Sans"/>
          <w:sz w:val="24"/>
          <w:szCs w:val="24"/>
        </w:rPr>
        <w:t>”) and Noble Nursing Home Company Limited (“</w:t>
      </w:r>
      <w:r w:rsidRPr="00504699">
        <w:rPr>
          <w:rFonts w:eastAsia="Lucida Sans"/>
          <w:b/>
          <w:sz w:val="24"/>
          <w:szCs w:val="24"/>
        </w:rPr>
        <w:t>Noble</w:t>
      </w:r>
      <w:r w:rsidRPr="00504699">
        <w:rPr>
          <w:rFonts w:eastAsia="Lucida Sans"/>
          <w:sz w:val="24"/>
          <w:szCs w:val="24"/>
        </w:rPr>
        <w:t xml:space="preserve">”), being the </w:t>
      </w:r>
      <w:r>
        <w:rPr>
          <w:rFonts w:eastAsia="Lucida Sans"/>
          <w:sz w:val="24"/>
          <w:szCs w:val="24"/>
        </w:rPr>
        <w:t>3</w:t>
      </w:r>
      <w:r w:rsidRPr="00504699">
        <w:rPr>
          <w:rFonts w:eastAsia="Lucida Sans"/>
          <w:sz w:val="24"/>
          <w:szCs w:val="24"/>
          <w:vertAlign w:val="superscript"/>
        </w:rPr>
        <w:t>rd</w:t>
      </w:r>
      <w:r>
        <w:rPr>
          <w:rFonts w:eastAsia="Lucida Sans"/>
          <w:sz w:val="24"/>
          <w:szCs w:val="24"/>
        </w:rPr>
        <w:t xml:space="preserve"> </w:t>
      </w:r>
      <w:r w:rsidRPr="00504699">
        <w:rPr>
          <w:rFonts w:eastAsia="Lucida Sans"/>
          <w:sz w:val="24"/>
          <w:szCs w:val="24"/>
        </w:rPr>
        <w:t xml:space="preserve">and the </w:t>
      </w:r>
      <w:r>
        <w:rPr>
          <w:rFonts w:eastAsia="Lucida Sans"/>
          <w:sz w:val="24"/>
          <w:szCs w:val="24"/>
        </w:rPr>
        <w:t>4</w:t>
      </w:r>
      <w:r w:rsidRPr="00504699">
        <w:rPr>
          <w:rFonts w:eastAsia="Lucida Sans"/>
          <w:sz w:val="24"/>
          <w:szCs w:val="24"/>
          <w:vertAlign w:val="superscript"/>
        </w:rPr>
        <w:t>th</w:t>
      </w:r>
      <w:r>
        <w:rPr>
          <w:rFonts w:eastAsia="Lucida Sans"/>
          <w:sz w:val="24"/>
          <w:szCs w:val="24"/>
        </w:rPr>
        <w:t xml:space="preserve"> </w:t>
      </w:r>
      <w:r w:rsidRPr="00504699">
        <w:rPr>
          <w:rFonts w:eastAsia="Lucida Sans"/>
          <w:sz w:val="24"/>
          <w:szCs w:val="24"/>
        </w:rPr>
        <w:t>Respondents in these proceedings respectively.</w:t>
      </w:r>
    </w:p>
    <w:p w:rsidR="00504699" w:rsidRDefault="00504699" w:rsidP="00504699">
      <w:pPr>
        <w:spacing w:before="360" w:line="360" w:lineRule="auto"/>
        <w:ind w:right="-331"/>
        <w:rPr>
          <w:rFonts w:eastAsia="Lucida Sans"/>
          <w:sz w:val="24"/>
          <w:szCs w:val="24"/>
        </w:rPr>
      </w:pPr>
      <w:r>
        <w:rPr>
          <w:rFonts w:eastAsia="Lucida Sans"/>
          <w:sz w:val="24"/>
          <w:szCs w:val="24"/>
        </w:rPr>
        <w:t>2.</w:t>
      </w:r>
      <w:r>
        <w:rPr>
          <w:rFonts w:eastAsia="Lucida Sans"/>
          <w:sz w:val="24"/>
          <w:szCs w:val="24"/>
        </w:rPr>
        <w:tab/>
      </w:r>
      <w:r w:rsidR="00D8499F" w:rsidRPr="00D8499F">
        <w:rPr>
          <w:rFonts w:eastAsia="Lucida Sans"/>
          <w:sz w:val="24"/>
          <w:szCs w:val="24"/>
        </w:rPr>
        <w:t>The Commission seeks, as against each of BP and Noble:</w:t>
      </w:r>
    </w:p>
    <w:p w:rsidR="00D8499F" w:rsidRDefault="00D8499F" w:rsidP="00D8499F">
      <w:pPr>
        <w:spacing w:before="360" w:line="360" w:lineRule="auto"/>
        <w:ind w:left="1260" w:right="-331" w:hanging="540"/>
        <w:rPr>
          <w:sz w:val="24"/>
          <w:szCs w:val="24"/>
        </w:rPr>
      </w:pPr>
      <w:r>
        <w:rPr>
          <w:sz w:val="24"/>
          <w:szCs w:val="24"/>
        </w:rPr>
        <w:t>(1)</w:t>
      </w:r>
      <w:r>
        <w:rPr>
          <w:sz w:val="24"/>
          <w:szCs w:val="24"/>
        </w:rPr>
        <w:tab/>
      </w:r>
      <w:r w:rsidRPr="00D8499F">
        <w:rPr>
          <w:sz w:val="24"/>
          <w:szCs w:val="24"/>
        </w:rPr>
        <w:t>a declaration pursuant to section 94(1) of, and section 1(a) of Schedule 3 to, the Ordinance that each of BP and Noble has contravened the First Conduct Rule (“</w:t>
      </w:r>
      <w:r w:rsidRPr="00D8499F">
        <w:rPr>
          <w:b/>
          <w:sz w:val="24"/>
          <w:szCs w:val="24"/>
        </w:rPr>
        <w:t>FCR</w:t>
      </w:r>
      <w:r w:rsidRPr="00D8499F">
        <w:rPr>
          <w:sz w:val="24"/>
          <w:szCs w:val="24"/>
        </w:rPr>
        <w:t>”) under section 6 of the Ordinance;</w:t>
      </w:r>
    </w:p>
    <w:p w:rsidR="00D8499F" w:rsidRDefault="00D8499F" w:rsidP="00D8499F">
      <w:pPr>
        <w:spacing w:before="360" w:line="360" w:lineRule="auto"/>
        <w:ind w:left="1260" w:right="-331" w:hanging="540"/>
        <w:rPr>
          <w:sz w:val="24"/>
          <w:szCs w:val="24"/>
        </w:rPr>
      </w:pPr>
      <w:r>
        <w:rPr>
          <w:sz w:val="24"/>
          <w:szCs w:val="24"/>
        </w:rPr>
        <w:t>(2)</w:t>
      </w:r>
      <w:r>
        <w:rPr>
          <w:sz w:val="24"/>
          <w:szCs w:val="24"/>
        </w:rPr>
        <w:tab/>
      </w:r>
      <w:r w:rsidRPr="00D8499F">
        <w:rPr>
          <w:sz w:val="24"/>
          <w:szCs w:val="24"/>
        </w:rPr>
        <w:t>an order under section 93(1) of the Ordinance that each of BP and Noble shall jointly and severally pay to the Government a pecuniary penalty in such amount as the Tribunal considers appropriate;</w:t>
      </w:r>
    </w:p>
    <w:p w:rsidR="00D8499F" w:rsidRDefault="00D8499F" w:rsidP="00D8499F">
      <w:pPr>
        <w:spacing w:before="360" w:line="360" w:lineRule="auto"/>
        <w:ind w:left="1260" w:right="-331" w:hanging="540"/>
        <w:rPr>
          <w:sz w:val="24"/>
          <w:szCs w:val="24"/>
        </w:rPr>
      </w:pPr>
      <w:r>
        <w:rPr>
          <w:sz w:val="24"/>
          <w:szCs w:val="24"/>
        </w:rPr>
        <w:t>(3)</w:t>
      </w:r>
      <w:r>
        <w:rPr>
          <w:sz w:val="24"/>
          <w:szCs w:val="24"/>
        </w:rPr>
        <w:tab/>
      </w:r>
      <w:r w:rsidRPr="00D8499F">
        <w:rPr>
          <w:sz w:val="24"/>
          <w:szCs w:val="24"/>
        </w:rPr>
        <w:t>an order pursuant to section 94(1) of, and/or section 1(c) of Schedule 3 to, the Ordinance requiring each of BP and Noble to adopt and to implement, to the reasonable satisfaction of the Commission, an effective competition compliance programme in such time period and manner as the Tribunal shall determine;</w:t>
      </w:r>
    </w:p>
    <w:p w:rsidR="00D8499F" w:rsidRDefault="00D8499F" w:rsidP="00D8499F">
      <w:pPr>
        <w:spacing w:before="360" w:line="360" w:lineRule="auto"/>
        <w:ind w:left="1260" w:right="-331" w:hanging="540"/>
        <w:rPr>
          <w:sz w:val="24"/>
          <w:szCs w:val="24"/>
        </w:rPr>
      </w:pPr>
      <w:r>
        <w:rPr>
          <w:sz w:val="24"/>
          <w:szCs w:val="24"/>
        </w:rPr>
        <w:t>(4)</w:t>
      </w:r>
      <w:r>
        <w:rPr>
          <w:sz w:val="24"/>
          <w:szCs w:val="24"/>
        </w:rPr>
        <w:tab/>
      </w:r>
      <w:r w:rsidRPr="00D8499F">
        <w:rPr>
          <w:sz w:val="24"/>
          <w:szCs w:val="24"/>
        </w:rPr>
        <w:t>an order under section 96(1) of the Ordinance that each of BP and Noble shall jointly and severally pay to the Government an amount equal to the reasonably incurred costs of and incidental to the Commission’s investigation into its conduct or affairs, to be assessed;</w:t>
      </w:r>
    </w:p>
    <w:p w:rsidR="00D8499F" w:rsidRDefault="00D8499F" w:rsidP="00D8499F">
      <w:pPr>
        <w:spacing w:before="360" w:line="360" w:lineRule="auto"/>
        <w:ind w:left="1260" w:right="-331" w:hanging="540"/>
        <w:rPr>
          <w:sz w:val="24"/>
          <w:szCs w:val="24"/>
        </w:rPr>
      </w:pPr>
      <w:r>
        <w:rPr>
          <w:sz w:val="24"/>
          <w:szCs w:val="24"/>
        </w:rPr>
        <w:t>(5)</w:t>
      </w:r>
      <w:r>
        <w:rPr>
          <w:sz w:val="24"/>
          <w:szCs w:val="24"/>
        </w:rPr>
        <w:tab/>
      </w:r>
      <w:r w:rsidRPr="00D8499F">
        <w:rPr>
          <w:sz w:val="24"/>
          <w:szCs w:val="24"/>
        </w:rPr>
        <w:t>an order that each of BP and Noble shall jointly and severally pay the Commission’s costs of and incidental to the application in these proceedings; and</w:t>
      </w:r>
    </w:p>
    <w:p w:rsidR="00D8499F" w:rsidRDefault="00D8499F" w:rsidP="00D8499F">
      <w:pPr>
        <w:spacing w:before="360" w:line="360" w:lineRule="auto"/>
        <w:ind w:left="1260" w:right="-331" w:hanging="540"/>
        <w:rPr>
          <w:sz w:val="24"/>
          <w:szCs w:val="24"/>
        </w:rPr>
      </w:pPr>
      <w:r>
        <w:rPr>
          <w:sz w:val="24"/>
          <w:szCs w:val="24"/>
        </w:rPr>
        <w:t>(6)</w:t>
      </w:r>
      <w:r>
        <w:rPr>
          <w:sz w:val="24"/>
          <w:szCs w:val="24"/>
        </w:rPr>
        <w:tab/>
      </w:r>
      <w:r w:rsidRPr="00D8499F">
        <w:rPr>
          <w:sz w:val="24"/>
          <w:szCs w:val="24"/>
        </w:rPr>
        <w:t>such further or other relief as the</w:t>
      </w:r>
      <w:r>
        <w:rPr>
          <w:sz w:val="24"/>
          <w:szCs w:val="24"/>
        </w:rPr>
        <w:t xml:space="preserve"> Tribunal considers appropriate.</w:t>
      </w:r>
    </w:p>
    <w:p w:rsidR="00D8499F" w:rsidRDefault="00D8499F" w:rsidP="00D8499F">
      <w:pPr>
        <w:spacing w:before="360" w:line="360" w:lineRule="auto"/>
        <w:ind w:right="-331"/>
        <w:rPr>
          <w:sz w:val="24"/>
          <w:szCs w:val="24"/>
        </w:rPr>
      </w:pPr>
      <w:r>
        <w:rPr>
          <w:sz w:val="24"/>
          <w:szCs w:val="24"/>
        </w:rPr>
        <w:t>3.</w:t>
      </w:r>
      <w:r>
        <w:rPr>
          <w:sz w:val="24"/>
          <w:szCs w:val="24"/>
        </w:rPr>
        <w:tab/>
      </w:r>
      <w:r w:rsidRPr="00D8499F">
        <w:rPr>
          <w:sz w:val="24"/>
          <w:szCs w:val="24"/>
        </w:rPr>
        <w:t xml:space="preserve">Subject to the approval of the Tribunal, the Commission and each of BP and Noble agree to enter judgment on liability and penalty in favour of the Commission against BP and Noble by way of the summary procedure as provided for in Rule 39 of the CTR and </w:t>
      </w:r>
      <w:r w:rsidRPr="00D8499F">
        <w:rPr>
          <w:rFonts w:hint="eastAsia"/>
          <w:sz w:val="24"/>
          <w:szCs w:val="24"/>
        </w:rPr>
        <w:t>§</w:t>
      </w:r>
      <w:r w:rsidRPr="00D8499F">
        <w:rPr>
          <w:sz w:val="24"/>
          <w:szCs w:val="24"/>
        </w:rPr>
        <w:t xml:space="preserve">72 of the CTPD1. The procedure as envisaged by the parties is that sanctioned by the High Court of England and Wales in the case of </w:t>
      </w:r>
      <w:r w:rsidRPr="00D8499F">
        <w:rPr>
          <w:b/>
          <w:sz w:val="24"/>
          <w:szCs w:val="24"/>
          <w:u w:val="single"/>
        </w:rPr>
        <w:t>Re Carecraft Construction Co Ltd</w:t>
      </w:r>
      <w:r w:rsidRPr="00D8499F">
        <w:rPr>
          <w:sz w:val="24"/>
          <w:szCs w:val="24"/>
        </w:rPr>
        <w:t xml:space="preserve"> [1994] 1 WLR 172 and clarified by the Court of Appeal of England and Wales in </w:t>
      </w:r>
      <w:r w:rsidRPr="00D8499F">
        <w:rPr>
          <w:b/>
          <w:sz w:val="24"/>
          <w:szCs w:val="24"/>
          <w:u w:val="single"/>
        </w:rPr>
        <w:t>Secretary of State for Trade and Industry v Rogers</w:t>
      </w:r>
      <w:r w:rsidRPr="00D8499F">
        <w:rPr>
          <w:sz w:val="24"/>
          <w:szCs w:val="24"/>
        </w:rPr>
        <w:t xml:space="preserve"> [1996] 1 WLR 1569, and as adopted in Hong Kong for proceedings under section 214 of the Securities and Futures Ordinance (Cap. 571) and section 168H of the former Companies Ordinance (Cap. 32).  Further, the procedure was endorsed by the Honourable Mr. Justice Jonathan Harris in the case of </w:t>
      </w:r>
      <w:r w:rsidRPr="00D8499F">
        <w:rPr>
          <w:b/>
          <w:sz w:val="24"/>
          <w:szCs w:val="24"/>
          <w:u w:val="single"/>
        </w:rPr>
        <w:t>Competition Commission v Kam Kwong Engineering Co Ltd</w:t>
      </w:r>
      <w:r w:rsidRPr="00D8499F">
        <w:rPr>
          <w:sz w:val="24"/>
          <w:szCs w:val="24"/>
        </w:rPr>
        <w:t xml:space="preserve"> [2020] 4 HKLRD 61 as a </w:t>
      </w:r>
      <w:r w:rsidRPr="00D8499F">
        <w:rPr>
          <w:i/>
          <w:sz w:val="24"/>
          <w:szCs w:val="24"/>
        </w:rPr>
        <w:t>“readymade blueprint for disposing of proceedings under the Ordinance”</w:t>
      </w:r>
      <w:r w:rsidRPr="00D8499F">
        <w:rPr>
          <w:sz w:val="24"/>
          <w:szCs w:val="24"/>
        </w:rPr>
        <w:t xml:space="preserve"> (at §17) and by the Honourable Madam Justice Linda Chan in her judgment handed down on 3 November 2020 (</w:t>
      </w:r>
      <w:r w:rsidRPr="00D8499F">
        <w:rPr>
          <w:b/>
          <w:sz w:val="24"/>
          <w:szCs w:val="24"/>
          <w:u w:val="single"/>
        </w:rPr>
        <w:t>Competition Commission v. Quantr Limited and Others</w:t>
      </w:r>
      <w:r w:rsidRPr="00D8499F">
        <w:rPr>
          <w:sz w:val="24"/>
          <w:szCs w:val="24"/>
        </w:rPr>
        <w:t xml:space="preserve"> [2020] HKCT 10).  Additionally, the same procedure was adopted by the Honourable Mr. Justice Godfrey Lam (as he then was) in his judgment handed down on 16 December 2020 in relation to the penalty proceedings in </w:t>
      </w:r>
      <w:r w:rsidRPr="00D8499F">
        <w:rPr>
          <w:b/>
          <w:sz w:val="24"/>
          <w:szCs w:val="24"/>
          <w:u w:val="single"/>
        </w:rPr>
        <w:t>Competition Commission v. Nutanix Hong Kong Limited and Others</w:t>
      </w:r>
      <w:r w:rsidRPr="00D8499F">
        <w:rPr>
          <w:sz w:val="24"/>
          <w:szCs w:val="24"/>
        </w:rPr>
        <w:t xml:space="preserve"> [2020] HKCT 11.</w:t>
      </w:r>
    </w:p>
    <w:p w:rsidR="00AA015E" w:rsidRDefault="00AA015E" w:rsidP="00D8499F">
      <w:pPr>
        <w:spacing w:before="360" w:line="360" w:lineRule="auto"/>
        <w:ind w:right="-331"/>
        <w:rPr>
          <w:sz w:val="24"/>
          <w:szCs w:val="24"/>
        </w:rPr>
      </w:pPr>
      <w:r>
        <w:rPr>
          <w:sz w:val="24"/>
          <w:szCs w:val="24"/>
        </w:rPr>
        <w:t>4.</w:t>
      </w:r>
      <w:r>
        <w:rPr>
          <w:sz w:val="24"/>
          <w:szCs w:val="24"/>
        </w:rPr>
        <w:tab/>
      </w:r>
      <w:r w:rsidRPr="00AA015E">
        <w:rPr>
          <w:sz w:val="24"/>
          <w:szCs w:val="24"/>
        </w:rPr>
        <w:t>This Statement of Agreed Facts (“</w:t>
      </w:r>
      <w:r w:rsidRPr="00AA015E">
        <w:rPr>
          <w:b/>
          <w:sz w:val="24"/>
          <w:szCs w:val="24"/>
        </w:rPr>
        <w:t>Statement</w:t>
      </w:r>
      <w:r w:rsidRPr="00AA015E">
        <w:rPr>
          <w:sz w:val="24"/>
          <w:szCs w:val="24"/>
        </w:rPr>
        <w:t>”) is submitted pursuant to Rule 39 of the CTR and §72 of the CTPD1.  The Tribunal is asked to make the orders sought in paragraph 2 above on the basis of the facts set out in this Statement.</w:t>
      </w:r>
    </w:p>
    <w:p w:rsidR="00AA015E" w:rsidRDefault="00AA015E" w:rsidP="00D8499F">
      <w:pPr>
        <w:spacing w:before="360" w:line="360" w:lineRule="auto"/>
        <w:ind w:right="-331"/>
        <w:rPr>
          <w:sz w:val="24"/>
          <w:szCs w:val="24"/>
        </w:rPr>
      </w:pPr>
      <w:r>
        <w:rPr>
          <w:sz w:val="24"/>
          <w:szCs w:val="24"/>
        </w:rPr>
        <w:t>5.</w:t>
      </w:r>
      <w:r>
        <w:rPr>
          <w:sz w:val="24"/>
          <w:szCs w:val="24"/>
        </w:rPr>
        <w:tab/>
      </w:r>
      <w:r w:rsidRPr="00AA015E">
        <w:rPr>
          <w:sz w:val="24"/>
          <w:szCs w:val="24"/>
        </w:rPr>
        <w:t>For the purpose of resolving these proceedings summarily, by reference to the facts as set out in Part B below, the Commission contends and each of BP and Noble admits that between early May 2020 until at least 2 September 2021, BP and Noble have contravened the FCR by having made and given effect to an agreement and/or engaged in a concerted practice involving price fixing, customer allocation, bid-rigging and/or the exchange of competitively sensitive information with three other undertakings</w:t>
      </w:r>
      <w:r w:rsidR="00E8436C">
        <w:rPr>
          <w:rStyle w:val="FootnoteReference"/>
          <w:sz w:val="24"/>
          <w:szCs w:val="24"/>
        </w:rPr>
        <w:footnoteReference w:id="7"/>
      </w:r>
      <w:r w:rsidRPr="00AA015E">
        <w:rPr>
          <w:sz w:val="24"/>
          <w:szCs w:val="24"/>
        </w:rPr>
        <w:t>, namely (1) Multisoft (consisting of Multisoft Limited (“</w:t>
      </w:r>
      <w:r w:rsidRPr="00AA015E">
        <w:rPr>
          <w:b/>
          <w:sz w:val="24"/>
          <w:szCs w:val="24"/>
        </w:rPr>
        <w:t>ML</w:t>
      </w:r>
      <w:r w:rsidRPr="00AA015E">
        <w:rPr>
          <w:sz w:val="24"/>
          <w:szCs w:val="24"/>
        </w:rPr>
        <w:t>”) and its parent company MTT Group Holdings Limited (“</w:t>
      </w:r>
      <w:r w:rsidRPr="00E8436C">
        <w:rPr>
          <w:b/>
          <w:sz w:val="24"/>
          <w:szCs w:val="24"/>
        </w:rPr>
        <w:t>MTT</w:t>
      </w:r>
      <w:r w:rsidRPr="00AA015E">
        <w:rPr>
          <w:sz w:val="24"/>
          <w:szCs w:val="24"/>
        </w:rPr>
        <w:t xml:space="preserve">”), being the </w:t>
      </w:r>
      <w:r>
        <w:rPr>
          <w:sz w:val="24"/>
          <w:szCs w:val="24"/>
        </w:rPr>
        <w:t>1</w:t>
      </w:r>
      <w:r w:rsidRPr="00AA015E">
        <w:rPr>
          <w:sz w:val="24"/>
          <w:szCs w:val="24"/>
          <w:vertAlign w:val="superscript"/>
        </w:rPr>
        <w:t>st</w:t>
      </w:r>
      <w:r>
        <w:rPr>
          <w:sz w:val="24"/>
          <w:szCs w:val="24"/>
        </w:rPr>
        <w:t xml:space="preserve"> </w:t>
      </w:r>
      <w:r w:rsidRPr="00AA015E">
        <w:rPr>
          <w:sz w:val="24"/>
          <w:szCs w:val="24"/>
        </w:rPr>
        <w:t xml:space="preserve">and </w:t>
      </w:r>
      <w:r>
        <w:rPr>
          <w:sz w:val="24"/>
          <w:szCs w:val="24"/>
        </w:rPr>
        <w:t>2</w:t>
      </w:r>
      <w:r w:rsidRPr="00AA015E">
        <w:rPr>
          <w:sz w:val="24"/>
          <w:szCs w:val="24"/>
          <w:vertAlign w:val="superscript"/>
        </w:rPr>
        <w:t>nd</w:t>
      </w:r>
      <w:r>
        <w:rPr>
          <w:sz w:val="24"/>
          <w:szCs w:val="24"/>
        </w:rPr>
        <w:t xml:space="preserve"> </w:t>
      </w:r>
      <w:r w:rsidRPr="00AA015E">
        <w:rPr>
          <w:sz w:val="24"/>
          <w:szCs w:val="24"/>
        </w:rPr>
        <w:t>Respondents in these proceedings respectively); (2) KWEK Studio Limited (“</w:t>
      </w:r>
      <w:r w:rsidRPr="00AA015E">
        <w:rPr>
          <w:b/>
          <w:sz w:val="24"/>
          <w:szCs w:val="24"/>
        </w:rPr>
        <w:t>KWEK</w:t>
      </w:r>
      <w:r w:rsidRPr="00AA015E">
        <w:rPr>
          <w:sz w:val="24"/>
          <w:szCs w:val="24"/>
        </w:rPr>
        <w:t xml:space="preserve">”), being  the </w:t>
      </w:r>
      <w:r>
        <w:rPr>
          <w:sz w:val="24"/>
          <w:szCs w:val="24"/>
        </w:rPr>
        <w:t>5</w:t>
      </w:r>
      <w:r w:rsidRPr="00AA015E">
        <w:rPr>
          <w:sz w:val="24"/>
          <w:szCs w:val="24"/>
          <w:vertAlign w:val="superscript"/>
        </w:rPr>
        <w:t>th</w:t>
      </w:r>
      <w:r>
        <w:rPr>
          <w:sz w:val="24"/>
          <w:szCs w:val="24"/>
        </w:rPr>
        <w:t xml:space="preserve"> </w:t>
      </w:r>
      <w:r w:rsidRPr="00AA015E">
        <w:rPr>
          <w:sz w:val="24"/>
          <w:szCs w:val="24"/>
        </w:rPr>
        <w:t>Respondent in these proceedings; and (3) Au Yeung Kit Yee, also known as Agnes Au Yeung (“</w:t>
      </w:r>
      <w:r w:rsidRPr="00AA015E">
        <w:rPr>
          <w:b/>
          <w:sz w:val="24"/>
          <w:szCs w:val="24"/>
        </w:rPr>
        <w:t>Agnes Au Yeung</w:t>
      </w:r>
      <w:r w:rsidRPr="00AA015E">
        <w:rPr>
          <w:sz w:val="24"/>
          <w:szCs w:val="24"/>
        </w:rPr>
        <w:t>”) (trading as Yat Ying Hong (“</w:t>
      </w:r>
      <w:r w:rsidRPr="00AA015E">
        <w:rPr>
          <w:b/>
          <w:sz w:val="24"/>
          <w:szCs w:val="24"/>
        </w:rPr>
        <w:t>Yat Ying</w:t>
      </w:r>
      <w:r w:rsidRPr="00AA015E">
        <w:rPr>
          <w:sz w:val="24"/>
          <w:szCs w:val="24"/>
        </w:rPr>
        <w:t xml:space="preserve">”)), being the </w:t>
      </w:r>
      <w:r>
        <w:rPr>
          <w:sz w:val="24"/>
          <w:szCs w:val="24"/>
        </w:rPr>
        <w:t>6</w:t>
      </w:r>
      <w:r w:rsidRPr="00AA015E">
        <w:rPr>
          <w:sz w:val="24"/>
          <w:szCs w:val="24"/>
          <w:vertAlign w:val="superscript"/>
        </w:rPr>
        <w:t>th</w:t>
      </w:r>
      <w:r>
        <w:rPr>
          <w:sz w:val="24"/>
          <w:szCs w:val="24"/>
        </w:rPr>
        <w:t xml:space="preserve"> </w:t>
      </w:r>
      <w:r w:rsidRPr="00AA015E">
        <w:rPr>
          <w:sz w:val="24"/>
          <w:szCs w:val="24"/>
        </w:rPr>
        <w:t>Respondent in these proceedings, in relation to the supply of quotations for the provision of IT services under the Distance Business Programme (“</w:t>
      </w:r>
      <w:r w:rsidRPr="00AA015E">
        <w:rPr>
          <w:b/>
          <w:sz w:val="24"/>
          <w:szCs w:val="24"/>
        </w:rPr>
        <w:t>D-Biz</w:t>
      </w:r>
      <w:r w:rsidRPr="00AA015E">
        <w:rPr>
          <w:sz w:val="24"/>
          <w:szCs w:val="24"/>
        </w:rPr>
        <w:t>”) (“</w:t>
      </w:r>
      <w:r w:rsidRPr="00AA015E">
        <w:rPr>
          <w:b/>
          <w:sz w:val="24"/>
          <w:szCs w:val="24"/>
        </w:rPr>
        <w:t>Subject Arrangement</w:t>
      </w:r>
      <w:r w:rsidRPr="00AA015E">
        <w:rPr>
          <w:sz w:val="24"/>
          <w:szCs w:val="24"/>
        </w:rPr>
        <w:t>”). The Subject Arrangement contravened section 6 of the Ordinance, as more particularly described in paragraph 35 to 38 below (“</w:t>
      </w:r>
      <w:r w:rsidRPr="00AA015E">
        <w:rPr>
          <w:b/>
          <w:sz w:val="24"/>
          <w:szCs w:val="24"/>
        </w:rPr>
        <w:t>Contravention</w:t>
      </w:r>
      <w:r w:rsidRPr="00AA015E">
        <w:rPr>
          <w:sz w:val="24"/>
          <w:szCs w:val="24"/>
        </w:rPr>
        <w:t>”).</w:t>
      </w:r>
    </w:p>
    <w:p w:rsidR="00AA015E" w:rsidRDefault="00AA015E" w:rsidP="00D8499F">
      <w:pPr>
        <w:spacing w:before="360" w:line="360" w:lineRule="auto"/>
        <w:ind w:right="-331"/>
        <w:rPr>
          <w:sz w:val="24"/>
          <w:szCs w:val="24"/>
        </w:rPr>
      </w:pPr>
      <w:r>
        <w:rPr>
          <w:sz w:val="24"/>
          <w:szCs w:val="24"/>
        </w:rPr>
        <w:t>6.</w:t>
      </w:r>
      <w:r>
        <w:rPr>
          <w:sz w:val="24"/>
          <w:szCs w:val="24"/>
        </w:rPr>
        <w:tab/>
      </w:r>
      <w:r w:rsidRPr="00AA015E">
        <w:rPr>
          <w:sz w:val="24"/>
          <w:szCs w:val="24"/>
        </w:rPr>
        <w:t>The facts as set out in this Statement are agreed by the Commission and each of BP and Noble.  This Statement is filed before the Tribunal to support the joint application by the Commission and BP and Noble for the orders sought in paragraph 2 above to be made under Rule 39 of the CTR (“</w:t>
      </w:r>
      <w:r w:rsidRPr="00AA015E">
        <w:rPr>
          <w:b/>
          <w:sz w:val="24"/>
          <w:szCs w:val="24"/>
        </w:rPr>
        <w:t>Joint Application</w:t>
      </w:r>
      <w:r w:rsidRPr="00AA015E">
        <w:rPr>
          <w:sz w:val="24"/>
          <w:szCs w:val="24"/>
        </w:rPr>
        <w:t>”).</w:t>
      </w:r>
    </w:p>
    <w:p w:rsidR="00AA015E" w:rsidRDefault="00AA015E" w:rsidP="00D8499F">
      <w:pPr>
        <w:spacing w:before="360" w:line="360" w:lineRule="auto"/>
        <w:ind w:right="-331"/>
        <w:rPr>
          <w:sz w:val="24"/>
          <w:szCs w:val="24"/>
        </w:rPr>
      </w:pPr>
      <w:r>
        <w:rPr>
          <w:sz w:val="24"/>
          <w:szCs w:val="24"/>
        </w:rPr>
        <w:t>7.</w:t>
      </w:r>
      <w:r>
        <w:rPr>
          <w:sz w:val="24"/>
          <w:szCs w:val="24"/>
        </w:rPr>
        <w:tab/>
      </w:r>
      <w:r w:rsidRPr="00AA015E">
        <w:rPr>
          <w:sz w:val="24"/>
          <w:szCs w:val="24"/>
        </w:rPr>
        <w:t>If the Tribunal for whatever reason is of the view that these proceedings shall not be dealt with by way of the Joint Application, no admission or concession by either the Commission or BP or Noble regarding liability to a pecuniary penalty (save and except the matters set out in paragraphs 40 to 41 below) shall be referred to or relied upon by either the Commission or BP or Noble at any adjourned or subsequent hearing or in any other proceedings without the prior written consent of both the Commission and each of BP and Noble.</w:t>
      </w:r>
    </w:p>
    <w:p w:rsidR="00AA015E" w:rsidRDefault="00AA015E" w:rsidP="00D8499F">
      <w:pPr>
        <w:spacing w:before="360" w:line="360" w:lineRule="auto"/>
        <w:ind w:right="-331"/>
        <w:rPr>
          <w:sz w:val="24"/>
          <w:szCs w:val="24"/>
        </w:rPr>
      </w:pPr>
      <w:r>
        <w:rPr>
          <w:sz w:val="24"/>
          <w:szCs w:val="24"/>
        </w:rPr>
        <w:t>8.</w:t>
      </w:r>
      <w:r>
        <w:rPr>
          <w:sz w:val="24"/>
          <w:szCs w:val="24"/>
        </w:rPr>
        <w:tab/>
      </w:r>
      <w:r w:rsidRPr="00AA015E">
        <w:rPr>
          <w:sz w:val="24"/>
          <w:szCs w:val="24"/>
        </w:rPr>
        <w:t>This Statement is signed and filed solely for the purpose of the Joint Application and for no other purposes.  Accordingly, this Statement itself shall not be used by either the Commission or each of BP and Noble for purposes other than these proceedings and any proceedings ancillary thereto.</w:t>
      </w:r>
    </w:p>
    <w:p w:rsidR="00AA015E" w:rsidRDefault="00AA015E" w:rsidP="00D8499F">
      <w:pPr>
        <w:spacing w:before="360" w:line="360" w:lineRule="auto"/>
        <w:ind w:right="-331"/>
        <w:rPr>
          <w:sz w:val="24"/>
          <w:szCs w:val="24"/>
        </w:rPr>
      </w:pPr>
      <w:r>
        <w:rPr>
          <w:sz w:val="24"/>
          <w:szCs w:val="24"/>
        </w:rPr>
        <w:t>9.</w:t>
      </w:r>
      <w:r>
        <w:rPr>
          <w:sz w:val="24"/>
          <w:szCs w:val="24"/>
        </w:rPr>
        <w:tab/>
      </w:r>
      <w:r w:rsidRPr="00AA015E">
        <w:rPr>
          <w:sz w:val="24"/>
          <w:szCs w:val="24"/>
        </w:rPr>
        <w:t>For the avoidance of doubt, this Statement is signed between the Commission on the one hand and BP and Noble on the other hand.  Nothing contained in this Statement shall be considered to be binding on the individual director(s) of BP and Noble in their personal capacities in any event.</w:t>
      </w:r>
    </w:p>
    <w:p w:rsidR="00AA015E" w:rsidRDefault="00AA015E" w:rsidP="00D8499F">
      <w:pPr>
        <w:spacing w:before="360" w:line="360" w:lineRule="auto"/>
        <w:ind w:right="-331"/>
        <w:rPr>
          <w:sz w:val="24"/>
          <w:szCs w:val="24"/>
        </w:rPr>
      </w:pPr>
      <w:r>
        <w:rPr>
          <w:sz w:val="24"/>
          <w:szCs w:val="24"/>
        </w:rPr>
        <w:t>10.</w:t>
      </w:r>
      <w:r>
        <w:rPr>
          <w:sz w:val="24"/>
          <w:szCs w:val="24"/>
        </w:rPr>
        <w:tab/>
      </w:r>
      <w:r w:rsidRPr="00AA015E">
        <w:rPr>
          <w:sz w:val="24"/>
          <w:szCs w:val="24"/>
        </w:rPr>
        <w:t>The Commission reserves the right to refer to this Statement for all purposes connected with or ancillary to these proceedings.</w:t>
      </w:r>
    </w:p>
    <w:p w:rsidR="00AA015E" w:rsidRDefault="00AA015E" w:rsidP="00AA015E">
      <w:pPr>
        <w:spacing w:before="360" w:line="360" w:lineRule="auto"/>
        <w:ind w:right="-331"/>
        <w:jc w:val="center"/>
        <w:rPr>
          <w:b/>
          <w:sz w:val="24"/>
          <w:szCs w:val="24"/>
        </w:rPr>
      </w:pPr>
      <w:r w:rsidRPr="00AA015E">
        <w:rPr>
          <w:b/>
          <w:sz w:val="24"/>
          <w:szCs w:val="24"/>
        </w:rPr>
        <w:t>PART B – UNDISPUTED FACTS RELEVANT TO LIABILITY</w:t>
      </w:r>
    </w:p>
    <w:p w:rsidR="00AA015E" w:rsidRDefault="00AA015E" w:rsidP="00AA015E">
      <w:pPr>
        <w:spacing w:before="360" w:line="360" w:lineRule="auto"/>
        <w:ind w:right="-331"/>
        <w:rPr>
          <w:b/>
          <w:sz w:val="24"/>
          <w:szCs w:val="24"/>
          <w:u w:val="single"/>
        </w:rPr>
      </w:pPr>
      <w:r w:rsidRPr="00AA015E">
        <w:rPr>
          <w:b/>
          <w:sz w:val="24"/>
          <w:szCs w:val="24"/>
          <w:u w:val="single"/>
        </w:rPr>
        <w:t>B1.</w:t>
      </w:r>
      <w:r w:rsidRPr="00AA015E">
        <w:rPr>
          <w:b/>
          <w:sz w:val="24"/>
          <w:szCs w:val="24"/>
          <w:u w:val="single"/>
        </w:rPr>
        <w:tab/>
        <w:t>The relevant parties</w:t>
      </w:r>
    </w:p>
    <w:p w:rsidR="00AA015E" w:rsidRDefault="00AA015E" w:rsidP="00AA015E">
      <w:pPr>
        <w:spacing w:before="360" w:line="360" w:lineRule="auto"/>
        <w:ind w:right="-331"/>
        <w:rPr>
          <w:sz w:val="24"/>
          <w:szCs w:val="24"/>
        </w:rPr>
      </w:pPr>
      <w:r w:rsidRPr="00AA015E">
        <w:rPr>
          <w:sz w:val="24"/>
          <w:szCs w:val="24"/>
        </w:rPr>
        <w:t>11.</w:t>
      </w:r>
      <w:r w:rsidRPr="00AA015E">
        <w:rPr>
          <w:sz w:val="24"/>
          <w:szCs w:val="24"/>
        </w:rPr>
        <w:tab/>
        <w:t>BP is and was at all material times a limited liability company incorporated under the laws of Hong Kong.  BP was initially set up on 11 June 2019, for developing an online shopping platform.  Accordingly, BP established an online platform named ‘FanSung Market’ to sell food, gift sets and anti-pandemic products. However, in late 2020, FanSung Market was closed down because the profit of BP’s online shopping business was unsatisfactory. Apart from the foregoing, BP had no other business except as an IT service provider to participate in D-Biz.</w:t>
      </w:r>
    </w:p>
    <w:p w:rsidR="00AA015E" w:rsidRDefault="00AA015E" w:rsidP="00AA015E">
      <w:pPr>
        <w:spacing w:before="360" w:line="360" w:lineRule="auto"/>
        <w:ind w:right="-331"/>
        <w:rPr>
          <w:sz w:val="24"/>
          <w:szCs w:val="24"/>
        </w:rPr>
      </w:pPr>
      <w:r>
        <w:rPr>
          <w:sz w:val="24"/>
          <w:szCs w:val="24"/>
        </w:rPr>
        <w:t>12.</w:t>
      </w:r>
      <w:r>
        <w:rPr>
          <w:sz w:val="24"/>
          <w:szCs w:val="24"/>
        </w:rPr>
        <w:tab/>
      </w:r>
      <w:r w:rsidRPr="00AA015E">
        <w:rPr>
          <w:sz w:val="24"/>
          <w:szCs w:val="24"/>
        </w:rPr>
        <w:t>Noble is and was at all material times a limited liability company incorporated under the laws of Hong. Noble was initially set up, on 27 July 2018, for developing nursing services for the elderly but was unsuccessful because no suitable place was found to set up an elderly care centre. Apart from the foregoing, Noble had no other business until it was used as an IT service provider to participate in D-Biz.</w:t>
      </w:r>
    </w:p>
    <w:p w:rsidR="00AA015E" w:rsidRDefault="00AA015E" w:rsidP="00AA015E">
      <w:pPr>
        <w:spacing w:before="360" w:line="360" w:lineRule="auto"/>
        <w:ind w:right="-331"/>
        <w:rPr>
          <w:sz w:val="24"/>
          <w:szCs w:val="24"/>
        </w:rPr>
      </w:pPr>
      <w:r>
        <w:rPr>
          <w:sz w:val="24"/>
          <w:szCs w:val="24"/>
        </w:rPr>
        <w:t>13.</w:t>
      </w:r>
      <w:r>
        <w:rPr>
          <w:sz w:val="24"/>
          <w:szCs w:val="24"/>
        </w:rPr>
        <w:tab/>
      </w:r>
      <w:r w:rsidRPr="00AA015E">
        <w:rPr>
          <w:sz w:val="24"/>
          <w:szCs w:val="24"/>
        </w:rPr>
        <w:t>At all material times, the “</w:t>
      </w:r>
      <w:r w:rsidRPr="00AA015E">
        <w:rPr>
          <w:b/>
          <w:sz w:val="24"/>
          <w:szCs w:val="24"/>
        </w:rPr>
        <w:t>BP/Noble Director</w:t>
      </w:r>
      <w:r w:rsidRPr="00AA015E">
        <w:rPr>
          <w:sz w:val="24"/>
          <w:szCs w:val="24"/>
        </w:rPr>
        <w:t>” is and was the sole shareholder of both BP and Noble, the sole director of BP, and also a director of Noble. In this statement, the undertaking of which BP and Noble form a part is referred to as “</w:t>
      </w:r>
      <w:r w:rsidRPr="00AA015E">
        <w:rPr>
          <w:b/>
          <w:sz w:val="24"/>
          <w:szCs w:val="24"/>
        </w:rPr>
        <w:t>BP/Noble</w:t>
      </w:r>
      <w:r>
        <w:rPr>
          <w:sz w:val="24"/>
          <w:szCs w:val="24"/>
        </w:rPr>
        <w:t>”</w:t>
      </w:r>
      <w:r w:rsidRPr="00AA015E">
        <w:rPr>
          <w:sz w:val="24"/>
          <w:szCs w:val="24"/>
        </w:rPr>
        <w:t>.  Agnes Au Yeung and Fan Sing Chi, also known as Joe Fan (“</w:t>
      </w:r>
      <w:r w:rsidRPr="00AA015E">
        <w:rPr>
          <w:b/>
          <w:sz w:val="24"/>
          <w:szCs w:val="24"/>
        </w:rPr>
        <w:t>Joe Fan</w:t>
      </w:r>
      <w:r w:rsidRPr="00AA015E">
        <w:rPr>
          <w:sz w:val="24"/>
          <w:szCs w:val="24"/>
        </w:rPr>
        <w:t>”), assisted in handling BP’s and Noble’s affairs (whether as representatives and/or agents), including the setting up of the FanSung Market and the quotations submitted by BP and Noble in support of applications for D-Biz funding by prospective customers.</w:t>
      </w:r>
    </w:p>
    <w:p w:rsidR="00AA015E" w:rsidRDefault="00AA015E" w:rsidP="00AA015E">
      <w:pPr>
        <w:spacing w:before="360" w:line="360" w:lineRule="auto"/>
        <w:ind w:right="-331"/>
        <w:rPr>
          <w:sz w:val="24"/>
          <w:szCs w:val="24"/>
        </w:rPr>
      </w:pPr>
      <w:r>
        <w:rPr>
          <w:sz w:val="24"/>
          <w:szCs w:val="24"/>
        </w:rPr>
        <w:t>14.</w:t>
      </w:r>
      <w:r>
        <w:rPr>
          <w:sz w:val="24"/>
          <w:szCs w:val="24"/>
        </w:rPr>
        <w:tab/>
      </w:r>
      <w:r w:rsidR="00611B01" w:rsidRPr="00611B01">
        <w:rPr>
          <w:sz w:val="24"/>
          <w:szCs w:val="24"/>
        </w:rPr>
        <w:t>ML is and was at all material times a limited liability company incorporated under the laws of Hong Kong.  Its current sole shareholder is Multisoft Holding Limited, which is a company incorporated in the British Virgin Islands.  Multisoft Holding Limited is 100% owned by MTT.  ML was at all relevant times, and is, engaged in the business of providing IT enterprise solutions, specialising in systems, networking, security and cloud services.  ML participated in D-Biz as an IT service provider.  At all material times until 1 February 2021, the late Wu Wai Hung, also known as Vincent Wu (“</w:t>
      </w:r>
      <w:r w:rsidR="00611B01" w:rsidRPr="004A3FB8">
        <w:rPr>
          <w:b/>
          <w:sz w:val="24"/>
          <w:szCs w:val="24"/>
        </w:rPr>
        <w:t>Vincent Wu</w:t>
      </w:r>
      <w:r w:rsidR="00611B01" w:rsidRPr="00611B01">
        <w:rPr>
          <w:sz w:val="24"/>
          <w:szCs w:val="24"/>
        </w:rPr>
        <w:t>”), was sales director of ML, responsible for ML’s sales, marketing and business development divisions.  The employees reporting to Vincent Wu at all material times included a former product manager (“</w:t>
      </w:r>
      <w:r w:rsidR="00611B01" w:rsidRPr="004A3FB8">
        <w:rPr>
          <w:b/>
          <w:sz w:val="24"/>
          <w:szCs w:val="24"/>
        </w:rPr>
        <w:t>the Relevant ML Employee</w:t>
      </w:r>
      <w:r w:rsidR="00611B01" w:rsidRPr="00611B01">
        <w:rPr>
          <w:sz w:val="24"/>
          <w:szCs w:val="24"/>
        </w:rPr>
        <w:t>”).</w:t>
      </w:r>
    </w:p>
    <w:p w:rsidR="004A3FB8" w:rsidRDefault="004A3FB8" w:rsidP="00AA015E">
      <w:pPr>
        <w:spacing w:before="360" w:line="360" w:lineRule="auto"/>
        <w:ind w:right="-331"/>
        <w:rPr>
          <w:sz w:val="24"/>
          <w:szCs w:val="24"/>
        </w:rPr>
      </w:pPr>
      <w:r>
        <w:rPr>
          <w:sz w:val="24"/>
          <w:szCs w:val="24"/>
        </w:rPr>
        <w:t>15.</w:t>
      </w:r>
      <w:r>
        <w:rPr>
          <w:sz w:val="24"/>
          <w:szCs w:val="24"/>
        </w:rPr>
        <w:tab/>
      </w:r>
      <w:r w:rsidRPr="004A3FB8">
        <w:rPr>
          <w:sz w:val="24"/>
          <w:szCs w:val="24"/>
        </w:rPr>
        <w:t>KWEK was at all material times (and still is) a limited liability company incorporated in Hong Kong.  Tang Wai Chun, also known as Koki Tang (“</w:t>
      </w:r>
      <w:r w:rsidRPr="004A3FB8">
        <w:rPr>
          <w:b/>
          <w:sz w:val="24"/>
          <w:szCs w:val="24"/>
        </w:rPr>
        <w:t>Koki Tang</w:t>
      </w:r>
      <w:r w:rsidRPr="004A3FB8">
        <w:rPr>
          <w:sz w:val="24"/>
          <w:szCs w:val="24"/>
        </w:rPr>
        <w:t>”), is and was at all material times (and still is) a shareholder and a director of KWEK.</w:t>
      </w:r>
    </w:p>
    <w:p w:rsidR="004A3FB8" w:rsidRDefault="004A3FB8" w:rsidP="00AA015E">
      <w:pPr>
        <w:spacing w:before="360" w:line="360" w:lineRule="auto"/>
        <w:ind w:right="-331"/>
        <w:rPr>
          <w:sz w:val="24"/>
          <w:szCs w:val="24"/>
        </w:rPr>
      </w:pPr>
      <w:r>
        <w:rPr>
          <w:sz w:val="24"/>
          <w:szCs w:val="24"/>
        </w:rPr>
        <w:t>16.</w:t>
      </w:r>
      <w:r>
        <w:rPr>
          <w:sz w:val="24"/>
          <w:szCs w:val="24"/>
        </w:rPr>
        <w:tab/>
      </w:r>
      <w:r w:rsidRPr="004A3FB8">
        <w:rPr>
          <w:sz w:val="24"/>
          <w:szCs w:val="24"/>
        </w:rPr>
        <w:t>Yat Ying was at all material times (and still is) a sole proprietorship which is an unincorporated entity owned by Agnes since 10 January 2016.  Yat Ying also participated in D-Biz as an IT service provider. Agnes Au Yeung is responsible for decisions regarding Yat Ying’s business, including determining Yat Ying’s bid prices for quotations to prospective customers applying for D-Biz funding.  At all material times, she also participated in preparing quotations for prospective customers of BP/Noble applying for D-Biz funding. At all material times, Joe Fan was the husband of Agnes Au Yeung.  He has no formal employment contract with Yat Ying, but he also participated in preparing quotations for prospective customers of BP/Noble applying for D-Biz funding, and in delivering IT solutions to Yat Ying’s and BP/Noble’s respective customers.</w:t>
      </w:r>
    </w:p>
    <w:p w:rsidR="004A3FB8" w:rsidRDefault="004A3FB8" w:rsidP="00AA015E">
      <w:pPr>
        <w:spacing w:before="360" w:line="360" w:lineRule="auto"/>
        <w:ind w:right="-331"/>
        <w:rPr>
          <w:b/>
          <w:sz w:val="24"/>
          <w:szCs w:val="24"/>
          <w:u w:val="single"/>
        </w:rPr>
      </w:pPr>
      <w:r w:rsidRPr="004A3FB8">
        <w:rPr>
          <w:b/>
          <w:sz w:val="24"/>
          <w:szCs w:val="24"/>
          <w:u w:val="single"/>
        </w:rPr>
        <w:t>B2.</w:t>
      </w:r>
      <w:r w:rsidRPr="004A3FB8">
        <w:rPr>
          <w:b/>
          <w:sz w:val="24"/>
          <w:szCs w:val="24"/>
          <w:u w:val="single"/>
        </w:rPr>
        <w:tab/>
        <w:t>The D-Biz scheme</w:t>
      </w:r>
    </w:p>
    <w:p w:rsidR="004A3FB8" w:rsidRDefault="004A3FB8" w:rsidP="00AA015E">
      <w:pPr>
        <w:spacing w:before="360" w:line="360" w:lineRule="auto"/>
        <w:ind w:right="-331"/>
        <w:rPr>
          <w:sz w:val="24"/>
          <w:szCs w:val="24"/>
        </w:rPr>
      </w:pPr>
      <w:r w:rsidRPr="004A3FB8">
        <w:rPr>
          <w:sz w:val="24"/>
          <w:szCs w:val="24"/>
        </w:rPr>
        <w:t>17.</w:t>
      </w:r>
      <w:r w:rsidRPr="004A3FB8">
        <w:rPr>
          <w:sz w:val="24"/>
          <w:szCs w:val="24"/>
        </w:rPr>
        <w:tab/>
        <w:t>On 20 April 2020, the Innovation and Technology Commission (“</w:t>
      </w:r>
      <w:r w:rsidRPr="004A3FB8">
        <w:rPr>
          <w:b/>
          <w:sz w:val="24"/>
          <w:szCs w:val="24"/>
        </w:rPr>
        <w:t>ITC</w:t>
      </w:r>
      <w:r w:rsidRPr="004A3FB8">
        <w:rPr>
          <w:sz w:val="24"/>
          <w:szCs w:val="24"/>
        </w:rPr>
        <w:t>”) launched the D-Biz funding scheme, using public funds from the Government’s anti-epidemic fund to support local enterprises to adopt IT solutions to continue their businesses and services during the COVID-19 epidemic. The Hong Kong Productivity Council (“</w:t>
      </w:r>
      <w:r w:rsidRPr="004A3FB8">
        <w:rPr>
          <w:b/>
          <w:sz w:val="24"/>
          <w:szCs w:val="24"/>
        </w:rPr>
        <w:t>HKPC</w:t>
      </w:r>
      <w:r w:rsidRPr="004A3FB8">
        <w:rPr>
          <w:sz w:val="24"/>
          <w:szCs w:val="24"/>
        </w:rPr>
        <w:t>”) was appointed as the secretariat of D-Biz and was responsible for conducting eligibility checking and preliminary screening on the applications. Once screened, eligible applications were submitted to the Distance Business Programme Vetting Committee (“</w:t>
      </w:r>
      <w:r w:rsidRPr="004A3FB8">
        <w:rPr>
          <w:b/>
          <w:sz w:val="24"/>
          <w:szCs w:val="24"/>
        </w:rPr>
        <w:t>Committee</w:t>
      </w:r>
      <w:r w:rsidRPr="004A3FB8">
        <w:rPr>
          <w:sz w:val="24"/>
          <w:szCs w:val="24"/>
        </w:rPr>
        <w:t>”), chaired by the Commissioner for Innovation and Technology, for consideration.</w:t>
      </w:r>
    </w:p>
    <w:p w:rsidR="004A3FB8" w:rsidRDefault="004A3FB8" w:rsidP="00AA015E">
      <w:pPr>
        <w:spacing w:before="360" w:line="360" w:lineRule="auto"/>
        <w:ind w:right="-331"/>
        <w:rPr>
          <w:sz w:val="24"/>
          <w:szCs w:val="24"/>
        </w:rPr>
      </w:pPr>
      <w:r>
        <w:rPr>
          <w:sz w:val="24"/>
          <w:szCs w:val="24"/>
        </w:rPr>
        <w:t>18.</w:t>
      </w:r>
      <w:r>
        <w:rPr>
          <w:sz w:val="24"/>
          <w:szCs w:val="24"/>
        </w:rPr>
        <w:tab/>
      </w:r>
      <w:r w:rsidR="006945A7" w:rsidRPr="006945A7">
        <w:rPr>
          <w:sz w:val="24"/>
          <w:szCs w:val="24"/>
        </w:rPr>
        <w:t>D-Biz covered twelve IT solution categories relating to distance business, namely:</w:t>
      </w:r>
    </w:p>
    <w:p w:rsidR="006945A7" w:rsidRDefault="006945A7" w:rsidP="006945A7">
      <w:pPr>
        <w:spacing w:before="360" w:line="360" w:lineRule="auto"/>
        <w:ind w:left="1260" w:right="-331" w:hanging="540"/>
        <w:rPr>
          <w:sz w:val="24"/>
          <w:szCs w:val="24"/>
        </w:rPr>
      </w:pPr>
      <w:r>
        <w:rPr>
          <w:sz w:val="24"/>
          <w:szCs w:val="24"/>
        </w:rPr>
        <w:t>(1)</w:t>
      </w:r>
      <w:r>
        <w:rPr>
          <w:sz w:val="24"/>
          <w:szCs w:val="24"/>
        </w:rPr>
        <w:tab/>
      </w:r>
      <w:r w:rsidRPr="006945A7">
        <w:rPr>
          <w:sz w:val="24"/>
          <w:szCs w:val="24"/>
        </w:rPr>
        <w:t>online business;</w:t>
      </w:r>
    </w:p>
    <w:p w:rsidR="006945A7" w:rsidRDefault="006945A7" w:rsidP="006945A7">
      <w:pPr>
        <w:spacing w:before="240" w:line="360" w:lineRule="auto"/>
        <w:ind w:left="1267" w:right="-331" w:hanging="547"/>
        <w:rPr>
          <w:sz w:val="24"/>
          <w:szCs w:val="24"/>
        </w:rPr>
      </w:pPr>
      <w:r>
        <w:rPr>
          <w:sz w:val="24"/>
          <w:szCs w:val="24"/>
        </w:rPr>
        <w:t>(2)</w:t>
      </w:r>
      <w:r>
        <w:rPr>
          <w:sz w:val="24"/>
          <w:szCs w:val="24"/>
        </w:rPr>
        <w:tab/>
      </w:r>
      <w:r w:rsidRPr="006945A7">
        <w:rPr>
          <w:sz w:val="24"/>
          <w:szCs w:val="24"/>
        </w:rPr>
        <w:t>online order taking and delivery, and smart self-service systems;</w:t>
      </w:r>
    </w:p>
    <w:p w:rsidR="006945A7" w:rsidRDefault="006945A7" w:rsidP="006945A7">
      <w:pPr>
        <w:spacing w:before="240" w:line="360" w:lineRule="auto"/>
        <w:ind w:left="1267" w:right="-331" w:hanging="547"/>
        <w:rPr>
          <w:sz w:val="24"/>
          <w:szCs w:val="24"/>
        </w:rPr>
      </w:pPr>
      <w:r>
        <w:rPr>
          <w:sz w:val="24"/>
          <w:szCs w:val="24"/>
        </w:rPr>
        <w:t>(3)</w:t>
      </w:r>
      <w:r>
        <w:rPr>
          <w:sz w:val="24"/>
          <w:szCs w:val="24"/>
        </w:rPr>
        <w:tab/>
      </w:r>
      <w:r w:rsidRPr="006945A7">
        <w:rPr>
          <w:sz w:val="24"/>
          <w:szCs w:val="24"/>
        </w:rPr>
        <w:t>online customer services and engagement;</w:t>
      </w:r>
    </w:p>
    <w:p w:rsidR="006945A7" w:rsidRDefault="006945A7" w:rsidP="006945A7">
      <w:pPr>
        <w:spacing w:before="240" w:line="360" w:lineRule="auto"/>
        <w:ind w:left="1267" w:right="-331" w:hanging="547"/>
        <w:rPr>
          <w:sz w:val="24"/>
          <w:szCs w:val="24"/>
        </w:rPr>
      </w:pPr>
      <w:r>
        <w:rPr>
          <w:sz w:val="24"/>
          <w:szCs w:val="24"/>
        </w:rPr>
        <w:t>(4)</w:t>
      </w:r>
      <w:r>
        <w:rPr>
          <w:sz w:val="24"/>
          <w:szCs w:val="24"/>
        </w:rPr>
        <w:tab/>
      </w:r>
      <w:r w:rsidRPr="006945A7">
        <w:rPr>
          <w:sz w:val="24"/>
          <w:szCs w:val="24"/>
        </w:rPr>
        <w:t>digital customer experience enhancement;</w:t>
      </w:r>
    </w:p>
    <w:p w:rsidR="006945A7" w:rsidRDefault="006945A7" w:rsidP="006945A7">
      <w:pPr>
        <w:spacing w:before="240" w:line="360" w:lineRule="auto"/>
        <w:ind w:left="1267" w:right="-331" w:hanging="547"/>
        <w:rPr>
          <w:sz w:val="24"/>
          <w:szCs w:val="24"/>
        </w:rPr>
      </w:pPr>
      <w:r>
        <w:rPr>
          <w:sz w:val="24"/>
          <w:szCs w:val="24"/>
        </w:rPr>
        <w:t>(5)</w:t>
      </w:r>
      <w:r>
        <w:rPr>
          <w:sz w:val="24"/>
          <w:szCs w:val="24"/>
        </w:rPr>
        <w:tab/>
      </w:r>
      <w:r w:rsidRPr="006945A7">
        <w:rPr>
          <w:sz w:val="24"/>
          <w:szCs w:val="24"/>
        </w:rPr>
        <w:t>digital payment/mobile point of sale;</w:t>
      </w:r>
    </w:p>
    <w:p w:rsidR="006945A7" w:rsidRDefault="006945A7" w:rsidP="006945A7">
      <w:pPr>
        <w:spacing w:before="240" w:line="360" w:lineRule="auto"/>
        <w:ind w:left="1267" w:right="-331" w:hanging="547"/>
        <w:rPr>
          <w:sz w:val="24"/>
          <w:szCs w:val="24"/>
        </w:rPr>
      </w:pPr>
      <w:r>
        <w:rPr>
          <w:sz w:val="24"/>
          <w:szCs w:val="24"/>
        </w:rPr>
        <w:t>(6)</w:t>
      </w:r>
      <w:r>
        <w:rPr>
          <w:sz w:val="24"/>
          <w:szCs w:val="24"/>
        </w:rPr>
        <w:tab/>
      </w:r>
      <w:r w:rsidRPr="006945A7">
        <w:rPr>
          <w:sz w:val="24"/>
          <w:szCs w:val="24"/>
        </w:rPr>
        <w:t>online/cloud-based financial management systems;</w:t>
      </w:r>
    </w:p>
    <w:p w:rsidR="006945A7" w:rsidRDefault="006945A7" w:rsidP="006945A7">
      <w:pPr>
        <w:spacing w:before="240" w:line="360" w:lineRule="auto"/>
        <w:ind w:left="1267" w:right="-331" w:hanging="547"/>
        <w:rPr>
          <w:sz w:val="24"/>
          <w:szCs w:val="24"/>
        </w:rPr>
      </w:pPr>
      <w:r>
        <w:rPr>
          <w:sz w:val="24"/>
          <w:szCs w:val="24"/>
        </w:rPr>
        <w:t>(7)</w:t>
      </w:r>
      <w:r>
        <w:rPr>
          <w:sz w:val="24"/>
          <w:szCs w:val="24"/>
        </w:rPr>
        <w:tab/>
      </w:r>
      <w:r w:rsidRPr="006945A7">
        <w:rPr>
          <w:sz w:val="24"/>
          <w:szCs w:val="24"/>
        </w:rPr>
        <w:t>online/cloud-based human resources management systems;</w:t>
      </w:r>
    </w:p>
    <w:p w:rsidR="006945A7" w:rsidRDefault="006945A7" w:rsidP="006945A7">
      <w:pPr>
        <w:spacing w:before="240" w:line="360" w:lineRule="auto"/>
        <w:ind w:left="1267" w:right="-331" w:hanging="547"/>
        <w:rPr>
          <w:sz w:val="24"/>
          <w:szCs w:val="24"/>
        </w:rPr>
      </w:pPr>
      <w:r>
        <w:rPr>
          <w:sz w:val="24"/>
          <w:szCs w:val="24"/>
        </w:rPr>
        <w:t>(8)</w:t>
      </w:r>
      <w:r>
        <w:rPr>
          <w:sz w:val="24"/>
          <w:szCs w:val="24"/>
        </w:rPr>
        <w:tab/>
      </w:r>
      <w:r w:rsidRPr="006945A7">
        <w:rPr>
          <w:sz w:val="24"/>
          <w:szCs w:val="24"/>
        </w:rPr>
        <w:t>remote document management, cloud storage and remote access services;</w:t>
      </w:r>
    </w:p>
    <w:p w:rsidR="006945A7" w:rsidRDefault="006945A7" w:rsidP="006945A7">
      <w:pPr>
        <w:spacing w:before="240" w:line="360" w:lineRule="auto"/>
        <w:ind w:left="1267" w:right="-331" w:hanging="547"/>
        <w:rPr>
          <w:sz w:val="24"/>
          <w:szCs w:val="24"/>
        </w:rPr>
      </w:pPr>
      <w:r>
        <w:rPr>
          <w:sz w:val="24"/>
          <w:szCs w:val="24"/>
        </w:rPr>
        <w:t>(9)</w:t>
      </w:r>
      <w:r>
        <w:rPr>
          <w:sz w:val="24"/>
          <w:szCs w:val="24"/>
        </w:rPr>
        <w:tab/>
      </w:r>
      <w:r w:rsidRPr="006945A7">
        <w:rPr>
          <w:sz w:val="24"/>
          <w:szCs w:val="24"/>
        </w:rPr>
        <w:t>virtual meeting and conference tools;</w:t>
      </w:r>
    </w:p>
    <w:p w:rsidR="006945A7" w:rsidRDefault="006945A7" w:rsidP="006945A7">
      <w:pPr>
        <w:spacing w:before="240" w:line="360" w:lineRule="auto"/>
        <w:ind w:left="1267" w:right="-331" w:hanging="547"/>
        <w:rPr>
          <w:sz w:val="24"/>
          <w:szCs w:val="24"/>
        </w:rPr>
      </w:pPr>
      <w:r>
        <w:rPr>
          <w:sz w:val="24"/>
          <w:szCs w:val="24"/>
        </w:rPr>
        <w:t>(10)</w:t>
      </w:r>
      <w:r>
        <w:rPr>
          <w:sz w:val="24"/>
          <w:szCs w:val="24"/>
        </w:rPr>
        <w:tab/>
      </w:r>
      <w:r w:rsidRPr="006945A7">
        <w:rPr>
          <w:sz w:val="24"/>
          <w:szCs w:val="24"/>
        </w:rPr>
        <w:t>virtual team management and communications;</w:t>
      </w:r>
    </w:p>
    <w:p w:rsidR="006945A7" w:rsidRDefault="006945A7" w:rsidP="006945A7">
      <w:pPr>
        <w:spacing w:before="240" w:line="360" w:lineRule="auto"/>
        <w:ind w:left="1267" w:right="-331" w:hanging="547"/>
        <w:rPr>
          <w:sz w:val="24"/>
          <w:szCs w:val="24"/>
        </w:rPr>
      </w:pPr>
      <w:r>
        <w:rPr>
          <w:sz w:val="24"/>
          <w:szCs w:val="24"/>
        </w:rPr>
        <w:t>(11)</w:t>
      </w:r>
      <w:r>
        <w:rPr>
          <w:sz w:val="24"/>
          <w:szCs w:val="24"/>
        </w:rPr>
        <w:tab/>
      </w:r>
      <w:r w:rsidRPr="006945A7">
        <w:rPr>
          <w:sz w:val="24"/>
          <w:szCs w:val="24"/>
        </w:rPr>
        <w:t>cybersecurity solutions; and</w:t>
      </w:r>
    </w:p>
    <w:p w:rsidR="006945A7" w:rsidRDefault="006945A7" w:rsidP="006945A7">
      <w:pPr>
        <w:spacing w:before="240" w:line="360" w:lineRule="auto"/>
        <w:ind w:left="1267" w:right="-331" w:hanging="547"/>
        <w:rPr>
          <w:sz w:val="24"/>
          <w:szCs w:val="24"/>
        </w:rPr>
      </w:pPr>
      <w:r>
        <w:rPr>
          <w:sz w:val="24"/>
          <w:szCs w:val="24"/>
        </w:rPr>
        <w:t>(12)</w:t>
      </w:r>
      <w:r>
        <w:rPr>
          <w:sz w:val="24"/>
          <w:szCs w:val="24"/>
        </w:rPr>
        <w:tab/>
      </w:r>
      <w:r w:rsidRPr="006945A7">
        <w:rPr>
          <w:sz w:val="24"/>
          <w:szCs w:val="24"/>
        </w:rPr>
        <w:t>other online/custom-built/cloud-based business support systems.</w:t>
      </w:r>
    </w:p>
    <w:p w:rsidR="006945A7" w:rsidRDefault="006945A7" w:rsidP="006945A7">
      <w:pPr>
        <w:spacing w:before="360" w:line="360" w:lineRule="auto"/>
        <w:ind w:right="-331"/>
        <w:rPr>
          <w:sz w:val="24"/>
          <w:szCs w:val="24"/>
        </w:rPr>
      </w:pPr>
      <w:r>
        <w:rPr>
          <w:sz w:val="24"/>
          <w:szCs w:val="24"/>
        </w:rPr>
        <w:t>19.</w:t>
      </w:r>
      <w:r>
        <w:rPr>
          <w:sz w:val="24"/>
          <w:szCs w:val="24"/>
        </w:rPr>
        <w:tab/>
      </w:r>
      <w:r w:rsidRPr="006945A7">
        <w:rPr>
          <w:sz w:val="24"/>
          <w:szCs w:val="24"/>
        </w:rPr>
        <w:t>D-Biz opened for applications between 18 May and 31 October 2020.  At the initial stage of the scheme, each applicant was permitted to submit only one application adopting no more than three IT solutions within the designated twelve categories as set out above. On 16 August 2020, the ITC introduced enhancement measures pursuant to which each applicant was permitted to submit a second application from 31 August 2020 onwards for another three IT solutions which were different from the approved categories in any application which the applicant had made in the initial stage of the D-Biz scheme. Following these enhancement measures, each applicant was therefore permitted to submit two applications for six IT solutions in total. The funding ceiling for each IT solution was HK$100,000 and the aggregate funding ceiling granted to each applicant was HK$300,000.</w:t>
      </w:r>
    </w:p>
    <w:p w:rsidR="006945A7" w:rsidRDefault="006945A7" w:rsidP="006945A7">
      <w:pPr>
        <w:spacing w:before="360" w:line="360" w:lineRule="auto"/>
        <w:ind w:right="-331"/>
        <w:rPr>
          <w:sz w:val="24"/>
          <w:szCs w:val="24"/>
        </w:rPr>
      </w:pPr>
      <w:r>
        <w:rPr>
          <w:sz w:val="24"/>
          <w:szCs w:val="24"/>
        </w:rPr>
        <w:t>20.</w:t>
      </w:r>
      <w:r>
        <w:rPr>
          <w:sz w:val="24"/>
          <w:szCs w:val="24"/>
        </w:rPr>
        <w:tab/>
      </w:r>
      <w:r w:rsidRPr="006945A7">
        <w:rPr>
          <w:sz w:val="24"/>
          <w:szCs w:val="24"/>
        </w:rPr>
        <w:t>For each application for funding, the applicant was required to obtain written price quotation(s) from IT service provider(s), which set out in detail the project duration, scope of work, deliverables, and breakdown of cost items such as the software expenses, hardware expenses and IT service charges. In addition, the applicant was required to obtain from each person submitting a quotation a signed ‘probity and non-collusive quotation / tendering certificate’ (“</w:t>
      </w:r>
      <w:r w:rsidRPr="006945A7">
        <w:rPr>
          <w:b/>
          <w:sz w:val="24"/>
          <w:szCs w:val="24"/>
        </w:rPr>
        <w:t>NCC</w:t>
      </w:r>
      <w:r w:rsidRPr="006945A7">
        <w:rPr>
          <w:sz w:val="24"/>
          <w:szCs w:val="24"/>
        </w:rPr>
        <w:t>”) as part of their quotation submission. The NCC contains representations by the person submitting the quotation that: the quotation/bid was genuinely and independently prepared, with an intention to win and to implement the relevant project when awarded; and, in preparing the quotation/bid, no agreement, understanding or communication regarding competitively sensitive information such as price or bidding intention was made with another competing bidder.</w:t>
      </w:r>
    </w:p>
    <w:p w:rsidR="006945A7" w:rsidRDefault="006945A7" w:rsidP="006945A7">
      <w:pPr>
        <w:spacing w:before="360" w:line="360" w:lineRule="auto"/>
        <w:ind w:right="-331"/>
        <w:rPr>
          <w:sz w:val="24"/>
          <w:szCs w:val="24"/>
        </w:rPr>
      </w:pPr>
      <w:r>
        <w:rPr>
          <w:sz w:val="24"/>
          <w:szCs w:val="24"/>
        </w:rPr>
        <w:t>21.</w:t>
      </w:r>
      <w:r>
        <w:rPr>
          <w:sz w:val="24"/>
          <w:szCs w:val="24"/>
        </w:rPr>
        <w:tab/>
      </w:r>
      <w:r w:rsidRPr="006945A7">
        <w:rPr>
          <w:sz w:val="24"/>
          <w:szCs w:val="24"/>
        </w:rPr>
        <w:t>The number of price quotations which an applicant needed to obtain was dependent on whether the application involved (i) a subscription-based IT solution or (ii) a system integrator/non-subscription-based IT solution. In the former case, the applicant was only required to obtain one quotation. Conversely, in the latter case, the applicant was required to obtain quotations from at least two IT service providers, otherwise full justifications had to be provided. As between the two quotations, unless otherwise justified by the applicant and agreed by the Government or the HKPC, it was stipulated that the service provider submitting the lowest conforming quotation was to be selected by the applicant to provide the relevant IT solution (“</w:t>
      </w:r>
      <w:r w:rsidRPr="006945A7">
        <w:rPr>
          <w:b/>
          <w:sz w:val="24"/>
          <w:szCs w:val="24"/>
        </w:rPr>
        <w:t>Two-Quotation Requirement</w:t>
      </w:r>
      <w:r w:rsidRPr="006945A7">
        <w:rPr>
          <w:sz w:val="24"/>
          <w:szCs w:val="24"/>
        </w:rPr>
        <w:t>”). The Subject Applications (as defined at paragraph 27 below) concerned in this case all initially sought funding for non-subscription-based IT solutions and were thus required to meet the Two-Quotation Requirement.</w:t>
      </w:r>
    </w:p>
    <w:p w:rsidR="006945A7" w:rsidRDefault="006945A7" w:rsidP="006945A7">
      <w:pPr>
        <w:spacing w:before="360" w:line="360" w:lineRule="auto"/>
        <w:ind w:right="-331"/>
        <w:rPr>
          <w:sz w:val="24"/>
          <w:szCs w:val="24"/>
        </w:rPr>
      </w:pPr>
      <w:r>
        <w:rPr>
          <w:sz w:val="24"/>
          <w:szCs w:val="24"/>
        </w:rPr>
        <w:t>22.</w:t>
      </w:r>
      <w:r>
        <w:rPr>
          <w:sz w:val="24"/>
          <w:szCs w:val="24"/>
        </w:rPr>
        <w:tab/>
      </w:r>
      <w:r w:rsidR="001353F6" w:rsidRPr="001353F6">
        <w:rPr>
          <w:sz w:val="24"/>
          <w:szCs w:val="24"/>
        </w:rPr>
        <w:t>Each D-Biz application was done online through D-Biz’s website. As part of the application process, applicants were required:</w:t>
      </w:r>
    </w:p>
    <w:p w:rsidR="001353F6" w:rsidRDefault="001353F6" w:rsidP="001353F6">
      <w:pPr>
        <w:spacing w:before="360" w:line="360" w:lineRule="auto"/>
        <w:ind w:left="1260" w:right="-331" w:hanging="540"/>
        <w:rPr>
          <w:sz w:val="24"/>
          <w:szCs w:val="24"/>
        </w:rPr>
      </w:pPr>
      <w:r>
        <w:rPr>
          <w:sz w:val="24"/>
          <w:szCs w:val="24"/>
        </w:rPr>
        <w:t>(1)</w:t>
      </w:r>
      <w:r>
        <w:rPr>
          <w:sz w:val="24"/>
          <w:szCs w:val="24"/>
        </w:rPr>
        <w:tab/>
      </w:r>
      <w:r w:rsidRPr="001353F6">
        <w:rPr>
          <w:sz w:val="24"/>
          <w:szCs w:val="24"/>
        </w:rPr>
        <w:t>to submit supporting documents including copies of the quotations obtained for each of the IT solutions (both the quotation which had been selected and the quotation(s) which had not been selected) as well as the NCCs signed by each IT service provider which had provided a quotation; and</w:t>
      </w:r>
    </w:p>
    <w:p w:rsidR="001353F6" w:rsidRDefault="001353F6" w:rsidP="001353F6">
      <w:pPr>
        <w:spacing w:before="360" w:line="360" w:lineRule="auto"/>
        <w:ind w:left="1260" w:right="-331" w:hanging="540"/>
        <w:rPr>
          <w:sz w:val="24"/>
          <w:szCs w:val="24"/>
        </w:rPr>
      </w:pPr>
      <w:r>
        <w:rPr>
          <w:sz w:val="24"/>
          <w:szCs w:val="24"/>
        </w:rPr>
        <w:t>(2)</w:t>
      </w:r>
      <w:r>
        <w:rPr>
          <w:sz w:val="24"/>
          <w:szCs w:val="24"/>
        </w:rPr>
        <w:tab/>
      </w:r>
      <w:r w:rsidRPr="001353F6">
        <w:rPr>
          <w:sz w:val="24"/>
          <w:szCs w:val="24"/>
        </w:rPr>
        <w:t>to assign an authorised person to represent the applicant fully in respect of the application and act as the main contact point between the applicant and the HKPC; that authorized person had to be conversant with the operation and business processes of the applicant.</w:t>
      </w:r>
    </w:p>
    <w:p w:rsidR="001353F6" w:rsidRDefault="001353F6" w:rsidP="001353F6">
      <w:pPr>
        <w:spacing w:before="360" w:line="360" w:lineRule="auto"/>
        <w:ind w:right="-331"/>
        <w:rPr>
          <w:sz w:val="24"/>
          <w:szCs w:val="24"/>
        </w:rPr>
      </w:pPr>
      <w:r>
        <w:rPr>
          <w:sz w:val="24"/>
          <w:szCs w:val="24"/>
        </w:rPr>
        <w:t>23.</w:t>
      </w:r>
      <w:r>
        <w:rPr>
          <w:sz w:val="24"/>
          <w:szCs w:val="24"/>
        </w:rPr>
        <w:tab/>
      </w:r>
      <w:r w:rsidRPr="001353F6">
        <w:rPr>
          <w:sz w:val="24"/>
          <w:szCs w:val="24"/>
        </w:rPr>
        <w:t>Applications that the HKPC assessed as being eligible were submitted to the Committee for approval. It was also possible for the level of funding to be adjusted with reference to the project cost such that the HKPC would only approve a reduced scope for the IT solution by comparison with the scope which had been applied for.</w:t>
      </w:r>
    </w:p>
    <w:p w:rsidR="001353F6" w:rsidRDefault="001353F6" w:rsidP="001353F6">
      <w:pPr>
        <w:spacing w:before="360" w:line="360" w:lineRule="auto"/>
        <w:ind w:right="-331"/>
        <w:rPr>
          <w:sz w:val="24"/>
          <w:szCs w:val="24"/>
        </w:rPr>
      </w:pPr>
      <w:r>
        <w:rPr>
          <w:sz w:val="24"/>
          <w:szCs w:val="24"/>
        </w:rPr>
        <w:t>24.</w:t>
      </w:r>
      <w:r>
        <w:rPr>
          <w:sz w:val="24"/>
          <w:szCs w:val="24"/>
        </w:rPr>
        <w:tab/>
      </w:r>
      <w:r w:rsidRPr="001353F6">
        <w:rPr>
          <w:sz w:val="24"/>
          <w:szCs w:val="24"/>
        </w:rPr>
        <w:t>An initial payment of 30% of the approved funding amount was payable to a designated bank account of the applicant. The selected service provider could then start to implement the IT solution(s) for the applicant.</w:t>
      </w:r>
    </w:p>
    <w:p w:rsidR="001353F6" w:rsidRDefault="001353F6" w:rsidP="001353F6">
      <w:pPr>
        <w:spacing w:before="360" w:line="360" w:lineRule="auto"/>
        <w:ind w:right="-331"/>
        <w:rPr>
          <w:sz w:val="24"/>
          <w:szCs w:val="24"/>
        </w:rPr>
      </w:pPr>
      <w:r>
        <w:rPr>
          <w:sz w:val="24"/>
          <w:szCs w:val="24"/>
        </w:rPr>
        <w:t>25.</w:t>
      </w:r>
      <w:r>
        <w:rPr>
          <w:sz w:val="24"/>
          <w:szCs w:val="24"/>
        </w:rPr>
        <w:tab/>
      </w:r>
      <w:r w:rsidRPr="001353F6">
        <w:rPr>
          <w:sz w:val="24"/>
          <w:szCs w:val="24"/>
        </w:rPr>
        <w:t>Within two months after the completion of the IT solution(s), the applicant was required to submit among other things, a final project report indicating a summary of project expenditures and project deliverables, and an audited statement of income and expenditure covering the whole project period from an independent auditor to the HKPC, if the total approved funding exceeded HK$30,000.</w:t>
      </w:r>
    </w:p>
    <w:p w:rsidR="001353F6" w:rsidRDefault="001353F6" w:rsidP="001353F6">
      <w:pPr>
        <w:spacing w:before="360" w:line="360" w:lineRule="auto"/>
        <w:ind w:right="-331"/>
        <w:rPr>
          <w:sz w:val="24"/>
          <w:szCs w:val="24"/>
        </w:rPr>
      </w:pPr>
      <w:r>
        <w:rPr>
          <w:sz w:val="24"/>
          <w:szCs w:val="24"/>
        </w:rPr>
        <w:t>26.</w:t>
      </w:r>
      <w:r>
        <w:rPr>
          <w:sz w:val="24"/>
          <w:szCs w:val="24"/>
        </w:rPr>
        <w:tab/>
      </w:r>
      <w:r w:rsidRPr="001353F6">
        <w:rPr>
          <w:sz w:val="24"/>
          <w:szCs w:val="24"/>
        </w:rPr>
        <w:t>Upon project completion and upon the HKPC’s acceptance of the final project report together with supporting documents, the final payment (i.e., the remaining 70% of the approved funding amount) was then released to the applicant.</w:t>
      </w:r>
    </w:p>
    <w:p w:rsidR="001353F6" w:rsidRDefault="001353F6" w:rsidP="001353F6">
      <w:pPr>
        <w:spacing w:before="360" w:line="360" w:lineRule="auto"/>
        <w:ind w:right="-331"/>
        <w:rPr>
          <w:sz w:val="24"/>
          <w:szCs w:val="24"/>
        </w:rPr>
      </w:pPr>
      <w:r>
        <w:rPr>
          <w:sz w:val="24"/>
          <w:szCs w:val="24"/>
        </w:rPr>
        <w:t>27.</w:t>
      </w:r>
      <w:r>
        <w:rPr>
          <w:sz w:val="24"/>
          <w:szCs w:val="24"/>
        </w:rPr>
        <w:tab/>
      </w:r>
      <w:r w:rsidRPr="001353F6">
        <w:rPr>
          <w:sz w:val="24"/>
          <w:szCs w:val="24"/>
        </w:rPr>
        <w:t>The Subject Arrangement concerns 189 applications under D-Biz (“</w:t>
      </w:r>
      <w:r w:rsidRPr="001353F6">
        <w:rPr>
          <w:b/>
          <w:sz w:val="24"/>
          <w:szCs w:val="24"/>
        </w:rPr>
        <w:t>Subject Applications</w:t>
      </w:r>
      <w:r w:rsidRPr="001353F6">
        <w:rPr>
          <w:sz w:val="24"/>
          <w:szCs w:val="24"/>
        </w:rPr>
        <w:t>”), details of which are provided in Annex A to this Statement.</w:t>
      </w:r>
    </w:p>
    <w:p w:rsidR="001353F6" w:rsidRDefault="001353F6" w:rsidP="001353F6">
      <w:pPr>
        <w:spacing w:before="360" w:line="360" w:lineRule="auto"/>
        <w:ind w:right="-331"/>
        <w:rPr>
          <w:b/>
          <w:sz w:val="24"/>
          <w:szCs w:val="24"/>
          <w:u w:val="single"/>
        </w:rPr>
      </w:pPr>
      <w:r w:rsidRPr="001353F6">
        <w:rPr>
          <w:b/>
          <w:sz w:val="24"/>
          <w:szCs w:val="24"/>
          <w:u w:val="single"/>
        </w:rPr>
        <w:t>B3.</w:t>
      </w:r>
      <w:r w:rsidRPr="001353F6">
        <w:rPr>
          <w:b/>
          <w:sz w:val="24"/>
          <w:szCs w:val="24"/>
          <w:u w:val="single"/>
        </w:rPr>
        <w:tab/>
        <w:t>Background to the relevant conduct</w:t>
      </w:r>
    </w:p>
    <w:p w:rsidR="001353F6" w:rsidRDefault="001353F6" w:rsidP="001353F6">
      <w:pPr>
        <w:spacing w:before="360" w:line="360" w:lineRule="auto"/>
        <w:ind w:right="-331"/>
        <w:rPr>
          <w:sz w:val="24"/>
          <w:szCs w:val="24"/>
        </w:rPr>
      </w:pPr>
      <w:r w:rsidRPr="001353F6">
        <w:rPr>
          <w:sz w:val="24"/>
          <w:szCs w:val="24"/>
        </w:rPr>
        <w:t>28.</w:t>
      </w:r>
      <w:r w:rsidRPr="001353F6">
        <w:rPr>
          <w:sz w:val="24"/>
          <w:szCs w:val="24"/>
        </w:rPr>
        <w:tab/>
        <w:t>In around 2002, Vincent Wu, Agnes Au Yeung and the BP/Noble Director met at a church and became friends.  Joe Fan joined their friendship group after marrying Agnes Au Yeung in 2015.  The three, and later four, individuals attended gatherings held by each other from time to time.</w:t>
      </w:r>
    </w:p>
    <w:p w:rsidR="001353F6" w:rsidRDefault="001353F6" w:rsidP="001353F6">
      <w:pPr>
        <w:spacing w:before="360" w:line="360" w:lineRule="auto"/>
        <w:ind w:right="-331"/>
        <w:rPr>
          <w:sz w:val="24"/>
          <w:szCs w:val="24"/>
        </w:rPr>
      </w:pPr>
      <w:r>
        <w:rPr>
          <w:sz w:val="24"/>
          <w:szCs w:val="24"/>
        </w:rPr>
        <w:t>29.</w:t>
      </w:r>
      <w:r>
        <w:rPr>
          <w:sz w:val="24"/>
          <w:szCs w:val="24"/>
        </w:rPr>
        <w:tab/>
      </w:r>
      <w:r w:rsidR="00613CDF" w:rsidRPr="00613CDF">
        <w:rPr>
          <w:sz w:val="24"/>
          <w:szCs w:val="24"/>
        </w:rPr>
        <w:t>Between 2017 and 2020, the BP/Noble Director lent a sum of money to Agnes Au Yeung and Joe Fan for their business operations. As at May 2020, the loan had not been repaid. As a way to thank the BP/Noble Director, Agnes Au Yeung and Joe Fan helped the BP/Noble Director with various issues including the operation of BP and Noble since 2018, without any compensation. Neither Agnes Au Yeung nor Joe Fan formally held any position in BP or Noble.</w:t>
      </w:r>
    </w:p>
    <w:p w:rsidR="00613CDF" w:rsidRDefault="00613CDF" w:rsidP="001353F6">
      <w:pPr>
        <w:spacing w:before="360" w:line="360" w:lineRule="auto"/>
        <w:ind w:right="-331"/>
        <w:rPr>
          <w:sz w:val="24"/>
          <w:szCs w:val="24"/>
        </w:rPr>
      </w:pPr>
      <w:r>
        <w:rPr>
          <w:sz w:val="24"/>
          <w:szCs w:val="24"/>
        </w:rPr>
        <w:t>30.</w:t>
      </w:r>
      <w:r>
        <w:rPr>
          <w:sz w:val="24"/>
          <w:szCs w:val="24"/>
        </w:rPr>
        <w:tab/>
      </w:r>
      <w:r w:rsidRPr="00613CDF">
        <w:rPr>
          <w:sz w:val="24"/>
          <w:szCs w:val="24"/>
        </w:rPr>
        <w:t xml:space="preserve">Between 1 July 2019 and 30 June 2020, BP/Noble and Yat Ying shared the same office located at Flat G, </w:t>
      </w:r>
      <w:r>
        <w:rPr>
          <w:sz w:val="24"/>
          <w:szCs w:val="24"/>
        </w:rPr>
        <w:t>9</w:t>
      </w:r>
      <w:r w:rsidRPr="00613CDF">
        <w:rPr>
          <w:sz w:val="24"/>
          <w:szCs w:val="24"/>
          <w:vertAlign w:val="superscript"/>
        </w:rPr>
        <w:t>th</w:t>
      </w:r>
      <w:r>
        <w:rPr>
          <w:sz w:val="24"/>
          <w:szCs w:val="24"/>
        </w:rPr>
        <w:t xml:space="preserve"> </w:t>
      </w:r>
      <w:r w:rsidRPr="00613CDF">
        <w:rPr>
          <w:sz w:val="24"/>
          <w:szCs w:val="24"/>
        </w:rPr>
        <w:t>Floor, Mai Luen Industrial Building, 23-31 Kung Yip Street, Kwai Chung, New Territories, Hong Kong. BP/Noble rented the said office as BP’s registered office on 1 July 2019, and shared it with Agnes Au Yeung and Joe Fan for them to use in running Yat Ying’s business, until after the lease of the shared office expired on 30 June 2020.</w:t>
      </w:r>
    </w:p>
    <w:p w:rsidR="00613CDF" w:rsidRDefault="00613CDF" w:rsidP="001353F6">
      <w:pPr>
        <w:spacing w:before="360" w:line="360" w:lineRule="auto"/>
        <w:ind w:right="-331"/>
        <w:rPr>
          <w:sz w:val="24"/>
          <w:szCs w:val="24"/>
        </w:rPr>
      </w:pPr>
      <w:r>
        <w:rPr>
          <w:sz w:val="24"/>
          <w:szCs w:val="24"/>
        </w:rPr>
        <w:t>31.</w:t>
      </w:r>
      <w:r>
        <w:rPr>
          <w:sz w:val="24"/>
          <w:szCs w:val="24"/>
        </w:rPr>
        <w:tab/>
      </w:r>
      <w:r w:rsidRPr="00613CDF">
        <w:rPr>
          <w:sz w:val="24"/>
          <w:szCs w:val="24"/>
        </w:rPr>
        <w:t>When developing the FanSung Market for BP in 2019, BP/Noble was assisted by Agnes Au Yeung and Joe Fan. BP/Noble also consulted Vincent Wu on some technical issues, who then introduced the Relevant ML Employee to them.  In turn, the Relevant ML Employee introduced Koki Tang to BP/Noble, Agnes Au Yeung and Joe Fan; and it was Koki Tang who developed the FanSung Market platform on a freelance basis.</w:t>
      </w:r>
    </w:p>
    <w:p w:rsidR="00613CDF" w:rsidRDefault="00613CDF" w:rsidP="001353F6">
      <w:pPr>
        <w:spacing w:before="360" w:line="360" w:lineRule="auto"/>
        <w:ind w:right="-331"/>
        <w:rPr>
          <w:sz w:val="24"/>
          <w:szCs w:val="24"/>
        </w:rPr>
      </w:pPr>
      <w:r>
        <w:rPr>
          <w:sz w:val="24"/>
          <w:szCs w:val="24"/>
        </w:rPr>
        <w:t>32.</w:t>
      </w:r>
      <w:r>
        <w:rPr>
          <w:sz w:val="24"/>
          <w:szCs w:val="24"/>
        </w:rPr>
        <w:tab/>
      </w:r>
      <w:r w:rsidRPr="00613CDF">
        <w:rPr>
          <w:sz w:val="24"/>
          <w:szCs w:val="24"/>
        </w:rPr>
        <w:t>Following the announcement of the D-Biz programme in late April 2020, Agnes Au Yeung and BP/Noble each found prospective customers to whom they could each provide IT solutions for online business operations through Yat Ying and BP respectively. Since there was market information at the initial stage of D-Biz suggesting that there would be a limit on the number of applications in which each IT service provider could participate, both BP and Noble we</w:t>
      </w:r>
      <w:r>
        <w:rPr>
          <w:sz w:val="24"/>
          <w:szCs w:val="24"/>
        </w:rPr>
        <w:t xml:space="preserve">re used </w:t>
      </w:r>
      <w:r w:rsidRPr="00613CDF">
        <w:rPr>
          <w:sz w:val="24"/>
          <w:szCs w:val="24"/>
        </w:rPr>
        <w:t>as IT service providers to increase the overall number of participating applications.</w:t>
      </w:r>
    </w:p>
    <w:p w:rsidR="00613CDF" w:rsidRDefault="00613CDF" w:rsidP="001353F6">
      <w:pPr>
        <w:spacing w:before="360" w:line="360" w:lineRule="auto"/>
        <w:ind w:right="-331"/>
        <w:rPr>
          <w:sz w:val="24"/>
          <w:szCs w:val="24"/>
        </w:rPr>
      </w:pPr>
      <w:r>
        <w:rPr>
          <w:sz w:val="24"/>
          <w:szCs w:val="24"/>
        </w:rPr>
        <w:t>33.</w:t>
      </w:r>
      <w:r>
        <w:rPr>
          <w:sz w:val="24"/>
          <w:szCs w:val="24"/>
        </w:rPr>
        <w:tab/>
      </w:r>
      <w:r w:rsidRPr="00613CDF">
        <w:rPr>
          <w:sz w:val="24"/>
          <w:szCs w:val="24"/>
        </w:rPr>
        <w:t>With Joe Fan’s effort, and by referrals from friends, BP/Noble had prospective customers interested in applying for D-Biz funding. Agnes Au Yeung and Joe Fan ultimately submitted 74 Subject Applications for D-Biz funding on behalf of BP/Noble customers (marked as customers of the BP/Noble Director in Annex A to this Statement).  In parallel, Agnes Au Yeung succeeded in obtaining expressions of interest from prospective customers of Yat Ying, and ultimately submitted 115 Subject Applications for D-Biz funding on their behalf (marked as customers of Agnes Au Yeung in Annex A to this Statement).</w:t>
      </w:r>
    </w:p>
    <w:p w:rsidR="00613CDF" w:rsidRDefault="00613CDF" w:rsidP="001353F6">
      <w:pPr>
        <w:spacing w:before="360" w:line="360" w:lineRule="auto"/>
        <w:ind w:right="-331"/>
        <w:rPr>
          <w:sz w:val="24"/>
          <w:szCs w:val="24"/>
        </w:rPr>
      </w:pPr>
      <w:r>
        <w:rPr>
          <w:sz w:val="24"/>
          <w:szCs w:val="24"/>
        </w:rPr>
        <w:t>34.</w:t>
      </w:r>
      <w:r>
        <w:rPr>
          <w:sz w:val="24"/>
          <w:szCs w:val="24"/>
        </w:rPr>
        <w:tab/>
      </w:r>
      <w:r w:rsidRPr="00613CDF">
        <w:rPr>
          <w:sz w:val="24"/>
          <w:szCs w:val="24"/>
        </w:rPr>
        <w:t>In total, 189 Subject Applications were thus made to seek funding for non-subscription-based IT solutions, of which 167 Subject Applications were approved for funding. The last of the D-Biz funding contracts was signed on 2 September 2021.  Applications from 37 customers of BP/Noble were approved and they entered into D-biz funding agreement with the HKPC.  Many have received the 30% initial payment and have paid the same to BP/Noble; the residual funding remains unpaid pending completion of the underlying IT services and administrative steps described above. The total amount of D-biz funding approved for customers of BP/Noble is $4,961,470.</w:t>
      </w:r>
    </w:p>
    <w:p w:rsidR="00613CDF" w:rsidRDefault="00613CDF" w:rsidP="001353F6">
      <w:pPr>
        <w:spacing w:before="360" w:line="360" w:lineRule="auto"/>
        <w:ind w:right="-331"/>
        <w:rPr>
          <w:b/>
          <w:sz w:val="24"/>
          <w:szCs w:val="24"/>
          <w:u w:val="single"/>
        </w:rPr>
      </w:pPr>
      <w:r w:rsidRPr="00613CDF">
        <w:rPr>
          <w:b/>
          <w:sz w:val="24"/>
          <w:szCs w:val="24"/>
          <w:u w:val="single"/>
        </w:rPr>
        <w:t>B4.</w:t>
      </w:r>
      <w:r w:rsidRPr="00613CDF">
        <w:rPr>
          <w:b/>
          <w:sz w:val="24"/>
          <w:szCs w:val="24"/>
          <w:u w:val="single"/>
        </w:rPr>
        <w:tab/>
        <w:t>The Subject Arrangement</w:t>
      </w:r>
    </w:p>
    <w:p w:rsidR="00613CDF" w:rsidRDefault="00613CDF" w:rsidP="001353F6">
      <w:pPr>
        <w:spacing w:before="360" w:line="360" w:lineRule="auto"/>
        <w:ind w:right="-331"/>
        <w:rPr>
          <w:sz w:val="24"/>
          <w:szCs w:val="24"/>
        </w:rPr>
      </w:pPr>
      <w:r w:rsidRPr="00613CDF">
        <w:rPr>
          <w:sz w:val="24"/>
          <w:szCs w:val="24"/>
        </w:rPr>
        <w:t>35.</w:t>
      </w:r>
      <w:r w:rsidRPr="00613CDF">
        <w:rPr>
          <w:sz w:val="24"/>
          <w:szCs w:val="24"/>
        </w:rPr>
        <w:tab/>
        <w:t>In order to enable the proposed customers of BP/Noble and Yat Ying to appear to satisfy the Two-Quotation Requirement while ensuring that BP/Noble or Yat Ying respectively would win the business by offering the lowest quotes, it was agreed that (1) BP/Noble and Yat Ying were to obtain cover bids from ML and KWEK through their relationship with Vincent Wu and Koki Tang (see Annex A items 1-51), and (2) later, BP/Noble and Yat Ying would provide cover bids for each other (see Annex A items 52-189).</w:t>
      </w:r>
      <w:r>
        <w:rPr>
          <w:rStyle w:val="FootnoteReference"/>
          <w:sz w:val="24"/>
          <w:szCs w:val="24"/>
        </w:rPr>
        <w:footnoteReference w:id="8"/>
      </w:r>
      <w:r w:rsidRPr="00613CDF">
        <w:rPr>
          <w:sz w:val="24"/>
          <w:szCs w:val="24"/>
        </w:rPr>
        <w:t xml:space="preserve">  Such cover bids were to be priced slightly higher than the bids provided respectively by the intended winner to succeed.</w:t>
      </w:r>
    </w:p>
    <w:p w:rsidR="00BC173D" w:rsidRDefault="00BC173D" w:rsidP="001353F6">
      <w:pPr>
        <w:spacing w:before="360" w:line="360" w:lineRule="auto"/>
        <w:ind w:right="-331"/>
        <w:rPr>
          <w:sz w:val="24"/>
          <w:szCs w:val="24"/>
        </w:rPr>
      </w:pPr>
      <w:r>
        <w:rPr>
          <w:sz w:val="24"/>
          <w:szCs w:val="24"/>
        </w:rPr>
        <w:t>36.</w:t>
      </w:r>
      <w:r>
        <w:rPr>
          <w:sz w:val="24"/>
          <w:szCs w:val="24"/>
        </w:rPr>
        <w:tab/>
      </w:r>
      <w:r w:rsidRPr="00BC173D">
        <w:rPr>
          <w:sz w:val="24"/>
          <w:szCs w:val="24"/>
        </w:rPr>
        <w:t>As between the intended winners BP/Noble and Yat Ying, customers would be allocated according to who found them, i.e., the customers found by BP/Noble would generally be allocated to either BP or Noble, while the customers found by Agnes Au Yeung would be allocated to Yat Ying. Joe Fan and Agnes Au Yeung were the main implementers of the Subject Arrangement.</w:t>
      </w:r>
    </w:p>
    <w:p w:rsidR="00BC173D" w:rsidRDefault="00BC173D" w:rsidP="001353F6">
      <w:pPr>
        <w:spacing w:before="360" w:line="360" w:lineRule="auto"/>
        <w:ind w:right="-331"/>
        <w:rPr>
          <w:sz w:val="24"/>
          <w:szCs w:val="24"/>
        </w:rPr>
      </w:pPr>
      <w:r>
        <w:rPr>
          <w:sz w:val="24"/>
          <w:szCs w:val="24"/>
        </w:rPr>
        <w:t>37.</w:t>
      </w:r>
      <w:r>
        <w:rPr>
          <w:sz w:val="24"/>
          <w:szCs w:val="24"/>
        </w:rPr>
        <w:tab/>
      </w:r>
      <w:r w:rsidRPr="00BC173D">
        <w:rPr>
          <w:sz w:val="24"/>
          <w:szCs w:val="24"/>
        </w:rPr>
        <w:t>As a result of the Subject Arrangement, there was no genuine competition between the relevant two IT service providers (as the case may be) from which quotations were sought to support each of the Subject Applications for D-Biz funding.  On the contrary, for each Subject Application, the intended winner (i.e., the service provider to be selected to provide the relevant IT services to be funded by the D-Biz scheme) had been pre-determined pursuant to the Subject Arrangement.  The HKPC was led to approve D-Biz funding – in the case of BP/Noble’s customers, a total amount of $4,961,470 – under the false impression that the Subject Applications had been made following a competitive selection process in compliance with the Two-Quotation Requirement.</w:t>
      </w:r>
    </w:p>
    <w:p w:rsidR="00BC173D" w:rsidRDefault="00BC173D" w:rsidP="001353F6">
      <w:pPr>
        <w:spacing w:before="360" w:line="360" w:lineRule="auto"/>
        <w:ind w:right="-331"/>
        <w:rPr>
          <w:b/>
          <w:sz w:val="24"/>
          <w:szCs w:val="24"/>
          <w:u w:val="single"/>
        </w:rPr>
      </w:pPr>
      <w:r w:rsidRPr="00BC173D">
        <w:rPr>
          <w:b/>
          <w:sz w:val="24"/>
          <w:szCs w:val="24"/>
          <w:u w:val="single"/>
        </w:rPr>
        <w:t>B5.</w:t>
      </w:r>
      <w:r w:rsidRPr="00BC173D">
        <w:rPr>
          <w:b/>
          <w:sz w:val="24"/>
          <w:szCs w:val="24"/>
          <w:u w:val="single"/>
        </w:rPr>
        <w:tab/>
        <w:t>Particulars of the Contravention</w:t>
      </w:r>
    </w:p>
    <w:p w:rsidR="00BC173D" w:rsidRDefault="00BC173D" w:rsidP="001353F6">
      <w:pPr>
        <w:spacing w:before="360" w:line="360" w:lineRule="auto"/>
        <w:ind w:right="-331"/>
        <w:rPr>
          <w:sz w:val="24"/>
          <w:szCs w:val="24"/>
        </w:rPr>
      </w:pPr>
      <w:r w:rsidRPr="00BC173D">
        <w:rPr>
          <w:sz w:val="24"/>
          <w:szCs w:val="24"/>
        </w:rPr>
        <w:t>38.</w:t>
      </w:r>
      <w:r w:rsidRPr="00BC173D">
        <w:rPr>
          <w:sz w:val="24"/>
          <w:szCs w:val="24"/>
        </w:rPr>
        <w:tab/>
        <w:t>It is the Commission’s case (which is not disputed by BP and Noble) that the Subject Arrangement insofar as BP/Noble is concerned was agreed and given effect to in accordance with the events set out below:</w:t>
      </w:r>
    </w:p>
    <w:p w:rsidR="00C95AED" w:rsidRDefault="00C95AED" w:rsidP="00C95AED">
      <w:pPr>
        <w:spacing w:before="360" w:line="360" w:lineRule="auto"/>
        <w:ind w:left="1260" w:right="-331" w:hanging="540"/>
        <w:rPr>
          <w:sz w:val="24"/>
          <w:szCs w:val="24"/>
        </w:rPr>
      </w:pPr>
      <w:r>
        <w:rPr>
          <w:sz w:val="24"/>
          <w:szCs w:val="24"/>
        </w:rPr>
        <w:t>(1)</w:t>
      </w:r>
      <w:r>
        <w:rPr>
          <w:sz w:val="24"/>
          <w:szCs w:val="24"/>
        </w:rPr>
        <w:tab/>
      </w:r>
      <w:r w:rsidRPr="00C95AED">
        <w:rPr>
          <w:sz w:val="24"/>
          <w:szCs w:val="24"/>
        </w:rPr>
        <w:t>In early May 2020 (after the announcement of D-Biz on 20 April 2020 but before its commencement on 18 May 2020), Agnes Au Yeung and Joe Fan held a birthday gathering to celebrate Agnes Au Yeung’s birthday.  Vincent Wu and the BP/Noble Director were among those invited to attend the gathering.</w:t>
      </w:r>
    </w:p>
    <w:p w:rsidR="00C95AED" w:rsidRDefault="00C95AED" w:rsidP="00C95AED">
      <w:pPr>
        <w:spacing w:before="360" w:line="360" w:lineRule="auto"/>
        <w:ind w:left="1260" w:right="-331" w:hanging="540"/>
        <w:rPr>
          <w:sz w:val="24"/>
          <w:szCs w:val="24"/>
        </w:rPr>
      </w:pPr>
      <w:r>
        <w:rPr>
          <w:sz w:val="24"/>
          <w:szCs w:val="24"/>
        </w:rPr>
        <w:t>(2)</w:t>
      </w:r>
      <w:r>
        <w:rPr>
          <w:sz w:val="24"/>
          <w:szCs w:val="24"/>
        </w:rPr>
        <w:tab/>
      </w:r>
      <w:r w:rsidRPr="00C95AED">
        <w:rPr>
          <w:sz w:val="24"/>
          <w:szCs w:val="24"/>
        </w:rPr>
        <w:t>During that gathering, Agnes Au Yeung and the BP/Noble Director told Vincent Wu that they both had potential customers, but each had found it difficult to obtain a quotation from another IT service provider for the purpose of enabling their prospective customers to comply with the Two-Quotation Requirement.  Vincent Wu said that he would help by using ML to issue cover bids for Yat Ying or BP/Noble in order to enable Yat Ying's or BP/Noble's prospective customers, respectively to comply with the Two-Quotation Requirement when applying for funding under D-Biz.</w:t>
      </w:r>
    </w:p>
    <w:p w:rsidR="00C95AED" w:rsidRDefault="00C95AED" w:rsidP="00C95AED">
      <w:pPr>
        <w:spacing w:before="360" w:line="360" w:lineRule="auto"/>
        <w:ind w:left="1260" w:right="-331" w:hanging="540"/>
        <w:rPr>
          <w:sz w:val="24"/>
          <w:szCs w:val="24"/>
        </w:rPr>
      </w:pPr>
      <w:r>
        <w:rPr>
          <w:sz w:val="24"/>
          <w:szCs w:val="24"/>
        </w:rPr>
        <w:t>(3)</w:t>
      </w:r>
      <w:r>
        <w:rPr>
          <w:sz w:val="24"/>
          <w:szCs w:val="24"/>
        </w:rPr>
        <w:tab/>
      </w:r>
      <w:r w:rsidRPr="00C95AED">
        <w:rPr>
          <w:sz w:val="24"/>
          <w:szCs w:val="24"/>
        </w:rPr>
        <w:t>It was the consensus and/or common understanding of Vincent Wu, Joe Fan, Agnes Au Yeung and BP/Noble that Yat Ying and BP/Noble would determine their respective quotation prices for each of their prospective customers after seeing the prices of ML’s quotations for the same customers. Further, it was their consensus and/or common understanding that the two quotations submitted for each IT solution would be priced so that the lowest bid would be the one submitted by Yat Ying or BP/Noble, and Yat Ying or BP/Noble would therefore become the selected service provider for their respective customers.</w:t>
      </w:r>
    </w:p>
    <w:p w:rsidR="00C95AED" w:rsidRDefault="00C95AED" w:rsidP="00C95AED">
      <w:pPr>
        <w:spacing w:before="360" w:line="360" w:lineRule="auto"/>
        <w:ind w:left="1260" w:right="-331" w:hanging="540"/>
        <w:rPr>
          <w:sz w:val="24"/>
          <w:szCs w:val="24"/>
        </w:rPr>
      </w:pPr>
      <w:r>
        <w:rPr>
          <w:sz w:val="24"/>
          <w:szCs w:val="24"/>
        </w:rPr>
        <w:t>(4)</w:t>
      </w:r>
      <w:r>
        <w:rPr>
          <w:sz w:val="24"/>
          <w:szCs w:val="24"/>
        </w:rPr>
        <w:tab/>
      </w:r>
      <w:r w:rsidRPr="00C95AED">
        <w:rPr>
          <w:sz w:val="24"/>
          <w:szCs w:val="24"/>
        </w:rPr>
        <w:t>The BP/Noble Director was not personally involved in the communications with ML and/or KWEK in obtaining the cover bids for BP/Noble.  Shortly after the birthday gathering and before the commencement of the D-Biz scheme, Joe Fan told BP/Noble that Vincent Wu had asked the Relevant ML Employee to help to prepare ML’s quotations as cover bids and that he had provided BP/Noble’s customer list to the Relevant ML Employee for that purpose.  Joe Fan also informed BP/Noble of the fact that he had liaised with Koki Tang to obtain more cover bids from KWEK, and provided Koki Tang with BP/Noble’s customer list for that purpose.</w:t>
      </w:r>
    </w:p>
    <w:p w:rsidR="00C95AED" w:rsidRDefault="00C95AED" w:rsidP="00C95AED">
      <w:pPr>
        <w:spacing w:before="360" w:line="360" w:lineRule="auto"/>
        <w:ind w:left="1260" w:right="-331" w:hanging="540"/>
        <w:rPr>
          <w:sz w:val="24"/>
          <w:szCs w:val="24"/>
        </w:rPr>
      </w:pPr>
      <w:r>
        <w:rPr>
          <w:sz w:val="24"/>
          <w:szCs w:val="24"/>
        </w:rPr>
        <w:t>(5)</w:t>
      </w:r>
      <w:r>
        <w:rPr>
          <w:sz w:val="24"/>
          <w:szCs w:val="24"/>
        </w:rPr>
        <w:tab/>
      </w:r>
      <w:r w:rsidRPr="00C95AED">
        <w:rPr>
          <w:sz w:val="24"/>
          <w:szCs w:val="24"/>
        </w:rPr>
        <w:t>BP/Noble (and/or Agnes Au Yeung and/or Joe Fan) determined the price for the relevant quotations from BP/Noble, after she found out – either directly or through Joe Fan – ML’s and KWEK’s cover bid prices for the same customer.  Since the D-Biz scheme required the applicant for D-Biz funding</w:t>
      </w:r>
      <w:r>
        <w:rPr>
          <w:sz w:val="24"/>
          <w:szCs w:val="24"/>
        </w:rPr>
        <w:t xml:space="preserve"> to pick the lowest quotation, </w:t>
      </w:r>
      <w:r w:rsidRPr="00C95AED">
        <w:rPr>
          <w:sz w:val="24"/>
          <w:szCs w:val="24"/>
        </w:rPr>
        <w:t>quotations from BP/Noble were priced lower than what ML and KWEK had bid for the same IT solution in order to make sure BP/Noble would become (or otherwise maximize the chance of BP/Noble becoming) the selected IT service provider for the relevant Subject Application pursuant to the Two-Quotation Requirement.</w:t>
      </w:r>
    </w:p>
    <w:p w:rsidR="00C95AED" w:rsidRDefault="00C95AED" w:rsidP="00C95AED">
      <w:pPr>
        <w:spacing w:before="360" w:line="360" w:lineRule="auto"/>
        <w:ind w:left="1260" w:right="-331" w:hanging="540"/>
        <w:rPr>
          <w:sz w:val="24"/>
          <w:szCs w:val="24"/>
        </w:rPr>
      </w:pPr>
      <w:r>
        <w:rPr>
          <w:sz w:val="24"/>
          <w:szCs w:val="24"/>
        </w:rPr>
        <w:tab/>
      </w:r>
      <w:r w:rsidRPr="00C95AED">
        <w:rPr>
          <w:sz w:val="24"/>
          <w:szCs w:val="24"/>
        </w:rPr>
        <w:t>Joe Fan and Agnes Au Yeung participated on behalf of BP/Noble in the Subject Arrangement.  Accordingly, Joe Fan and/or Agnes Au Yeung: prepared BP/Noble’s quotations and NCCs with the electronic signatures and BP/Noble’s company chops, which were kept by them; submitted the relevant documentation in support of the Subject Applications by BP/Noble’s prospective customers through the D-Biz website on behalf of BP/Noble’s customers; attended to the relevant customer’s execution of funding agreement with HKPC.</w:t>
      </w:r>
    </w:p>
    <w:p w:rsidR="00C95AED" w:rsidRDefault="00C95AED" w:rsidP="00C95AED">
      <w:pPr>
        <w:spacing w:before="360" w:line="360" w:lineRule="auto"/>
        <w:ind w:left="1260" w:right="-331" w:hanging="540"/>
        <w:rPr>
          <w:sz w:val="24"/>
          <w:szCs w:val="24"/>
        </w:rPr>
      </w:pPr>
      <w:r>
        <w:rPr>
          <w:sz w:val="24"/>
          <w:szCs w:val="24"/>
        </w:rPr>
        <w:t>(6)</w:t>
      </w:r>
      <w:r>
        <w:rPr>
          <w:sz w:val="24"/>
          <w:szCs w:val="24"/>
        </w:rPr>
        <w:tab/>
      </w:r>
      <w:r w:rsidRPr="00C95AED">
        <w:rPr>
          <w:sz w:val="24"/>
          <w:szCs w:val="24"/>
        </w:rPr>
        <w:t>Further, Joe Fan and Agnes Au Yeung allocated ML’s and KWEK’s cover bids to accompany BP/Noble’s quotations as they saw fit, as long as the customer allocation principle described in paragraph 36 above was followed.</w:t>
      </w:r>
    </w:p>
    <w:p w:rsidR="00C95AED" w:rsidRDefault="00C95AED" w:rsidP="00C95AED">
      <w:pPr>
        <w:spacing w:before="360" w:line="360" w:lineRule="auto"/>
        <w:ind w:left="1260" w:right="-331" w:hanging="540"/>
        <w:rPr>
          <w:sz w:val="24"/>
          <w:szCs w:val="24"/>
        </w:rPr>
      </w:pPr>
      <w:r>
        <w:rPr>
          <w:sz w:val="24"/>
          <w:szCs w:val="24"/>
        </w:rPr>
        <w:t>(7)</w:t>
      </w:r>
      <w:r>
        <w:rPr>
          <w:sz w:val="24"/>
          <w:szCs w:val="24"/>
        </w:rPr>
        <w:tab/>
      </w:r>
      <w:r w:rsidRPr="00C95AED">
        <w:rPr>
          <w:sz w:val="24"/>
          <w:szCs w:val="24"/>
        </w:rPr>
        <w:t>Furthermore, in respect of some Subject Applications (and, in particular, Subject Applications prepared after the ITC announced the enhancement measures allowing the submission of second D-Biz applications), it was agreed that Joe Fan and Agnes Au Yeung could also use BP/Noble to provide cover bids for Yat Ying, and vice versa.  In respect of later Subject Applications, Agnes Au Yeung, Joe Fan and the BP/Noble Director did not approach Vincent Wu or Koki Tang to seek new cover bids from Multisoft or KWEK.</w:t>
      </w:r>
    </w:p>
    <w:p w:rsidR="00C95AED" w:rsidRPr="00BC173D" w:rsidRDefault="00C95AED" w:rsidP="00C95AED">
      <w:pPr>
        <w:spacing w:before="360" w:line="360" w:lineRule="auto"/>
        <w:ind w:left="1260" w:right="-331" w:hanging="540"/>
        <w:rPr>
          <w:sz w:val="24"/>
          <w:szCs w:val="24"/>
        </w:rPr>
      </w:pPr>
      <w:r>
        <w:rPr>
          <w:sz w:val="24"/>
          <w:szCs w:val="24"/>
        </w:rPr>
        <w:t>(8)</w:t>
      </w:r>
      <w:r>
        <w:rPr>
          <w:sz w:val="24"/>
          <w:szCs w:val="24"/>
        </w:rPr>
        <w:tab/>
      </w:r>
      <w:r w:rsidRPr="00C95AED">
        <w:rPr>
          <w:sz w:val="24"/>
          <w:szCs w:val="24"/>
        </w:rPr>
        <w:t>The Subject Arrangement commenced in early May 2020, and continued until at least 2 September 2021, being the date when the last of the contracts for D-Biz funding relating to the Subject Applications was signed.</w:t>
      </w:r>
    </w:p>
    <w:p w:rsidR="00613CDF" w:rsidRDefault="00C95AED" w:rsidP="001353F6">
      <w:pPr>
        <w:spacing w:before="360" w:line="360" w:lineRule="auto"/>
        <w:ind w:right="-331"/>
        <w:rPr>
          <w:b/>
          <w:sz w:val="24"/>
          <w:szCs w:val="24"/>
          <w:u w:val="single"/>
        </w:rPr>
      </w:pPr>
      <w:r w:rsidRPr="00C95AED">
        <w:rPr>
          <w:b/>
          <w:sz w:val="24"/>
          <w:szCs w:val="24"/>
          <w:u w:val="single"/>
        </w:rPr>
        <w:t>B6.</w:t>
      </w:r>
      <w:r w:rsidRPr="00C95AED">
        <w:rPr>
          <w:b/>
          <w:sz w:val="24"/>
          <w:szCs w:val="24"/>
          <w:u w:val="single"/>
        </w:rPr>
        <w:tab/>
        <w:t>Admission of liability by BP and Noble</w:t>
      </w:r>
    </w:p>
    <w:p w:rsidR="00C95AED" w:rsidRDefault="00C95AED" w:rsidP="001353F6">
      <w:pPr>
        <w:spacing w:before="360" w:line="360" w:lineRule="auto"/>
        <w:ind w:right="-331"/>
        <w:rPr>
          <w:sz w:val="24"/>
          <w:szCs w:val="24"/>
        </w:rPr>
      </w:pPr>
      <w:r w:rsidRPr="00C95AED">
        <w:rPr>
          <w:sz w:val="24"/>
          <w:szCs w:val="24"/>
        </w:rPr>
        <w:t>39.</w:t>
      </w:r>
      <w:r w:rsidRPr="00C95AED">
        <w:rPr>
          <w:sz w:val="24"/>
          <w:szCs w:val="24"/>
        </w:rPr>
        <w:tab/>
        <w:t>By reason of the matters set out herein, each of BP and Noble admits the following:</w:t>
      </w:r>
    </w:p>
    <w:p w:rsidR="00C95AED" w:rsidRDefault="00C95AED" w:rsidP="00C95AED">
      <w:pPr>
        <w:spacing w:before="360" w:line="360" w:lineRule="auto"/>
        <w:ind w:left="1260" w:right="-331" w:hanging="540"/>
        <w:rPr>
          <w:sz w:val="24"/>
          <w:szCs w:val="24"/>
        </w:rPr>
      </w:pPr>
      <w:r>
        <w:rPr>
          <w:sz w:val="24"/>
          <w:szCs w:val="24"/>
        </w:rPr>
        <w:t>(1)</w:t>
      </w:r>
      <w:r>
        <w:rPr>
          <w:sz w:val="24"/>
          <w:szCs w:val="24"/>
        </w:rPr>
        <w:tab/>
      </w:r>
      <w:r w:rsidRPr="00C95AED">
        <w:rPr>
          <w:sz w:val="24"/>
          <w:szCs w:val="24"/>
        </w:rPr>
        <w:t>ML, Agnes Au Yeung trading as Yat Ying, BP/Noble and KWEK, as separate undertakings involved in providing IT solutions to other businesses in Hong Kong, entered into the Subject Arrangement;</w:t>
      </w:r>
    </w:p>
    <w:p w:rsidR="00C95AED" w:rsidRDefault="00C95AED" w:rsidP="00C95AED">
      <w:pPr>
        <w:spacing w:before="360" w:line="360" w:lineRule="auto"/>
        <w:ind w:left="1260" w:right="-331" w:hanging="540"/>
        <w:rPr>
          <w:sz w:val="24"/>
          <w:szCs w:val="24"/>
        </w:rPr>
      </w:pPr>
      <w:r>
        <w:rPr>
          <w:sz w:val="24"/>
          <w:szCs w:val="24"/>
        </w:rPr>
        <w:t>(2)</w:t>
      </w:r>
      <w:r>
        <w:rPr>
          <w:sz w:val="24"/>
          <w:szCs w:val="24"/>
        </w:rPr>
        <w:tab/>
      </w:r>
      <w:r w:rsidRPr="00C95AED">
        <w:rPr>
          <w:sz w:val="24"/>
          <w:szCs w:val="24"/>
        </w:rPr>
        <w:t>the object of the Subject Arrangement was to prevent, restrict, or distort competition in Hong Kong between IT service providers bidding to provide IT solutions to prospective customers applying for funding under the D-Biz scheme by fixing prices, allocating customers, rigging bids and/or sharing information in respect of the submission of quotations to prospective customers applying for D-Biz funding;</w:t>
      </w:r>
    </w:p>
    <w:p w:rsidR="00C95AED" w:rsidRDefault="00C95AED" w:rsidP="00C95AED">
      <w:pPr>
        <w:spacing w:before="360" w:line="360" w:lineRule="auto"/>
        <w:ind w:left="1260" w:right="-331" w:hanging="540"/>
        <w:rPr>
          <w:sz w:val="24"/>
          <w:szCs w:val="24"/>
        </w:rPr>
      </w:pPr>
      <w:r>
        <w:rPr>
          <w:sz w:val="24"/>
          <w:szCs w:val="24"/>
        </w:rPr>
        <w:t>(3)</w:t>
      </w:r>
      <w:r>
        <w:rPr>
          <w:sz w:val="24"/>
          <w:szCs w:val="24"/>
        </w:rPr>
        <w:tab/>
      </w:r>
      <w:r w:rsidRPr="00C95AED">
        <w:rPr>
          <w:sz w:val="24"/>
          <w:szCs w:val="24"/>
        </w:rPr>
        <w:t>each of the BP/Noble Director (as employee, representative and/or agent for BP/Noble), Joe Fan (whether as representative and/or agent for BP/Noble) and Agnes Au Yeung (whether as representative and/or agent for BP/Noble) participated in the formation and implementation of the Subject Arrangement, and the conduct of each of them is attributable to BP/Noble;</w:t>
      </w:r>
    </w:p>
    <w:p w:rsidR="00C95AED" w:rsidRDefault="00C95AED" w:rsidP="00C95AED">
      <w:pPr>
        <w:spacing w:before="360" w:line="360" w:lineRule="auto"/>
        <w:ind w:left="1260" w:right="-331" w:hanging="540"/>
        <w:rPr>
          <w:sz w:val="24"/>
          <w:szCs w:val="24"/>
        </w:rPr>
      </w:pPr>
      <w:r>
        <w:rPr>
          <w:sz w:val="24"/>
          <w:szCs w:val="24"/>
        </w:rPr>
        <w:t>(4)</w:t>
      </w:r>
      <w:r>
        <w:rPr>
          <w:sz w:val="24"/>
          <w:szCs w:val="24"/>
        </w:rPr>
        <w:tab/>
      </w:r>
      <w:r w:rsidRPr="00C95AED">
        <w:rPr>
          <w:sz w:val="24"/>
          <w:szCs w:val="24"/>
        </w:rPr>
        <w:t>the Subject Arrangement constitutes price-fixing, customer allocation, bid-rigging and/or the exchange of competitively sensitive information among competitors, in contravention of the FCR under section 6(1) of the Ordinance;</w:t>
      </w:r>
    </w:p>
    <w:p w:rsidR="00C95AED" w:rsidRDefault="00C95AED" w:rsidP="00C95AED">
      <w:pPr>
        <w:spacing w:before="360" w:line="360" w:lineRule="auto"/>
        <w:ind w:left="1260" w:right="-331" w:hanging="540"/>
        <w:rPr>
          <w:sz w:val="24"/>
          <w:szCs w:val="24"/>
        </w:rPr>
      </w:pPr>
      <w:r>
        <w:rPr>
          <w:sz w:val="24"/>
          <w:szCs w:val="24"/>
        </w:rPr>
        <w:t>(5)</w:t>
      </w:r>
      <w:r>
        <w:rPr>
          <w:sz w:val="24"/>
          <w:szCs w:val="24"/>
        </w:rPr>
        <w:tab/>
      </w:r>
      <w:r w:rsidRPr="00C95AED">
        <w:rPr>
          <w:sz w:val="24"/>
          <w:szCs w:val="24"/>
        </w:rPr>
        <w:t>such conduct constitutes “serious anti-competitive conduct” within the meaning of section 2(1) of the Ordinance; and</w:t>
      </w:r>
    </w:p>
    <w:p w:rsidR="00C95AED" w:rsidRDefault="00C95AED" w:rsidP="00C95AED">
      <w:pPr>
        <w:spacing w:before="360" w:line="360" w:lineRule="auto"/>
        <w:ind w:left="1260" w:right="-331" w:hanging="540"/>
        <w:rPr>
          <w:sz w:val="24"/>
          <w:szCs w:val="24"/>
        </w:rPr>
      </w:pPr>
      <w:r>
        <w:rPr>
          <w:sz w:val="24"/>
          <w:szCs w:val="24"/>
        </w:rPr>
        <w:t>(6)</w:t>
      </w:r>
      <w:r>
        <w:rPr>
          <w:sz w:val="24"/>
          <w:szCs w:val="24"/>
        </w:rPr>
        <w:tab/>
      </w:r>
      <w:r w:rsidRPr="00C95AED">
        <w:rPr>
          <w:sz w:val="24"/>
          <w:szCs w:val="24"/>
        </w:rPr>
        <w:t>BP and Noble as the same undertaking are jointly and severally liable for the Contravention.</w:t>
      </w:r>
    </w:p>
    <w:p w:rsidR="00C95AED" w:rsidRDefault="00C95AED" w:rsidP="00C95AED">
      <w:pPr>
        <w:spacing w:before="360" w:line="360" w:lineRule="auto"/>
        <w:ind w:left="0" w:right="-331" w:firstLine="0"/>
        <w:jc w:val="center"/>
        <w:rPr>
          <w:rFonts w:cs="Arial"/>
          <w:b/>
          <w:sz w:val="24"/>
          <w:szCs w:val="24"/>
        </w:rPr>
      </w:pPr>
      <w:r w:rsidRPr="00C95AED">
        <w:rPr>
          <w:rFonts w:cs="Arial"/>
          <w:b/>
          <w:sz w:val="24"/>
          <w:szCs w:val="24"/>
        </w:rPr>
        <w:t xml:space="preserve">PART C – UNDISPUTED FACTS ON </w:t>
      </w:r>
      <w:r>
        <w:rPr>
          <w:rFonts w:cs="Arial"/>
          <w:b/>
          <w:sz w:val="24"/>
          <w:szCs w:val="24"/>
        </w:rPr>
        <w:t xml:space="preserve">THE CALCULATION OF </w:t>
      </w:r>
      <w:r w:rsidRPr="00C95AED">
        <w:rPr>
          <w:rFonts w:cs="Arial"/>
          <w:b/>
          <w:sz w:val="24"/>
          <w:szCs w:val="24"/>
        </w:rPr>
        <w:t>RECOMMENDED PECUNIARY PENALTY FOR BP/NOBLE AND THE INVESTIGATION COSTS OF THE COMMISSION</w:t>
      </w:r>
    </w:p>
    <w:p w:rsidR="00C95AED" w:rsidRDefault="00C95AED" w:rsidP="00C95AED">
      <w:pPr>
        <w:spacing w:before="360" w:line="360" w:lineRule="auto"/>
        <w:ind w:right="-331"/>
        <w:rPr>
          <w:rFonts w:cs="Arial"/>
          <w:sz w:val="24"/>
          <w:szCs w:val="24"/>
        </w:rPr>
      </w:pPr>
      <w:r w:rsidRPr="00C95AED">
        <w:rPr>
          <w:rFonts w:cs="Arial"/>
          <w:sz w:val="24"/>
          <w:szCs w:val="24"/>
        </w:rPr>
        <w:t>40.</w:t>
      </w:r>
      <w:r w:rsidRPr="00C95AED">
        <w:rPr>
          <w:rFonts w:cs="Arial"/>
          <w:sz w:val="24"/>
          <w:szCs w:val="24"/>
        </w:rPr>
        <w:tab/>
        <w:t>For the purposes of assessing the amount of recommended pecuniary penalty under section 93 of the Ordinance, each of BP and Noble admits the following:</w:t>
      </w:r>
    </w:p>
    <w:p w:rsidR="00C95AED" w:rsidRDefault="00C95AED" w:rsidP="00C95AED">
      <w:pPr>
        <w:spacing w:before="360" w:line="360" w:lineRule="auto"/>
        <w:ind w:left="1260" w:right="-331" w:hanging="540"/>
        <w:rPr>
          <w:rFonts w:cs="Arial"/>
          <w:sz w:val="24"/>
          <w:szCs w:val="24"/>
        </w:rPr>
      </w:pPr>
      <w:r>
        <w:rPr>
          <w:rFonts w:cs="Arial"/>
          <w:sz w:val="24"/>
          <w:szCs w:val="24"/>
        </w:rPr>
        <w:t>(1)</w:t>
      </w:r>
      <w:r w:rsidR="00BD5B07">
        <w:rPr>
          <w:rFonts w:cs="Arial"/>
          <w:sz w:val="24"/>
          <w:szCs w:val="24"/>
        </w:rPr>
        <w:tab/>
      </w:r>
      <w:r w:rsidR="00BD5B07" w:rsidRPr="00BD5B07">
        <w:rPr>
          <w:rFonts w:cs="Arial"/>
          <w:sz w:val="24"/>
          <w:szCs w:val="24"/>
        </w:rPr>
        <w:t>The financial year of BP starts from 1 April and ends on 31 March of a calendar year.</w:t>
      </w:r>
    </w:p>
    <w:p w:rsidR="00BD5B07" w:rsidRDefault="00BD5B07" w:rsidP="00C95AED">
      <w:pPr>
        <w:spacing w:before="360" w:line="360" w:lineRule="auto"/>
        <w:ind w:left="1260" w:right="-331" w:hanging="540"/>
        <w:rPr>
          <w:rFonts w:cs="Arial"/>
          <w:sz w:val="24"/>
          <w:szCs w:val="24"/>
        </w:rPr>
      </w:pPr>
      <w:r>
        <w:rPr>
          <w:rFonts w:cs="Arial"/>
          <w:sz w:val="24"/>
          <w:szCs w:val="24"/>
        </w:rPr>
        <w:t>(2)</w:t>
      </w:r>
      <w:r>
        <w:rPr>
          <w:rFonts w:cs="Arial"/>
          <w:sz w:val="24"/>
          <w:szCs w:val="24"/>
        </w:rPr>
        <w:tab/>
      </w:r>
      <w:r w:rsidRPr="00BD5B07">
        <w:rPr>
          <w:rFonts w:cs="Arial"/>
          <w:sz w:val="24"/>
          <w:szCs w:val="24"/>
        </w:rPr>
        <w:t>The financial year of Noble starts from 1 January and ends on 31 December of a calendar year.</w:t>
      </w:r>
    </w:p>
    <w:p w:rsidR="00BD5B07" w:rsidRDefault="00BD5B07" w:rsidP="00C95AED">
      <w:pPr>
        <w:spacing w:before="360" w:line="360" w:lineRule="auto"/>
        <w:ind w:left="1260" w:right="-331" w:hanging="540"/>
        <w:rPr>
          <w:rFonts w:cs="Arial"/>
          <w:sz w:val="24"/>
          <w:szCs w:val="24"/>
        </w:rPr>
      </w:pPr>
      <w:r>
        <w:rPr>
          <w:rFonts w:cs="Arial"/>
          <w:sz w:val="24"/>
          <w:szCs w:val="24"/>
        </w:rPr>
        <w:t>(3)</w:t>
      </w:r>
      <w:r>
        <w:rPr>
          <w:rFonts w:cs="Arial"/>
          <w:sz w:val="24"/>
          <w:szCs w:val="24"/>
        </w:rPr>
        <w:tab/>
      </w:r>
      <w:r w:rsidRPr="00BD5B07">
        <w:rPr>
          <w:rFonts w:cs="Arial"/>
          <w:sz w:val="24"/>
          <w:szCs w:val="24"/>
        </w:rPr>
        <w:t>According to the definition of “turnover” under section 2 of the Competition (Turnover) Regulation (Cap. 619C):</w:t>
      </w:r>
    </w:p>
    <w:p w:rsidR="00BD5B07" w:rsidRDefault="00BD5B07" w:rsidP="00BD5B07">
      <w:pPr>
        <w:spacing w:before="360" w:line="360" w:lineRule="auto"/>
        <w:ind w:left="1800" w:right="-331" w:hanging="540"/>
        <w:rPr>
          <w:rFonts w:cs="Arial"/>
          <w:sz w:val="24"/>
          <w:szCs w:val="24"/>
        </w:rPr>
      </w:pPr>
      <w:r>
        <w:rPr>
          <w:rFonts w:cs="Arial"/>
          <w:sz w:val="24"/>
          <w:szCs w:val="24"/>
        </w:rPr>
        <w:t>(a)</w:t>
      </w:r>
      <w:r>
        <w:rPr>
          <w:rFonts w:cs="Arial"/>
          <w:sz w:val="24"/>
          <w:szCs w:val="24"/>
        </w:rPr>
        <w:tab/>
      </w:r>
      <w:r w:rsidRPr="00BD5B07">
        <w:rPr>
          <w:rFonts w:cs="Arial"/>
          <w:sz w:val="24"/>
          <w:szCs w:val="24"/>
        </w:rPr>
        <w:t>the turnover of BP for each of its financial years ending on 31 March 2021 and 31 March 2022 was HK$647,529 and HK$338,095 respectively;</w:t>
      </w:r>
    </w:p>
    <w:p w:rsidR="00BD5B07" w:rsidRDefault="00BD5B07" w:rsidP="00BD5B07">
      <w:pPr>
        <w:spacing w:before="360" w:line="360" w:lineRule="auto"/>
        <w:ind w:left="1800" w:right="-331" w:hanging="540"/>
        <w:rPr>
          <w:rFonts w:cs="Arial"/>
          <w:sz w:val="24"/>
          <w:szCs w:val="24"/>
        </w:rPr>
      </w:pPr>
      <w:r>
        <w:rPr>
          <w:rFonts w:cs="Arial"/>
          <w:sz w:val="24"/>
          <w:szCs w:val="24"/>
        </w:rPr>
        <w:t>(b)</w:t>
      </w:r>
      <w:r>
        <w:rPr>
          <w:rFonts w:cs="Arial"/>
          <w:sz w:val="24"/>
          <w:szCs w:val="24"/>
        </w:rPr>
        <w:tab/>
      </w:r>
      <w:r w:rsidRPr="00BD5B07">
        <w:rPr>
          <w:rFonts w:cs="Arial"/>
          <w:sz w:val="24"/>
          <w:szCs w:val="24"/>
        </w:rPr>
        <w:t>the turnover of Noble for each of its financial years ending on 31 December 2020 and 31 December 2021 was HK$0 and HK$222,474 respectively.</w:t>
      </w:r>
    </w:p>
    <w:p w:rsidR="00BD5B07" w:rsidRDefault="00BD5B07" w:rsidP="00BD5B07">
      <w:pPr>
        <w:spacing w:before="360" w:line="360" w:lineRule="auto"/>
        <w:ind w:right="-331"/>
        <w:rPr>
          <w:rFonts w:cs="Arial"/>
          <w:sz w:val="24"/>
          <w:szCs w:val="24"/>
        </w:rPr>
      </w:pPr>
      <w:r>
        <w:rPr>
          <w:rFonts w:cs="Arial"/>
          <w:sz w:val="24"/>
          <w:szCs w:val="24"/>
        </w:rPr>
        <w:t>41.</w:t>
      </w:r>
      <w:r>
        <w:rPr>
          <w:rFonts w:cs="Arial"/>
          <w:sz w:val="24"/>
          <w:szCs w:val="24"/>
        </w:rPr>
        <w:tab/>
      </w:r>
      <w:r w:rsidRPr="00BD5B07">
        <w:rPr>
          <w:rFonts w:cs="Arial"/>
          <w:sz w:val="24"/>
          <w:szCs w:val="24"/>
        </w:rPr>
        <w:t>As to the Commission’s costs of and incidental to its investigation into this matter, the Commission has incurred such costs in the sum of HK$621,730 (see Annex B), of which HK$155,000 (rounding down to the nearest thousand) represents the 3rd and 4th Respondents’ share of such investigation costs.</w:t>
      </w:r>
    </w:p>
    <w:p w:rsidR="00173F78" w:rsidRDefault="00173F78" w:rsidP="00BD5B07">
      <w:pPr>
        <w:spacing w:before="360" w:line="360" w:lineRule="auto"/>
        <w:ind w:right="-331"/>
        <w:rPr>
          <w:rFonts w:cs="Arial"/>
          <w:sz w:val="24"/>
          <w:szCs w:val="24"/>
        </w:rPr>
      </w:pPr>
    </w:p>
    <w:p w:rsidR="00173F78" w:rsidRDefault="00173F78" w:rsidP="00173F78">
      <w:pPr>
        <w:spacing w:before="360" w:line="360" w:lineRule="auto"/>
        <w:ind w:leftChars="1" w:left="718" w:right="-331" w:hangingChars="298" w:hanging="715"/>
        <w:rPr>
          <w:sz w:val="24"/>
          <w:szCs w:val="24"/>
        </w:rPr>
      </w:pPr>
      <w:r>
        <w:rPr>
          <w:sz w:val="24"/>
          <w:szCs w:val="24"/>
        </w:rPr>
        <w:t>Dated this</w:t>
      </w:r>
      <w:r>
        <w:rPr>
          <w:sz w:val="24"/>
          <w:szCs w:val="24"/>
        </w:rPr>
        <w:tab/>
        <w:t>day of</w:t>
      </w:r>
      <w:r>
        <w:rPr>
          <w:sz w:val="24"/>
          <w:szCs w:val="24"/>
        </w:rPr>
        <w:tab/>
      </w:r>
      <w:r>
        <w:rPr>
          <w:sz w:val="24"/>
          <w:szCs w:val="24"/>
        </w:rPr>
        <w:tab/>
        <w:t>2023</w:t>
      </w:r>
      <w:r w:rsidRPr="00F3612B">
        <w:rPr>
          <w:sz w:val="24"/>
          <w:szCs w:val="24"/>
        </w:rPr>
        <w:t>.</w:t>
      </w:r>
    </w:p>
    <w:p w:rsidR="00173F78" w:rsidRDefault="00173F78" w:rsidP="00173F78">
      <w:pPr>
        <w:spacing w:before="360" w:line="360" w:lineRule="auto"/>
        <w:ind w:leftChars="1" w:left="718" w:right="-331" w:hangingChars="298" w:hanging="715"/>
        <w:rPr>
          <w:sz w:val="24"/>
          <w:szCs w:val="24"/>
        </w:rPr>
      </w:pPr>
    </w:p>
    <w:tbl>
      <w:tblPr>
        <w:tblStyle w:val="TableGrid"/>
        <w:tblW w:w="91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500"/>
      </w:tblGrid>
      <w:tr w:rsidR="00173F78" w:rsidTr="00F30624">
        <w:tc>
          <w:tcPr>
            <w:tcW w:w="4680" w:type="dxa"/>
          </w:tcPr>
          <w:p w:rsidR="00173F78" w:rsidRDefault="00173F78" w:rsidP="00F30624">
            <w:pPr>
              <w:spacing w:before="360" w:line="360" w:lineRule="auto"/>
              <w:ind w:left="0" w:right="-331" w:firstLine="0"/>
              <w:rPr>
                <w:sz w:val="24"/>
                <w:szCs w:val="24"/>
              </w:rPr>
            </w:pPr>
            <w:r>
              <w:rPr>
                <w:sz w:val="24"/>
                <w:szCs w:val="24"/>
              </w:rPr>
              <w:t>________________________________</w:t>
            </w:r>
          </w:p>
          <w:p w:rsidR="00173F78" w:rsidRPr="00F3612B" w:rsidRDefault="00173F78" w:rsidP="00F30624">
            <w:pPr>
              <w:ind w:left="0" w:right="-331" w:firstLine="0"/>
              <w:jc w:val="left"/>
              <w:rPr>
                <w:b/>
                <w:sz w:val="24"/>
                <w:szCs w:val="24"/>
              </w:rPr>
            </w:pPr>
            <w:r w:rsidRPr="00F3612B">
              <w:rPr>
                <w:b/>
                <w:sz w:val="24"/>
                <w:szCs w:val="24"/>
              </w:rPr>
              <w:t>MINTERELLISON LLP</w:t>
            </w:r>
          </w:p>
          <w:p w:rsidR="00173F78" w:rsidRDefault="00173F78" w:rsidP="00F30624">
            <w:pPr>
              <w:spacing w:line="360" w:lineRule="auto"/>
              <w:ind w:left="0" w:right="-331" w:firstLine="0"/>
              <w:rPr>
                <w:sz w:val="24"/>
                <w:szCs w:val="24"/>
              </w:rPr>
            </w:pPr>
            <w:r w:rsidRPr="00F3612B">
              <w:rPr>
                <w:sz w:val="24"/>
                <w:szCs w:val="24"/>
              </w:rPr>
              <w:t>Solicitors for the Applicant</w:t>
            </w:r>
          </w:p>
        </w:tc>
        <w:tc>
          <w:tcPr>
            <w:tcW w:w="4500" w:type="dxa"/>
          </w:tcPr>
          <w:p w:rsidR="00173F78" w:rsidRDefault="00173F78" w:rsidP="00F30624">
            <w:pPr>
              <w:spacing w:before="360" w:line="360" w:lineRule="auto"/>
              <w:ind w:left="0" w:right="-331" w:firstLine="0"/>
              <w:rPr>
                <w:sz w:val="24"/>
                <w:szCs w:val="24"/>
              </w:rPr>
            </w:pPr>
            <w:r>
              <w:rPr>
                <w:sz w:val="24"/>
                <w:szCs w:val="24"/>
              </w:rPr>
              <w:t>_________________________________</w:t>
            </w:r>
          </w:p>
          <w:p w:rsidR="00173F78" w:rsidRPr="00F3612B" w:rsidRDefault="00173F78" w:rsidP="00F30624">
            <w:pPr>
              <w:ind w:left="0" w:right="-331" w:firstLine="0"/>
              <w:rPr>
                <w:b/>
                <w:sz w:val="24"/>
                <w:szCs w:val="24"/>
              </w:rPr>
            </w:pPr>
            <w:r>
              <w:rPr>
                <w:b/>
                <w:sz w:val="24"/>
                <w:szCs w:val="24"/>
              </w:rPr>
              <w:t>MANDY WAN &amp; CO.</w:t>
            </w:r>
          </w:p>
          <w:p w:rsidR="00173F78" w:rsidRDefault="00173F78" w:rsidP="00173F78">
            <w:pPr>
              <w:ind w:left="0" w:right="-331" w:firstLine="0"/>
              <w:rPr>
                <w:sz w:val="24"/>
                <w:szCs w:val="24"/>
              </w:rPr>
            </w:pPr>
            <w:r w:rsidRPr="00F3612B">
              <w:rPr>
                <w:sz w:val="24"/>
                <w:szCs w:val="24"/>
              </w:rPr>
              <w:t xml:space="preserve">Solicitors for the </w:t>
            </w:r>
            <w:r>
              <w:rPr>
                <w:sz w:val="24"/>
                <w:szCs w:val="24"/>
              </w:rPr>
              <w:t>3</w:t>
            </w:r>
            <w:r w:rsidRPr="00173F78">
              <w:rPr>
                <w:sz w:val="24"/>
                <w:szCs w:val="24"/>
                <w:vertAlign w:val="superscript"/>
              </w:rPr>
              <w:t>rd</w:t>
            </w:r>
            <w:r>
              <w:rPr>
                <w:sz w:val="24"/>
                <w:szCs w:val="24"/>
              </w:rPr>
              <w:t xml:space="preserve"> </w:t>
            </w:r>
            <w:r w:rsidRPr="00F3612B">
              <w:rPr>
                <w:sz w:val="24"/>
                <w:szCs w:val="24"/>
              </w:rPr>
              <w:t xml:space="preserve">and </w:t>
            </w:r>
            <w:r>
              <w:rPr>
                <w:sz w:val="24"/>
                <w:szCs w:val="24"/>
              </w:rPr>
              <w:t>4</w:t>
            </w:r>
            <w:r w:rsidRPr="00173F78">
              <w:rPr>
                <w:sz w:val="24"/>
                <w:szCs w:val="24"/>
                <w:vertAlign w:val="superscript"/>
              </w:rPr>
              <w:t>th</w:t>
            </w:r>
            <w:r>
              <w:rPr>
                <w:sz w:val="24"/>
                <w:szCs w:val="24"/>
              </w:rPr>
              <w:t xml:space="preserve"> </w:t>
            </w:r>
            <w:r w:rsidRPr="00F3612B">
              <w:rPr>
                <w:sz w:val="24"/>
                <w:szCs w:val="24"/>
              </w:rPr>
              <w:t>Respondents</w:t>
            </w:r>
          </w:p>
        </w:tc>
      </w:tr>
    </w:tbl>
    <w:p w:rsidR="006F6BC3" w:rsidRDefault="006F6BC3" w:rsidP="00C31AF9">
      <w:pPr>
        <w:spacing w:beforeLines="1800" w:before="4320" w:line="360" w:lineRule="auto"/>
        <w:ind w:leftChars="1" w:left="718" w:right="-331" w:hangingChars="298" w:hanging="715"/>
        <w:contextualSpacing/>
        <w:jc w:val="center"/>
        <w:rPr>
          <w:sz w:val="24"/>
          <w:szCs w:val="24"/>
        </w:rPr>
      </w:pPr>
    </w:p>
    <w:p w:rsidR="006F6BC3" w:rsidRDefault="006F6BC3" w:rsidP="006F6BC3">
      <w:pPr>
        <w:spacing w:before="360" w:line="360" w:lineRule="auto"/>
        <w:ind w:left="0" w:right="-331" w:firstLine="0"/>
        <w:rPr>
          <w:sz w:val="24"/>
          <w:szCs w:val="24"/>
        </w:rPr>
        <w:sectPr w:rsidR="006F6BC3" w:rsidSect="006F6BC3">
          <w:headerReference w:type="first" r:id="rId14"/>
          <w:pgSz w:w="11909" w:h="16834" w:code="9"/>
          <w:pgMar w:top="1530" w:right="1800" w:bottom="1260" w:left="1800" w:header="576" w:footer="576" w:gutter="0"/>
          <w:pgNumType w:start="2"/>
          <w:cols w:space="708"/>
          <w:titlePg/>
          <w:docGrid w:linePitch="381"/>
        </w:sectPr>
      </w:pPr>
    </w:p>
    <w:p w:rsidR="005169E9" w:rsidRDefault="005169E9" w:rsidP="005169E9">
      <w:pPr>
        <w:tabs>
          <w:tab w:val="left" w:pos="360"/>
        </w:tabs>
        <w:spacing w:before="240" w:line="240" w:lineRule="exact"/>
        <w:ind w:left="308" w:right="-331" w:hangingChars="128" w:hanging="308"/>
        <w:jc w:val="center"/>
        <w:rPr>
          <w:b/>
          <w:sz w:val="24"/>
          <w:szCs w:val="24"/>
        </w:rPr>
      </w:pPr>
      <w:r w:rsidRPr="00BD70B2">
        <w:rPr>
          <w:b/>
          <w:sz w:val="24"/>
          <w:szCs w:val="24"/>
        </w:rPr>
        <w:t>STATEMENT OF AGREED FACTS</w:t>
      </w:r>
      <w:r>
        <w:rPr>
          <w:b/>
          <w:sz w:val="24"/>
          <w:szCs w:val="24"/>
        </w:rPr>
        <w:t xml:space="preserve"> BETWEEN THE</w:t>
      </w:r>
    </w:p>
    <w:p w:rsidR="005169E9" w:rsidRDefault="005169E9" w:rsidP="005169E9">
      <w:pPr>
        <w:tabs>
          <w:tab w:val="left" w:pos="360"/>
        </w:tabs>
        <w:spacing w:before="240" w:line="240" w:lineRule="exact"/>
        <w:ind w:leftChars="-290" w:left="304" w:right="-871" w:hangingChars="463" w:hanging="1116"/>
        <w:jc w:val="center"/>
        <w:rPr>
          <w:b/>
          <w:sz w:val="24"/>
          <w:szCs w:val="24"/>
        </w:rPr>
      </w:pPr>
      <w:r>
        <w:rPr>
          <w:b/>
          <w:sz w:val="24"/>
          <w:szCs w:val="24"/>
        </w:rPr>
        <w:t xml:space="preserve">COMPETITION COMMISSION (“COMMISSION”) AND THE </w:t>
      </w:r>
      <w:r w:rsidR="001B046F">
        <w:rPr>
          <w:b/>
          <w:sz w:val="24"/>
          <w:szCs w:val="24"/>
        </w:rPr>
        <w:t>5</w:t>
      </w:r>
      <w:r w:rsidR="001B046F" w:rsidRPr="001B046F">
        <w:rPr>
          <w:b/>
          <w:sz w:val="24"/>
          <w:szCs w:val="24"/>
          <w:vertAlign w:val="superscript"/>
        </w:rPr>
        <w:t>TH</w:t>
      </w:r>
      <w:r w:rsidR="001B046F">
        <w:rPr>
          <w:b/>
          <w:sz w:val="24"/>
          <w:szCs w:val="24"/>
        </w:rPr>
        <w:t xml:space="preserve"> </w:t>
      </w:r>
      <w:r>
        <w:rPr>
          <w:b/>
          <w:sz w:val="24"/>
          <w:szCs w:val="24"/>
        </w:rPr>
        <w:t xml:space="preserve">AND </w:t>
      </w:r>
      <w:r w:rsidR="001B046F">
        <w:rPr>
          <w:b/>
          <w:sz w:val="24"/>
          <w:szCs w:val="24"/>
        </w:rPr>
        <w:t>8</w:t>
      </w:r>
      <w:r w:rsidRPr="00504699">
        <w:rPr>
          <w:b/>
          <w:sz w:val="24"/>
          <w:szCs w:val="24"/>
          <w:vertAlign w:val="superscript"/>
        </w:rPr>
        <w:t>TH</w:t>
      </w:r>
      <w:r>
        <w:rPr>
          <w:b/>
          <w:sz w:val="24"/>
          <w:szCs w:val="24"/>
        </w:rPr>
        <w:t xml:space="preserve"> RESPONDENTS</w:t>
      </w:r>
    </w:p>
    <w:p w:rsidR="005169E9" w:rsidRPr="00BD70B2" w:rsidRDefault="005169E9" w:rsidP="005169E9">
      <w:pPr>
        <w:spacing w:before="240" w:line="240" w:lineRule="exact"/>
        <w:ind w:leftChars="-64" w:left="361" w:right="-331" w:hangingChars="225" w:hanging="540"/>
        <w:jc w:val="center"/>
        <w:rPr>
          <w:i/>
          <w:sz w:val="24"/>
          <w:szCs w:val="24"/>
        </w:rPr>
      </w:pPr>
      <w:r w:rsidRPr="00BD70B2">
        <w:rPr>
          <w:i/>
          <w:sz w:val="24"/>
          <w:szCs w:val="24"/>
        </w:rPr>
        <w:t>(Prepared pursuant to Rule 39 of the Competition Tribunal Rules, Cap. 619D (“</w:t>
      </w:r>
      <w:r w:rsidRPr="00CE6723">
        <w:rPr>
          <w:b/>
          <w:i/>
          <w:sz w:val="24"/>
          <w:szCs w:val="24"/>
        </w:rPr>
        <w:t>CTR</w:t>
      </w:r>
      <w:r w:rsidRPr="00BD70B2">
        <w:rPr>
          <w:i/>
          <w:sz w:val="24"/>
          <w:szCs w:val="24"/>
        </w:rPr>
        <w:t xml:space="preserve">”) and </w:t>
      </w:r>
    </w:p>
    <w:p w:rsidR="005169E9" w:rsidRDefault="005169E9" w:rsidP="005169E9">
      <w:pPr>
        <w:tabs>
          <w:tab w:val="left" w:pos="360"/>
        </w:tabs>
        <w:spacing w:before="240" w:line="240" w:lineRule="exact"/>
        <w:ind w:left="307" w:right="-331" w:hangingChars="128" w:hanging="307"/>
        <w:jc w:val="center"/>
        <w:rPr>
          <w:i/>
          <w:sz w:val="24"/>
          <w:szCs w:val="24"/>
        </w:rPr>
      </w:pPr>
      <w:r w:rsidRPr="00BD70B2">
        <w:rPr>
          <w:i/>
          <w:sz w:val="24"/>
          <w:szCs w:val="24"/>
        </w:rPr>
        <w:t>Paragraph 72 of the Competition Tribunal Practice Direction 1 (“</w:t>
      </w:r>
      <w:r w:rsidRPr="00CE6723">
        <w:rPr>
          <w:b/>
          <w:i/>
          <w:sz w:val="24"/>
          <w:szCs w:val="24"/>
        </w:rPr>
        <w:t>CTPD1</w:t>
      </w:r>
      <w:r w:rsidRPr="00BD70B2">
        <w:rPr>
          <w:i/>
          <w:sz w:val="24"/>
          <w:szCs w:val="24"/>
        </w:rPr>
        <w:t>”))</w:t>
      </w:r>
    </w:p>
    <w:p w:rsidR="005169E9" w:rsidRDefault="005169E9" w:rsidP="005169E9">
      <w:pPr>
        <w:tabs>
          <w:tab w:val="left" w:pos="360"/>
        </w:tabs>
        <w:spacing w:before="360"/>
        <w:ind w:left="308" w:right="-331" w:hangingChars="128" w:hanging="308"/>
        <w:jc w:val="center"/>
        <w:rPr>
          <w:b/>
          <w:sz w:val="24"/>
          <w:szCs w:val="24"/>
        </w:rPr>
      </w:pPr>
      <w:r>
        <w:rPr>
          <w:b/>
          <w:sz w:val="24"/>
          <w:szCs w:val="24"/>
        </w:rPr>
        <w:t>PART A — INTRODUCTION</w:t>
      </w:r>
    </w:p>
    <w:p w:rsidR="00342A8B" w:rsidRDefault="005169E9" w:rsidP="001B046F">
      <w:pPr>
        <w:spacing w:before="360" w:line="360" w:lineRule="auto"/>
        <w:ind w:right="-331"/>
        <w:rPr>
          <w:rFonts w:eastAsia="Lucida Sans"/>
          <w:sz w:val="24"/>
          <w:szCs w:val="24"/>
        </w:rPr>
      </w:pPr>
      <w:r>
        <w:rPr>
          <w:rFonts w:eastAsia="Lucida Sans"/>
          <w:sz w:val="24"/>
          <w:szCs w:val="24"/>
        </w:rPr>
        <w:t>1.</w:t>
      </w:r>
      <w:r>
        <w:rPr>
          <w:rFonts w:eastAsia="Lucida Sans"/>
          <w:sz w:val="24"/>
          <w:szCs w:val="24"/>
        </w:rPr>
        <w:tab/>
      </w:r>
      <w:r w:rsidR="001B046F" w:rsidRPr="001B046F">
        <w:rPr>
          <w:rFonts w:eastAsia="Lucida Sans"/>
          <w:sz w:val="24"/>
          <w:szCs w:val="24"/>
        </w:rPr>
        <w:t>On 22 March 2023, the Commission issued proceedings pursuant to sections 92(1), 94(1), 96(1) and 101(1) of the Competition Ordinance, Cap. 619 (“</w:t>
      </w:r>
      <w:r w:rsidR="001B046F" w:rsidRPr="001B046F">
        <w:rPr>
          <w:rFonts w:eastAsia="Lucida Sans"/>
          <w:b/>
          <w:sz w:val="24"/>
          <w:szCs w:val="24"/>
        </w:rPr>
        <w:t>Ordinance</w:t>
      </w:r>
      <w:r w:rsidR="001B046F" w:rsidRPr="001B046F">
        <w:rPr>
          <w:rFonts w:eastAsia="Lucida Sans"/>
          <w:sz w:val="24"/>
          <w:szCs w:val="24"/>
        </w:rPr>
        <w:t>”) before the Competition Tribunal (“</w:t>
      </w:r>
      <w:r w:rsidR="001B046F" w:rsidRPr="001B046F">
        <w:rPr>
          <w:rFonts w:eastAsia="Lucida Sans"/>
          <w:b/>
          <w:sz w:val="24"/>
          <w:szCs w:val="24"/>
        </w:rPr>
        <w:t>Tribunal</w:t>
      </w:r>
      <w:r w:rsidR="001B046F" w:rsidRPr="001B046F">
        <w:rPr>
          <w:rFonts w:eastAsia="Lucida Sans"/>
          <w:sz w:val="24"/>
          <w:szCs w:val="24"/>
        </w:rPr>
        <w:t>”) against, amongst others, KWEK Studio Limited (“</w:t>
      </w:r>
      <w:r w:rsidR="001B046F" w:rsidRPr="001B046F">
        <w:rPr>
          <w:rFonts w:eastAsia="Lucida Sans"/>
          <w:b/>
          <w:sz w:val="24"/>
          <w:szCs w:val="24"/>
        </w:rPr>
        <w:t>KWEK</w:t>
      </w:r>
      <w:r w:rsidR="001B046F">
        <w:rPr>
          <w:rFonts w:eastAsia="Lucida Sans"/>
          <w:sz w:val="24"/>
          <w:szCs w:val="24"/>
        </w:rPr>
        <w:t>”</w:t>
      </w:r>
      <w:r w:rsidR="001B046F" w:rsidRPr="001B046F">
        <w:rPr>
          <w:rFonts w:eastAsia="Lucida Sans"/>
          <w:sz w:val="24"/>
          <w:szCs w:val="24"/>
        </w:rPr>
        <w:t>) and its shareholder/director, Tang Wai Chun, also known as Koki Tang (“</w:t>
      </w:r>
      <w:r w:rsidR="001B046F" w:rsidRPr="001B046F">
        <w:rPr>
          <w:rFonts w:eastAsia="Lucida Sans"/>
          <w:b/>
          <w:sz w:val="24"/>
          <w:szCs w:val="24"/>
        </w:rPr>
        <w:t>Koki Tang</w:t>
      </w:r>
      <w:r w:rsidR="001B046F" w:rsidRPr="001B046F">
        <w:rPr>
          <w:rFonts w:eastAsia="Lucida Sans"/>
          <w:sz w:val="24"/>
          <w:szCs w:val="24"/>
        </w:rPr>
        <w:t xml:space="preserve">”), being the </w:t>
      </w:r>
      <w:r w:rsidR="00C77807">
        <w:rPr>
          <w:rFonts w:eastAsia="Lucida Sans"/>
          <w:sz w:val="24"/>
          <w:szCs w:val="24"/>
        </w:rPr>
        <w:t>5</w:t>
      </w:r>
      <w:r w:rsidR="00C77807" w:rsidRPr="00C77807">
        <w:rPr>
          <w:rFonts w:eastAsia="Lucida Sans"/>
          <w:sz w:val="24"/>
          <w:szCs w:val="24"/>
          <w:vertAlign w:val="superscript"/>
        </w:rPr>
        <w:t>th</w:t>
      </w:r>
      <w:r w:rsidR="00C77807">
        <w:rPr>
          <w:rFonts w:eastAsia="Lucida Sans"/>
          <w:sz w:val="24"/>
          <w:szCs w:val="24"/>
        </w:rPr>
        <w:t xml:space="preserve"> </w:t>
      </w:r>
      <w:r w:rsidR="001B046F" w:rsidRPr="001B046F">
        <w:rPr>
          <w:rFonts w:eastAsia="Lucida Sans"/>
          <w:sz w:val="24"/>
          <w:szCs w:val="24"/>
        </w:rPr>
        <w:t xml:space="preserve">and the </w:t>
      </w:r>
      <w:r w:rsidR="00C77807">
        <w:rPr>
          <w:rFonts w:eastAsia="Lucida Sans"/>
          <w:sz w:val="24"/>
          <w:szCs w:val="24"/>
        </w:rPr>
        <w:t>8</w:t>
      </w:r>
      <w:r w:rsidR="00C77807" w:rsidRPr="00C77807">
        <w:rPr>
          <w:rFonts w:eastAsia="Lucida Sans"/>
          <w:sz w:val="24"/>
          <w:szCs w:val="24"/>
          <w:vertAlign w:val="superscript"/>
        </w:rPr>
        <w:t>th</w:t>
      </w:r>
      <w:r w:rsidR="00C77807">
        <w:rPr>
          <w:rFonts w:eastAsia="Lucida Sans"/>
          <w:sz w:val="24"/>
          <w:szCs w:val="24"/>
        </w:rPr>
        <w:t xml:space="preserve"> </w:t>
      </w:r>
      <w:r w:rsidR="001B046F" w:rsidRPr="001B046F">
        <w:rPr>
          <w:rFonts w:eastAsia="Lucida Sans"/>
          <w:sz w:val="24"/>
          <w:szCs w:val="24"/>
        </w:rPr>
        <w:t>Respondents in these proceedings respectively.</w:t>
      </w:r>
    </w:p>
    <w:p w:rsidR="001B046F" w:rsidRDefault="001B046F" w:rsidP="001B046F">
      <w:pPr>
        <w:spacing w:before="360" w:line="360" w:lineRule="auto"/>
        <w:ind w:right="-331"/>
        <w:rPr>
          <w:rFonts w:eastAsia="Lucida Sans"/>
          <w:sz w:val="24"/>
          <w:szCs w:val="24"/>
        </w:rPr>
      </w:pPr>
      <w:r>
        <w:rPr>
          <w:rFonts w:eastAsia="Lucida Sans"/>
          <w:sz w:val="24"/>
          <w:szCs w:val="24"/>
        </w:rPr>
        <w:t>2.</w:t>
      </w:r>
      <w:r>
        <w:rPr>
          <w:rFonts w:eastAsia="Lucida Sans"/>
          <w:sz w:val="24"/>
          <w:szCs w:val="24"/>
        </w:rPr>
        <w:tab/>
      </w:r>
      <w:r w:rsidRPr="001B046F">
        <w:rPr>
          <w:rFonts w:eastAsia="Lucida Sans"/>
          <w:sz w:val="24"/>
          <w:szCs w:val="24"/>
        </w:rPr>
        <w:t>As against KWEK, the Commission seeks:</w:t>
      </w:r>
    </w:p>
    <w:p w:rsidR="001B046F" w:rsidRDefault="001B046F" w:rsidP="001B046F">
      <w:pPr>
        <w:spacing w:before="360" w:line="360" w:lineRule="auto"/>
        <w:ind w:left="1260" w:right="-331" w:hanging="540"/>
        <w:rPr>
          <w:rFonts w:eastAsiaTheme="minorEastAsia"/>
          <w:sz w:val="24"/>
          <w:szCs w:val="24"/>
          <w:lang w:eastAsia="zh-TW"/>
        </w:rPr>
      </w:pPr>
      <w:r>
        <w:rPr>
          <w:rFonts w:eastAsiaTheme="minorEastAsia" w:hint="eastAsia"/>
          <w:sz w:val="24"/>
          <w:szCs w:val="24"/>
          <w:lang w:eastAsia="zh-TW"/>
        </w:rPr>
        <w:t>(1)</w:t>
      </w:r>
      <w:r>
        <w:rPr>
          <w:rFonts w:eastAsiaTheme="minorEastAsia"/>
          <w:sz w:val="24"/>
          <w:szCs w:val="24"/>
          <w:lang w:eastAsia="zh-TW"/>
        </w:rPr>
        <w:tab/>
      </w:r>
      <w:r w:rsidRPr="001B046F">
        <w:rPr>
          <w:rFonts w:eastAsiaTheme="minorEastAsia"/>
          <w:sz w:val="24"/>
          <w:szCs w:val="24"/>
          <w:lang w:eastAsia="zh-TW"/>
        </w:rPr>
        <w:t>a declaration pursuant to section 94(1) of, and section 1(a) of Schedule 3 to, the Ordinance that KWEK has contravened the First Conduct Rule (“</w:t>
      </w:r>
      <w:r w:rsidRPr="00E60093">
        <w:rPr>
          <w:rFonts w:eastAsiaTheme="minorEastAsia"/>
          <w:b/>
          <w:sz w:val="24"/>
          <w:szCs w:val="24"/>
          <w:lang w:eastAsia="zh-TW"/>
        </w:rPr>
        <w:t>FCR</w:t>
      </w:r>
      <w:r w:rsidRPr="001B046F">
        <w:rPr>
          <w:rFonts w:eastAsiaTheme="minorEastAsia"/>
          <w:sz w:val="24"/>
          <w:szCs w:val="24"/>
          <w:lang w:eastAsia="zh-TW"/>
        </w:rPr>
        <w:t>”) under section 6 of the Ordinance;</w:t>
      </w:r>
    </w:p>
    <w:p w:rsidR="00E60093" w:rsidRDefault="00E60093" w:rsidP="001B046F">
      <w:pPr>
        <w:spacing w:before="360" w:line="360" w:lineRule="auto"/>
        <w:ind w:left="1260" w:right="-331" w:hanging="540"/>
        <w:rPr>
          <w:rFonts w:eastAsiaTheme="minorEastAsia"/>
          <w:sz w:val="24"/>
          <w:szCs w:val="24"/>
          <w:lang w:eastAsia="zh-TW"/>
        </w:rPr>
      </w:pPr>
      <w:r>
        <w:rPr>
          <w:rFonts w:eastAsiaTheme="minorEastAsia"/>
          <w:sz w:val="24"/>
          <w:szCs w:val="24"/>
          <w:lang w:eastAsia="zh-TW"/>
        </w:rPr>
        <w:t>(2)</w:t>
      </w:r>
      <w:r>
        <w:rPr>
          <w:rFonts w:eastAsiaTheme="minorEastAsia"/>
          <w:sz w:val="24"/>
          <w:szCs w:val="24"/>
          <w:lang w:eastAsia="zh-TW"/>
        </w:rPr>
        <w:tab/>
      </w:r>
      <w:r w:rsidRPr="00E60093">
        <w:rPr>
          <w:rFonts w:eastAsiaTheme="minorEastAsia"/>
          <w:sz w:val="24"/>
          <w:szCs w:val="24"/>
          <w:lang w:eastAsia="zh-TW"/>
        </w:rPr>
        <w:t>an order pursuant to section 94(1) of, and section 1(c) of Schedule 3 to, the Ordinance requiring it to adopt and to implement, to the reasonable satisfaction of the Commission, an effective competition compliance programme in such time period and manner as the Tribunal shall determine;</w:t>
      </w:r>
    </w:p>
    <w:p w:rsidR="00E60093" w:rsidRDefault="00E60093" w:rsidP="001B046F">
      <w:pPr>
        <w:spacing w:before="360" w:line="360" w:lineRule="auto"/>
        <w:ind w:left="1260" w:right="-331" w:hanging="540"/>
        <w:rPr>
          <w:rFonts w:eastAsiaTheme="minorEastAsia"/>
          <w:sz w:val="24"/>
          <w:szCs w:val="24"/>
          <w:lang w:eastAsia="zh-TW"/>
        </w:rPr>
      </w:pPr>
      <w:r>
        <w:rPr>
          <w:rFonts w:eastAsiaTheme="minorEastAsia"/>
          <w:sz w:val="24"/>
          <w:szCs w:val="24"/>
          <w:lang w:eastAsia="zh-TW"/>
        </w:rPr>
        <w:t>(3)</w:t>
      </w:r>
      <w:r>
        <w:rPr>
          <w:rFonts w:eastAsiaTheme="minorEastAsia"/>
          <w:sz w:val="24"/>
          <w:szCs w:val="24"/>
          <w:lang w:eastAsia="zh-TW"/>
        </w:rPr>
        <w:tab/>
      </w:r>
      <w:r w:rsidRPr="00E60093">
        <w:rPr>
          <w:rFonts w:eastAsiaTheme="minorEastAsia"/>
          <w:sz w:val="24"/>
          <w:szCs w:val="24"/>
          <w:lang w:eastAsia="zh-TW"/>
        </w:rPr>
        <w:t>an order under section 96(1) of the Ordinance that it shall pay to the Government an amount equal to the reasonably incurred costs of and incidental to the Commission’s investigation into its conduct or affairs, to be assessed;</w:t>
      </w:r>
    </w:p>
    <w:p w:rsidR="00E60093" w:rsidRDefault="00E60093" w:rsidP="001B046F">
      <w:pPr>
        <w:spacing w:before="360" w:line="360" w:lineRule="auto"/>
        <w:ind w:left="1260" w:right="-331" w:hanging="540"/>
        <w:rPr>
          <w:rFonts w:eastAsiaTheme="minorEastAsia"/>
          <w:sz w:val="24"/>
          <w:szCs w:val="24"/>
          <w:lang w:eastAsia="zh-TW"/>
        </w:rPr>
      </w:pPr>
      <w:r>
        <w:rPr>
          <w:rFonts w:eastAsiaTheme="minorEastAsia"/>
          <w:sz w:val="24"/>
          <w:szCs w:val="24"/>
          <w:lang w:eastAsia="zh-TW"/>
        </w:rPr>
        <w:t>(4)</w:t>
      </w:r>
      <w:r>
        <w:rPr>
          <w:rFonts w:eastAsiaTheme="minorEastAsia"/>
          <w:sz w:val="24"/>
          <w:szCs w:val="24"/>
          <w:lang w:eastAsia="zh-TW"/>
        </w:rPr>
        <w:tab/>
      </w:r>
      <w:r w:rsidRPr="00E60093">
        <w:rPr>
          <w:rFonts w:eastAsiaTheme="minorEastAsia"/>
          <w:sz w:val="24"/>
          <w:szCs w:val="24"/>
          <w:lang w:eastAsia="zh-TW"/>
        </w:rPr>
        <w:t>an order that it shall pay the Commission’s costs of and incidental to the application in these proceedings, to be assessed; and</w:t>
      </w:r>
    </w:p>
    <w:p w:rsidR="00E60093" w:rsidRDefault="00E60093" w:rsidP="001B046F">
      <w:pPr>
        <w:spacing w:before="360" w:line="360" w:lineRule="auto"/>
        <w:ind w:left="1260" w:right="-331" w:hanging="540"/>
        <w:rPr>
          <w:rFonts w:eastAsiaTheme="minorEastAsia"/>
          <w:sz w:val="24"/>
          <w:szCs w:val="24"/>
          <w:lang w:eastAsia="zh-TW"/>
        </w:rPr>
      </w:pPr>
      <w:r>
        <w:rPr>
          <w:rFonts w:eastAsiaTheme="minorEastAsia"/>
          <w:sz w:val="24"/>
          <w:szCs w:val="24"/>
          <w:lang w:eastAsia="zh-TW"/>
        </w:rPr>
        <w:t>(5)</w:t>
      </w:r>
      <w:r>
        <w:rPr>
          <w:rFonts w:eastAsiaTheme="minorEastAsia"/>
          <w:sz w:val="24"/>
          <w:szCs w:val="24"/>
          <w:lang w:eastAsia="zh-TW"/>
        </w:rPr>
        <w:tab/>
      </w:r>
      <w:r w:rsidRPr="00E60093">
        <w:rPr>
          <w:rFonts w:eastAsiaTheme="minorEastAsia"/>
          <w:sz w:val="24"/>
          <w:szCs w:val="24"/>
          <w:lang w:eastAsia="zh-TW"/>
        </w:rPr>
        <w:t>such further or other relief as the Tribunal considers appropriate.</w:t>
      </w:r>
    </w:p>
    <w:p w:rsidR="00E60093" w:rsidRDefault="00E60093" w:rsidP="00E60093">
      <w:pPr>
        <w:spacing w:before="360" w:line="360" w:lineRule="auto"/>
        <w:ind w:right="-331"/>
        <w:rPr>
          <w:rFonts w:eastAsiaTheme="minorEastAsia"/>
          <w:sz w:val="24"/>
          <w:szCs w:val="24"/>
          <w:lang w:eastAsia="zh-TW"/>
        </w:rPr>
      </w:pPr>
      <w:r>
        <w:rPr>
          <w:rFonts w:eastAsiaTheme="minorEastAsia"/>
          <w:sz w:val="24"/>
          <w:szCs w:val="24"/>
          <w:lang w:eastAsia="zh-TW"/>
        </w:rPr>
        <w:t>3.</w:t>
      </w:r>
      <w:r>
        <w:rPr>
          <w:rFonts w:eastAsiaTheme="minorEastAsia"/>
          <w:sz w:val="24"/>
          <w:szCs w:val="24"/>
          <w:lang w:eastAsia="zh-TW"/>
        </w:rPr>
        <w:tab/>
      </w:r>
      <w:r w:rsidRPr="00E60093">
        <w:rPr>
          <w:rFonts w:eastAsiaTheme="minorEastAsia"/>
          <w:sz w:val="24"/>
          <w:szCs w:val="24"/>
          <w:lang w:eastAsia="zh-TW"/>
        </w:rPr>
        <w:t>As against Koki Tang, the Commission seeks:</w:t>
      </w:r>
    </w:p>
    <w:p w:rsidR="00E60093" w:rsidRDefault="00E60093" w:rsidP="00E60093">
      <w:pPr>
        <w:spacing w:before="360" w:line="360" w:lineRule="auto"/>
        <w:ind w:left="1260" w:right="-331" w:hanging="540"/>
        <w:rPr>
          <w:rFonts w:eastAsiaTheme="minorEastAsia"/>
          <w:sz w:val="24"/>
          <w:szCs w:val="24"/>
          <w:lang w:eastAsia="zh-TW"/>
        </w:rPr>
      </w:pPr>
      <w:r>
        <w:rPr>
          <w:rFonts w:eastAsiaTheme="minorEastAsia"/>
          <w:sz w:val="24"/>
          <w:szCs w:val="24"/>
          <w:lang w:eastAsia="zh-TW"/>
        </w:rPr>
        <w:t>(1)</w:t>
      </w:r>
      <w:r>
        <w:rPr>
          <w:rFonts w:eastAsiaTheme="minorEastAsia"/>
          <w:sz w:val="24"/>
          <w:szCs w:val="24"/>
          <w:lang w:eastAsia="zh-TW"/>
        </w:rPr>
        <w:tab/>
      </w:r>
      <w:r w:rsidRPr="00E60093">
        <w:rPr>
          <w:rFonts w:eastAsiaTheme="minorEastAsia"/>
          <w:sz w:val="24"/>
          <w:szCs w:val="24"/>
          <w:lang w:eastAsia="zh-TW"/>
        </w:rPr>
        <w:t>a declaration pursuant to section 94(1) that he has been involved in a contravention of the FCR;</w:t>
      </w:r>
    </w:p>
    <w:p w:rsidR="00E60093" w:rsidRDefault="00E60093" w:rsidP="00E60093">
      <w:pPr>
        <w:spacing w:before="360" w:line="360" w:lineRule="auto"/>
        <w:ind w:left="1260" w:right="-331" w:hanging="540"/>
        <w:rPr>
          <w:rFonts w:eastAsiaTheme="minorEastAsia"/>
          <w:sz w:val="24"/>
          <w:szCs w:val="24"/>
          <w:lang w:eastAsia="zh-TW"/>
        </w:rPr>
      </w:pPr>
      <w:r>
        <w:rPr>
          <w:rFonts w:eastAsiaTheme="minorEastAsia"/>
          <w:sz w:val="24"/>
          <w:szCs w:val="24"/>
          <w:lang w:eastAsia="zh-TW"/>
        </w:rPr>
        <w:t>(2)</w:t>
      </w:r>
      <w:r>
        <w:rPr>
          <w:rFonts w:eastAsiaTheme="minorEastAsia"/>
          <w:sz w:val="24"/>
          <w:szCs w:val="24"/>
          <w:lang w:eastAsia="zh-TW"/>
        </w:rPr>
        <w:tab/>
      </w:r>
      <w:r w:rsidRPr="00E60093">
        <w:rPr>
          <w:rFonts w:eastAsiaTheme="minorEastAsia"/>
          <w:sz w:val="24"/>
          <w:szCs w:val="24"/>
          <w:lang w:eastAsia="zh-TW"/>
        </w:rPr>
        <w:t>an order under section 93(1) of the Ordinance that he shall pay to the Government a pecuniary penalty in such amount as the Tribunal considers appropriate;</w:t>
      </w:r>
    </w:p>
    <w:p w:rsidR="00E60093" w:rsidRDefault="00E60093" w:rsidP="00E60093">
      <w:pPr>
        <w:spacing w:before="360" w:line="360" w:lineRule="auto"/>
        <w:ind w:left="1260" w:right="-331" w:hanging="540"/>
        <w:rPr>
          <w:rFonts w:eastAsiaTheme="minorEastAsia"/>
          <w:sz w:val="24"/>
          <w:szCs w:val="24"/>
          <w:lang w:eastAsia="zh-TW"/>
        </w:rPr>
      </w:pPr>
      <w:r>
        <w:rPr>
          <w:rFonts w:eastAsiaTheme="minorEastAsia"/>
          <w:sz w:val="24"/>
          <w:szCs w:val="24"/>
          <w:lang w:eastAsia="zh-TW"/>
        </w:rPr>
        <w:t>(3)</w:t>
      </w:r>
      <w:r>
        <w:rPr>
          <w:rFonts w:eastAsiaTheme="minorEastAsia"/>
          <w:sz w:val="24"/>
          <w:szCs w:val="24"/>
          <w:lang w:eastAsia="zh-TW"/>
        </w:rPr>
        <w:tab/>
      </w:r>
      <w:r w:rsidRPr="00E60093">
        <w:rPr>
          <w:rFonts w:eastAsiaTheme="minorEastAsia"/>
          <w:sz w:val="24"/>
          <w:szCs w:val="24"/>
          <w:lang w:eastAsia="zh-TW"/>
        </w:rPr>
        <w:t>a disqualification order under section 101 of the Ordinance;</w:t>
      </w:r>
    </w:p>
    <w:p w:rsidR="00E60093" w:rsidRDefault="00E60093" w:rsidP="00E60093">
      <w:pPr>
        <w:spacing w:before="360" w:line="360" w:lineRule="auto"/>
        <w:ind w:left="1260" w:right="-331" w:hanging="540"/>
        <w:rPr>
          <w:rFonts w:eastAsiaTheme="minorEastAsia"/>
          <w:sz w:val="24"/>
          <w:szCs w:val="24"/>
          <w:lang w:eastAsia="zh-TW"/>
        </w:rPr>
      </w:pPr>
      <w:r>
        <w:rPr>
          <w:rFonts w:eastAsiaTheme="minorEastAsia"/>
          <w:sz w:val="24"/>
          <w:szCs w:val="24"/>
          <w:lang w:eastAsia="zh-TW"/>
        </w:rPr>
        <w:t>(4)</w:t>
      </w:r>
      <w:r>
        <w:rPr>
          <w:rFonts w:eastAsiaTheme="minorEastAsia"/>
          <w:sz w:val="24"/>
          <w:szCs w:val="24"/>
          <w:lang w:eastAsia="zh-TW"/>
        </w:rPr>
        <w:tab/>
      </w:r>
      <w:r w:rsidRPr="00E60093">
        <w:rPr>
          <w:rFonts w:eastAsiaTheme="minorEastAsia"/>
          <w:sz w:val="24"/>
          <w:szCs w:val="24"/>
          <w:lang w:eastAsia="zh-TW"/>
        </w:rPr>
        <w:t>an order that he shall pay the Commission’s costs of and incidental to the application in these proceedings, to be assessed; and</w:t>
      </w:r>
    </w:p>
    <w:p w:rsidR="00E60093" w:rsidRDefault="00E60093" w:rsidP="00E60093">
      <w:pPr>
        <w:spacing w:before="360" w:line="360" w:lineRule="auto"/>
        <w:ind w:left="1260" w:right="-331" w:hanging="540"/>
        <w:rPr>
          <w:rFonts w:eastAsiaTheme="minorEastAsia"/>
          <w:sz w:val="24"/>
          <w:szCs w:val="24"/>
          <w:lang w:eastAsia="zh-TW"/>
        </w:rPr>
      </w:pPr>
      <w:r>
        <w:rPr>
          <w:rFonts w:eastAsiaTheme="minorEastAsia"/>
          <w:sz w:val="24"/>
          <w:szCs w:val="24"/>
          <w:lang w:eastAsia="zh-TW"/>
        </w:rPr>
        <w:t>(5)</w:t>
      </w:r>
      <w:r w:rsidR="00730E2C">
        <w:rPr>
          <w:rFonts w:eastAsiaTheme="minorEastAsia"/>
          <w:sz w:val="24"/>
          <w:szCs w:val="24"/>
          <w:lang w:eastAsia="zh-TW"/>
        </w:rPr>
        <w:tab/>
      </w:r>
      <w:r w:rsidR="00730E2C" w:rsidRPr="00730E2C">
        <w:rPr>
          <w:rFonts w:eastAsiaTheme="minorEastAsia"/>
          <w:sz w:val="24"/>
          <w:szCs w:val="24"/>
          <w:lang w:eastAsia="zh-TW"/>
        </w:rPr>
        <w:t>such further or other relief as the Tribunal considers appropriate.</w:t>
      </w:r>
    </w:p>
    <w:p w:rsidR="00730E2C" w:rsidRDefault="00730E2C" w:rsidP="00730E2C">
      <w:pPr>
        <w:spacing w:before="360" w:line="360" w:lineRule="auto"/>
        <w:ind w:right="-331"/>
        <w:rPr>
          <w:rFonts w:eastAsiaTheme="minorEastAsia"/>
          <w:sz w:val="24"/>
          <w:szCs w:val="24"/>
          <w:lang w:eastAsia="zh-TW"/>
        </w:rPr>
      </w:pPr>
      <w:r>
        <w:rPr>
          <w:rFonts w:eastAsiaTheme="minorEastAsia"/>
          <w:sz w:val="24"/>
          <w:szCs w:val="24"/>
          <w:lang w:eastAsia="zh-TW"/>
        </w:rPr>
        <w:t>4.</w:t>
      </w:r>
      <w:r>
        <w:rPr>
          <w:rFonts w:eastAsiaTheme="minorEastAsia"/>
          <w:sz w:val="24"/>
          <w:szCs w:val="24"/>
          <w:lang w:eastAsia="zh-TW"/>
        </w:rPr>
        <w:tab/>
      </w:r>
      <w:r w:rsidRPr="00730E2C">
        <w:rPr>
          <w:rFonts w:eastAsiaTheme="minorEastAsia"/>
          <w:sz w:val="24"/>
          <w:szCs w:val="24"/>
          <w:lang w:eastAsia="zh-TW"/>
        </w:rPr>
        <w:t xml:space="preserve">Subject to the approval of the Tribunal, the Commission and each of KWEK and Koki Tang agree to enter judgment on liability and consequential orders in favour of the Commission against them by way of the summary procedure as provided for in Rule 39 of the CTR and §72 of the CTPD1. The procedure as envisaged by the parties is that sanctioned by the High Court of England and Wales in the case of </w:t>
      </w:r>
      <w:r w:rsidRPr="00730E2C">
        <w:rPr>
          <w:rFonts w:eastAsiaTheme="minorEastAsia"/>
          <w:b/>
          <w:sz w:val="24"/>
          <w:szCs w:val="24"/>
          <w:u w:val="single"/>
          <w:lang w:eastAsia="zh-TW"/>
        </w:rPr>
        <w:t>Re Carecraft Construction Co Ltd</w:t>
      </w:r>
      <w:r w:rsidRPr="00730E2C">
        <w:rPr>
          <w:rFonts w:eastAsiaTheme="minorEastAsia"/>
          <w:sz w:val="24"/>
          <w:szCs w:val="24"/>
          <w:lang w:eastAsia="zh-TW"/>
        </w:rPr>
        <w:t xml:space="preserve"> [1994] 1 WLR 172 and clarified by the Court of Appeal of England and Wales in </w:t>
      </w:r>
      <w:r w:rsidRPr="00730E2C">
        <w:rPr>
          <w:rFonts w:eastAsiaTheme="minorEastAsia"/>
          <w:b/>
          <w:sz w:val="24"/>
          <w:szCs w:val="24"/>
          <w:u w:val="single"/>
          <w:lang w:eastAsia="zh-TW"/>
        </w:rPr>
        <w:t>Secretary of State for Trade and Industry v Rogers</w:t>
      </w:r>
      <w:r w:rsidRPr="00730E2C">
        <w:rPr>
          <w:rFonts w:eastAsiaTheme="minorEastAsia"/>
          <w:sz w:val="24"/>
          <w:szCs w:val="24"/>
          <w:lang w:eastAsia="zh-TW"/>
        </w:rPr>
        <w:t xml:space="preserve"> [1996] 1 WLR 1569, and as adopted in Hong Kong for proceedings under section 214 of the Securities and Futures Ordinance (Cap. 571) and section 168H of the former Companies Ordinance (Cap. 32).  Further, the procedure was endorsed by the Honourable Mr. Justice Jonathan Harris in the case of </w:t>
      </w:r>
      <w:r w:rsidRPr="00730E2C">
        <w:rPr>
          <w:rFonts w:eastAsiaTheme="minorEastAsia"/>
          <w:b/>
          <w:sz w:val="24"/>
          <w:szCs w:val="24"/>
          <w:u w:val="single"/>
          <w:lang w:eastAsia="zh-TW"/>
        </w:rPr>
        <w:t>Competition Commission v Kam Kwong Engineering Co Ltd</w:t>
      </w:r>
      <w:r w:rsidRPr="00730E2C">
        <w:rPr>
          <w:rFonts w:eastAsiaTheme="minorEastAsia"/>
          <w:sz w:val="24"/>
          <w:szCs w:val="24"/>
          <w:lang w:eastAsia="zh-TW"/>
        </w:rPr>
        <w:t xml:space="preserve"> [2020] 4 HKLRD 61 as a </w:t>
      </w:r>
      <w:r w:rsidRPr="00730E2C">
        <w:rPr>
          <w:rFonts w:eastAsiaTheme="minorEastAsia"/>
          <w:i/>
          <w:sz w:val="24"/>
          <w:szCs w:val="24"/>
          <w:lang w:eastAsia="zh-TW"/>
        </w:rPr>
        <w:t>“readymade blueprint for disposing of proceedings under the Ordinance”</w:t>
      </w:r>
      <w:r w:rsidRPr="00730E2C">
        <w:rPr>
          <w:rFonts w:eastAsiaTheme="minorEastAsia"/>
          <w:sz w:val="24"/>
          <w:szCs w:val="24"/>
          <w:lang w:eastAsia="zh-TW"/>
        </w:rPr>
        <w:t xml:space="preserve"> (at §17) and by the Honourable Madam Justice Linda Chan in her judgment handed down on 3 November 2020 (</w:t>
      </w:r>
      <w:r w:rsidRPr="00730E2C">
        <w:rPr>
          <w:rFonts w:eastAsiaTheme="minorEastAsia"/>
          <w:b/>
          <w:sz w:val="24"/>
          <w:szCs w:val="24"/>
          <w:u w:val="single"/>
          <w:lang w:eastAsia="zh-TW"/>
        </w:rPr>
        <w:t>Competition Commission v. Quantr Limited and Others</w:t>
      </w:r>
      <w:r w:rsidRPr="00730E2C">
        <w:rPr>
          <w:rFonts w:eastAsiaTheme="minorEastAsia"/>
          <w:sz w:val="24"/>
          <w:szCs w:val="24"/>
          <w:lang w:eastAsia="zh-TW"/>
        </w:rPr>
        <w:t xml:space="preserve"> [2020] HKCT 10).  Additionally, the same procedure was adopted by the Honourable Mr. Justice Godfrey Lam (as he then was) in his judgment handed down on 16 December 2020 in relation to the penalty proceedings in </w:t>
      </w:r>
      <w:r w:rsidRPr="00730E2C">
        <w:rPr>
          <w:rFonts w:eastAsiaTheme="minorEastAsia"/>
          <w:b/>
          <w:sz w:val="24"/>
          <w:szCs w:val="24"/>
          <w:u w:val="single"/>
          <w:lang w:eastAsia="zh-TW"/>
        </w:rPr>
        <w:t>Competition Commission v. Nutanix Hong Kong Limited and Others</w:t>
      </w:r>
      <w:r w:rsidRPr="00730E2C">
        <w:rPr>
          <w:rFonts w:eastAsiaTheme="minorEastAsia"/>
          <w:sz w:val="24"/>
          <w:szCs w:val="24"/>
          <w:lang w:eastAsia="zh-TW"/>
        </w:rPr>
        <w:t xml:space="preserve"> [2020] HKCT 11.</w:t>
      </w:r>
    </w:p>
    <w:p w:rsidR="00C77807" w:rsidRDefault="00C77807" w:rsidP="00730E2C">
      <w:pPr>
        <w:spacing w:before="360" w:line="360" w:lineRule="auto"/>
        <w:ind w:right="-331"/>
        <w:rPr>
          <w:rFonts w:eastAsiaTheme="minorEastAsia"/>
          <w:sz w:val="24"/>
          <w:szCs w:val="24"/>
          <w:lang w:eastAsia="zh-TW"/>
        </w:rPr>
      </w:pPr>
      <w:r>
        <w:rPr>
          <w:rFonts w:eastAsiaTheme="minorEastAsia"/>
          <w:sz w:val="24"/>
          <w:szCs w:val="24"/>
          <w:lang w:eastAsia="zh-TW"/>
        </w:rPr>
        <w:t>5.</w:t>
      </w:r>
      <w:r>
        <w:rPr>
          <w:rFonts w:eastAsiaTheme="minorEastAsia"/>
          <w:sz w:val="24"/>
          <w:szCs w:val="24"/>
          <w:lang w:eastAsia="zh-TW"/>
        </w:rPr>
        <w:tab/>
      </w:r>
      <w:r w:rsidRPr="00C77807">
        <w:rPr>
          <w:rFonts w:eastAsiaTheme="minorEastAsia"/>
          <w:sz w:val="24"/>
          <w:szCs w:val="24"/>
          <w:lang w:eastAsia="zh-TW"/>
        </w:rPr>
        <w:t>This Statement of Agreed Facts (“</w:t>
      </w:r>
      <w:r w:rsidRPr="00C77807">
        <w:rPr>
          <w:rFonts w:eastAsiaTheme="minorEastAsia"/>
          <w:b/>
          <w:sz w:val="24"/>
          <w:szCs w:val="24"/>
          <w:lang w:eastAsia="zh-TW"/>
        </w:rPr>
        <w:t>Statement</w:t>
      </w:r>
      <w:r w:rsidRPr="00C77807">
        <w:rPr>
          <w:rFonts w:eastAsiaTheme="minorEastAsia"/>
          <w:sz w:val="24"/>
          <w:szCs w:val="24"/>
          <w:lang w:eastAsia="zh-TW"/>
        </w:rPr>
        <w:t>”) is submitted pursuant to Rule 39 of the CTR and §72 of the CTPD1.  The Tribunal is asked to make the orders sought in paragraphs 2 and 3 above on the basis of the facts set out in this Statement.</w:t>
      </w:r>
    </w:p>
    <w:p w:rsidR="00C77807" w:rsidRDefault="00C77807" w:rsidP="00730E2C">
      <w:pPr>
        <w:spacing w:before="360" w:line="360" w:lineRule="auto"/>
        <w:ind w:right="-331"/>
        <w:rPr>
          <w:rFonts w:eastAsiaTheme="minorEastAsia"/>
          <w:sz w:val="24"/>
          <w:szCs w:val="24"/>
          <w:lang w:eastAsia="zh-TW"/>
        </w:rPr>
      </w:pPr>
      <w:r>
        <w:rPr>
          <w:rFonts w:eastAsiaTheme="minorEastAsia"/>
          <w:sz w:val="24"/>
          <w:szCs w:val="24"/>
          <w:lang w:eastAsia="zh-TW"/>
        </w:rPr>
        <w:t>6.</w:t>
      </w:r>
      <w:r>
        <w:rPr>
          <w:rFonts w:eastAsiaTheme="minorEastAsia"/>
          <w:sz w:val="24"/>
          <w:szCs w:val="24"/>
          <w:lang w:eastAsia="zh-TW"/>
        </w:rPr>
        <w:tab/>
      </w:r>
      <w:r w:rsidRPr="00C77807">
        <w:rPr>
          <w:rFonts w:eastAsiaTheme="minorEastAsia"/>
          <w:sz w:val="24"/>
          <w:szCs w:val="24"/>
          <w:lang w:eastAsia="zh-TW"/>
        </w:rPr>
        <w:t>For the purpose of resolving these proceedings summarily, by reference to the facts as set out in Part B below, the Commission contends and each of KWEK and Koki Tang admits that between early May 2020 until at least 19 April 2021, KWEK has contravened the FCR by having made and given effect to an agreement and engaged in a concerted practice involving price fixing, customer allocation, bid-rigging and the exchange of competitively sensitive information with three other undertakings , namely (1) Multisoft (consisting of Multisoft Limited (“</w:t>
      </w:r>
      <w:r w:rsidRPr="00C77807">
        <w:rPr>
          <w:rFonts w:eastAsiaTheme="minorEastAsia"/>
          <w:b/>
          <w:sz w:val="24"/>
          <w:szCs w:val="24"/>
          <w:lang w:eastAsia="zh-TW"/>
        </w:rPr>
        <w:t>ML</w:t>
      </w:r>
      <w:r w:rsidRPr="00C77807">
        <w:rPr>
          <w:rFonts w:eastAsiaTheme="minorEastAsia"/>
          <w:sz w:val="24"/>
          <w:szCs w:val="24"/>
          <w:lang w:eastAsia="zh-TW"/>
        </w:rPr>
        <w:t>”) and its parent company MTT Group Holdings Limited (“</w:t>
      </w:r>
      <w:r w:rsidRPr="00C77807">
        <w:rPr>
          <w:rFonts w:eastAsiaTheme="minorEastAsia"/>
          <w:b/>
          <w:sz w:val="24"/>
          <w:szCs w:val="24"/>
          <w:lang w:eastAsia="zh-TW"/>
        </w:rPr>
        <w:t>MTT</w:t>
      </w:r>
      <w:r w:rsidRPr="00C77807">
        <w:rPr>
          <w:rFonts w:eastAsiaTheme="minorEastAsia"/>
          <w:sz w:val="24"/>
          <w:szCs w:val="24"/>
          <w:lang w:eastAsia="zh-TW"/>
        </w:rPr>
        <w:t xml:space="preserve">”), being the </w:t>
      </w:r>
      <w:r w:rsidR="0069067F">
        <w:rPr>
          <w:rFonts w:eastAsiaTheme="minorEastAsia"/>
          <w:sz w:val="24"/>
          <w:szCs w:val="24"/>
          <w:lang w:eastAsia="zh-TW"/>
        </w:rPr>
        <w:t>1</w:t>
      </w:r>
      <w:r w:rsidR="0069067F" w:rsidRPr="0069067F">
        <w:rPr>
          <w:rFonts w:eastAsiaTheme="minorEastAsia"/>
          <w:sz w:val="24"/>
          <w:szCs w:val="24"/>
          <w:vertAlign w:val="superscript"/>
          <w:lang w:eastAsia="zh-TW"/>
        </w:rPr>
        <w:t>st</w:t>
      </w:r>
      <w:r w:rsidR="0069067F">
        <w:rPr>
          <w:rFonts w:eastAsiaTheme="minorEastAsia"/>
          <w:sz w:val="24"/>
          <w:szCs w:val="24"/>
          <w:lang w:eastAsia="zh-TW"/>
        </w:rPr>
        <w:t xml:space="preserve"> </w:t>
      </w:r>
      <w:r w:rsidRPr="00C77807">
        <w:rPr>
          <w:rFonts w:eastAsiaTheme="minorEastAsia"/>
          <w:sz w:val="24"/>
          <w:szCs w:val="24"/>
          <w:lang w:eastAsia="zh-TW"/>
        </w:rPr>
        <w:t xml:space="preserve">and </w:t>
      </w:r>
      <w:r w:rsidR="0069067F">
        <w:rPr>
          <w:rFonts w:eastAsiaTheme="minorEastAsia"/>
          <w:sz w:val="24"/>
          <w:szCs w:val="24"/>
          <w:lang w:eastAsia="zh-TW"/>
        </w:rPr>
        <w:t>2</w:t>
      </w:r>
      <w:r w:rsidR="0069067F" w:rsidRPr="0069067F">
        <w:rPr>
          <w:rFonts w:eastAsiaTheme="minorEastAsia"/>
          <w:sz w:val="24"/>
          <w:szCs w:val="24"/>
          <w:vertAlign w:val="superscript"/>
          <w:lang w:eastAsia="zh-TW"/>
        </w:rPr>
        <w:t>nd</w:t>
      </w:r>
      <w:r w:rsidR="0069067F">
        <w:rPr>
          <w:rFonts w:eastAsiaTheme="minorEastAsia"/>
          <w:sz w:val="24"/>
          <w:szCs w:val="24"/>
          <w:lang w:eastAsia="zh-TW"/>
        </w:rPr>
        <w:t xml:space="preserve"> </w:t>
      </w:r>
      <w:r w:rsidRPr="00C77807">
        <w:rPr>
          <w:rFonts w:eastAsiaTheme="minorEastAsia"/>
          <w:sz w:val="24"/>
          <w:szCs w:val="24"/>
          <w:lang w:eastAsia="zh-TW"/>
        </w:rPr>
        <w:t>Respondents in these proceedings respectively); (2) BP/Noble (consisting of BP Enterprise Company Limited (“</w:t>
      </w:r>
      <w:r w:rsidRPr="00C77807">
        <w:rPr>
          <w:rFonts w:eastAsiaTheme="minorEastAsia"/>
          <w:b/>
          <w:sz w:val="24"/>
          <w:szCs w:val="24"/>
          <w:lang w:eastAsia="zh-TW"/>
        </w:rPr>
        <w:t>BP</w:t>
      </w:r>
      <w:r w:rsidRPr="00C77807">
        <w:rPr>
          <w:rFonts w:eastAsiaTheme="minorEastAsia"/>
          <w:sz w:val="24"/>
          <w:szCs w:val="24"/>
          <w:lang w:eastAsia="zh-TW"/>
        </w:rPr>
        <w:t>”) and Noble Nursing Home Company Limited (“</w:t>
      </w:r>
      <w:r w:rsidRPr="00C77807">
        <w:rPr>
          <w:rFonts w:eastAsiaTheme="minorEastAsia"/>
          <w:b/>
          <w:sz w:val="24"/>
          <w:szCs w:val="24"/>
          <w:lang w:eastAsia="zh-TW"/>
        </w:rPr>
        <w:t>Noble</w:t>
      </w:r>
      <w:r w:rsidRPr="00C77807">
        <w:rPr>
          <w:rFonts w:eastAsiaTheme="minorEastAsia"/>
          <w:sz w:val="24"/>
          <w:szCs w:val="24"/>
          <w:lang w:eastAsia="zh-TW"/>
        </w:rPr>
        <w:t xml:space="preserve">”), being  the </w:t>
      </w:r>
      <w:r>
        <w:rPr>
          <w:rFonts w:eastAsiaTheme="minorEastAsia"/>
          <w:sz w:val="24"/>
          <w:szCs w:val="24"/>
          <w:lang w:eastAsia="zh-TW"/>
        </w:rPr>
        <w:t>3</w:t>
      </w:r>
      <w:r w:rsidRPr="00C77807">
        <w:rPr>
          <w:rFonts w:eastAsiaTheme="minorEastAsia"/>
          <w:sz w:val="24"/>
          <w:szCs w:val="24"/>
          <w:vertAlign w:val="superscript"/>
          <w:lang w:eastAsia="zh-TW"/>
        </w:rPr>
        <w:t>rd</w:t>
      </w:r>
      <w:r>
        <w:rPr>
          <w:rFonts w:eastAsiaTheme="minorEastAsia"/>
          <w:sz w:val="24"/>
          <w:szCs w:val="24"/>
          <w:lang w:eastAsia="zh-TW"/>
        </w:rPr>
        <w:t xml:space="preserve"> </w:t>
      </w:r>
      <w:r w:rsidRPr="00C77807">
        <w:rPr>
          <w:rFonts w:eastAsiaTheme="minorEastAsia"/>
          <w:sz w:val="24"/>
          <w:szCs w:val="24"/>
          <w:lang w:eastAsia="zh-TW"/>
        </w:rPr>
        <w:t xml:space="preserve">and </w:t>
      </w:r>
      <w:r>
        <w:rPr>
          <w:rFonts w:eastAsiaTheme="minorEastAsia"/>
          <w:sz w:val="24"/>
          <w:szCs w:val="24"/>
          <w:lang w:eastAsia="zh-TW"/>
        </w:rPr>
        <w:t>4</w:t>
      </w:r>
      <w:r w:rsidRPr="00C77807">
        <w:rPr>
          <w:rFonts w:eastAsiaTheme="minorEastAsia"/>
          <w:sz w:val="24"/>
          <w:szCs w:val="24"/>
          <w:vertAlign w:val="superscript"/>
          <w:lang w:eastAsia="zh-TW"/>
        </w:rPr>
        <w:t>th</w:t>
      </w:r>
      <w:r>
        <w:rPr>
          <w:rFonts w:eastAsiaTheme="minorEastAsia"/>
          <w:sz w:val="24"/>
          <w:szCs w:val="24"/>
          <w:lang w:eastAsia="zh-TW"/>
        </w:rPr>
        <w:t xml:space="preserve"> </w:t>
      </w:r>
      <w:r w:rsidRPr="00C77807">
        <w:rPr>
          <w:rFonts w:eastAsiaTheme="minorEastAsia"/>
          <w:sz w:val="24"/>
          <w:szCs w:val="24"/>
          <w:lang w:eastAsia="zh-TW"/>
        </w:rPr>
        <w:t>Respondents in these proceedings); and (3) Au Yeung Kit Yee, also known as Agnes Au Yeung (“</w:t>
      </w:r>
      <w:r w:rsidRPr="00C77807">
        <w:rPr>
          <w:rFonts w:eastAsiaTheme="minorEastAsia"/>
          <w:b/>
          <w:sz w:val="24"/>
          <w:szCs w:val="24"/>
          <w:lang w:eastAsia="zh-TW"/>
        </w:rPr>
        <w:t>Agnes Au Yeung</w:t>
      </w:r>
      <w:r w:rsidRPr="00C77807">
        <w:rPr>
          <w:rFonts w:eastAsiaTheme="minorEastAsia"/>
          <w:sz w:val="24"/>
          <w:szCs w:val="24"/>
          <w:lang w:eastAsia="zh-TW"/>
        </w:rPr>
        <w:t>”) (trading as Yat Ying Hong (“</w:t>
      </w:r>
      <w:r w:rsidRPr="00C77807">
        <w:rPr>
          <w:rFonts w:eastAsiaTheme="minorEastAsia"/>
          <w:b/>
          <w:sz w:val="24"/>
          <w:szCs w:val="24"/>
          <w:lang w:eastAsia="zh-TW"/>
        </w:rPr>
        <w:t>Yat Ying</w:t>
      </w:r>
      <w:r w:rsidRPr="00C77807">
        <w:rPr>
          <w:rFonts w:eastAsiaTheme="minorEastAsia"/>
          <w:sz w:val="24"/>
          <w:szCs w:val="24"/>
          <w:lang w:eastAsia="zh-TW"/>
        </w:rPr>
        <w:t xml:space="preserve">”)), being the </w:t>
      </w:r>
      <w:r w:rsidR="0069067F">
        <w:rPr>
          <w:rFonts w:eastAsiaTheme="minorEastAsia"/>
          <w:sz w:val="24"/>
          <w:szCs w:val="24"/>
          <w:lang w:eastAsia="zh-TW"/>
        </w:rPr>
        <w:t>6</w:t>
      </w:r>
      <w:r w:rsidR="0069067F" w:rsidRPr="0069067F">
        <w:rPr>
          <w:rFonts w:eastAsiaTheme="minorEastAsia"/>
          <w:sz w:val="24"/>
          <w:szCs w:val="24"/>
          <w:vertAlign w:val="superscript"/>
          <w:lang w:eastAsia="zh-TW"/>
        </w:rPr>
        <w:t>th</w:t>
      </w:r>
      <w:r w:rsidR="0069067F">
        <w:rPr>
          <w:rFonts w:eastAsiaTheme="minorEastAsia"/>
          <w:sz w:val="24"/>
          <w:szCs w:val="24"/>
          <w:lang w:eastAsia="zh-TW"/>
        </w:rPr>
        <w:t xml:space="preserve"> </w:t>
      </w:r>
      <w:r w:rsidRPr="00C77807">
        <w:rPr>
          <w:rFonts w:eastAsiaTheme="minorEastAsia"/>
          <w:sz w:val="24"/>
          <w:szCs w:val="24"/>
          <w:lang w:eastAsia="zh-TW"/>
        </w:rPr>
        <w:t>Respondent in these proceedings, in relation to the supply of quotations for the provision of IT services under the Distance Business Programme (“</w:t>
      </w:r>
      <w:r w:rsidRPr="0069067F">
        <w:rPr>
          <w:rFonts w:eastAsiaTheme="minorEastAsia"/>
          <w:b/>
          <w:sz w:val="24"/>
          <w:szCs w:val="24"/>
          <w:lang w:eastAsia="zh-TW"/>
        </w:rPr>
        <w:t>D-Biz</w:t>
      </w:r>
      <w:r w:rsidRPr="00C77807">
        <w:rPr>
          <w:rFonts w:eastAsiaTheme="minorEastAsia"/>
          <w:sz w:val="24"/>
          <w:szCs w:val="24"/>
          <w:lang w:eastAsia="zh-TW"/>
        </w:rPr>
        <w:t>”) (“</w:t>
      </w:r>
      <w:r w:rsidRPr="00C77807">
        <w:rPr>
          <w:rFonts w:eastAsiaTheme="minorEastAsia"/>
          <w:b/>
          <w:sz w:val="24"/>
          <w:szCs w:val="24"/>
          <w:lang w:eastAsia="zh-TW"/>
        </w:rPr>
        <w:t>Subject Arrangement</w:t>
      </w:r>
      <w:r w:rsidRPr="00C77807">
        <w:rPr>
          <w:rFonts w:eastAsiaTheme="minorEastAsia"/>
          <w:sz w:val="24"/>
          <w:szCs w:val="24"/>
          <w:lang w:eastAsia="zh-TW"/>
        </w:rPr>
        <w:t>”), and that Koki Tang has been involved in the above contravention. The Subject Arrangement contravened section 6 of the Ordinance, as more particularly described in paragraph 28 to 36 below (“</w:t>
      </w:r>
      <w:r w:rsidRPr="00C77807">
        <w:rPr>
          <w:rFonts w:eastAsiaTheme="minorEastAsia"/>
          <w:b/>
          <w:sz w:val="24"/>
          <w:szCs w:val="24"/>
          <w:lang w:eastAsia="zh-TW"/>
        </w:rPr>
        <w:t>Contravention</w:t>
      </w:r>
      <w:r w:rsidRPr="00C77807">
        <w:rPr>
          <w:rFonts w:eastAsiaTheme="minorEastAsia"/>
          <w:sz w:val="24"/>
          <w:szCs w:val="24"/>
          <w:lang w:eastAsia="zh-TW"/>
        </w:rPr>
        <w:t>”).</w:t>
      </w:r>
    </w:p>
    <w:p w:rsidR="00C77807" w:rsidRDefault="00C77807" w:rsidP="00730E2C">
      <w:pPr>
        <w:spacing w:before="360" w:line="360" w:lineRule="auto"/>
        <w:ind w:right="-331"/>
        <w:rPr>
          <w:rFonts w:eastAsiaTheme="minorEastAsia"/>
          <w:sz w:val="24"/>
          <w:szCs w:val="24"/>
          <w:lang w:eastAsia="zh-TW"/>
        </w:rPr>
      </w:pPr>
      <w:r>
        <w:rPr>
          <w:rFonts w:eastAsiaTheme="minorEastAsia"/>
          <w:sz w:val="24"/>
          <w:szCs w:val="24"/>
          <w:lang w:eastAsia="zh-TW"/>
        </w:rPr>
        <w:t>7.</w:t>
      </w:r>
      <w:r>
        <w:rPr>
          <w:rFonts w:eastAsiaTheme="minorEastAsia"/>
          <w:sz w:val="24"/>
          <w:szCs w:val="24"/>
          <w:lang w:eastAsia="zh-TW"/>
        </w:rPr>
        <w:tab/>
      </w:r>
      <w:r w:rsidRPr="00C77807">
        <w:rPr>
          <w:rFonts w:eastAsiaTheme="minorEastAsia"/>
          <w:sz w:val="24"/>
          <w:szCs w:val="24"/>
          <w:lang w:eastAsia="zh-TW"/>
        </w:rPr>
        <w:t>The facts as set out in this Statement are agreed by the Commission and each of KWEK and Koki Tang.  This Statement is filed before the Tribunal to support the joint application by the Commission and KWEK and Koki Tang for the orders sought in paragraphs 2 and 3 above to be made under Rule 39 of the CTR (“</w:t>
      </w:r>
      <w:r w:rsidRPr="00C77807">
        <w:rPr>
          <w:rFonts w:eastAsiaTheme="minorEastAsia"/>
          <w:b/>
          <w:sz w:val="24"/>
          <w:szCs w:val="24"/>
          <w:lang w:eastAsia="zh-TW"/>
        </w:rPr>
        <w:t>Joint Application</w:t>
      </w:r>
      <w:r w:rsidRPr="00C77807">
        <w:rPr>
          <w:rFonts w:eastAsiaTheme="minorEastAsia"/>
          <w:sz w:val="24"/>
          <w:szCs w:val="24"/>
          <w:lang w:eastAsia="zh-TW"/>
        </w:rPr>
        <w:t>”).</w:t>
      </w:r>
    </w:p>
    <w:p w:rsidR="00C77807" w:rsidRDefault="00C77807" w:rsidP="00730E2C">
      <w:pPr>
        <w:spacing w:before="360" w:line="360" w:lineRule="auto"/>
        <w:ind w:right="-331"/>
        <w:rPr>
          <w:rFonts w:eastAsiaTheme="minorEastAsia"/>
          <w:sz w:val="24"/>
          <w:szCs w:val="24"/>
          <w:lang w:eastAsia="zh-TW"/>
        </w:rPr>
      </w:pPr>
      <w:r>
        <w:rPr>
          <w:rFonts w:eastAsiaTheme="minorEastAsia"/>
          <w:sz w:val="24"/>
          <w:szCs w:val="24"/>
          <w:lang w:eastAsia="zh-TW"/>
        </w:rPr>
        <w:t>8.</w:t>
      </w:r>
      <w:r>
        <w:rPr>
          <w:rFonts w:eastAsiaTheme="minorEastAsia"/>
          <w:sz w:val="24"/>
          <w:szCs w:val="24"/>
          <w:lang w:eastAsia="zh-TW"/>
        </w:rPr>
        <w:tab/>
      </w:r>
      <w:r w:rsidRPr="00C77807">
        <w:rPr>
          <w:rFonts w:eastAsiaTheme="minorEastAsia"/>
          <w:sz w:val="24"/>
          <w:szCs w:val="24"/>
          <w:lang w:eastAsia="zh-TW"/>
        </w:rPr>
        <w:t>If the Tribunal for whatever reason is of the view that these proceedings shall not be dealt with by way of the Joint Application, no admission or concession by either the Commission or KWEK or Koki Tang regarding their liabilities (save and except the matters set out in paragraphs 38 to 39 below) shall be referred to or relied upon by either the Commission or KWEK or Koki Tang at any adjourned or subsequent hearing or in any other proceedings without the prior written consent of both the Commission and each of KWEK and Koki Tang.</w:t>
      </w:r>
    </w:p>
    <w:p w:rsidR="00C77807" w:rsidRDefault="00C77807" w:rsidP="00730E2C">
      <w:pPr>
        <w:spacing w:before="360" w:line="360" w:lineRule="auto"/>
        <w:ind w:right="-331"/>
        <w:rPr>
          <w:rFonts w:eastAsiaTheme="minorEastAsia"/>
          <w:sz w:val="24"/>
          <w:szCs w:val="24"/>
          <w:lang w:eastAsia="zh-TW"/>
        </w:rPr>
      </w:pPr>
      <w:r>
        <w:rPr>
          <w:rFonts w:eastAsiaTheme="minorEastAsia"/>
          <w:sz w:val="24"/>
          <w:szCs w:val="24"/>
          <w:lang w:eastAsia="zh-TW"/>
        </w:rPr>
        <w:t>9.</w:t>
      </w:r>
      <w:r>
        <w:rPr>
          <w:rFonts w:eastAsiaTheme="minorEastAsia"/>
          <w:sz w:val="24"/>
          <w:szCs w:val="24"/>
          <w:lang w:eastAsia="zh-TW"/>
        </w:rPr>
        <w:tab/>
      </w:r>
      <w:r w:rsidRPr="00C77807">
        <w:rPr>
          <w:rFonts w:eastAsiaTheme="minorEastAsia"/>
          <w:sz w:val="24"/>
          <w:szCs w:val="24"/>
          <w:lang w:eastAsia="zh-TW"/>
        </w:rPr>
        <w:t>The Commission and each of KWEK and Koki Tang accept and acknowledge that none of the admissions made by KWEK or Koki Tang in this Statement shall be binding on any other Respondents in these proceedings.</w:t>
      </w:r>
    </w:p>
    <w:p w:rsidR="00C77807" w:rsidRDefault="00C77807" w:rsidP="00730E2C">
      <w:pPr>
        <w:spacing w:before="360" w:line="360" w:lineRule="auto"/>
        <w:ind w:right="-331"/>
        <w:rPr>
          <w:rFonts w:eastAsiaTheme="minorEastAsia"/>
          <w:sz w:val="24"/>
          <w:szCs w:val="24"/>
          <w:lang w:eastAsia="zh-TW"/>
        </w:rPr>
      </w:pPr>
      <w:r>
        <w:rPr>
          <w:rFonts w:eastAsiaTheme="minorEastAsia"/>
          <w:sz w:val="24"/>
          <w:szCs w:val="24"/>
          <w:lang w:eastAsia="zh-TW"/>
        </w:rPr>
        <w:t>10.</w:t>
      </w:r>
      <w:r>
        <w:rPr>
          <w:rFonts w:eastAsiaTheme="minorEastAsia"/>
          <w:sz w:val="24"/>
          <w:szCs w:val="24"/>
          <w:lang w:eastAsia="zh-TW"/>
        </w:rPr>
        <w:tab/>
      </w:r>
      <w:r w:rsidRPr="00C77807">
        <w:rPr>
          <w:rFonts w:eastAsiaTheme="minorEastAsia"/>
          <w:sz w:val="24"/>
          <w:szCs w:val="24"/>
          <w:lang w:eastAsia="zh-TW"/>
        </w:rPr>
        <w:t>The Commission reserves the right to refer to this Statement for all purposes connected with or ancillary to these proceedings.</w:t>
      </w:r>
    </w:p>
    <w:p w:rsidR="00C77807" w:rsidRDefault="00C77807" w:rsidP="00C77807">
      <w:pPr>
        <w:spacing w:before="360" w:line="360" w:lineRule="auto"/>
        <w:ind w:right="-331"/>
        <w:jc w:val="center"/>
        <w:rPr>
          <w:rFonts w:eastAsiaTheme="minorEastAsia"/>
          <w:b/>
          <w:sz w:val="24"/>
          <w:szCs w:val="24"/>
          <w:lang w:eastAsia="zh-TW"/>
        </w:rPr>
      </w:pPr>
      <w:r w:rsidRPr="00C77807">
        <w:rPr>
          <w:rFonts w:eastAsiaTheme="minorEastAsia"/>
          <w:b/>
          <w:sz w:val="24"/>
          <w:szCs w:val="24"/>
          <w:lang w:eastAsia="zh-TW"/>
        </w:rPr>
        <w:t>PART B – UNDISPUTED FACTS RELEVANT TO LIABILITY</w:t>
      </w:r>
    </w:p>
    <w:p w:rsidR="00C77807" w:rsidRDefault="00C77807" w:rsidP="00C77807">
      <w:pPr>
        <w:spacing w:before="360" w:line="360" w:lineRule="auto"/>
        <w:ind w:right="-331"/>
        <w:rPr>
          <w:rFonts w:eastAsiaTheme="minorEastAsia"/>
          <w:b/>
          <w:sz w:val="24"/>
          <w:szCs w:val="24"/>
          <w:u w:val="single"/>
          <w:lang w:eastAsia="zh-TW"/>
        </w:rPr>
      </w:pPr>
      <w:r w:rsidRPr="00C77807">
        <w:rPr>
          <w:rFonts w:eastAsiaTheme="minorEastAsia"/>
          <w:b/>
          <w:sz w:val="24"/>
          <w:szCs w:val="24"/>
          <w:u w:val="single"/>
          <w:lang w:eastAsia="zh-TW"/>
        </w:rPr>
        <w:t>B1.</w:t>
      </w:r>
      <w:r w:rsidRPr="00C77807">
        <w:rPr>
          <w:rFonts w:eastAsiaTheme="minorEastAsia"/>
          <w:b/>
          <w:sz w:val="24"/>
          <w:szCs w:val="24"/>
          <w:u w:val="single"/>
          <w:lang w:eastAsia="zh-TW"/>
        </w:rPr>
        <w:tab/>
        <w:t>The relevant parties</w:t>
      </w:r>
    </w:p>
    <w:p w:rsidR="00C77807" w:rsidRDefault="00C77807" w:rsidP="00C77807">
      <w:pPr>
        <w:spacing w:before="360" w:line="360" w:lineRule="auto"/>
        <w:ind w:right="-331"/>
        <w:rPr>
          <w:rFonts w:eastAsiaTheme="minorEastAsia"/>
          <w:sz w:val="24"/>
          <w:szCs w:val="24"/>
          <w:lang w:eastAsia="zh-TW"/>
        </w:rPr>
      </w:pPr>
      <w:r w:rsidRPr="00C77807">
        <w:rPr>
          <w:rFonts w:eastAsiaTheme="minorEastAsia"/>
          <w:sz w:val="24"/>
          <w:szCs w:val="24"/>
          <w:lang w:eastAsia="zh-TW"/>
        </w:rPr>
        <w:t>11.</w:t>
      </w:r>
      <w:r w:rsidRPr="00C77807">
        <w:rPr>
          <w:rFonts w:eastAsiaTheme="minorEastAsia"/>
          <w:sz w:val="24"/>
          <w:szCs w:val="24"/>
          <w:lang w:eastAsia="zh-TW"/>
        </w:rPr>
        <w:tab/>
        <w:t>KWEK was at all material times (and still is) a limited liability company incorporated in Hong Kong.  KWEK was initially set up for developing a mobile application, but this was ultimately unsuccessful.  Apart from the foregoing, KWEK had no other business operations until Koki Tang used it to issue quotations for applicants for D-Biz funding pursuant to the Subject Arrangement as more particularly described in Section B4 below. Accordingly, KWEK was at all relevant times, and is, engaged in economic activity.</w:t>
      </w:r>
    </w:p>
    <w:p w:rsidR="00C77807" w:rsidRDefault="00C77807" w:rsidP="00C77807">
      <w:pPr>
        <w:spacing w:before="360" w:line="360" w:lineRule="auto"/>
        <w:ind w:right="-331"/>
        <w:rPr>
          <w:rFonts w:eastAsiaTheme="minorEastAsia"/>
          <w:sz w:val="24"/>
          <w:szCs w:val="24"/>
          <w:lang w:eastAsia="zh-TW"/>
        </w:rPr>
      </w:pPr>
      <w:r>
        <w:rPr>
          <w:rFonts w:eastAsiaTheme="minorEastAsia"/>
          <w:sz w:val="24"/>
          <w:szCs w:val="24"/>
          <w:lang w:eastAsia="zh-TW"/>
        </w:rPr>
        <w:t>12.</w:t>
      </w:r>
      <w:r>
        <w:rPr>
          <w:rFonts w:eastAsiaTheme="minorEastAsia"/>
          <w:sz w:val="24"/>
          <w:szCs w:val="24"/>
          <w:lang w:eastAsia="zh-TW"/>
        </w:rPr>
        <w:tab/>
      </w:r>
      <w:r w:rsidRPr="00C77807">
        <w:rPr>
          <w:rFonts w:eastAsiaTheme="minorEastAsia"/>
          <w:sz w:val="24"/>
          <w:szCs w:val="24"/>
          <w:lang w:eastAsia="zh-TW"/>
        </w:rPr>
        <w:t>Koki Tang was at all material times (and still is) a shareholder and a director of KWEK.  He also holds and at the relevant times held the position of Chief Technology Officer.</w:t>
      </w:r>
    </w:p>
    <w:p w:rsidR="00C77807" w:rsidRDefault="00C77807" w:rsidP="00C77807">
      <w:pPr>
        <w:spacing w:before="360" w:line="360" w:lineRule="auto"/>
        <w:ind w:right="-331"/>
        <w:rPr>
          <w:rFonts w:eastAsiaTheme="minorEastAsia"/>
          <w:sz w:val="24"/>
          <w:szCs w:val="24"/>
          <w:lang w:eastAsia="zh-TW"/>
        </w:rPr>
      </w:pPr>
      <w:r>
        <w:rPr>
          <w:rFonts w:eastAsiaTheme="minorEastAsia"/>
          <w:sz w:val="24"/>
          <w:szCs w:val="24"/>
          <w:lang w:eastAsia="zh-TW"/>
        </w:rPr>
        <w:t>13.</w:t>
      </w:r>
      <w:r>
        <w:rPr>
          <w:rFonts w:eastAsiaTheme="minorEastAsia"/>
          <w:sz w:val="24"/>
          <w:szCs w:val="24"/>
          <w:lang w:eastAsia="zh-TW"/>
        </w:rPr>
        <w:tab/>
      </w:r>
      <w:r w:rsidRPr="00C77807">
        <w:rPr>
          <w:rFonts w:eastAsiaTheme="minorEastAsia"/>
          <w:sz w:val="24"/>
          <w:szCs w:val="24"/>
          <w:lang w:eastAsia="zh-TW"/>
        </w:rPr>
        <w:t>ML is and was at all material times a limited liability company incorporated under the laws of Hong Kong.  Its current sole shareholder is Multisoft Holding Limited, which is a company incorporated in the British Virgin Islands.  Multisoft Holding Limited is 100% owned by MTT.  ML was at all relevant times, and is, engaged in the business of providing IT enterprise solutions, specialising in systems, networking, security and cloud services.</w:t>
      </w:r>
    </w:p>
    <w:p w:rsidR="00C77807" w:rsidRDefault="00C77807" w:rsidP="00C77807">
      <w:pPr>
        <w:spacing w:before="360" w:line="360" w:lineRule="auto"/>
        <w:ind w:right="-331"/>
        <w:rPr>
          <w:rFonts w:eastAsiaTheme="minorEastAsia"/>
          <w:sz w:val="24"/>
          <w:szCs w:val="24"/>
          <w:lang w:eastAsia="zh-TW"/>
        </w:rPr>
      </w:pPr>
      <w:r>
        <w:rPr>
          <w:rFonts w:eastAsiaTheme="minorEastAsia"/>
          <w:sz w:val="24"/>
          <w:szCs w:val="24"/>
          <w:lang w:eastAsia="zh-TW"/>
        </w:rPr>
        <w:t>14.</w:t>
      </w:r>
      <w:r>
        <w:rPr>
          <w:rFonts w:eastAsiaTheme="minorEastAsia"/>
          <w:sz w:val="24"/>
          <w:szCs w:val="24"/>
          <w:lang w:eastAsia="zh-TW"/>
        </w:rPr>
        <w:tab/>
      </w:r>
      <w:r w:rsidRPr="00C77807">
        <w:rPr>
          <w:rFonts w:eastAsiaTheme="minorEastAsia"/>
          <w:sz w:val="24"/>
          <w:szCs w:val="24"/>
          <w:lang w:eastAsia="zh-TW"/>
        </w:rPr>
        <w:t>Each of BP and Noble is and was at all material times a limited liability company incorporated under the laws of Hong Kong; at all material times, BP and Noble have been owned and controlled by the same person, namely, the “</w:t>
      </w:r>
      <w:r w:rsidRPr="00C77807">
        <w:rPr>
          <w:rFonts w:eastAsiaTheme="minorEastAsia"/>
          <w:b/>
          <w:sz w:val="24"/>
          <w:szCs w:val="24"/>
          <w:lang w:eastAsia="zh-TW"/>
        </w:rPr>
        <w:t>BP/Noble Director</w:t>
      </w:r>
      <w:r w:rsidRPr="00C77807">
        <w:rPr>
          <w:rFonts w:eastAsiaTheme="minorEastAsia"/>
          <w:sz w:val="24"/>
          <w:szCs w:val="24"/>
          <w:lang w:eastAsia="zh-TW"/>
        </w:rPr>
        <w:t>”.</w:t>
      </w:r>
    </w:p>
    <w:p w:rsidR="00C77807" w:rsidRDefault="00C77807" w:rsidP="00C77807">
      <w:pPr>
        <w:spacing w:before="360" w:line="360" w:lineRule="auto"/>
        <w:ind w:right="-331"/>
        <w:rPr>
          <w:rFonts w:eastAsiaTheme="minorEastAsia"/>
          <w:sz w:val="24"/>
          <w:szCs w:val="24"/>
          <w:lang w:eastAsia="zh-TW"/>
        </w:rPr>
      </w:pPr>
      <w:r>
        <w:rPr>
          <w:rFonts w:eastAsiaTheme="minorEastAsia"/>
          <w:sz w:val="24"/>
          <w:szCs w:val="24"/>
          <w:lang w:eastAsia="zh-TW"/>
        </w:rPr>
        <w:t>15.</w:t>
      </w:r>
      <w:r>
        <w:rPr>
          <w:rFonts w:eastAsiaTheme="minorEastAsia"/>
          <w:sz w:val="24"/>
          <w:szCs w:val="24"/>
          <w:lang w:eastAsia="zh-TW"/>
        </w:rPr>
        <w:tab/>
      </w:r>
      <w:r w:rsidRPr="00C77807">
        <w:rPr>
          <w:rFonts w:eastAsiaTheme="minorEastAsia"/>
          <w:sz w:val="24"/>
          <w:szCs w:val="24"/>
          <w:lang w:eastAsia="zh-TW"/>
        </w:rPr>
        <w:t>Yat Ying was at all material times (and still is) a sole proprietorship owned by Agnes Au Yeung.  Agnes Au Yeung – in consultation with her husband Fan Sing Chi, also known as Joe Fan (“</w:t>
      </w:r>
      <w:r w:rsidRPr="00C77807">
        <w:rPr>
          <w:rFonts w:eastAsiaTheme="minorEastAsia"/>
          <w:b/>
          <w:sz w:val="24"/>
          <w:szCs w:val="24"/>
          <w:lang w:eastAsia="zh-TW"/>
        </w:rPr>
        <w:t>Joe Fan</w:t>
      </w:r>
      <w:r w:rsidRPr="00C77807">
        <w:rPr>
          <w:rFonts w:eastAsiaTheme="minorEastAsia"/>
          <w:sz w:val="24"/>
          <w:szCs w:val="24"/>
          <w:lang w:eastAsia="zh-TW"/>
        </w:rPr>
        <w:t>”) – is and was at all material times primarily responsible for decisions regarding Yat Ying’s business.</w:t>
      </w:r>
    </w:p>
    <w:p w:rsidR="00C77807" w:rsidRDefault="00C77807" w:rsidP="00C77807">
      <w:pPr>
        <w:spacing w:before="360" w:line="360" w:lineRule="auto"/>
        <w:ind w:right="-331"/>
        <w:rPr>
          <w:rFonts w:eastAsiaTheme="minorEastAsia"/>
          <w:b/>
          <w:sz w:val="24"/>
          <w:szCs w:val="24"/>
          <w:u w:val="single"/>
          <w:lang w:eastAsia="zh-TW"/>
        </w:rPr>
      </w:pPr>
      <w:r w:rsidRPr="00C77807">
        <w:rPr>
          <w:rFonts w:eastAsiaTheme="minorEastAsia"/>
          <w:b/>
          <w:sz w:val="24"/>
          <w:szCs w:val="24"/>
          <w:u w:val="single"/>
          <w:lang w:eastAsia="zh-TW"/>
        </w:rPr>
        <w:t>B2.</w:t>
      </w:r>
      <w:r w:rsidRPr="00C77807">
        <w:rPr>
          <w:rFonts w:eastAsiaTheme="minorEastAsia"/>
          <w:b/>
          <w:sz w:val="24"/>
          <w:szCs w:val="24"/>
          <w:u w:val="single"/>
          <w:lang w:eastAsia="zh-TW"/>
        </w:rPr>
        <w:tab/>
        <w:t>The D-Biz scheme</w:t>
      </w:r>
    </w:p>
    <w:p w:rsidR="00C77807" w:rsidRDefault="00C77807" w:rsidP="00C77807">
      <w:pPr>
        <w:spacing w:before="360" w:line="360" w:lineRule="auto"/>
        <w:ind w:right="-331"/>
        <w:rPr>
          <w:rFonts w:eastAsiaTheme="minorEastAsia"/>
          <w:sz w:val="24"/>
          <w:szCs w:val="24"/>
          <w:lang w:eastAsia="zh-TW"/>
        </w:rPr>
      </w:pPr>
      <w:r w:rsidRPr="00C77807">
        <w:rPr>
          <w:rFonts w:eastAsiaTheme="minorEastAsia"/>
          <w:sz w:val="24"/>
          <w:szCs w:val="24"/>
          <w:lang w:eastAsia="zh-TW"/>
        </w:rPr>
        <w:t>16.</w:t>
      </w:r>
      <w:r w:rsidRPr="00C77807">
        <w:rPr>
          <w:rFonts w:eastAsiaTheme="minorEastAsia"/>
          <w:sz w:val="24"/>
          <w:szCs w:val="24"/>
          <w:lang w:eastAsia="zh-TW"/>
        </w:rPr>
        <w:tab/>
        <w:t>On 20 April 2020, the Innovation and Technology Commission (“</w:t>
      </w:r>
      <w:r w:rsidRPr="00C77807">
        <w:rPr>
          <w:rFonts w:eastAsiaTheme="minorEastAsia"/>
          <w:b/>
          <w:sz w:val="24"/>
          <w:szCs w:val="24"/>
          <w:lang w:eastAsia="zh-TW"/>
        </w:rPr>
        <w:t>ITC</w:t>
      </w:r>
      <w:r w:rsidRPr="00C77807">
        <w:rPr>
          <w:rFonts w:eastAsiaTheme="minorEastAsia"/>
          <w:sz w:val="24"/>
          <w:szCs w:val="24"/>
          <w:lang w:eastAsia="zh-TW"/>
        </w:rPr>
        <w:t>”) launched the D-Biz funding scheme, using public funds from the Government’s anti-epidemic fund to support local enterprises to adopt IT solutions to continue their businesses and services during the COVID-19 epidemic. The Hong Kong Productivity Council (“</w:t>
      </w:r>
      <w:r w:rsidRPr="00C77807">
        <w:rPr>
          <w:rFonts w:eastAsiaTheme="minorEastAsia"/>
          <w:b/>
          <w:sz w:val="24"/>
          <w:szCs w:val="24"/>
          <w:lang w:eastAsia="zh-TW"/>
        </w:rPr>
        <w:t>HKPC</w:t>
      </w:r>
      <w:r w:rsidRPr="00C77807">
        <w:rPr>
          <w:rFonts w:eastAsiaTheme="minorEastAsia"/>
          <w:sz w:val="24"/>
          <w:szCs w:val="24"/>
          <w:lang w:eastAsia="zh-TW"/>
        </w:rPr>
        <w:t>”) was appointed as the secretariat of D-Biz and was responsible for conducting eligibility checking and preliminary screening on the applications. Once screened, eligible applications were submitted to the Distance Business Programme Vetting Committee (“</w:t>
      </w:r>
      <w:r w:rsidRPr="00C77807">
        <w:rPr>
          <w:rFonts w:eastAsiaTheme="minorEastAsia"/>
          <w:b/>
          <w:sz w:val="24"/>
          <w:szCs w:val="24"/>
          <w:lang w:eastAsia="zh-TW"/>
        </w:rPr>
        <w:t>Committee</w:t>
      </w:r>
      <w:r w:rsidRPr="00C77807">
        <w:rPr>
          <w:rFonts w:eastAsiaTheme="minorEastAsia"/>
          <w:sz w:val="24"/>
          <w:szCs w:val="24"/>
          <w:lang w:eastAsia="zh-TW"/>
        </w:rPr>
        <w:t>”), chaired by the Commissioner for Innovation and Technology, for consideration.</w:t>
      </w:r>
    </w:p>
    <w:p w:rsidR="00C77807" w:rsidRDefault="00F87C2C" w:rsidP="00C77807">
      <w:pPr>
        <w:spacing w:before="360" w:line="360" w:lineRule="auto"/>
        <w:ind w:right="-331"/>
        <w:rPr>
          <w:rFonts w:eastAsiaTheme="minorEastAsia"/>
          <w:sz w:val="24"/>
          <w:szCs w:val="24"/>
          <w:lang w:eastAsia="zh-TW"/>
        </w:rPr>
      </w:pPr>
      <w:r>
        <w:rPr>
          <w:rFonts w:eastAsiaTheme="minorEastAsia"/>
          <w:sz w:val="24"/>
          <w:szCs w:val="24"/>
          <w:lang w:eastAsia="zh-TW"/>
        </w:rPr>
        <w:t>17.</w:t>
      </w:r>
      <w:r>
        <w:rPr>
          <w:rFonts w:eastAsiaTheme="minorEastAsia"/>
          <w:sz w:val="24"/>
          <w:szCs w:val="24"/>
          <w:lang w:eastAsia="zh-TW"/>
        </w:rPr>
        <w:tab/>
      </w:r>
      <w:r w:rsidRPr="00F87C2C">
        <w:rPr>
          <w:rFonts w:eastAsiaTheme="minorEastAsia"/>
          <w:sz w:val="24"/>
          <w:szCs w:val="24"/>
          <w:lang w:eastAsia="zh-TW"/>
        </w:rPr>
        <w:t>D-Biz covered twelve IT solution categories relating to distance business, namely:</w:t>
      </w:r>
    </w:p>
    <w:p w:rsidR="00F87C2C" w:rsidRDefault="00F87C2C" w:rsidP="00F87C2C">
      <w:pPr>
        <w:spacing w:before="360" w:line="360" w:lineRule="auto"/>
        <w:ind w:left="1260" w:right="-331" w:hanging="540"/>
        <w:rPr>
          <w:rFonts w:eastAsiaTheme="minorEastAsia"/>
          <w:sz w:val="24"/>
          <w:szCs w:val="24"/>
          <w:lang w:eastAsia="zh-TW"/>
        </w:rPr>
      </w:pPr>
      <w:r>
        <w:rPr>
          <w:rFonts w:eastAsiaTheme="minorEastAsia"/>
          <w:sz w:val="24"/>
          <w:szCs w:val="24"/>
          <w:lang w:eastAsia="zh-TW"/>
        </w:rPr>
        <w:t>(1)</w:t>
      </w:r>
      <w:r>
        <w:rPr>
          <w:rFonts w:eastAsiaTheme="minorEastAsia"/>
          <w:sz w:val="24"/>
          <w:szCs w:val="24"/>
          <w:lang w:eastAsia="zh-TW"/>
        </w:rPr>
        <w:tab/>
      </w:r>
      <w:r w:rsidRPr="00F87C2C">
        <w:rPr>
          <w:rFonts w:eastAsiaTheme="minorEastAsia"/>
          <w:sz w:val="24"/>
          <w:szCs w:val="24"/>
          <w:lang w:eastAsia="zh-TW"/>
        </w:rPr>
        <w:t>online business;</w:t>
      </w:r>
    </w:p>
    <w:p w:rsidR="00F87C2C" w:rsidRDefault="00F87C2C" w:rsidP="00F87C2C">
      <w:pPr>
        <w:spacing w:before="240" w:line="360" w:lineRule="auto"/>
        <w:ind w:left="1267" w:right="-331" w:hanging="547"/>
        <w:rPr>
          <w:rFonts w:eastAsiaTheme="minorEastAsia"/>
          <w:sz w:val="24"/>
          <w:szCs w:val="24"/>
          <w:lang w:eastAsia="zh-TW"/>
        </w:rPr>
      </w:pPr>
      <w:r>
        <w:rPr>
          <w:rFonts w:eastAsiaTheme="minorEastAsia"/>
          <w:sz w:val="24"/>
          <w:szCs w:val="24"/>
          <w:lang w:eastAsia="zh-TW"/>
        </w:rPr>
        <w:t>(2)</w:t>
      </w:r>
      <w:r>
        <w:rPr>
          <w:rFonts w:eastAsiaTheme="minorEastAsia"/>
          <w:sz w:val="24"/>
          <w:szCs w:val="24"/>
          <w:lang w:eastAsia="zh-TW"/>
        </w:rPr>
        <w:tab/>
      </w:r>
      <w:r w:rsidRPr="00F87C2C">
        <w:rPr>
          <w:rFonts w:eastAsiaTheme="minorEastAsia"/>
          <w:sz w:val="24"/>
          <w:szCs w:val="24"/>
          <w:lang w:eastAsia="zh-TW"/>
        </w:rPr>
        <w:t>online order taking and delivery, and smart self-service systems;</w:t>
      </w:r>
    </w:p>
    <w:p w:rsidR="00F87C2C" w:rsidRDefault="00F87C2C" w:rsidP="00F87C2C">
      <w:pPr>
        <w:spacing w:before="240" w:line="360" w:lineRule="auto"/>
        <w:ind w:left="1267" w:right="-331" w:hanging="547"/>
        <w:rPr>
          <w:rFonts w:eastAsiaTheme="minorEastAsia"/>
          <w:sz w:val="24"/>
          <w:szCs w:val="24"/>
          <w:lang w:eastAsia="zh-TW"/>
        </w:rPr>
      </w:pPr>
      <w:r>
        <w:rPr>
          <w:rFonts w:eastAsiaTheme="minorEastAsia"/>
          <w:sz w:val="24"/>
          <w:szCs w:val="24"/>
          <w:lang w:eastAsia="zh-TW"/>
        </w:rPr>
        <w:t>(3)</w:t>
      </w:r>
      <w:r>
        <w:rPr>
          <w:rFonts w:eastAsiaTheme="minorEastAsia"/>
          <w:sz w:val="24"/>
          <w:szCs w:val="24"/>
          <w:lang w:eastAsia="zh-TW"/>
        </w:rPr>
        <w:tab/>
      </w:r>
      <w:r w:rsidRPr="00F87C2C">
        <w:rPr>
          <w:rFonts w:eastAsiaTheme="minorEastAsia"/>
          <w:sz w:val="24"/>
          <w:szCs w:val="24"/>
          <w:lang w:eastAsia="zh-TW"/>
        </w:rPr>
        <w:t>online customer services and engagement;</w:t>
      </w:r>
    </w:p>
    <w:p w:rsidR="00F87C2C" w:rsidRDefault="00F87C2C" w:rsidP="00F87C2C">
      <w:pPr>
        <w:spacing w:before="240" w:line="360" w:lineRule="auto"/>
        <w:ind w:left="1267" w:right="-331" w:hanging="547"/>
        <w:rPr>
          <w:rFonts w:eastAsiaTheme="minorEastAsia"/>
          <w:sz w:val="24"/>
          <w:szCs w:val="24"/>
          <w:lang w:eastAsia="zh-TW"/>
        </w:rPr>
      </w:pPr>
      <w:r>
        <w:rPr>
          <w:rFonts w:eastAsiaTheme="minorEastAsia"/>
          <w:sz w:val="24"/>
          <w:szCs w:val="24"/>
          <w:lang w:eastAsia="zh-TW"/>
        </w:rPr>
        <w:t>(4)</w:t>
      </w:r>
      <w:r>
        <w:rPr>
          <w:rFonts w:eastAsiaTheme="minorEastAsia"/>
          <w:sz w:val="24"/>
          <w:szCs w:val="24"/>
          <w:lang w:eastAsia="zh-TW"/>
        </w:rPr>
        <w:tab/>
      </w:r>
      <w:r w:rsidRPr="00F87C2C">
        <w:rPr>
          <w:rFonts w:eastAsiaTheme="minorEastAsia"/>
          <w:sz w:val="24"/>
          <w:szCs w:val="24"/>
          <w:lang w:eastAsia="zh-TW"/>
        </w:rPr>
        <w:t>digital customer experience enhancement;</w:t>
      </w:r>
    </w:p>
    <w:p w:rsidR="00F87C2C" w:rsidRDefault="00F87C2C" w:rsidP="00F87C2C">
      <w:pPr>
        <w:spacing w:before="240" w:line="360" w:lineRule="auto"/>
        <w:ind w:left="1267" w:right="-331" w:hanging="547"/>
        <w:rPr>
          <w:rFonts w:eastAsiaTheme="minorEastAsia"/>
          <w:sz w:val="24"/>
          <w:szCs w:val="24"/>
          <w:lang w:eastAsia="zh-TW"/>
        </w:rPr>
      </w:pPr>
      <w:r>
        <w:rPr>
          <w:rFonts w:eastAsiaTheme="minorEastAsia"/>
          <w:sz w:val="24"/>
          <w:szCs w:val="24"/>
          <w:lang w:eastAsia="zh-TW"/>
        </w:rPr>
        <w:t>(5)</w:t>
      </w:r>
      <w:r>
        <w:rPr>
          <w:rFonts w:eastAsiaTheme="minorEastAsia"/>
          <w:sz w:val="24"/>
          <w:szCs w:val="24"/>
          <w:lang w:eastAsia="zh-TW"/>
        </w:rPr>
        <w:tab/>
      </w:r>
      <w:r w:rsidRPr="00F87C2C">
        <w:rPr>
          <w:rFonts w:eastAsiaTheme="minorEastAsia"/>
          <w:sz w:val="24"/>
          <w:szCs w:val="24"/>
          <w:lang w:eastAsia="zh-TW"/>
        </w:rPr>
        <w:t>digital payment/mobile point of sale;</w:t>
      </w:r>
    </w:p>
    <w:p w:rsidR="00F87C2C" w:rsidRDefault="00F87C2C" w:rsidP="00F87C2C">
      <w:pPr>
        <w:spacing w:before="240" w:line="360" w:lineRule="auto"/>
        <w:ind w:left="1267" w:right="-331" w:hanging="547"/>
        <w:rPr>
          <w:rFonts w:eastAsiaTheme="minorEastAsia"/>
          <w:sz w:val="24"/>
          <w:szCs w:val="24"/>
          <w:lang w:eastAsia="zh-TW"/>
        </w:rPr>
      </w:pPr>
      <w:r>
        <w:rPr>
          <w:rFonts w:eastAsiaTheme="minorEastAsia"/>
          <w:sz w:val="24"/>
          <w:szCs w:val="24"/>
          <w:lang w:eastAsia="zh-TW"/>
        </w:rPr>
        <w:t>(6)</w:t>
      </w:r>
      <w:r>
        <w:rPr>
          <w:rFonts w:eastAsiaTheme="minorEastAsia"/>
          <w:sz w:val="24"/>
          <w:szCs w:val="24"/>
          <w:lang w:eastAsia="zh-TW"/>
        </w:rPr>
        <w:tab/>
      </w:r>
      <w:r w:rsidRPr="00F87C2C">
        <w:rPr>
          <w:rFonts w:eastAsiaTheme="minorEastAsia"/>
          <w:sz w:val="24"/>
          <w:szCs w:val="24"/>
          <w:lang w:eastAsia="zh-TW"/>
        </w:rPr>
        <w:t>online/cloud-based financial management systems;</w:t>
      </w:r>
    </w:p>
    <w:p w:rsidR="00F87C2C" w:rsidRDefault="00F87C2C" w:rsidP="00F87C2C">
      <w:pPr>
        <w:spacing w:before="240" w:line="360" w:lineRule="auto"/>
        <w:ind w:left="1267" w:right="-331" w:hanging="547"/>
        <w:rPr>
          <w:rFonts w:eastAsiaTheme="minorEastAsia"/>
          <w:sz w:val="24"/>
          <w:szCs w:val="24"/>
          <w:lang w:eastAsia="zh-TW"/>
        </w:rPr>
      </w:pPr>
      <w:r>
        <w:rPr>
          <w:rFonts w:eastAsiaTheme="minorEastAsia"/>
          <w:sz w:val="24"/>
          <w:szCs w:val="24"/>
          <w:lang w:eastAsia="zh-TW"/>
        </w:rPr>
        <w:t>(7)</w:t>
      </w:r>
      <w:r>
        <w:rPr>
          <w:rFonts w:eastAsiaTheme="minorEastAsia"/>
          <w:sz w:val="24"/>
          <w:szCs w:val="24"/>
          <w:lang w:eastAsia="zh-TW"/>
        </w:rPr>
        <w:tab/>
      </w:r>
      <w:r w:rsidRPr="00F87C2C">
        <w:rPr>
          <w:rFonts w:eastAsiaTheme="minorEastAsia"/>
          <w:sz w:val="24"/>
          <w:szCs w:val="24"/>
          <w:lang w:eastAsia="zh-TW"/>
        </w:rPr>
        <w:t>online/cloud-based human resources management systems;</w:t>
      </w:r>
    </w:p>
    <w:p w:rsidR="00F87C2C" w:rsidRDefault="00F87C2C" w:rsidP="00F87C2C">
      <w:pPr>
        <w:spacing w:before="240" w:line="360" w:lineRule="auto"/>
        <w:ind w:left="1267" w:right="-331" w:hanging="547"/>
        <w:rPr>
          <w:rFonts w:eastAsiaTheme="minorEastAsia"/>
          <w:sz w:val="24"/>
          <w:szCs w:val="24"/>
          <w:lang w:eastAsia="zh-TW"/>
        </w:rPr>
      </w:pPr>
      <w:r>
        <w:rPr>
          <w:rFonts w:eastAsiaTheme="minorEastAsia"/>
          <w:sz w:val="24"/>
          <w:szCs w:val="24"/>
          <w:lang w:eastAsia="zh-TW"/>
        </w:rPr>
        <w:t>(8)</w:t>
      </w:r>
      <w:r>
        <w:rPr>
          <w:rFonts w:eastAsiaTheme="minorEastAsia"/>
          <w:sz w:val="24"/>
          <w:szCs w:val="24"/>
          <w:lang w:eastAsia="zh-TW"/>
        </w:rPr>
        <w:tab/>
      </w:r>
      <w:r w:rsidRPr="00F87C2C">
        <w:rPr>
          <w:rFonts w:eastAsiaTheme="minorEastAsia"/>
          <w:sz w:val="24"/>
          <w:szCs w:val="24"/>
          <w:lang w:eastAsia="zh-TW"/>
        </w:rPr>
        <w:t>remote document management, cloud storage and remote access services;</w:t>
      </w:r>
    </w:p>
    <w:p w:rsidR="00F87C2C" w:rsidRDefault="00F87C2C" w:rsidP="00F87C2C">
      <w:pPr>
        <w:spacing w:before="240" w:line="360" w:lineRule="auto"/>
        <w:ind w:left="1267" w:right="-331" w:hanging="547"/>
        <w:rPr>
          <w:rFonts w:eastAsiaTheme="minorEastAsia"/>
          <w:sz w:val="24"/>
          <w:szCs w:val="24"/>
          <w:lang w:eastAsia="zh-TW"/>
        </w:rPr>
      </w:pPr>
      <w:r>
        <w:rPr>
          <w:rFonts w:eastAsiaTheme="minorEastAsia"/>
          <w:sz w:val="24"/>
          <w:szCs w:val="24"/>
          <w:lang w:eastAsia="zh-TW"/>
        </w:rPr>
        <w:t>(9)</w:t>
      </w:r>
      <w:r>
        <w:rPr>
          <w:rFonts w:eastAsiaTheme="minorEastAsia"/>
          <w:sz w:val="24"/>
          <w:szCs w:val="24"/>
          <w:lang w:eastAsia="zh-TW"/>
        </w:rPr>
        <w:tab/>
      </w:r>
      <w:r w:rsidRPr="00F87C2C">
        <w:rPr>
          <w:rFonts w:eastAsiaTheme="minorEastAsia"/>
          <w:sz w:val="24"/>
          <w:szCs w:val="24"/>
          <w:lang w:eastAsia="zh-TW"/>
        </w:rPr>
        <w:t>virtual meeting and conference tools;</w:t>
      </w:r>
    </w:p>
    <w:p w:rsidR="00F87C2C" w:rsidRDefault="00F87C2C" w:rsidP="00F87C2C">
      <w:pPr>
        <w:spacing w:before="240" w:line="360" w:lineRule="auto"/>
        <w:ind w:left="1267" w:right="-331" w:hanging="547"/>
        <w:rPr>
          <w:rFonts w:eastAsiaTheme="minorEastAsia"/>
          <w:sz w:val="24"/>
          <w:szCs w:val="24"/>
          <w:lang w:eastAsia="zh-TW"/>
        </w:rPr>
      </w:pPr>
      <w:r>
        <w:rPr>
          <w:rFonts w:eastAsiaTheme="minorEastAsia"/>
          <w:sz w:val="24"/>
          <w:szCs w:val="24"/>
          <w:lang w:eastAsia="zh-TW"/>
        </w:rPr>
        <w:t>(10)</w:t>
      </w:r>
      <w:r>
        <w:rPr>
          <w:rFonts w:eastAsiaTheme="minorEastAsia"/>
          <w:sz w:val="24"/>
          <w:szCs w:val="24"/>
          <w:lang w:eastAsia="zh-TW"/>
        </w:rPr>
        <w:tab/>
      </w:r>
      <w:r w:rsidRPr="00F87C2C">
        <w:rPr>
          <w:rFonts w:eastAsiaTheme="minorEastAsia"/>
          <w:sz w:val="24"/>
          <w:szCs w:val="24"/>
          <w:lang w:eastAsia="zh-TW"/>
        </w:rPr>
        <w:t>virtual team management and communications;</w:t>
      </w:r>
    </w:p>
    <w:p w:rsidR="00F87C2C" w:rsidRDefault="00F87C2C" w:rsidP="00F87C2C">
      <w:pPr>
        <w:spacing w:before="240" w:line="360" w:lineRule="auto"/>
        <w:ind w:left="1267" w:right="-331" w:hanging="547"/>
        <w:rPr>
          <w:rFonts w:eastAsiaTheme="minorEastAsia"/>
          <w:sz w:val="24"/>
          <w:szCs w:val="24"/>
          <w:lang w:eastAsia="zh-TW"/>
        </w:rPr>
      </w:pPr>
      <w:r>
        <w:rPr>
          <w:rFonts w:eastAsiaTheme="minorEastAsia"/>
          <w:sz w:val="24"/>
          <w:szCs w:val="24"/>
          <w:lang w:eastAsia="zh-TW"/>
        </w:rPr>
        <w:t>(11)</w:t>
      </w:r>
      <w:r>
        <w:rPr>
          <w:rFonts w:eastAsiaTheme="minorEastAsia"/>
          <w:sz w:val="24"/>
          <w:szCs w:val="24"/>
          <w:lang w:eastAsia="zh-TW"/>
        </w:rPr>
        <w:tab/>
      </w:r>
      <w:r w:rsidRPr="00F87C2C">
        <w:rPr>
          <w:rFonts w:eastAsiaTheme="minorEastAsia"/>
          <w:sz w:val="24"/>
          <w:szCs w:val="24"/>
          <w:lang w:eastAsia="zh-TW"/>
        </w:rPr>
        <w:t>cybersecurity solutions; and</w:t>
      </w:r>
    </w:p>
    <w:p w:rsidR="00F87C2C" w:rsidRDefault="00F87C2C" w:rsidP="00F87C2C">
      <w:pPr>
        <w:spacing w:before="240" w:line="360" w:lineRule="auto"/>
        <w:ind w:left="1267" w:right="-331" w:hanging="547"/>
        <w:rPr>
          <w:rFonts w:eastAsiaTheme="minorEastAsia"/>
          <w:sz w:val="24"/>
          <w:szCs w:val="24"/>
          <w:lang w:eastAsia="zh-TW"/>
        </w:rPr>
      </w:pPr>
      <w:r>
        <w:rPr>
          <w:rFonts w:eastAsiaTheme="minorEastAsia"/>
          <w:sz w:val="24"/>
          <w:szCs w:val="24"/>
          <w:lang w:eastAsia="zh-TW"/>
        </w:rPr>
        <w:t>(12)</w:t>
      </w:r>
      <w:r>
        <w:rPr>
          <w:rFonts w:eastAsiaTheme="minorEastAsia"/>
          <w:sz w:val="24"/>
          <w:szCs w:val="24"/>
          <w:lang w:eastAsia="zh-TW"/>
        </w:rPr>
        <w:tab/>
      </w:r>
      <w:r w:rsidRPr="00F87C2C">
        <w:rPr>
          <w:rFonts w:eastAsiaTheme="minorEastAsia"/>
          <w:sz w:val="24"/>
          <w:szCs w:val="24"/>
          <w:lang w:eastAsia="zh-TW"/>
        </w:rPr>
        <w:t>other online/custom-built/cloud-based business support systems.</w:t>
      </w:r>
    </w:p>
    <w:p w:rsidR="00F87C2C" w:rsidRDefault="00CE1565" w:rsidP="00CE1565">
      <w:pPr>
        <w:spacing w:before="360" w:line="360" w:lineRule="auto"/>
        <w:ind w:right="-331"/>
        <w:rPr>
          <w:rFonts w:eastAsiaTheme="minorEastAsia"/>
          <w:sz w:val="24"/>
          <w:szCs w:val="24"/>
          <w:lang w:eastAsia="zh-TW"/>
        </w:rPr>
      </w:pPr>
      <w:r>
        <w:rPr>
          <w:rFonts w:eastAsiaTheme="minorEastAsia"/>
          <w:sz w:val="24"/>
          <w:szCs w:val="24"/>
          <w:lang w:eastAsia="zh-TW"/>
        </w:rPr>
        <w:t>18.</w:t>
      </w:r>
      <w:r>
        <w:rPr>
          <w:rFonts w:eastAsiaTheme="minorEastAsia"/>
          <w:sz w:val="24"/>
          <w:szCs w:val="24"/>
          <w:lang w:eastAsia="zh-TW"/>
        </w:rPr>
        <w:tab/>
      </w:r>
      <w:r w:rsidRPr="00CE1565">
        <w:rPr>
          <w:rFonts w:eastAsiaTheme="minorEastAsia"/>
          <w:sz w:val="24"/>
          <w:szCs w:val="24"/>
          <w:lang w:eastAsia="zh-TW"/>
        </w:rPr>
        <w:t>D-Biz opened for applications between 18 May and 31 October 2020.  At the initial stage of the scheme, each applicant was permitted to submit only one application adopting no more than three IT solutions within the designated twelve categories as set out above. On 16 August 2020, the ITC introduced enhancement measures pursuant to which each applicant was permitted to submit a second application from 31 August 2020 onwards for another three IT solutions which were different from the approved categories in any application which the applicant had made in the initial stage of the D-Biz scheme. Following these enhancement measures, each applicant was therefore permitted to submit two applications for six IT solutions in total. The funding ceiling for each IT solution was HK$100,000 and the aggregate funding ceiling granted to each applicant was HK$300,000.</w:t>
      </w:r>
    </w:p>
    <w:p w:rsidR="00CE1565" w:rsidRDefault="00CE1565" w:rsidP="00CE1565">
      <w:pPr>
        <w:spacing w:before="360" w:line="360" w:lineRule="auto"/>
        <w:ind w:right="-331"/>
        <w:rPr>
          <w:rFonts w:eastAsiaTheme="minorEastAsia"/>
          <w:sz w:val="24"/>
          <w:szCs w:val="24"/>
          <w:lang w:eastAsia="zh-TW"/>
        </w:rPr>
      </w:pPr>
      <w:r>
        <w:rPr>
          <w:rFonts w:eastAsiaTheme="minorEastAsia"/>
          <w:sz w:val="24"/>
          <w:szCs w:val="24"/>
          <w:lang w:eastAsia="zh-TW"/>
        </w:rPr>
        <w:t>19.</w:t>
      </w:r>
      <w:r>
        <w:rPr>
          <w:rFonts w:eastAsiaTheme="minorEastAsia"/>
          <w:sz w:val="24"/>
          <w:szCs w:val="24"/>
          <w:lang w:eastAsia="zh-TW"/>
        </w:rPr>
        <w:tab/>
      </w:r>
      <w:r w:rsidR="00755581" w:rsidRPr="00755581">
        <w:rPr>
          <w:rFonts w:eastAsiaTheme="minorEastAsia"/>
          <w:sz w:val="24"/>
          <w:szCs w:val="24"/>
          <w:lang w:eastAsia="zh-TW"/>
        </w:rPr>
        <w:t>For each application for funding, the applicant was required to obtain written price quotation(s) from IT service provider(s), which set out in detail the project duration, scope of work, deliverables, and breakdown of cost items such as the software expenses, hardware expenses and IT service charges. In addition, the applicant was required to obtain from each person submitting a quotation a signed ‘probity and non-collusive quotation / tendering certificate’ (“</w:t>
      </w:r>
      <w:r w:rsidR="00755581" w:rsidRPr="00755581">
        <w:rPr>
          <w:rFonts w:eastAsiaTheme="minorEastAsia"/>
          <w:b/>
          <w:sz w:val="24"/>
          <w:szCs w:val="24"/>
          <w:lang w:eastAsia="zh-TW"/>
        </w:rPr>
        <w:t>NCC</w:t>
      </w:r>
      <w:r w:rsidR="00755581" w:rsidRPr="00755581">
        <w:rPr>
          <w:rFonts w:eastAsiaTheme="minorEastAsia"/>
          <w:sz w:val="24"/>
          <w:szCs w:val="24"/>
          <w:lang w:eastAsia="zh-TW"/>
        </w:rPr>
        <w:t>”) as part of their quotation submission. The NCC contains representations by the person submitting the quotation that: the quotation/bid was genuinely and independently prepared, with an intention to win and to implement the relevant project when awarded; and, in preparing the quotation/bid, no agreement, understanding or communication regarding competitively sensitive information such as price or bidding intention was made with another competing bidder.</w:t>
      </w:r>
    </w:p>
    <w:p w:rsidR="00755581" w:rsidRDefault="00755581" w:rsidP="00CE1565">
      <w:pPr>
        <w:spacing w:before="360" w:line="360" w:lineRule="auto"/>
        <w:ind w:right="-331"/>
        <w:rPr>
          <w:rFonts w:eastAsiaTheme="minorEastAsia"/>
          <w:sz w:val="24"/>
          <w:szCs w:val="24"/>
          <w:lang w:eastAsia="zh-TW"/>
        </w:rPr>
      </w:pPr>
      <w:r>
        <w:rPr>
          <w:rFonts w:eastAsiaTheme="minorEastAsia"/>
          <w:sz w:val="24"/>
          <w:szCs w:val="24"/>
          <w:lang w:eastAsia="zh-TW"/>
        </w:rPr>
        <w:t>20.</w:t>
      </w:r>
      <w:r>
        <w:rPr>
          <w:rFonts w:eastAsiaTheme="minorEastAsia"/>
          <w:sz w:val="24"/>
          <w:szCs w:val="24"/>
          <w:lang w:eastAsia="zh-TW"/>
        </w:rPr>
        <w:tab/>
      </w:r>
      <w:r w:rsidR="00036854" w:rsidRPr="00036854">
        <w:rPr>
          <w:rFonts w:eastAsiaTheme="minorEastAsia"/>
          <w:sz w:val="24"/>
          <w:szCs w:val="24"/>
          <w:lang w:eastAsia="zh-TW"/>
        </w:rPr>
        <w:t>The number of price quotations which an applicant needed to obtain was dependent on whether the application involved (i) a subscription-based IT solution or (ii) a system integrator/non-subscription-based IT solution. In the former case, the applicant was only required to obtain one quotation. Conversely, in the latter case, the applicant was required to obtain quotations from at least two IT service providers, otherwise full justifications had to be provided. As between the two quotations, unless otherwise justified by the applicant and agreed by the Government or the HKPC, it was stipulated that the service provider submitting the lowest conforming quotation was to be selected by the applicant to provide the relevant IT solution (“</w:t>
      </w:r>
      <w:r w:rsidR="00036854" w:rsidRPr="00036854">
        <w:rPr>
          <w:rFonts w:eastAsiaTheme="minorEastAsia"/>
          <w:b/>
          <w:sz w:val="24"/>
          <w:szCs w:val="24"/>
          <w:lang w:eastAsia="zh-TW"/>
        </w:rPr>
        <w:t>Two-Quotation Requirement</w:t>
      </w:r>
      <w:r w:rsidR="00036854" w:rsidRPr="00036854">
        <w:rPr>
          <w:rFonts w:eastAsiaTheme="minorEastAsia"/>
          <w:sz w:val="24"/>
          <w:szCs w:val="24"/>
          <w:lang w:eastAsia="zh-TW"/>
        </w:rPr>
        <w:t>”). The Subject Applications (as defined at paragraph 26 below) concerned in this case all initially sought funding for non-subscription-based IT solutions and were thus required to meet the Two-Quotation Requirement.</w:t>
      </w:r>
    </w:p>
    <w:p w:rsidR="00036854" w:rsidRDefault="00036854" w:rsidP="00CE1565">
      <w:pPr>
        <w:spacing w:before="360" w:line="360" w:lineRule="auto"/>
        <w:ind w:right="-331"/>
        <w:rPr>
          <w:rFonts w:eastAsiaTheme="minorEastAsia"/>
          <w:sz w:val="24"/>
          <w:szCs w:val="24"/>
          <w:lang w:eastAsia="zh-TW"/>
        </w:rPr>
      </w:pPr>
      <w:r>
        <w:rPr>
          <w:rFonts w:eastAsiaTheme="minorEastAsia"/>
          <w:sz w:val="24"/>
          <w:szCs w:val="24"/>
          <w:lang w:eastAsia="zh-TW"/>
        </w:rPr>
        <w:t>21.</w:t>
      </w:r>
      <w:r>
        <w:rPr>
          <w:rFonts w:eastAsiaTheme="minorEastAsia"/>
          <w:sz w:val="24"/>
          <w:szCs w:val="24"/>
          <w:lang w:eastAsia="zh-TW"/>
        </w:rPr>
        <w:tab/>
      </w:r>
      <w:r w:rsidRPr="00036854">
        <w:rPr>
          <w:rFonts w:eastAsiaTheme="minorEastAsia"/>
          <w:sz w:val="24"/>
          <w:szCs w:val="24"/>
          <w:lang w:eastAsia="zh-TW"/>
        </w:rPr>
        <w:t>Each D-Biz application was done online through D-Biz’s website. As part of the application process, applicants were required:</w:t>
      </w:r>
    </w:p>
    <w:p w:rsidR="00036854" w:rsidRDefault="00036854" w:rsidP="00036854">
      <w:pPr>
        <w:spacing w:before="360" w:line="360" w:lineRule="auto"/>
        <w:ind w:left="1260" w:right="-331" w:hanging="540"/>
        <w:rPr>
          <w:rFonts w:eastAsiaTheme="minorEastAsia"/>
          <w:sz w:val="24"/>
          <w:szCs w:val="24"/>
          <w:lang w:eastAsia="zh-TW"/>
        </w:rPr>
      </w:pPr>
      <w:r>
        <w:rPr>
          <w:rFonts w:eastAsiaTheme="minorEastAsia"/>
          <w:sz w:val="24"/>
          <w:szCs w:val="24"/>
          <w:lang w:eastAsia="zh-TW"/>
        </w:rPr>
        <w:t>(1)</w:t>
      </w:r>
      <w:r>
        <w:rPr>
          <w:rFonts w:eastAsiaTheme="minorEastAsia"/>
          <w:sz w:val="24"/>
          <w:szCs w:val="24"/>
          <w:lang w:eastAsia="zh-TW"/>
        </w:rPr>
        <w:tab/>
      </w:r>
      <w:r w:rsidRPr="00036854">
        <w:rPr>
          <w:rFonts w:eastAsiaTheme="minorEastAsia"/>
          <w:sz w:val="24"/>
          <w:szCs w:val="24"/>
          <w:lang w:eastAsia="zh-TW"/>
        </w:rPr>
        <w:t>to submit supporting documents including copies of the quotations obtained for each of the IT solutions (both the quotation which had been selected and the quotation(s) which had not been selected) as well as the NCCs signed by each IT service provider which had provided a quotation; and</w:t>
      </w:r>
    </w:p>
    <w:p w:rsidR="00036854" w:rsidRDefault="00036854" w:rsidP="00036854">
      <w:pPr>
        <w:spacing w:before="360" w:line="360" w:lineRule="auto"/>
        <w:ind w:left="1260" w:right="-331" w:hanging="540"/>
        <w:rPr>
          <w:rFonts w:eastAsiaTheme="minorEastAsia"/>
          <w:sz w:val="24"/>
          <w:szCs w:val="24"/>
          <w:lang w:eastAsia="zh-TW"/>
        </w:rPr>
      </w:pPr>
      <w:r>
        <w:rPr>
          <w:rFonts w:eastAsiaTheme="minorEastAsia"/>
          <w:sz w:val="24"/>
          <w:szCs w:val="24"/>
          <w:lang w:eastAsia="zh-TW"/>
        </w:rPr>
        <w:t>(2)</w:t>
      </w:r>
      <w:r>
        <w:rPr>
          <w:rFonts w:eastAsiaTheme="minorEastAsia"/>
          <w:sz w:val="24"/>
          <w:szCs w:val="24"/>
          <w:lang w:eastAsia="zh-TW"/>
        </w:rPr>
        <w:tab/>
      </w:r>
      <w:r w:rsidRPr="00036854">
        <w:rPr>
          <w:rFonts w:eastAsiaTheme="minorEastAsia"/>
          <w:sz w:val="24"/>
          <w:szCs w:val="24"/>
          <w:lang w:eastAsia="zh-TW"/>
        </w:rPr>
        <w:t>to assign an authorised person to represent the applicant fully in respect of the application and act as the main contact point between the applicant and the HKPC; that authorized person had to be conversant with the operation and business processes of the applicant.</w:t>
      </w:r>
    </w:p>
    <w:p w:rsidR="00036854" w:rsidRDefault="00036854" w:rsidP="00036854">
      <w:pPr>
        <w:spacing w:before="360" w:line="360" w:lineRule="auto"/>
        <w:ind w:right="-331"/>
        <w:rPr>
          <w:rFonts w:eastAsiaTheme="minorEastAsia"/>
          <w:sz w:val="24"/>
          <w:szCs w:val="24"/>
          <w:lang w:eastAsia="zh-TW"/>
        </w:rPr>
      </w:pPr>
      <w:r>
        <w:rPr>
          <w:rFonts w:eastAsiaTheme="minorEastAsia"/>
          <w:sz w:val="24"/>
          <w:szCs w:val="24"/>
          <w:lang w:eastAsia="zh-TW"/>
        </w:rPr>
        <w:t>22.</w:t>
      </w:r>
      <w:r>
        <w:rPr>
          <w:rFonts w:eastAsiaTheme="minorEastAsia"/>
          <w:sz w:val="24"/>
          <w:szCs w:val="24"/>
          <w:lang w:eastAsia="zh-TW"/>
        </w:rPr>
        <w:tab/>
      </w:r>
      <w:r w:rsidRPr="00036854">
        <w:rPr>
          <w:rFonts w:eastAsiaTheme="minorEastAsia"/>
          <w:sz w:val="24"/>
          <w:szCs w:val="24"/>
          <w:lang w:eastAsia="zh-TW"/>
        </w:rPr>
        <w:t>Applications that the HKPC assessed as being eligible were submitted to the Committee for approval. It was also possible for the level of funding to be adjusted with reference to the project cost such that the HKPC would only approve a reduced scope for the IT solution by comparison with the scope which had been applied for.</w:t>
      </w:r>
    </w:p>
    <w:p w:rsidR="00036854" w:rsidRDefault="00036854" w:rsidP="00036854">
      <w:pPr>
        <w:spacing w:before="360" w:line="360" w:lineRule="auto"/>
        <w:ind w:right="-331"/>
        <w:rPr>
          <w:rFonts w:eastAsiaTheme="minorEastAsia"/>
          <w:sz w:val="24"/>
          <w:szCs w:val="24"/>
          <w:lang w:eastAsia="zh-TW"/>
        </w:rPr>
      </w:pPr>
      <w:r>
        <w:rPr>
          <w:rFonts w:eastAsiaTheme="minorEastAsia"/>
          <w:sz w:val="24"/>
          <w:szCs w:val="24"/>
          <w:lang w:eastAsia="zh-TW"/>
        </w:rPr>
        <w:t>23.</w:t>
      </w:r>
      <w:r>
        <w:rPr>
          <w:rFonts w:eastAsiaTheme="minorEastAsia"/>
          <w:sz w:val="24"/>
          <w:szCs w:val="24"/>
          <w:lang w:eastAsia="zh-TW"/>
        </w:rPr>
        <w:tab/>
      </w:r>
      <w:r w:rsidRPr="00036854">
        <w:rPr>
          <w:rFonts w:eastAsiaTheme="minorEastAsia"/>
          <w:sz w:val="24"/>
          <w:szCs w:val="24"/>
          <w:lang w:eastAsia="zh-TW"/>
        </w:rPr>
        <w:t>An initial payment of 30% of the approved funding amount was payable to a designated bank account of the applicant. The selected service provider could then start to implement the IT solution(s) for the applicant.</w:t>
      </w:r>
    </w:p>
    <w:p w:rsidR="00036854" w:rsidRDefault="00036854" w:rsidP="00036854">
      <w:pPr>
        <w:spacing w:before="360" w:line="360" w:lineRule="auto"/>
        <w:ind w:right="-331"/>
        <w:rPr>
          <w:rFonts w:eastAsiaTheme="minorEastAsia"/>
          <w:sz w:val="24"/>
          <w:szCs w:val="24"/>
          <w:lang w:eastAsia="zh-TW"/>
        </w:rPr>
      </w:pPr>
      <w:r>
        <w:rPr>
          <w:rFonts w:eastAsiaTheme="minorEastAsia"/>
          <w:sz w:val="24"/>
          <w:szCs w:val="24"/>
          <w:lang w:eastAsia="zh-TW"/>
        </w:rPr>
        <w:t>24.</w:t>
      </w:r>
      <w:r>
        <w:rPr>
          <w:rFonts w:eastAsiaTheme="minorEastAsia"/>
          <w:sz w:val="24"/>
          <w:szCs w:val="24"/>
          <w:lang w:eastAsia="zh-TW"/>
        </w:rPr>
        <w:tab/>
      </w:r>
      <w:r w:rsidR="008A00B0" w:rsidRPr="008A00B0">
        <w:rPr>
          <w:rFonts w:eastAsiaTheme="minorEastAsia"/>
          <w:sz w:val="24"/>
          <w:szCs w:val="24"/>
          <w:lang w:eastAsia="zh-TW"/>
        </w:rPr>
        <w:t>Within two months after the completion of the IT solution(s), the applicant was required to submit among other things, a final project report indicating a summary of project expenditures and project deliverables, and an audited statement of income and expenditure covering the whole project period from an independent auditor to the HKPC, if the total approved funding exceeded HK$30,000.</w:t>
      </w:r>
    </w:p>
    <w:p w:rsidR="008A00B0" w:rsidRDefault="008A00B0" w:rsidP="00036854">
      <w:pPr>
        <w:spacing w:before="360" w:line="360" w:lineRule="auto"/>
        <w:ind w:right="-331"/>
        <w:rPr>
          <w:rFonts w:eastAsiaTheme="minorEastAsia"/>
          <w:sz w:val="24"/>
          <w:szCs w:val="24"/>
          <w:lang w:eastAsia="zh-TW"/>
        </w:rPr>
      </w:pPr>
      <w:r>
        <w:rPr>
          <w:rFonts w:eastAsiaTheme="minorEastAsia"/>
          <w:sz w:val="24"/>
          <w:szCs w:val="24"/>
          <w:lang w:eastAsia="zh-TW"/>
        </w:rPr>
        <w:t>25.</w:t>
      </w:r>
      <w:r>
        <w:rPr>
          <w:rFonts w:eastAsiaTheme="minorEastAsia"/>
          <w:sz w:val="24"/>
          <w:szCs w:val="24"/>
          <w:lang w:eastAsia="zh-TW"/>
        </w:rPr>
        <w:tab/>
      </w:r>
      <w:r w:rsidRPr="008A00B0">
        <w:rPr>
          <w:rFonts w:eastAsiaTheme="minorEastAsia"/>
          <w:sz w:val="24"/>
          <w:szCs w:val="24"/>
          <w:lang w:eastAsia="zh-TW"/>
        </w:rPr>
        <w:t>Upon project completion and upon the HKPC’s acceptance of the final project report together with supporting documents, the final payment (i.e., the remaining 70% of the approved funding amount) was then released to the applicant.</w:t>
      </w:r>
    </w:p>
    <w:p w:rsidR="008A00B0" w:rsidRDefault="008A00B0" w:rsidP="00036854">
      <w:pPr>
        <w:spacing w:before="360" w:line="360" w:lineRule="auto"/>
        <w:ind w:right="-331"/>
        <w:rPr>
          <w:rFonts w:eastAsiaTheme="minorEastAsia"/>
          <w:sz w:val="24"/>
          <w:szCs w:val="24"/>
          <w:lang w:eastAsia="zh-TW"/>
        </w:rPr>
      </w:pPr>
      <w:r>
        <w:rPr>
          <w:rFonts w:eastAsiaTheme="minorEastAsia"/>
          <w:sz w:val="24"/>
          <w:szCs w:val="24"/>
          <w:lang w:eastAsia="zh-TW"/>
        </w:rPr>
        <w:t>26.</w:t>
      </w:r>
      <w:r>
        <w:rPr>
          <w:rFonts w:eastAsiaTheme="minorEastAsia"/>
          <w:sz w:val="24"/>
          <w:szCs w:val="24"/>
          <w:lang w:eastAsia="zh-TW"/>
        </w:rPr>
        <w:tab/>
      </w:r>
      <w:r w:rsidRPr="008A00B0">
        <w:rPr>
          <w:rFonts w:eastAsiaTheme="minorEastAsia"/>
          <w:sz w:val="24"/>
          <w:szCs w:val="24"/>
          <w:lang w:eastAsia="zh-TW"/>
        </w:rPr>
        <w:t>The Subject Arrangement concerns 189 applications under D-Biz (“</w:t>
      </w:r>
      <w:r w:rsidRPr="008A00B0">
        <w:rPr>
          <w:rFonts w:eastAsiaTheme="minorEastAsia"/>
          <w:b/>
          <w:sz w:val="24"/>
          <w:szCs w:val="24"/>
          <w:lang w:eastAsia="zh-TW"/>
        </w:rPr>
        <w:t>Subject Applications</w:t>
      </w:r>
      <w:r w:rsidRPr="008A00B0">
        <w:rPr>
          <w:rFonts w:eastAsiaTheme="minorEastAsia"/>
          <w:sz w:val="24"/>
          <w:szCs w:val="24"/>
          <w:lang w:eastAsia="zh-TW"/>
        </w:rPr>
        <w:t>”), details of which are provided in Annex A to this Statement.  However, for the purpose of the Joint Application and as agreed among the Commission, KWEK and Koki Tang, out of the Subject Applications, only 51 applications were affected by KWEK’s involvement in the Subject Arrangement with knowledge and consent of KWEK and Koki Tang, i.e., the applications as enumerated as item nos. 1 to 51 in Annex A to this Statement.</w:t>
      </w:r>
    </w:p>
    <w:p w:rsidR="008A00B0" w:rsidRDefault="008A00B0" w:rsidP="00036854">
      <w:pPr>
        <w:spacing w:before="360" w:line="360" w:lineRule="auto"/>
        <w:ind w:right="-331"/>
        <w:rPr>
          <w:rFonts w:eastAsiaTheme="minorEastAsia"/>
          <w:b/>
          <w:sz w:val="24"/>
          <w:szCs w:val="24"/>
          <w:u w:val="single"/>
          <w:lang w:eastAsia="zh-TW"/>
        </w:rPr>
      </w:pPr>
      <w:r w:rsidRPr="008A00B0">
        <w:rPr>
          <w:rFonts w:eastAsiaTheme="minorEastAsia"/>
          <w:b/>
          <w:sz w:val="24"/>
          <w:szCs w:val="24"/>
          <w:u w:val="single"/>
          <w:lang w:eastAsia="zh-TW"/>
        </w:rPr>
        <w:t>B3.</w:t>
      </w:r>
      <w:r w:rsidRPr="008A00B0">
        <w:rPr>
          <w:rFonts w:eastAsiaTheme="minorEastAsia"/>
          <w:b/>
          <w:sz w:val="24"/>
          <w:szCs w:val="24"/>
          <w:u w:val="single"/>
          <w:lang w:eastAsia="zh-TW"/>
        </w:rPr>
        <w:tab/>
        <w:t>Background to the relevant conduct</w:t>
      </w:r>
    </w:p>
    <w:p w:rsidR="008A00B0" w:rsidRDefault="008A00B0" w:rsidP="00036854">
      <w:pPr>
        <w:spacing w:before="360" w:line="360" w:lineRule="auto"/>
        <w:ind w:right="-331"/>
        <w:rPr>
          <w:rFonts w:eastAsiaTheme="minorEastAsia"/>
          <w:sz w:val="24"/>
          <w:szCs w:val="24"/>
          <w:lang w:eastAsia="zh-TW"/>
        </w:rPr>
      </w:pPr>
      <w:r w:rsidRPr="008A00B0">
        <w:rPr>
          <w:rFonts w:eastAsiaTheme="minorEastAsia"/>
          <w:sz w:val="24"/>
          <w:szCs w:val="24"/>
          <w:lang w:eastAsia="zh-TW"/>
        </w:rPr>
        <w:t>27.</w:t>
      </w:r>
      <w:r w:rsidRPr="008A00B0">
        <w:rPr>
          <w:rFonts w:eastAsiaTheme="minorEastAsia"/>
          <w:sz w:val="24"/>
          <w:szCs w:val="24"/>
          <w:lang w:eastAsia="zh-TW"/>
        </w:rPr>
        <w:tab/>
        <w:t>In 2019, Agnes Au Yeung and Joe Fan assisted BP in establishing an online platform named ‘FanSung Market’, and engaged Koki Tang as a free-lance programmer in his personal capacity (“</w:t>
      </w:r>
      <w:r w:rsidRPr="008A00B0">
        <w:rPr>
          <w:rFonts w:eastAsiaTheme="minorEastAsia"/>
          <w:b/>
          <w:sz w:val="24"/>
          <w:szCs w:val="24"/>
          <w:lang w:eastAsia="zh-TW"/>
        </w:rPr>
        <w:t>BP Project</w:t>
      </w:r>
      <w:r w:rsidRPr="008A00B0">
        <w:rPr>
          <w:rFonts w:eastAsiaTheme="minorEastAsia"/>
          <w:sz w:val="24"/>
          <w:szCs w:val="24"/>
          <w:lang w:eastAsia="zh-TW"/>
        </w:rPr>
        <w:t>”).  Through the BP project, the BP/Noble Director, Agnes Au Yeung and Joe Fan became acquainted with Koki Tang.  Joe Fan was the contact person with Koki Tang, and they frequently communicated with each other through WhatsApp.  In Koki Tang’s mobile phone, Joe Fan’s WhatsApp contact name is recorded as “Joe@Fansung”.</w:t>
      </w:r>
    </w:p>
    <w:p w:rsidR="008A00B0" w:rsidRDefault="008A00B0" w:rsidP="00036854">
      <w:pPr>
        <w:spacing w:before="360" w:line="360" w:lineRule="auto"/>
        <w:ind w:right="-331"/>
        <w:rPr>
          <w:rFonts w:eastAsiaTheme="minorEastAsia"/>
          <w:b/>
          <w:sz w:val="24"/>
          <w:szCs w:val="24"/>
          <w:u w:val="single"/>
          <w:lang w:eastAsia="zh-TW"/>
        </w:rPr>
      </w:pPr>
      <w:r w:rsidRPr="008A00B0">
        <w:rPr>
          <w:rFonts w:eastAsiaTheme="minorEastAsia"/>
          <w:b/>
          <w:sz w:val="24"/>
          <w:szCs w:val="24"/>
          <w:u w:val="single"/>
          <w:lang w:eastAsia="zh-TW"/>
        </w:rPr>
        <w:t>B4.</w:t>
      </w:r>
      <w:r w:rsidRPr="008A00B0">
        <w:rPr>
          <w:rFonts w:eastAsiaTheme="minorEastAsia"/>
          <w:b/>
          <w:sz w:val="24"/>
          <w:szCs w:val="24"/>
          <w:u w:val="single"/>
          <w:lang w:eastAsia="zh-TW"/>
        </w:rPr>
        <w:tab/>
        <w:t>KWEK and Koki Tang’s participation in the Subject Arrangement</w:t>
      </w:r>
    </w:p>
    <w:p w:rsidR="008A00B0" w:rsidRDefault="008A00B0" w:rsidP="00036854">
      <w:pPr>
        <w:spacing w:before="360" w:line="360" w:lineRule="auto"/>
        <w:ind w:right="-331"/>
        <w:rPr>
          <w:rFonts w:eastAsiaTheme="minorEastAsia"/>
          <w:sz w:val="24"/>
          <w:szCs w:val="24"/>
          <w:lang w:eastAsia="zh-TW"/>
        </w:rPr>
      </w:pPr>
      <w:r w:rsidRPr="008A00B0">
        <w:rPr>
          <w:rFonts w:eastAsiaTheme="minorEastAsia"/>
          <w:sz w:val="24"/>
          <w:szCs w:val="24"/>
          <w:lang w:eastAsia="zh-TW"/>
        </w:rPr>
        <w:t>28.</w:t>
      </w:r>
      <w:r w:rsidRPr="008A00B0">
        <w:rPr>
          <w:rFonts w:eastAsiaTheme="minorEastAsia"/>
          <w:sz w:val="24"/>
          <w:szCs w:val="24"/>
          <w:lang w:eastAsia="zh-TW"/>
        </w:rPr>
        <w:tab/>
        <w:t>As the BP Project continued into 2020, it overlapped with the ITC’s launch of D-Biz.  On 10 May 2020, Joe Fan raised the topic of D-Biz with Koki Tang for the first time, indicating that he was going to participate in the programme, although he did not</w:t>
      </w:r>
      <w:r w:rsidRPr="008A00B0">
        <w:rPr>
          <w:rFonts w:eastAsiaTheme="minorEastAsia" w:hint="eastAsia"/>
          <w:sz w:val="24"/>
          <w:szCs w:val="24"/>
          <w:lang w:eastAsia="zh-TW"/>
        </w:rPr>
        <w:t xml:space="preserve"> mention that he was proposing to do so on BP/Noble and/or Yat Ying</w:t>
      </w:r>
      <w:r w:rsidRPr="008A00B0">
        <w:rPr>
          <w:rFonts w:eastAsiaTheme="minorEastAsia" w:hint="eastAsia"/>
          <w:sz w:val="24"/>
          <w:szCs w:val="24"/>
          <w:lang w:eastAsia="zh-TW"/>
        </w:rPr>
        <w:t>’</w:t>
      </w:r>
      <w:r w:rsidRPr="008A00B0">
        <w:rPr>
          <w:rFonts w:eastAsiaTheme="minorEastAsia" w:hint="eastAsia"/>
          <w:sz w:val="24"/>
          <w:szCs w:val="24"/>
          <w:lang w:eastAsia="zh-TW"/>
        </w:rPr>
        <w:t xml:space="preserve">s behalf (as the case may be).  On 15 May 2020, after confirming Koki Tang owned a company (i.e., KWEK), Joe Fan asked whether Koki Tang was willing to </w:t>
      </w:r>
      <w:r w:rsidRPr="00A77688">
        <w:rPr>
          <w:rFonts w:eastAsiaTheme="minorEastAsia"/>
          <w:sz w:val="24"/>
          <w:szCs w:val="24"/>
          <w:lang w:eastAsia="zh-TW"/>
        </w:rPr>
        <w:t>“help make quotations”</w:t>
      </w:r>
      <w:r w:rsidRPr="008A00B0">
        <w:rPr>
          <w:rFonts w:eastAsiaTheme="minorEastAsia" w:hint="eastAsia"/>
          <w:sz w:val="24"/>
          <w:szCs w:val="24"/>
          <w:lang w:eastAsia="zh-TW"/>
        </w:rPr>
        <w:t xml:space="preserve"> (</w:t>
      </w:r>
      <w:r w:rsidRPr="008A00B0">
        <w:rPr>
          <w:rFonts w:eastAsiaTheme="minorEastAsia" w:hint="eastAsia"/>
          <w:sz w:val="24"/>
          <w:szCs w:val="24"/>
          <w:lang w:eastAsia="zh-TW"/>
        </w:rPr>
        <w:t>“</w:t>
      </w:r>
      <w:r w:rsidRPr="008A00B0">
        <w:rPr>
          <w:rFonts w:ascii="宋体" w:hAnsi="宋体" w:hint="eastAsia"/>
          <w:sz w:val="24"/>
          <w:szCs w:val="24"/>
          <w:lang w:eastAsia="zh-TW"/>
        </w:rPr>
        <w:t>幫手報價</w:t>
      </w:r>
      <w:r w:rsidRPr="008A00B0">
        <w:rPr>
          <w:rFonts w:eastAsiaTheme="minorEastAsia" w:hint="eastAsia"/>
          <w:sz w:val="24"/>
          <w:szCs w:val="24"/>
          <w:lang w:eastAsia="zh-TW"/>
        </w:rPr>
        <w:t>”</w:t>
      </w:r>
      <w:r w:rsidRPr="008A00B0">
        <w:rPr>
          <w:rFonts w:eastAsiaTheme="minorEastAsia" w:hint="eastAsia"/>
          <w:sz w:val="24"/>
          <w:szCs w:val="24"/>
          <w:lang w:eastAsia="zh-TW"/>
        </w:rPr>
        <w:t xml:space="preserve"> in or</w:t>
      </w:r>
      <w:r w:rsidRPr="008A00B0">
        <w:rPr>
          <w:rFonts w:eastAsiaTheme="minorEastAsia"/>
          <w:sz w:val="24"/>
          <w:szCs w:val="24"/>
          <w:lang w:eastAsia="zh-TW"/>
        </w:rPr>
        <w:t>iginal Chinese text).  Joe Fan explained that he had found dozens of potential customers who were interested in applying D-Biz funding, and that to do so they would have to satisfy the Two-Quotation Requirement; in order to ensure these customers would be won by him (whether on behalf of BP/Noble and/or Yat Ying, as the case may be), cover bids rather than genuinely competing second quotations were needed from a friendly firm</w:t>
      </w:r>
      <w:r w:rsidR="000754C8">
        <w:rPr>
          <w:rFonts w:eastAsiaTheme="minorEastAsia"/>
          <w:sz w:val="24"/>
          <w:szCs w:val="24"/>
          <w:lang w:eastAsia="zh-TW"/>
        </w:rPr>
        <w:t>.</w:t>
      </w:r>
    </w:p>
    <w:p w:rsidR="000754C8" w:rsidRDefault="000754C8" w:rsidP="00036854">
      <w:pPr>
        <w:spacing w:before="360" w:line="360" w:lineRule="auto"/>
        <w:ind w:right="-331"/>
        <w:rPr>
          <w:rFonts w:eastAsiaTheme="minorEastAsia"/>
          <w:sz w:val="24"/>
          <w:szCs w:val="24"/>
          <w:lang w:eastAsia="zh-TW"/>
        </w:rPr>
      </w:pPr>
      <w:r>
        <w:rPr>
          <w:rFonts w:eastAsiaTheme="minorEastAsia"/>
          <w:sz w:val="24"/>
          <w:szCs w:val="24"/>
          <w:lang w:eastAsia="zh-TW"/>
        </w:rPr>
        <w:t>29.</w:t>
      </w:r>
      <w:r>
        <w:rPr>
          <w:rFonts w:eastAsiaTheme="minorEastAsia"/>
          <w:sz w:val="24"/>
          <w:szCs w:val="24"/>
          <w:lang w:eastAsia="zh-TW"/>
        </w:rPr>
        <w:tab/>
      </w:r>
      <w:r w:rsidRPr="000754C8">
        <w:rPr>
          <w:rFonts w:eastAsiaTheme="minorEastAsia"/>
          <w:sz w:val="24"/>
          <w:szCs w:val="24"/>
          <w:lang w:eastAsia="zh-TW"/>
        </w:rPr>
        <w:t>Koki Tang agreed to help provide cover bids in KWEK’s name.  In consideration, Joe Fan agreed to allocate some of the projects to KWEK either by letting KWEK become the winning IT service provider, or by arranging for the intended winner(s) to subcontract the projects to KWEK.  Joe Fan stated that he would complete all the relevant paperwork and logistics in relation to the D-Biz applications, and that Koki Tang only needed to sign the quotations and NCCs on behalf of KWEK.  After reaching that agreement, Koki Tang fetched KWEK’s company chop from another shareholder on or around 15 May 2020 in anticipation that he would need to stamp the chop when signing those documents.</w:t>
      </w:r>
    </w:p>
    <w:p w:rsidR="000754C8" w:rsidRDefault="000754C8" w:rsidP="00036854">
      <w:pPr>
        <w:spacing w:before="360" w:line="360" w:lineRule="auto"/>
        <w:ind w:right="-331"/>
        <w:rPr>
          <w:rFonts w:eastAsiaTheme="minorEastAsia"/>
          <w:sz w:val="24"/>
          <w:szCs w:val="24"/>
          <w:lang w:eastAsia="zh-TW"/>
        </w:rPr>
      </w:pPr>
      <w:r>
        <w:rPr>
          <w:rFonts w:eastAsiaTheme="minorEastAsia"/>
          <w:sz w:val="24"/>
          <w:szCs w:val="24"/>
          <w:lang w:eastAsia="zh-TW"/>
        </w:rPr>
        <w:t>30.</w:t>
      </w:r>
      <w:r>
        <w:rPr>
          <w:rFonts w:eastAsiaTheme="minorEastAsia"/>
          <w:sz w:val="24"/>
          <w:szCs w:val="24"/>
          <w:lang w:eastAsia="zh-TW"/>
        </w:rPr>
        <w:tab/>
      </w:r>
      <w:r w:rsidRPr="000754C8">
        <w:rPr>
          <w:rFonts w:eastAsiaTheme="minorEastAsia"/>
          <w:sz w:val="24"/>
          <w:szCs w:val="24"/>
          <w:lang w:eastAsia="zh-TW"/>
        </w:rPr>
        <w:t>On 21 May 2020, Koki Tang sent to Joe Fan via WhatsApp KWEK’s blank quotation form in editable Microsoft Excel format, among other company and personal details of KWEK and himself, to facilitate Joe Fan’s preparation of the necessary documents.  In doing so, Koki Tang allowed Joe Fan to fill in KWEK’s quotation forms with whatever prices that Joe Fan deemed convenient to implement their agreement.  Joe Fan proposed that he and Koki Tang should arrange to meet the following evening in order to sign and stamp KWEK’s company chop on the relevant documents.</w:t>
      </w:r>
    </w:p>
    <w:p w:rsidR="000754C8" w:rsidRDefault="000754C8" w:rsidP="00036854">
      <w:pPr>
        <w:spacing w:before="360" w:line="360" w:lineRule="auto"/>
        <w:ind w:right="-331"/>
        <w:rPr>
          <w:rFonts w:eastAsiaTheme="minorEastAsia"/>
          <w:sz w:val="24"/>
          <w:szCs w:val="24"/>
          <w:lang w:eastAsia="zh-TW"/>
        </w:rPr>
      </w:pPr>
      <w:r>
        <w:rPr>
          <w:rFonts w:eastAsiaTheme="minorEastAsia"/>
          <w:sz w:val="24"/>
          <w:szCs w:val="24"/>
          <w:lang w:eastAsia="zh-TW"/>
        </w:rPr>
        <w:t>31.</w:t>
      </w:r>
      <w:r>
        <w:rPr>
          <w:rFonts w:eastAsiaTheme="minorEastAsia"/>
          <w:sz w:val="24"/>
          <w:szCs w:val="24"/>
          <w:lang w:eastAsia="zh-TW"/>
        </w:rPr>
        <w:tab/>
      </w:r>
      <w:r w:rsidRPr="000754C8">
        <w:rPr>
          <w:rFonts w:eastAsiaTheme="minorEastAsia"/>
          <w:sz w:val="24"/>
          <w:szCs w:val="24"/>
          <w:lang w:eastAsia="zh-TW"/>
        </w:rPr>
        <w:t>On 22 May 2020, Koki Tang and Joe Fan arranged to meet in Sai Kung.  Koki Tang did not sign all of the documents on the spot as there were so many; he took them home and spotted some errors which he asked Joe Fan to correct in the early morning of 23 May 2020.  Around the same time, Koki Tang became concerned about the large number of cover bids being requested (60 as he mentioned in one of the audio messages to Joe Fan) and the risk of being caught contravening the Ordinance.  The two renegotiated on 24 May 2020 and as a result, Joe Fan agreed to pay Koki Tang HK$500 for each cover bid – totalling HK$30,000 (i.e., HK$500 x 60) – in addition to the allocation of projects to KWEK as previously agreed.  Out of the total compensation of HK$30,000, Joe Fan would first pay a 30% deposit upon Koki Tang signing the documents, with the remaining to be paid later.</w:t>
      </w:r>
    </w:p>
    <w:p w:rsidR="000754C8" w:rsidRDefault="000754C8" w:rsidP="00036854">
      <w:pPr>
        <w:spacing w:before="360" w:line="360" w:lineRule="auto"/>
        <w:ind w:right="-331"/>
        <w:rPr>
          <w:rFonts w:eastAsiaTheme="minorEastAsia"/>
          <w:sz w:val="24"/>
          <w:szCs w:val="24"/>
          <w:lang w:eastAsia="zh-TW"/>
        </w:rPr>
      </w:pPr>
      <w:r>
        <w:rPr>
          <w:rFonts w:eastAsiaTheme="minorEastAsia"/>
          <w:sz w:val="24"/>
          <w:szCs w:val="24"/>
          <w:lang w:eastAsia="zh-TW"/>
        </w:rPr>
        <w:t>32.</w:t>
      </w:r>
      <w:r>
        <w:rPr>
          <w:rFonts w:eastAsiaTheme="minorEastAsia"/>
          <w:sz w:val="24"/>
          <w:szCs w:val="24"/>
          <w:lang w:eastAsia="zh-TW"/>
        </w:rPr>
        <w:tab/>
      </w:r>
      <w:r w:rsidRPr="000754C8">
        <w:rPr>
          <w:rFonts w:eastAsiaTheme="minorEastAsia"/>
          <w:sz w:val="24"/>
          <w:szCs w:val="24"/>
          <w:lang w:eastAsia="zh-TW"/>
        </w:rPr>
        <w:t>On the evening of 24 May 2020, Koki Tang visited Joe Fan at Flat G, 9th Floor, Mai Luen Industrial Building, 23-31 Kung Yip Street, Kwai Chung, New Territories, which was the office shared by Yat Ying and BP/Noble at that time, and signed all the documents Joe Fan prepared without looking into any details.  Because the signature pages of NCCs were identical, they agreed to reproduce one signed page to save time.  On 28 May 2020, Joe Fan paid the agreed 30% deposit (i.e., HK$9,000) together with some outstanding payments from the BP Project to Koki Tang.</w:t>
      </w:r>
    </w:p>
    <w:p w:rsidR="000754C8" w:rsidRDefault="000754C8" w:rsidP="00036854">
      <w:pPr>
        <w:spacing w:before="360" w:line="360" w:lineRule="auto"/>
        <w:ind w:right="-331"/>
        <w:rPr>
          <w:rFonts w:eastAsiaTheme="minorEastAsia"/>
          <w:sz w:val="24"/>
          <w:szCs w:val="24"/>
          <w:lang w:eastAsia="zh-TW"/>
        </w:rPr>
      </w:pPr>
      <w:r>
        <w:rPr>
          <w:rFonts w:eastAsiaTheme="minorEastAsia"/>
          <w:sz w:val="24"/>
          <w:szCs w:val="24"/>
          <w:lang w:eastAsia="zh-TW"/>
        </w:rPr>
        <w:t>33.</w:t>
      </w:r>
      <w:r>
        <w:rPr>
          <w:rFonts w:eastAsiaTheme="minorEastAsia"/>
          <w:sz w:val="24"/>
          <w:szCs w:val="24"/>
          <w:lang w:eastAsia="zh-TW"/>
        </w:rPr>
        <w:tab/>
      </w:r>
      <w:r w:rsidR="00CD63FB" w:rsidRPr="00CD63FB">
        <w:rPr>
          <w:rFonts w:eastAsiaTheme="minorEastAsia"/>
          <w:sz w:val="24"/>
          <w:szCs w:val="24"/>
          <w:lang w:eastAsia="zh-TW"/>
        </w:rPr>
        <w:t>In the following weeks, Joe Fan used KWEK’s quotations and NCCs to pair up with BP/Noble’s and Yat Ying’s in various D-Biz applications which he submitted to the HKPC on behalf of the relevant potential customers.  Initially, Joe Fan did arrange KWEK to be the lower, winning bidder in 12 applications in which KWEK was paired up with Yat Ying.  However, by the time Joe Fan informed Koki Tang in early August 2020 that some of the customers would be allocated to KWEK and that KWEK would receive around HK$430,000 as a result, Koki Tang declined to engage further with Joe Fan because Koki Tang no longer considered Joe Fan to be credible and did not want to continue working with Joe Fan anymore.  This was because Joe Fan had consistently failed to pay the much smaller sum remaining (i.e., the 70% or HK$21,000) from what had been agreed for KWEK to provide the cover bids despite receiving many reminders from Koki Tang over the intervening weeks.</w:t>
      </w:r>
    </w:p>
    <w:p w:rsidR="00884DA3" w:rsidRDefault="00884DA3" w:rsidP="00036854">
      <w:pPr>
        <w:spacing w:before="360" w:line="360" w:lineRule="auto"/>
        <w:ind w:right="-331"/>
        <w:rPr>
          <w:rFonts w:eastAsiaTheme="minorEastAsia"/>
          <w:sz w:val="24"/>
          <w:szCs w:val="24"/>
          <w:lang w:eastAsia="zh-TW"/>
        </w:rPr>
      </w:pPr>
      <w:r>
        <w:rPr>
          <w:rFonts w:eastAsiaTheme="minorEastAsia"/>
          <w:sz w:val="24"/>
          <w:szCs w:val="24"/>
          <w:lang w:eastAsia="zh-TW"/>
        </w:rPr>
        <w:t>34.</w:t>
      </w:r>
      <w:r>
        <w:rPr>
          <w:rFonts w:eastAsiaTheme="minorEastAsia"/>
          <w:sz w:val="24"/>
          <w:szCs w:val="24"/>
          <w:lang w:eastAsia="zh-TW"/>
        </w:rPr>
        <w:tab/>
      </w:r>
      <w:r w:rsidRPr="00884DA3">
        <w:rPr>
          <w:rFonts w:eastAsiaTheme="minorEastAsia"/>
          <w:sz w:val="24"/>
          <w:szCs w:val="24"/>
          <w:lang w:eastAsia="zh-TW"/>
        </w:rPr>
        <w:t>Though Koki Tang was not directly involved in the steps that were carried out from June 2020 onwards, he was aware of Joe Fan’s overall plan and the objective of coordinating between the relevant undertakings to provide two quotations to applicants for D-Biz funding in order for the Subject Applications purportedly to comply with the Two-Quotation Requirement, rather than competing with each other as intended by the Two Quotation Requirement.  Further, Koki Tang also knew how Joe Fan was going to make use of the quotations he provided in KWEK’s name.  For those applications in which KWEK’s quotations were used (i.e., those enumerated at nos. 1 to 51 of Annex A), KWEK was a party to a price fixing, market sharing and bid rigging agreement and concerted practice together with the other relevant undertakings.  Further, Koki Tang was directly and knowingly concerned in and party to the making and giving effect of such agreement and engaging in such concerted practice.</w:t>
      </w:r>
    </w:p>
    <w:p w:rsidR="00884DA3" w:rsidRDefault="00884DA3" w:rsidP="00036854">
      <w:pPr>
        <w:spacing w:before="360" w:line="360" w:lineRule="auto"/>
        <w:ind w:right="-331"/>
        <w:rPr>
          <w:rFonts w:eastAsiaTheme="minorEastAsia"/>
          <w:sz w:val="24"/>
          <w:szCs w:val="24"/>
          <w:lang w:eastAsia="zh-TW"/>
        </w:rPr>
      </w:pPr>
      <w:r>
        <w:rPr>
          <w:rFonts w:eastAsiaTheme="minorEastAsia"/>
          <w:sz w:val="24"/>
          <w:szCs w:val="24"/>
          <w:lang w:eastAsia="zh-TW"/>
        </w:rPr>
        <w:t>35.</w:t>
      </w:r>
      <w:r>
        <w:rPr>
          <w:rFonts w:eastAsiaTheme="minorEastAsia"/>
          <w:sz w:val="24"/>
          <w:szCs w:val="24"/>
          <w:lang w:eastAsia="zh-TW"/>
        </w:rPr>
        <w:tab/>
      </w:r>
      <w:r w:rsidRPr="00884DA3">
        <w:rPr>
          <w:rFonts w:eastAsiaTheme="minorEastAsia"/>
          <w:sz w:val="24"/>
          <w:szCs w:val="24"/>
          <w:lang w:eastAsia="zh-TW"/>
        </w:rPr>
        <w:t>As a result of KWEK’s participation in the Subject Arrangement, there was no genuine competition between the IT service providers providing quotations in the 51 applications for D-Biz funding enumerated at nos. 1 to 51 of Annex A to this Statement.  On the contrary, the intended winner (i.e., the service provider to be selected to provide the relevant IT services to be funded by the D-Biz scheme) had been pre-determined pursuant to the Subject Arrangement.  The HKPC was led to approve D-Biz funding under the false impression that the relevant applications had been made following a competitive selection process in compliance with the Two-Quotation Requirement.  Further, the prospective customers, in whose name the relevant applications were made, had not been informed of the Subject Arrangement (including in particular that one of the two IT service providers submitting quotations would only submit a cover bid rather than competing to win).</w:t>
      </w:r>
    </w:p>
    <w:p w:rsidR="00884DA3" w:rsidRDefault="00884DA3" w:rsidP="00036854">
      <w:pPr>
        <w:spacing w:before="360" w:line="360" w:lineRule="auto"/>
        <w:ind w:right="-331"/>
        <w:rPr>
          <w:rFonts w:eastAsiaTheme="minorEastAsia"/>
          <w:b/>
          <w:sz w:val="24"/>
          <w:szCs w:val="24"/>
          <w:u w:val="single"/>
          <w:lang w:eastAsia="zh-TW"/>
        </w:rPr>
      </w:pPr>
      <w:r w:rsidRPr="00884DA3">
        <w:rPr>
          <w:rFonts w:eastAsiaTheme="minorEastAsia"/>
          <w:b/>
          <w:sz w:val="24"/>
          <w:szCs w:val="24"/>
          <w:u w:val="single"/>
          <w:lang w:eastAsia="zh-TW"/>
        </w:rPr>
        <w:t>B5.</w:t>
      </w:r>
      <w:r w:rsidRPr="00884DA3">
        <w:rPr>
          <w:rFonts w:eastAsiaTheme="minorEastAsia"/>
          <w:b/>
          <w:sz w:val="24"/>
          <w:szCs w:val="24"/>
          <w:u w:val="single"/>
          <w:lang w:eastAsia="zh-TW"/>
        </w:rPr>
        <w:tab/>
        <w:t>Particulars of the Contravention</w:t>
      </w:r>
    </w:p>
    <w:p w:rsidR="00884DA3" w:rsidRDefault="00884DA3" w:rsidP="00884DA3">
      <w:pPr>
        <w:spacing w:before="360" w:line="360" w:lineRule="auto"/>
        <w:ind w:right="-331"/>
        <w:rPr>
          <w:rFonts w:eastAsiaTheme="minorEastAsia"/>
          <w:sz w:val="24"/>
          <w:szCs w:val="24"/>
          <w:lang w:eastAsia="zh-TW"/>
        </w:rPr>
      </w:pPr>
      <w:r w:rsidRPr="00884DA3">
        <w:rPr>
          <w:rFonts w:eastAsiaTheme="minorEastAsia"/>
          <w:sz w:val="24"/>
          <w:szCs w:val="24"/>
          <w:lang w:eastAsia="zh-TW"/>
        </w:rPr>
        <w:t>36.</w:t>
      </w:r>
      <w:r w:rsidRPr="00884DA3">
        <w:rPr>
          <w:rFonts w:eastAsiaTheme="minorEastAsia"/>
          <w:sz w:val="24"/>
          <w:szCs w:val="24"/>
          <w:lang w:eastAsia="zh-TW"/>
        </w:rPr>
        <w:tab/>
        <w:t>It is the Commission’s case (which is not disputed by KWEK and Koki Tang) that the Subject Arrangement insofar as KWEK is concerned was agreed and given effect to in accordance with the events set out below:</w:t>
      </w:r>
    </w:p>
    <w:p w:rsidR="00884DA3" w:rsidRDefault="00884DA3" w:rsidP="00884DA3">
      <w:pPr>
        <w:spacing w:before="360" w:line="360" w:lineRule="auto"/>
        <w:ind w:left="1260" w:right="-331" w:hanging="540"/>
        <w:rPr>
          <w:rFonts w:eastAsiaTheme="minorEastAsia"/>
          <w:sz w:val="24"/>
          <w:szCs w:val="24"/>
          <w:lang w:eastAsia="zh-TW"/>
        </w:rPr>
      </w:pPr>
      <w:r>
        <w:rPr>
          <w:rFonts w:eastAsiaTheme="minorEastAsia"/>
          <w:sz w:val="24"/>
          <w:szCs w:val="24"/>
          <w:lang w:eastAsia="zh-TW"/>
        </w:rPr>
        <w:t>(1)</w:t>
      </w:r>
      <w:r>
        <w:rPr>
          <w:rFonts w:eastAsiaTheme="minorEastAsia"/>
          <w:sz w:val="24"/>
          <w:szCs w:val="24"/>
          <w:lang w:eastAsia="zh-TW"/>
        </w:rPr>
        <w:tab/>
      </w:r>
      <w:r w:rsidRPr="00884DA3">
        <w:rPr>
          <w:rFonts w:eastAsiaTheme="minorEastAsia"/>
          <w:sz w:val="24"/>
          <w:szCs w:val="24"/>
          <w:lang w:eastAsia="zh-TW"/>
        </w:rPr>
        <w:t>On 15 May 2020, Koki Tang agreed to help provide cover bids in KWEK’s name to assist Joe Fan to prepare applications for D-Biz funding purportedly to satisfy the Two-Quotation Requirement.  In return, Joe Fan agreed to allocate some of the projects to KWEK either by letting KWEK become the winning IT service provider, or by arranging for the intended winner(s) to subcontract the projects to KWEK.  Later, on 24 May 2020, it was further agreed that Joe Fan would pay Koki Tang HK$500 for each of 60 cover bids provided by KWEK.</w:t>
      </w:r>
    </w:p>
    <w:p w:rsidR="00884DA3" w:rsidRDefault="00884DA3" w:rsidP="00884DA3">
      <w:pPr>
        <w:spacing w:before="360" w:line="360" w:lineRule="auto"/>
        <w:ind w:left="1260" w:right="-331" w:hanging="540"/>
        <w:rPr>
          <w:rFonts w:eastAsiaTheme="minorEastAsia"/>
          <w:sz w:val="24"/>
          <w:szCs w:val="24"/>
          <w:lang w:eastAsia="zh-TW"/>
        </w:rPr>
      </w:pPr>
      <w:r>
        <w:rPr>
          <w:rFonts w:eastAsiaTheme="minorEastAsia"/>
          <w:sz w:val="24"/>
          <w:szCs w:val="24"/>
          <w:lang w:eastAsia="zh-TW"/>
        </w:rPr>
        <w:t>(2)</w:t>
      </w:r>
      <w:r>
        <w:rPr>
          <w:rFonts w:eastAsiaTheme="minorEastAsia"/>
          <w:sz w:val="24"/>
          <w:szCs w:val="24"/>
          <w:lang w:eastAsia="zh-TW"/>
        </w:rPr>
        <w:tab/>
      </w:r>
      <w:r w:rsidRPr="00884DA3">
        <w:rPr>
          <w:rFonts w:eastAsiaTheme="minorEastAsia"/>
          <w:sz w:val="24"/>
          <w:szCs w:val="24"/>
          <w:lang w:eastAsia="zh-TW"/>
        </w:rPr>
        <w:t>On 21 May 2020, Koki Tang provided KWEK’s blank quotation form in editable Microsoft Excel format to Joe Fan for the latter to input whatever quotation prices that he considered appropriate to implement their agreement.  Then, on 22 and 24 May 2020, Koki Tang met with Joe Fan twice, eventually signing all the documents Joe Fan prepared, including NCCs and quotations to be issued in KWEK’s name but with prices determined by Joe Fan.</w:t>
      </w:r>
    </w:p>
    <w:p w:rsidR="00884DA3" w:rsidRDefault="00884DA3" w:rsidP="00884DA3">
      <w:pPr>
        <w:spacing w:before="360" w:line="360" w:lineRule="auto"/>
        <w:ind w:left="1260" w:right="-331" w:hanging="540"/>
        <w:rPr>
          <w:rFonts w:eastAsiaTheme="minorEastAsia"/>
          <w:sz w:val="24"/>
          <w:szCs w:val="24"/>
          <w:lang w:eastAsia="zh-TW"/>
        </w:rPr>
      </w:pPr>
      <w:r>
        <w:rPr>
          <w:rFonts w:eastAsiaTheme="minorEastAsia"/>
          <w:sz w:val="24"/>
          <w:szCs w:val="24"/>
          <w:lang w:eastAsia="zh-TW"/>
        </w:rPr>
        <w:t>(3)</w:t>
      </w:r>
      <w:r>
        <w:rPr>
          <w:rFonts w:eastAsiaTheme="minorEastAsia"/>
          <w:sz w:val="24"/>
          <w:szCs w:val="24"/>
          <w:lang w:eastAsia="zh-TW"/>
        </w:rPr>
        <w:tab/>
      </w:r>
      <w:r w:rsidRPr="00884DA3">
        <w:rPr>
          <w:rFonts w:eastAsiaTheme="minorEastAsia"/>
          <w:sz w:val="24"/>
          <w:szCs w:val="24"/>
          <w:lang w:eastAsia="zh-TW"/>
        </w:rPr>
        <w:t>Koki Tang allowed Joe Fan to take away and use KWEK’s quotations and NCCs to pair up with quotations provided by other IT service providers as part of the Subject Arrangement to restrict, distort or prevent competition vis-à-vis potential customers applying for D-Biz funding, so that the participating IT service providers were able to circumvent the Two-Quotation Requirement without having to bid with competitive prices.  The facts that KWEK ultimately did not provide services to any of the proposed customers and that Koki Tang only received HK$9,000 in reward for the part he played do not detract from this conclusion.</w:t>
      </w:r>
    </w:p>
    <w:p w:rsidR="00884DA3" w:rsidRDefault="00884DA3" w:rsidP="00884DA3">
      <w:pPr>
        <w:spacing w:before="360" w:line="360" w:lineRule="auto"/>
        <w:ind w:left="1260" w:right="-331" w:hanging="540"/>
        <w:rPr>
          <w:rFonts w:eastAsiaTheme="minorEastAsia"/>
          <w:sz w:val="24"/>
          <w:szCs w:val="24"/>
          <w:lang w:eastAsia="zh-TW"/>
        </w:rPr>
      </w:pPr>
      <w:r>
        <w:rPr>
          <w:rFonts w:eastAsiaTheme="minorEastAsia"/>
          <w:sz w:val="24"/>
          <w:szCs w:val="24"/>
          <w:lang w:eastAsia="zh-TW"/>
        </w:rPr>
        <w:t>(4)</w:t>
      </w:r>
      <w:r>
        <w:rPr>
          <w:rFonts w:eastAsiaTheme="minorEastAsia"/>
          <w:sz w:val="24"/>
          <w:szCs w:val="24"/>
          <w:lang w:eastAsia="zh-TW"/>
        </w:rPr>
        <w:tab/>
      </w:r>
      <w:r w:rsidRPr="00884DA3">
        <w:rPr>
          <w:rFonts w:eastAsiaTheme="minorEastAsia"/>
          <w:sz w:val="24"/>
          <w:szCs w:val="24"/>
          <w:lang w:eastAsia="zh-TW"/>
        </w:rPr>
        <w:t>For KWEK’s part, its participation in the Subject Arrangement and therefore its Contravention of the FCR started on 15 May 2020, and continued to at least 19 April 2021, being the date when the last of the contracts for D-Biz funding relating to the affected applications (i.e., the Subject Applications enumerated at nos. 1 to 51 of Annex A to this Statement) was signed.</w:t>
      </w:r>
    </w:p>
    <w:p w:rsidR="00884DA3" w:rsidRDefault="00884DA3" w:rsidP="00884DA3">
      <w:pPr>
        <w:spacing w:before="360" w:line="360" w:lineRule="auto"/>
        <w:ind w:left="1260" w:right="-331" w:hanging="540"/>
        <w:rPr>
          <w:rFonts w:eastAsiaTheme="minorEastAsia"/>
          <w:sz w:val="24"/>
          <w:szCs w:val="24"/>
          <w:lang w:eastAsia="zh-TW"/>
        </w:rPr>
      </w:pPr>
      <w:r>
        <w:rPr>
          <w:rFonts w:eastAsiaTheme="minorEastAsia"/>
          <w:sz w:val="24"/>
          <w:szCs w:val="24"/>
          <w:lang w:eastAsia="zh-TW"/>
        </w:rPr>
        <w:t>(5)</w:t>
      </w:r>
      <w:r>
        <w:rPr>
          <w:rFonts w:eastAsiaTheme="minorEastAsia"/>
          <w:sz w:val="24"/>
          <w:szCs w:val="24"/>
          <w:lang w:eastAsia="zh-TW"/>
        </w:rPr>
        <w:tab/>
      </w:r>
      <w:r w:rsidRPr="00884DA3">
        <w:rPr>
          <w:rFonts w:eastAsiaTheme="minorEastAsia"/>
          <w:sz w:val="24"/>
          <w:szCs w:val="24"/>
          <w:lang w:eastAsia="zh-TW"/>
        </w:rPr>
        <w:t>Koki Tang was directly and individually concerned in and party to, and therefore involved in, the Contravention by KWEK.</w:t>
      </w:r>
    </w:p>
    <w:p w:rsidR="00884DA3" w:rsidRDefault="00884DA3" w:rsidP="00884DA3">
      <w:pPr>
        <w:spacing w:before="360" w:line="360" w:lineRule="auto"/>
        <w:ind w:right="-331"/>
        <w:rPr>
          <w:rFonts w:eastAsiaTheme="minorEastAsia"/>
          <w:b/>
          <w:sz w:val="24"/>
          <w:szCs w:val="24"/>
          <w:u w:val="single"/>
          <w:lang w:eastAsia="zh-TW"/>
        </w:rPr>
      </w:pPr>
      <w:r w:rsidRPr="00884DA3">
        <w:rPr>
          <w:rFonts w:eastAsiaTheme="minorEastAsia"/>
          <w:b/>
          <w:sz w:val="24"/>
          <w:szCs w:val="24"/>
          <w:u w:val="single"/>
          <w:lang w:eastAsia="zh-TW"/>
        </w:rPr>
        <w:t>B6.</w:t>
      </w:r>
      <w:r w:rsidRPr="00884DA3">
        <w:rPr>
          <w:rFonts w:eastAsiaTheme="minorEastAsia"/>
          <w:b/>
          <w:sz w:val="24"/>
          <w:szCs w:val="24"/>
          <w:u w:val="single"/>
          <w:lang w:eastAsia="zh-TW"/>
        </w:rPr>
        <w:tab/>
        <w:t>Admission of liability by KWEK and Koki Tang</w:t>
      </w:r>
    </w:p>
    <w:p w:rsidR="00884DA3" w:rsidRDefault="00884DA3" w:rsidP="00884DA3">
      <w:pPr>
        <w:spacing w:before="360" w:line="360" w:lineRule="auto"/>
        <w:ind w:right="-331"/>
        <w:rPr>
          <w:rFonts w:eastAsiaTheme="minorEastAsia"/>
          <w:sz w:val="24"/>
          <w:szCs w:val="24"/>
          <w:lang w:eastAsia="zh-TW"/>
        </w:rPr>
      </w:pPr>
      <w:r w:rsidRPr="00884DA3">
        <w:rPr>
          <w:rFonts w:eastAsiaTheme="minorEastAsia"/>
          <w:sz w:val="24"/>
          <w:szCs w:val="24"/>
          <w:lang w:eastAsia="zh-TW"/>
        </w:rPr>
        <w:t>37.</w:t>
      </w:r>
      <w:r w:rsidRPr="00884DA3">
        <w:rPr>
          <w:rFonts w:eastAsiaTheme="minorEastAsia"/>
          <w:sz w:val="24"/>
          <w:szCs w:val="24"/>
          <w:lang w:eastAsia="zh-TW"/>
        </w:rPr>
        <w:tab/>
        <w:t>By reason of the matters set out herein, each of KWEK and Koki Tang admits the following:</w:t>
      </w:r>
    </w:p>
    <w:p w:rsidR="00E65C4A" w:rsidRDefault="00E65C4A" w:rsidP="00E65C4A">
      <w:pPr>
        <w:spacing w:before="360" w:line="360" w:lineRule="auto"/>
        <w:ind w:left="1260" w:right="-331" w:hanging="540"/>
        <w:rPr>
          <w:rFonts w:eastAsiaTheme="minorEastAsia"/>
          <w:sz w:val="24"/>
          <w:szCs w:val="24"/>
          <w:lang w:eastAsia="zh-TW"/>
        </w:rPr>
      </w:pPr>
      <w:r>
        <w:rPr>
          <w:rFonts w:eastAsiaTheme="minorEastAsia"/>
          <w:sz w:val="24"/>
          <w:szCs w:val="24"/>
          <w:lang w:eastAsia="zh-TW"/>
        </w:rPr>
        <w:t>(1)</w:t>
      </w:r>
      <w:r>
        <w:rPr>
          <w:rFonts w:eastAsiaTheme="minorEastAsia"/>
          <w:sz w:val="24"/>
          <w:szCs w:val="24"/>
          <w:lang w:eastAsia="zh-TW"/>
        </w:rPr>
        <w:tab/>
      </w:r>
      <w:r w:rsidRPr="00E65C4A">
        <w:rPr>
          <w:rFonts w:eastAsiaTheme="minorEastAsia"/>
          <w:sz w:val="24"/>
          <w:szCs w:val="24"/>
          <w:lang w:eastAsia="zh-TW"/>
        </w:rPr>
        <w:t>ML, Agnes Au Yeung trading as Yat Ying, BP/Noble and KWEK, as separate undertakings involved in providing IT solutions to other businesses in Hong Kong, entered into the Subject Arrangement;</w:t>
      </w:r>
    </w:p>
    <w:p w:rsidR="00E65C4A" w:rsidRDefault="00E65C4A" w:rsidP="00E65C4A">
      <w:pPr>
        <w:spacing w:before="360" w:line="360" w:lineRule="auto"/>
        <w:ind w:left="1260" w:right="-331" w:hanging="540"/>
        <w:rPr>
          <w:rFonts w:eastAsiaTheme="minorEastAsia"/>
          <w:sz w:val="24"/>
          <w:szCs w:val="24"/>
          <w:lang w:eastAsia="zh-TW"/>
        </w:rPr>
      </w:pPr>
      <w:r>
        <w:rPr>
          <w:rFonts w:eastAsiaTheme="minorEastAsia"/>
          <w:sz w:val="24"/>
          <w:szCs w:val="24"/>
          <w:lang w:eastAsia="zh-TW"/>
        </w:rPr>
        <w:t>(2)</w:t>
      </w:r>
      <w:r>
        <w:rPr>
          <w:rFonts w:eastAsiaTheme="minorEastAsia"/>
          <w:sz w:val="24"/>
          <w:szCs w:val="24"/>
          <w:lang w:eastAsia="zh-TW"/>
        </w:rPr>
        <w:tab/>
      </w:r>
      <w:r w:rsidRPr="00E65C4A">
        <w:rPr>
          <w:rFonts w:eastAsiaTheme="minorEastAsia"/>
          <w:sz w:val="24"/>
          <w:szCs w:val="24"/>
          <w:lang w:eastAsia="zh-TW"/>
        </w:rPr>
        <w:t>the object of the Subject Arrangement was to prevent, restrict, or distort competition in Hong Kong between IT service providers bidding to provide IT solutions to prospective customers applying for funding under the D-Biz scheme by fixing prices, allocating customers, rigging bids and sharing information in respect of the submission of quotations to prospective customers applying for D-Biz funding;</w:t>
      </w:r>
    </w:p>
    <w:p w:rsidR="00E65C4A" w:rsidRDefault="00E65C4A" w:rsidP="00E65C4A">
      <w:pPr>
        <w:spacing w:before="360" w:line="360" w:lineRule="auto"/>
        <w:ind w:left="1260" w:right="-331" w:hanging="540"/>
        <w:rPr>
          <w:rFonts w:eastAsiaTheme="minorEastAsia"/>
          <w:sz w:val="24"/>
          <w:szCs w:val="24"/>
          <w:lang w:eastAsia="zh-TW"/>
        </w:rPr>
      </w:pPr>
      <w:r>
        <w:rPr>
          <w:rFonts w:eastAsiaTheme="minorEastAsia"/>
          <w:sz w:val="24"/>
          <w:szCs w:val="24"/>
          <w:lang w:eastAsia="zh-TW"/>
        </w:rPr>
        <w:t>(3)</w:t>
      </w:r>
      <w:r>
        <w:rPr>
          <w:rFonts w:eastAsiaTheme="minorEastAsia"/>
          <w:sz w:val="24"/>
          <w:szCs w:val="24"/>
          <w:lang w:eastAsia="zh-TW"/>
        </w:rPr>
        <w:tab/>
      </w:r>
      <w:r w:rsidRPr="00E65C4A">
        <w:rPr>
          <w:rFonts w:eastAsiaTheme="minorEastAsia"/>
          <w:sz w:val="24"/>
          <w:szCs w:val="24"/>
          <w:lang w:eastAsia="zh-TW"/>
        </w:rPr>
        <w:t>Koki Tang (as employee, representative and agent for KWEK) and Joe Fan (whether as representative and agent for BP/Noble or Yat Ying) participated in the formation and implementation of the portion of the Subject Arrangement involving KWEK (i.e., in respect of the Subject Applications enumerated at nos. 1 to 51 of Annex A to this Statement), and Koki Tang’s conduct is attributable to KWEK;</w:t>
      </w:r>
    </w:p>
    <w:p w:rsidR="00E65C4A" w:rsidRDefault="00E65C4A" w:rsidP="00E65C4A">
      <w:pPr>
        <w:spacing w:before="360" w:line="360" w:lineRule="auto"/>
        <w:ind w:left="1260" w:right="-331" w:hanging="540"/>
        <w:rPr>
          <w:rFonts w:eastAsiaTheme="minorEastAsia"/>
          <w:sz w:val="24"/>
          <w:szCs w:val="24"/>
          <w:lang w:eastAsia="zh-TW"/>
        </w:rPr>
      </w:pPr>
      <w:r>
        <w:rPr>
          <w:rFonts w:eastAsiaTheme="minorEastAsia"/>
          <w:sz w:val="24"/>
          <w:szCs w:val="24"/>
          <w:lang w:eastAsia="zh-TW"/>
        </w:rPr>
        <w:t>(4)</w:t>
      </w:r>
      <w:r>
        <w:rPr>
          <w:rFonts w:eastAsiaTheme="minorEastAsia"/>
          <w:sz w:val="24"/>
          <w:szCs w:val="24"/>
          <w:lang w:eastAsia="zh-TW"/>
        </w:rPr>
        <w:tab/>
      </w:r>
      <w:r w:rsidRPr="00E65C4A">
        <w:rPr>
          <w:rFonts w:eastAsiaTheme="minorEastAsia"/>
          <w:sz w:val="24"/>
          <w:szCs w:val="24"/>
          <w:lang w:eastAsia="zh-TW"/>
        </w:rPr>
        <w:t>the Subject Arrangement constitutes price-fixing, customer allocation, bid-rigging and the exchange of competitively sensitive information among competitors, in contravention of the FCR under section 6(1) of the Ordinance;</w:t>
      </w:r>
    </w:p>
    <w:p w:rsidR="00E65C4A" w:rsidRDefault="00E65C4A" w:rsidP="00E65C4A">
      <w:pPr>
        <w:spacing w:before="360" w:line="360" w:lineRule="auto"/>
        <w:ind w:left="1260" w:right="-331" w:hanging="540"/>
        <w:rPr>
          <w:rFonts w:eastAsiaTheme="minorEastAsia"/>
          <w:sz w:val="24"/>
          <w:szCs w:val="24"/>
          <w:lang w:eastAsia="zh-TW"/>
        </w:rPr>
      </w:pPr>
      <w:r>
        <w:rPr>
          <w:rFonts w:eastAsiaTheme="minorEastAsia"/>
          <w:sz w:val="24"/>
          <w:szCs w:val="24"/>
          <w:lang w:eastAsia="zh-TW"/>
        </w:rPr>
        <w:t>(5)</w:t>
      </w:r>
      <w:r>
        <w:rPr>
          <w:rFonts w:eastAsiaTheme="minorEastAsia"/>
          <w:sz w:val="24"/>
          <w:szCs w:val="24"/>
          <w:lang w:eastAsia="zh-TW"/>
        </w:rPr>
        <w:tab/>
      </w:r>
      <w:r w:rsidRPr="00E65C4A">
        <w:rPr>
          <w:rFonts w:eastAsiaTheme="minorEastAsia"/>
          <w:sz w:val="24"/>
          <w:szCs w:val="24"/>
          <w:lang w:eastAsia="zh-TW"/>
        </w:rPr>
        <w:t>the Contravention constitutes “serious anti-competitive conduct” within the meaning of section 2(1) of the Ordinance; and</w:t>
      </w:r>
    </w:p>
    <w:p w:rsidR="00E65C4A" w:rsidRDefault="00E65C4A" w:rsidP="00E65C4A">
      <w:pPr>
        <w:spacing w:before="360" w:line="360" w:lineRule="auto"/>
        <w:ind w:left="1260" w:right="-331" w:hanging="540"/>
        <w:rPr>
          <w:rFonts w:eastAsiaTheme="minorEastAsia"/>
          <w:sz w:val="24"/>
          <w:szCs w:val="24"/>
          <w:lang w:eastAsia="zh-TW"/>
        </w:rPr>
      </w:pPr>
      <w:r>
        <w:rPr>
          <w:rFonts w:eastAsiaTheme="minorEastAsia"/>
          <w:sz w:val="24"/>
          <w:szCs w:val="24"/>
          <w:lang w:eastAsia="zh-TW"/>
        </w:rPr>
        <w:t>(6)</w:t>
      </w:r>
      <w:r>
        <w:rPr>
          <w:rFonts w:eastAsiaTheme="minorEastAsia"/>
          <w:sz w:val="24"/>
          <w:szCs w:val="24"/>
          <w:lang w:eastAsia="zh-TW"/>
        </w:rPr>
        <w:tab/>
      </w:r>
      <w:r w:rsidRPr="00E65C4A">
        <w:rPr>
          <w:rFonts w:eastAsiaTheme="minorEastAsia"/>
          <w:sz w:val="24"/>
          <w:szCs w:val="24"/>
          <w:lang w:eastAsia="zh-TW"/>
        </w:rPr>
        <w:t>due to his being directly and knowingly concerned in and party to the Subject Arrangement, Koki Tang is “a person involved in a contravention of a competition rule” within the meaning of section 91(d) of the Ordinance.</w:t>
      </w:r>
    </w:p>
    <w:p w:rsidR="00E65C4A" w:rsidRDefault="00E65C4A" w:rsidP="00E65C4A">
      <w:pPr>
        <w:spacing w:before="360" w:line="360" w:lineRule="auto"/>
        <w:ind w:left="0" w:right="-331" w:firstLine="90"/>
        <w:jc w:val="center"/>
        <w:rPr>
          <w:rFonts w:cs="Arial"/>
          <w:b/>
          <w:sz w:val="24"/>
          <w:szCs w:val="24"/>
          <w:lang w:val="en-GB"/>
        </w:rPr>
      </w:pPr>
      <w:r w:rsidRPr="00E65C4A">
        <w:rPr>
          <w:rFonts w:cs="Arial"/>
          <w:b/>
          <w:sz w:val="24"/>
          <w:szCs w:val="24"/>
          <w:lang w:val="en-GB"/>
        </w:rPr>
        <w:t>PART C – UNDISPUTED FACTS ON THE CALCULATION OF RECOMMENDED PECUNIARY PENALTY FOR BP/NOBLE AND THE INVESTIGATION COSTS OF THE COMMISSION</w:t>
      </w:r>
    </w:p>
    <w:p w:rsidR="00E65C4A" w:rsidRDefault="00E65C4A" w:rsidP="00E65C4A">
      <w:pPr>
        <w:spacing w:before="360" w:line="360" w:lineRule="auto"/>
        <w:ind w:right="-331"/>
        <w:rPr>
          <w:rFonts w:cs="Arial"/>
          <w:sz w:val="24"/>
          <w:szCs w:val="24"/>
          <w:lang w:val="en-GB"/>
        </w:rPr>
      </w:pPr>
      <w:r w:rsidRPr="00E65C4A">
        <w:rPr>
          <w:rFonts w:cs="Arial"/>
          <w:sz w:val="24"/>
          <w:szCs w:val="24"/>
          <w:lang w:val="en-GB"/>
        </w:rPr>
        <w:t>38.</w:t>
      </w:r>
      <w:r w:rsidRPr="00E65C4A">
        <w:rPr>
          <w:rFonts w:cs="Arial"/>
          <w:sz w:val="24"/>
          <w:szCs w:val="24"/>
          <w:lang w:val="en-GB"/>
        </w:rPr>
        <w:tab/>
        <w:t>For the purposes of assessing the amount of recommended pecuniary penalty against Koki Tang under section 93 of the Ordinance, Koki Tang does not dispute that he personally received HK$9,000 for KWEK’s participation in the Subject Arrangement and that his average monthly income during the relevant period of the Contravention (i.e., from 15 May 2020 to at least 19 April 2021) is HK$41,450.</w:t>
      </w:r>
    </w:p>
    <w:p w:rsidR="00E65C4A" w:rsidRDefault="00E65C4A" w:rsidP="00E65C4A">
      <w:pPr>
        <w:spacing w:before="360" w:line="360" w:lineRule="auto"/>
        <w:ind w:right="-331"/>
        <w:rPr>
          <w:rFonts w:cs="Arial"/>
          <w:sz w:val="24"/>
          <w:szCs w:val="24"/>
          <w:lang w:val="en-GB"/>
        </w:rPr>
      </w:pPr>
      <w:r>
        <w:rPr>
          <w:rFonts w:cs="Arial"/>
          <w:sz w:val="24"/>
          <w:szCs w:val="24"/>
          <w:lang w:val="en-GB"/>
        </w:rPr>
        <w:t>39.</w:t>
      </w:r>
      <w:r>
        <w:rPr>
          <w:rFonts w:cs="Arial"/>
          <w:sz w:val="24"/>
          <w:szCs w:val="24"/>
          <w:lang w:val="en-GB"/>
        </w:rPr>
        <w:tab/>
      </w:r>
      <w:r w:rsidRPr="00E65C4A">
        <w:rPr>
          <w:rFonts w:cs="Arial"/>
          <w:sz w:val="24"/>
          <w:szCs w:val="24"/>
          <w:lang w:val="en-GB"/>
        </w:rPr>
        <w:t xml:space="preserve">As to the Commission’s costs of and incidental to its investigation into this matter, the Commission has incurred such costs in the sum of HK$621,730(see Annex B), of which HK$155,000 (rounding down to the nearest thousand) represents the </w:t>
      </w:r>
      <w:r w:rsidR="00264E67">
        <w:rPr>
          <w:rFonts w:cs="Arial"/>
          <w:sz w:val="24"/>
          <w:szCs w:val="24"/>
          <w:lang w:val="en-GB"/>
        </w:rPr>
        <w:t>5</w:t>
      </w:r>
      <w:r w:rsidR="00264E67" w:rsidRPr="00264E67">
        <w:rPr>
          <w:rFonts w:cs="Arial"/>
          <w:sz w:val="24"/>
          <w:szCs w:val="24"/>
          <w:vertAlign w:val="superscript"/>
          <w:lang w:val="en-GB"/>
        </w:rPr>
        <w:t>th</w:t>
      </w:r>
      <w:r w:rsidR="00264E67">
        <w:rPr>
          <w:rFonts w:cs="Arial"/>
          <w:sz w:val="24"/>
          <w:szCs w:val="24"/>
          <w:lang w:val="en-GB"/>
        </w:rPr>
        <w:t xml:space="preserve"> </w:t>
      </w:r>
      <w:r w:rsidRPr="00E65C4A">
        <w:rPr>
          <w:rFonts w:cs="Arial"/>
          <w:sz w:val="24"/>
          <w:szCs w:val="24"/>
          <w:lang w:val="en-GB"/>
        </w:rPr>
        <w:t>Respondent’s share of such investigation costs.</w:t>
      </w:r>
    </w:p>
    <w:p w:rsidR="000D335A" w:rsidRDefault="000D335A" w:rsidP="00E65C4A">
      <w:pPr>
        <w:spacing w:before="360" w:line="360" w:lineRule="auto"/>
        <w:ind w:right="-331"/>
        <w:rPr>
          <w:rFonts w:cs="Arial"/>
          <w:sz w:val="24"/>
          <w:szCs w:val="24"/>
          <w:lang w:val="en-GB"/>
        </w:rPr>
      </w:pPr>
    </w:p>
    <w:p w:rsidR="000D335A" w:rsidRDefault="000D335A" w:rsidP="000D335A">
      <w:pPr>
        <w:spacing w:before="360" w:line="360" w:lineRule="auto"/>
        <w:ind w:leftChars="1" w:left="718" w:right="-331" w:hangingChars="298" w:hanging="715"/>
        <w:rPr>
          <w:sz w:val="24"/>
          <w:szCs w:val="24"/>
        </w:rPr>
      </w:pPr>
      <w:r>
        <w:rPr>
          <w:sz w:val="24"/>
          <w:szCs w:val="24"/>
        </w:rPr>
        <w:t>Dated this</w:t>
      </w:r>
      <w:r>
        <w:rPr>
          <w:sz w:val="24"/>
          <w:szCs w:val="24"/>
        </w:rPr>
        <w:tab/>
        <w:t>day of</w:t>
      </w:r>
      <w:r>
        <w:rPr>
          <w:sz w:val="24"/>
          <w:szCs w:val="24"/>
        </w:rPr>
        <w:tab/>
      </w:r>
      <w:r>
        <w:rPr>
          <w:sz w:val="24"/>
          <w:szCs w:val="24"/>
        </w:rPr>
        <w:tab/>
        <w:t>2024</w:t>
      </w:r>
      <w:r w:rsidRPr="00F3612B">
        <w:rPr>
          <w:sz w:val="24"/>
          <w:szCs w:val="24"/>
        </w:rPr>
        <w:t>.</w:t>
      </w:r>
    </w:p>
    <w:p w:rsidR="000D335A" w:rsidRDefault="000D335A" w:rsidP="000D335A">
      <w:pPr>
        <w:spacing w:before="360" w:line="360" w:lineRule="auto"/>
        <w:ind w:leftChars="1" w:left="718" w:right="-331" w:hangingChars="298" w:hanging="715"/>
        <w:rPr>
          <w:sz w:val="24"/>
          <w:szCs w:val="24"/>
        </w:rPr>
      </w:pPr>
    </w:p>
    <w:tbl>
      <w:tblPr>
        <w:tblStyle w:val="TableGrid"/>
        <w:tblW w:w="91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500"/>
      </w:tblGrid>
      <w:tr w:rsidR="000D335A" w:rsidTr="00F30624">
        <w:tc>
          <w:tcPr>
            <w:tcW w:w="4680" w:type="dxa"/>
          </w:tcPr>
          <w:p w:rsidR="000D335A" w:rsidRDefault="000D335A" w:rsidP="00F30624">
            <w:pPr>
              <w:spacing w:before="360" w:line="360" w:lineRule="auto"/>
              <w:ind w:left="0" w:right="-331" w:firstLine="0"/>
              <w:rPr>
                <w:sz w:val="24"/>
                <w:szCs w:val="24"/>
              </w:rPr>
            </w:pPr>
            <w:r>
              <w:rPr>
                <w:sz w:val="24"/>
                <w:szCs w:val="24"/>
              </w:rPr>
              <w:t>________________________________</w:t>
            </w:r>
          </w:p>
          <w:p w:rsidR="000D335A" w:rsidRPr="00F3612B" w:rsidRDefault="000D335A" w:rsidP="00F30624">
            <w:pPr>
              <w:ind w:left="0" w:right="-331" w:firstLine="0"/>
              <w:jc w:val="left"/>
              <w:rPr>
                <w:b/>
                <w:sz w:val="24"/>
                <w:szCs w:val="24"/>
              </w:rPr>
            </w:pPr>
            <w:r w:rsidRPr="00F3612B">
              <w:rPr>
                <w:b/>
                <w:sz w:val="24"/>
                <w:szCs w:val="24"/>
              </w:rPr>
              <w:t>MINTERELLISON LLP</w:t>
            </w:r>
          </w:p>
          <w:p w:rsidR="000D335A" w:rsidRDefault="000D335A" w:rsidP="00F30624">
            <w:pPr>
              <w:spacing w:line="360" w:lineRule="auto"/>
              <w:ind w:left="0" w:right="-331" w:firstLine="0"/>
              <w:rPr>
                <w:sz w:val="24"/>
                <w:szCs w:val="24"/>
              </w:rPr>
            </w:pPr>
            <w:r w:rsidRPr="00F3612B">
              <w:rPr>
                <w:sz w:val="24"/>
                <w:szCs w:val="24"/>
              </w:rPr>
              <w:t>Solicitors for the Applicant</w:t>
            </w:r>
          </w:p>
        </w:tc>
        <w:tc>
          <w:tcPr>
            <w:tcW w:w="4500" w:type="dxa"/>
          </w:tcPr>
          <w:p w:rsidR="000D335A" w:rsidRDefault="000D335A" w:rsidP="00F30624">
            <w:pPr>
              <w:spacing w:before="360" w:line="360" w:lineRule="auto"/>
              <w:ind w:left="0" w:right="-331" w:firstLine="0"/>
              <w:rPr>
                <w:sz w:val="24"/>
                <w:szCs w:val="24"/>
              </w:rPr>
            </w:pPr>
            <w:r>
              <w:rPr>
                <w:sz w:val="24"/>
                <w:szCs w:val="24"/>
              </w:rPr>
              <w:t>_________________________________</w:t>
            </w:r>
          </w:p>
          <w:p w:rsidR="000D335A" w:rsidRPr="00F3612B" w:rsidRDefault="000D335A" w:rsidP="00F30624">
            <w:pPr>
              <w:ind w:left="0" w:right="-331" w:firstLine="0"/>
              <w:rPr>
                <w:b/>
                <w:sz w:val="24"/>
                <w:szCs w:val="24"/>
              </w:rPr>
            </w:pPr>
            <w:r>
              <w:rPr>
                <w:b/>
                <w:sz w:val="24"/>
                <w:szCs w:val="24"/>
              </w:rPr>
              <w:t>C Y LAM &amp; CO.</w:t>
            </w:r>
          </w:p>
          <w:p w:rsidR="000D335A" w:rsidRDefault="000D335A" w:rsidP="000D335A">
            <w:pPr>
              <w:ind w:left="0" w:right="-331" w:firstLine="0"/>
              <w:rPr>
                <w:sz w:val="24"/>
                <w:szCs w:val="24"/>
              </w:rPr>
            </w:pPr>
            <w:r w:rsidRPr="00F3612B">
              <w:rPr>
                <w:sz w:val="24"/>
                <w:szCs w:val="24"/>
              </w:rPr>
              <w:t xml:space="preserve">Solicitors for the </w:t>
            </w:r>
            <w:r>
              <w:rPr>
                <w:sz w:val="24"/>
                <w:szCs w:val="24"/>
              </w:rPr>
              <w:t>5</w:t>
            </w:r>
            <w:r w:rsidRPr="000D335A">
              <w:rPr>
                <w:sz w:val="24"/>
                <w:szCs w:val="24"/>
                <w:vertAlign w:val="superscript"/>
              </w:rPr>
              <w:t>th</w:t>
            </w:r>
            <w:r>
              <w:rPr>
                <w:sz w:val="24"/>
                <w:szCs w:val="24"/>
              </w:rPr>
              <w:t xml:space="preserve"> </w:t>
            </w:r>
            <w:r w:rsidRPr="00F3612B">
              <w:rPr>
                <w:sz w:val="24"/>
                <w:szCs w:val="24"/>
              </w:rPr>
              <w:t xml:space="preserve">and </w:t>
            </w:r>
            <w:r>
              <w:rPr>
                <w:sz w:val="24"/>
                <w:szCs w:val="24"/>
              </w:rPr>
              <w:t>8</w:t>
            </w:r>
            <w:r w:rsidRPr="00173F78">
              <w:rPr>
                <w:sz w:val="24"/>
                <w:szCs w:val="24"/>
                <w:vertAlign w:val="superscript"/>
              </w:rPr>
              <w:t>th</w:t>
            </w:r>
            <w:r>
              <w:rPr>
                <w:sz w:val="24"/>
                <w:szCs w:val="24"/>
              </w:rPr>
              <w:t xml:space="preserve"> </w:t>
            </w:r>
            <w:r w:rsidRPr="00F3612B">
              <w:rPr>
                <w:sz w:val="24"/>
                <w:szCs w:val="24"/>
              </w:rPr>
              <w:t>Respondents</w:t>
            </w:r>
          </w:p>
        </w:tc>
      </w:tr>
    </w:tbl>
    <w:p w:rsidR="000D335A" w:rsidRPr="00E65C4A" w:rsidRDefault="000D335A" w:rsidP="00E65C4A">
      <w:pPr>
        <w:spacing w:before="360" w:line="360" w:lineRule="auto"/>
        <w:ind w:right="-331"/>
        <w:rPr>
          <w:rFonts w:eastAsiaTheme="minorEastAsia"/>
          <w:sz w:val="24"/>
          <w:szCs w:val="24"/>
          <w:lang w:eastAsia="zh-TW"/>
        </w:rPr>
      </w:pPr>
    </w:p>
    <w:sectPr w:rsidR="000D335A" w:rsidRPr="00E65C4A" w:rsidSect="006F6BC3">
      <w:headerReference w:type="first" r:id="rId15"/>
      <w:pgSz w:w="11909" w:h="16834" w:code="9"/>
      <w:pgMar w:top="1530" w:right="1800" w:bottom="1260" w:left="1800" w:header="576" w:footer="576"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338" w:rsidRDefault="002F0338">
      <w:r>
        <w:separator/>
      </w:r>
    </w:p>
  </w:endnote>
  <w:endnote w:type="continuationSeparator" w:id="0">
    <w:p w:rsidR="002F0338" w:rsidRDefault="002F0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variable"/>
    <w:sig w:usb0="00000003" w:usb1="500079DB" w:usb2="00000010" w:usb3="00000000" w:csb0="00000001" w:csb1="00000000"/>
  </w:font>
  <w:font w:name="Lucida Sans">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338" w:rsidRDefault="002F0338" w:rsidP="006A5B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338" w:rsidRDefault="002F0338" w:rsidP="006A5BA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338" w:rsidRDefault="002F0338">
      <w:r>
        <w:separator/>
      </w:r>
    </w:p>
  </w:footnote>
  <w:footnote w:type="continuationSeparator" w:id="0">
    <w:p w:rsidR="002F0338" w:rsidRDefault="002F0338">
      <w:r>
        <w:continuationSeparator/>
      </w:r>
    </w:p>
  </w:footnote>
  <w:footnote w:id="1">
    <w:p w:rsidR="002F0338" w:rsidRDefault="002F0338">
      <w:pPr>
        <w:pStyle w:val="FootnoteText"/>
      </w:pPr>
      <w:r>
        <w:rPr>
          <w:rStyle w:val="FootnoteReference"/>
        </w:rPr>
        <w:footnoteRef/>
      </w:r>
      <w:r>
        <w:t xml:space="preserve"> </w:t>
      </w:r>
      <w:r>
        <w:tab/>
      </w:r>
      <w:r w:rsidRPr="00850468">
        <w:rPr>
          <w:rFonts w:eastAsia="PMingLiU"/>
          <w:color w:val="000000"/>
        </w:rPr>
        <w:t>[2020] 4 HKLRD 61.</w:t>
      </w:r>
    </w:p>
  </w:footnote>
  <w:footnote w:id="2">
    <w:p w:rsidR="002F0338" w:rsidRDefault="002F0338">
      <w:pPr>
        <w:pStyle w:val="FootnoteText"/>
      </w:pPr>
      <w:r>
        <w:rPr>
          <w:rStyle w:val="FootnoteReference"/>
        </w:rPr>
        <w:footnoteRef/>
      </w:r>
      <w:r>
        <w:t xml:space="preserve"> </w:t>
      </w:r>
      <w:r>
        <w:tab/>
      </w:r>
      <w:r w:rsidRPr="00850468">
        <w:t>[2023] 3 HKLRD 374</w:t>
      </w:r>
      <w:r>
        <w:t>.</w:t>
      </w:r>
    </w:p>
  </w:footnote>
  <w:footnote w:id="3">
    <w:p w:rsidR="002F0338" w:rsidRDefault="002F0338">
      <w:pPr>
        <w:pStyle w:val="FootnoteText"/>
      </w:pPr>
      <w:r>
        <w:rPr>
          <w:rStyle w:val="FootnoteReference"/>
        </w:rPr>
        <w:footnoteRef/>
      </w:r>
      <w:r>
        <w:t xml:space="preserve"> </w:t>
      </w:r>
      <w:r>
        <w:tab/>
      </w:r>
      <w:r w:rsidRPr="00850468">
        <w:rPr>
          <w:rFonts w:eastAsia="PMingLiU"/>
          <w:color w:val="000000"/>
        </w:rPr>
        <w:t>[2020] 5 HKLRD 528.</w:t>
      </w:r>
    </w:p>
  </w:footnote>
  <w:footnote w:id="4">
    <w:p w:rsidR="002F0338" w:rsidRDefault="002F0338">
      <w:pPr>
        <w:pStyle w:val="FootnoteText"/>
      </w:pPr>
      <w:r>
        <w:rPr>
          <w:rStyle w:val="FootnoteReference"/>
        </w:rPr>
        <w:footnoteRef/>
      </w:r>
      <w:r>
        <w:t xml:space="preserve"> </w:t>
      </w:r>
      <w:r>
        <w:tab/>
      </w:r>
      <w:r w:rsidRPr="00850468">
        <w:t>[2020] HKCT 11</w:t>
      </w:r>
      <w:r>
        <w:t>.</w:t>
      </w:r>
    </w:p>
  </w:footnote>
  <w:footnote w:id="5">
    <w:p w:rsidR="002F0338" w:rsidRDefault="002F0338">
      <w:pPr>
        <w:pStyle w:val="FootnoteText"/>
      </w:pPr>
      <w:r>
        <w:rPr>
          <w:rStyle w:val="FootnoteReference"/>
        </w:rPr>
        <w:footnoteRef/>
      </w:r>
      <w:r>
        <w:t xml:space="preserve"> </w:t>
      </w:r>
      <w:r>
        <w:tab/>
      </w:r>
      <w:r w:rsidRPr="00415263">
        <w:t>[2020] 2 HKLRD 1229</w:t>
      </w:r>
      <w:r>
        <w:t>.</w:t>
      </w:r>
    </w:p>
  </w:footnote>
  <w:footnote w:id="6">
    <w:p w:rsidR="002F0338" w:rsidRDefault="002F0338">
      <w:pPr>
        <w:pStyle w:val="FootnoteText"/>
      </w:pPr>
      <w:r>
        <w:rPr>
          <w:rStyle w:val="FootnoteReference"/>
        </w:rPr>
        <w:footnoteRef/>
      </w:r>
      <w:r>
        <w:t xml:space="preserve"> </w:t>
      </w:r>
      <w:r>
        <w:tab/>
      </w:r>
      <w:r w:rsidRPr="00C87C53">
        <w:t>“Undertaking” is defined in section 2(1) of the Ordinance to mean any entity, regardless of its legal status or the way in which it is financed, engaged in economic activity, and includes a natural person engaged in economic activity.</w:t>
      </w:r>
    </w:p>
  </w:footnote>
  <w:footnote w:id="7">
    <w:p w:rsidR="002F0338" w:rsidRDefault="002F0338">
      <w:pPr>
        <w:pStyle w:val="FootnoteText"/>
      </w:pPr>
      <w:r>
        <w:rPr>
          <w:rStyle w:val="FootnoteReference"/>
        </w:rPr>
        <w:footnoteRef/>
      </w:r>
      <w:r>
        <w:t xml:space="preserve"> </w:t>
      </w:r>
      <w:r>
        <w:tab/>
      </w:r>
      <w:r w:rsidRPr="00E8436C">
        <w:t>“Undertaking” is defined in section 2(1) of the Ordinance to mean any entity, regardless of its legal status or the way in which it is financed, engaged in economic activity, and includes a natural person engaged in economic activity.</w:t>
      </w:r>
    </w:p>
  </w:footnote>
  <w:footnote w:id="8">
    <w:p w:rsidR="002F0338" w:rsidRDefault="002F0338">
      <w:pPr>
        <w:pStyle w:val="FootnoteText"/>
      </w:pPr>
      <w:r>
        <w:rPr>
          <w:rStyle w:val="FootnoteReference"/>
        </w:rPr>
        <w:footnoteRef/>
      </w:r>
      <w:r>
        <w:t xml:space="preserve"> </w:t>
      </w:r>
      <w:r>
        <w:tab/>
      </w:r>
      <w:r w:rsidRPr="00613CDF">
        <w:t>That said, in some of those later Subject Applications, Agnes Au Yeung and Joe Fan used KWEK’s headed paper to create cover bids to pair up with lower quotations from Yat Ying or BP/Noble (as appropriate), but they did so without KWEK’s knowledge or consent.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338" w:rsidRPr="00317FC3" w:rsidRDefault="002F0338" w:rsidP="005366DF">
    <w:pPr>
      <w:pStyle w:val="Footer"/>
      <w:tabs>
        <w:tab w:val="clear" w:pos="4153"/>
      </w:tabs>
      <w:spacing w:before="240"/>
      <w:jc w:val="center"/>
      <w:rPr>
        <w:sz w:val="28"/>
        <w:szCs w:val="28"/>
      </w:rPr>
    </w:pPr>
    <w:r>
      <w:rPr>
        <w:noProof/>
        <w:sz w:val="28"/>
        <w:szCs w:val="28"/>
        <w:lang w:val="en-GB"/>
      </w:rPr>
      <mc:AlternateContent>
        <mc:Choice Requires="wps">
          <w:drawing>
            <wp:anchor distT="0" distB="0" distL="114300" distR="114300" simplePos="0" relativeHeight="251662848" behindDoc="0" locked="1" layoutInCell="0" allowOverlap="1">
              <wp:simplePos x="0" y="0"/>
              <wp:positionH relativeFrom="page">
                <wp:posOffset>411480</wp:posOffset>
              </wp:positionH>
              <wp:positionV relativeFrom="page">
                <wp:posOffset>742315</wp:posOffset>
              </wp:positionV>
              <wp:extent cx="393065" cy="9948545"/>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338" w:rsidRDefault="002F0338" w:rsidP="00D01103">
                          <w:pPr>
                            <w:spacing w:after="480"/>
                            <w:rPr>
                              <w:b/>
                              <w:sz w:val="20"/>
                            </w:rPr>
                          </w:pPr>
                          <w:r>
                            <w:rPr>
                              <w:b/>
                              <w:sz w:val="20"/>
                            </w:rPr>
                            <w:t>A</w:t>
                          </w:r>
                        </w:p>
                        <w:p w:rsidR="002F0338" w:rsidRDefault="002F0338" w:rsidP="00D01103">
                          <w:pPr>
                            <w:spacing w:after="480"/>
                            <w:rPr>
                              <w:b/>
                              <w:sz w:val="20"/>
                            </w:rPr>
                          </w:pPr>
                          <w:r>
                            <w:rPr>
                              <w:b/>
                              <w:sz w:val="20"/>
                            </w:rPr>
                            <w:t>B</w:t>
                          </w:r>
                        </w:p>
                        <w:p w:rsidR="002F0338" w:rsidRDefault="002F0338" w:rsidP="00D01103">
                          <w:pPr>
                            <w:spacing w:after="480"/>
                            <w:rPr>
                              <w:b/>
                              <w:sz w:val="20"/>
                            </w:rPr>
                          </w:pPr>
                          <w:r>
                            <w:rPr>
                              <w:b/>
                              <w:sz w:val="20"/>
                            </w:rPr>
                            <w:t>C</w:t>
                          </w:r>
                        </w:p>
                        <w:p w:rsidR="002F0338" w:rsidRDefault="002F0338" w:rsidP="00D01103">
                          <w:pPr>
                            <w:spacing w:after="480"/>
                            <w:rPr>
                              <w:b/>
                              <w:sz w:val="20"/>
                            </w:rPr>
                          </w:pPr>
                          <w:r>
                            <w:rPr>
                              <w:b/>
                              <w:sz w:val="20"/>
                            </w:rPr>
                            <w:t>D</w:t>
                          </w:r>
                        </w:p>
                        <w:p w:rsidR="002F0338" w:rsidRDefault="002F0338" w:rsidP="00D01103">
                          <w:pPr>
                            <w:spacing w:after="480"/>
                            <w:rPr>
                              <w:b/>
                              <w:sz w:val="20"/>
                            </w:rPr>
                          </w:pPr>
                          <w:r>
                            <w:rPr>
                              <w:b/>
                              <w:sz w:val="20"/>
                            </w:rPr>
                            <w:t>E</w:t>
                          </w:r>
                        </w:p>
                        <w:p w:rsidR="002F0338" w:rsidRDefault="002F0338" w:rsidP="00D01103">
                          <w:pPr>
                            <w:spacing w:after="480"/>
                            <w:rPr>
                              <w:b/>
                              <w:sz w:val="20"/>
                            </w:rPr>
                          </w:pPr>
                          <w:r>
                            <w:rPr>
                              <w:b/>
                              <w:sz w:val="20"/>
                            </w:rPr>
                            <w:t>F</w:t>
                          </w:r>
                        </w:p>
                        <w:p w:rsidR="002F0338" w:rsidRDefault="002F0338" w:rsidP="00D01103">
                          <w:pPr>
                            <w:spacing w:after="480"/>
                            <w:rPr>
                              <w:b/>
                              <w:sz w:val="20"/>
                            </w:rPr>
                          </w:pPr>
                          <w:r>
                            <w:rPr>
                              <w:b/>
                              <w:sz w:val="20"/>
                            </w:rPr>
                            <w:t>G</w:t>
                          </w:r>
                        </w:p>
                        <w:p w:rsidR="002F0338" w:rsidRDefault="002F0338" w:rsidP="00D01103">
                          <w:pPr>
                            <w:spacing w:after="480"/>
                            <w:rPr>
                              <w:b/>
                              <w:sz w:val="20"/>
                            </w:rPr>
                          </w:pPr>
                          <w:r>
                            <w:rPr>
                              <w:b/>
                              <w:sz w:val="20"/>
                            </w:rPr>
                            <w:t>H</w:t>
                          </w:r>
                        </w:p>
                        <w:p w:rsidR="002F0338" w:rsidRDefault="002F0338" w:rsidP="00D01103">
                          <w:pPr>
                            <w:spacing w:after="480"/>
                            <w:rPr>
                              <w:b/>
                              <w:sz w:val="20"/>
                            </w:rPr>
                          </w:pPr>
                          <w:r>
                            <w:rPr>
                              <w:b/>
                              <w:sz w:val="20"/>
                            </w:rPr>
                            <w:t>I</w:t>
                          </w:r>
                        </w:p>
                        <w:p w:rsidR="002F0338" w:rsidRDefault="002F0338" w:rsidP="00D01103">
                          <w:pPr>
                            <w:spacing w:after="480"/>
                            <w:rPr>
                              <w:b/>
                              <w:sz w:val="20"/>
                            </w:rPr>
                          </w:pPr>
                          <w:r>
                            <w:rPr>
                              <w:b/>
                              <w:sz w:val="20"/>
                            </w:rPr>
                            <w:t>J</w:t>
                          </w:r>
                        </w:p>
                        <w:p w:rsidR="002F0338" w:rsidRDefault="002F0338" w:rsidP="00D01103">
                          <w:pPr>
                            <w:spacing w:after="480"/>
                            <w:rPr>
                              <w:b/>
                              <w:sz w:val="20"/>
                            </w:rPr>
                          </w:pPr>
                          <w:r>
                            <w:rPr>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2.4pt;margin-top:58.45pt;width:30.95pt;height:783.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5entQ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" o:allowincell="f" filled="f" stroked="f">
              <v:textbox>
                <w:txbxContent>
                  <w:p w:rsidR="002F0338" w:rsidRDefault="002F0338" w:rsidP="00D01103">
                    <w:pPr>
                      <w:spacing w:after="480"/>
                      <w:rPr>
                        <w:b/>
                        <w:sz w:val="20"/>
                      </w:rPr>
                    </w:pPr>
                    <w:r>
                      <w:rPr>
                        <w:b/>
                        <w:sz w:val="20"/>
                      </w:rPr>
                      <w:t>A</w:t>
                    </w:r>
                  </w:p>
                  <w:p w:rsidR="002F0338" w:rsidRDefault="002F0338" w:rsidP="00D01103">
                    <w:pPr>
                      <w:spacing w:after="480"/>
                      <w:rPr>
                        <w:b/>
                        <w:sz w:val="20"/>
                      </w:rPr>
                    </w:pPr>
                    <w:r>
                      <w:rPr>
                        <w:b/>
                        <w:sz w:val="20"/>
                      </w:rPr>
                      <w:t>B</w:t>
                    </w:r>
                  </w:p>
                  <w:p w:rsidR="002F0338" w:rsidRDefault="002F0338" w:rsidP="00D01103">
                    <w:pPr>
                      <w:spacing w:after="480"/>
                      <w:rPr>
                        <w:b/>
                        <w:sz w:val="20"/>
                      </w:rPr>
                    </w:pPr>
                    <w:r>
                      <w:rPr>
                        <w:b/>
                        <w:sz w:val="20"/>
                      </w:rPr>
                      <w:t>C</w:t>
                    </w:r>
                  </w:p>
                  <w:p w:rsidR="002F0338" w:rsidRDefault="002F0338" w:rsidP="00D01103">
                    <w:pPr>
                      <w:spacing w:after="480"/>
                      <w:rPr>
                        <w:b/>
                        <w:sz w:val="20"/>
                      </w:rPr>
                    </w:pPr>
                    <w:r>
                      <w:rPr>
                        <w:b/>
                        <w:sz w:val="20"/>
                      </w:rPr>
                      <w:t>D</w:t>
                    </w:r>
                  </w:p>
                  <w:p w:rsidR="002F0338" w:rsidRDefault="002F0338" w:rsidP="00D01103">
                    <w:pPr>
                      <w:spacing w:after="480"/>
                      <w:rPr>
                        <w:b/>
                        <w:sz w:val="20"/>
                      </w:rPr>
                    </w:pPr>
                    <w:r>
                      <w:rPr>
                        <w:b/>
                        <w:sz w:val="20"/>
                      </w:rPr>
                      <w:t>E</w:t>
                    </w:r>
                  </w:p>
                  <w:p w:rsidR="002F0338" w:rsidRDefault="002F0338" w:rsidP="00D01103">
                    <w:pPr>
                      <w:spacing w:after="480"/>
                      <w:rPr>
                        <w:b/>
                        <w:sz w:val="20"/>
                      </w:rPr>
                    </w:pPr>
                    <w:r>
                      <w:rPr>
                        <w:b/>
                        <w:sz w:val="20"/>
                      </w:rPr>
                      <w:t>F</w:t>
                    </w:r>
                  </w:p>
                  <w:p w:rsidR="002F0338" w:rsidRDefault="002F0338" w:rsidP="00D01103">
                    <w:pPr>
                      <w:spacing w:after="480"/>
                      <w:rPr>
                        <w:b/>
                        <w:sz w:val="20"/>
                      </w:rPr>
                    </w:pPr>
                    <w:r>
                      <w:rPr>
                        <w:b/>
                        <w:sz w:val="20"/>
                      </w:rPr>
                      <w:t>G</w:t>
                    </w:r>
                  </w:p>
                  <w:p w:rsidR="002F0338" w:rsidRDefault="002F0338" w:rsidP="00D01103">
                    <w:pPr>
                      <w:spacing w:after="480"/>
                      <w:rPr>
                        <w:b/>
                        <w:sz w:val="20"/>
                      </w:rPr>
                    </w:pPr>
                    <w:r>
                      <w:rPr>
                        <w:b/>
                        <w:sz w:val="20"/>
                      </w:rPr>
                      <w:t>H</w:t>
                    </w:r>
                  </w:p>
                  <w:p w:rsidR="002F0338" w:rsidRDefault="002F0338" w:rsidP="00D01103">
                    <w:pPr>
                      <w:spacing w:after="480"/>
                      <w:rPr>
                        <w:b/>
                        <w:sz w:val="20"/>
                      </w:rPr>
                    </w:pPr>
                    <w:r>
                      <w:rPr>
                        <w:b/>
                        <w:sz w:val="20"/>
                      </w:rPr>
                      <w:t>I</w:t>
                    </w:r>
                  </w:p>
                  <w:p w:rsidR="002F0338" w:rsidRDefault="002F0338" w:rsidP="00D01103">
                    <w:pPr>
                      <w:spacing w:after="480"/>
                      <w:rPr>
                        <w:b/>
                        <w:sz w:val="20"/>
                      </w:rPr>
                    </w:pPr>
                    <w:r>
                      <w:rPr>
                        <w:b/>
                        <w:sz w:val="20"/>
                      </w:rPr>
                      <w:t>J</w:t>
                    </w:r>
                  </w:p>
                  <w:p w:rsidR="002F0338" w:rsidRDefault="002F0338" w:rsidP="00D01103">
                    <w:pPr>
                      <w:spacing w:after="480"/>
                      <w:rPr>
                        <w:b/>
                        <w:sz w:val="20"/>
                      </w:rPr>
                    </w:pPr>
                    <w:r>
                      <w:rPr>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Pr>
        <w:noProof/>
        <w:sz w:val="28"/>
        <w:szCs w:val="28"/>
        <w:lang w:val="en-GB"/>
      </w:rPr>
      <mc:AlternateContent>
        <mc:Choice Requires="wps">
          <w:drawing>
            <wp:anchor distT="0" distB="0" distL="114300" distR="114300" simplePos="0" relativeHeight="251661824" behindDoc="0" locked="1" layoutInCell="0" allowOverlap="1">
              <wp:simplePos x="0" y="0"/>
              <wp:positionH relativeFrom="page">
                <wp:posOffset>6922135</wp:posOffset>
              </wp:positionH>
              <wp:positionV relativeFrom="page">
                <wp:posOffset>742315</wp:posOffset>
              </wp:positionV>
              <wp:extent cx="393065" cy="9948545"/>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338" w:rsidRDefault="002F0338" w:rsidP="00D01103">
                          <w:pPr>
                            <w:spacing w:after="480"/>
                            <w:rPr>
                              <w:b/>
                              <w:sz w:val="20"/>
                            </w:rPr>
                          </w:pPr>
                          <w:r>
                            <w:rPr>
                              <w:b/>
                              <w:sz w:val="20"/>
                            </w:rPr>
                            <w:t>A</w:t>
                          </w:r>
                        </w:p>
                        <w:p w:rsidR="002F0338" w:rsidRDefault="002F0338" w:rsidP="00D01103">
                          <w:pPr>
                            <w:spacing w:after="480"/>
                            <w:rPr>
                              <w:b/>
                              <w:sz w:val="20"/>
                            </w:rPr>
                          </w:pPr>
                          <w:r>
                            <w:rPr>
                              <w:b/>
                              <w:sz w:val="20"/>
                            </w:rPr>
                            <w:t>B</w:t>
                          </w:r>
                        </w:p>
                        <w:p w:rsidR="002F0338" w:rsidRDefault="002F0338" w:rsidP="00D01103">
                          <w:pPr>
                            <w:spacing w:after="480"/>
                            <w:rPr>
                              <w:b/>
                              <w:sz w:val="20"/>
                            </w:rPr>
                          </w:pPr>
                          <w:r>
                            <w:rPr>
                              <w:b/>
                              <w:sz w:val="20"/>
                            </w:rPr>
                            <w:t>C</w:t>
                          </w:r>
                        </w:p>
                        <w:p w:rsidR="002F0338" w:rsidRDefault="002F0338" w:rsidP="00D01103">
                          <w:pPr>
                            <w:spacing w:after="480"/>
                            <w:rPr>
                              <w:b/>
                              <w:sz w:val="20"/>
                            </w:rPr>
                          </w:pPr>
                          <w:r>
                            <w:rPr>
                              <w:b/>
                              <w:sz w:val="20"/>
                            </w:rPr>
                            <w:t>D</w:t>
                          </w:r>
                        </w:p>
                        <w:p w:rsidR="002F0338" w:rsidRDefault="002F0338" w:rsidP="00D01103">
                          <w:pPr>
                            <w:spacing w:after="480"/>
                            <w:rPr>
                              <w:b/>
                              <w:sz w:val="20"/>
                            </w:rPr>
                          </w:pPr>
                          <w:r>
                            <w:rPr>
                              <w:b/>
                              <w:sz w:val="20"/>
                            </w:rPr>
                            <w:t>E</w:t>
                          </w:r>
                        </w:p>
                        <w:p w:rsidR="002F0338" w:rsidRDefault="002F0338" w:rsidP="00D01103">
                          <w:pPr>
                            <w:spacing w:after="480"/>
                            <w:rPr>
                              <w:b/>
                              <w:sz w:val="20"/>
                            </w:rPr>
                          </w:pPr>
                          <w:r>
                            <w:rPr>
                              <w:b/>
                              <w:sz w:val="20"/>
                            </w:rPr>
                            <w:t>F</w:t>
                          </w:r>
                        </w:p>
                        <w:p w:rsidR="002F0338" w:rsidRDefault="002F0338" w:rsidP="00D01103">
                          <w:pPr>
                            <w:spacing w:after="480"/>
                            <w:rPr>
                              <w:b/>
                              <w:sz w:val="20"/>
                            </w:rPr>
                          </w:pPr>
                          <w:r>
                            <w:rPr>
                              <w:b/>
                              <w:sz w:val="20"/>
                            </w:rPr>
                            <w:t>G</w:t>
                          </w:r>
                        </w:p>
                        <w:p w:rsidR="002F0338" w:rsidRDefault="002F0338" w:rsidP="00D01103">
                          <w:pPr>
                            <w:spacing w:after="480"/>
                            <w:rPr>
                              <w:b/>
                              <w:sz w:val="20"/>
                            </w:rPr>
                          </w:pPr>
                          <w:r>
                            <w:rPr>
                              <w:b/>
                              <w:sz w:val="20"/>
                            </w:rPr>
                            <w:t>H</w:t>
                          </w:r>
                        </w:p>
                        <w:p w:rsidR="002F0338" w:rsidRDefault="002F0338" w:rsidP="00D01103">
                          <w:pPr>
                            <w:spacing w:after="480"/>
                            <w:rPr>
                              <w:b/>
                              <w:sz w:val="20"/>
                            </w:rPr>
                          </w:pPr>
                          <w:r>
                            <w:rPr>
                              <w:b/>
                              <w:sz w:val="20"/>
                            </w:rPr>
                            <w:t>I</w:t>
                          </w:r>
                        </w:p>
                        <w:p w:rsidR="002F0338" w:rsidRDefault="002F0338" w:rsidP="00D01103">
                          <w:pPr>
                            <w:spacing w:after="480"/>
                            <w:rPr>
                              <w:b/>
                              <w:sz w:val="20"/>
                            </w:rPr>
                          </w:pPr>
                          <w:r>
                            <w:rPr>
                              <w:b/>
                              <w:sz w:val="20"/>
                            </w:rPr>
                            <w:t>J</w:t>
                          </w:r>
                        </w:p>
                        <w:p w:rsidR="002F0338" w:rsidRDefault="002F0338" w:rsidP="00D01103">
                          <w:pPr>
                            <w:spacing w:after="480"/>
                            <w:rPr>
                              <w:b/>
                              <w:sz w:val="20"/>
                            </w:rPr>
                          </w:pPr>
                          <w:r>
                            <w:rPr>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545.05pt;margin-top:58.45pt;width:30.95pt;height:783.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b0BuQIAAME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" o:allowincell="f" filled="f" stroked="f">
              <v:textbox>
                <w:txbxContent>
                  <w:p w:rsidR="002F0338" w:rsidRDefault="002F0338" w:rsidP="00D01103">
                    <w:pPr>
                      <w:spacing w:after="480"/>
                      <w:rPr>
                        <w:b/>
                        <w:sz w:val="20"/>
                      </w:rPr>
                    </w:pPr>
                    <w:r>
                      <w:rPr>
                        <w:b/>
                        <w:sz w:val="20"/>
                      </w:rPr>
                      <w:t>A</w:t>
                    </w:r>
                  </w:p>
                  <w:p w:rsidR="002F0338" w:rsidRDefault="002F0338" w:rsidP="00D01103">
                    <w:pPr>
                      <w:spacing w:after="480"/>
                      <w:rPr>
                        <w:b/>
                        <w:sz w:val="20"/>
                      </w:rPr>
                    </w:pPr>
                    <w:r>
                      <w:rPr>
                        <w:b/>
                        <w:sz w:val="20"/>
                      </w:rPr>
                      <w:t>B</w:t>
                    </w:r>
                  </w:p>
                  <w:p w:rsidR="002F0338" w:rsidRDefault="002F0338" w:rsidP="00D01103">
                    <w:pPr>
                      <w:spacing w:after="480"/>
                      <w:rPr>
                        <w:b/>
                        <w:sz w:val="20"/>
                      </w:rPr>
                    </w:pPr>
                    <w:r>
                      <w:rPr>
                        <w:b/>
                        <w:sz w:val="20"/>
                      </w:rPr>
                      <w:t>C</w:t>
                    </w:r>
                  </w:p>
                  <w:p w:rsidR="002F0338" w:rsidRDefault="002F0338" w:rsidP="00D01103">
                    <w:pPr>
                      <w:spacing w:after="480"/>
                      <w:rPr>
                        <w:b/>
                        <w:sz w:val="20"/>
                      </w:rPr>
                    </w:pPr>
                    <w:r>
                      <w:rPr>
                        <w:b/>
                        <w:sz w:val="20"/>
                      </w:rPr>
                      <w:t>D</w:t>
                    </w:r>
                  </w:p>
                  <w:p w:rsidR="002F0338" w:rsidRDefault="002F0338" w:rsidP="00D01103">
                    <w:pPr>
                      <w:spacing w:after="480"/>
                      <w:rPr>
                        <w:b/>
                        <w:sz w:val="20"/>
                      </w:rPr>
                    </w:pPr>
                    <w:r>
                      <w:rPr>
                        <w:b/>
                        <w:sz w:val="20"/>
                      </w:rPr>
                      <w:t>E</w:t>
                    </w:r>
                  </w:p>
                  <w:p w:rsidR="002F0338" w:rsidRDefault="002F0338" w:rsidP="00D01103">
                    <w:pPr>
                      <w:spacing w:after="480"/>
                      <w:rPr>
                        <w:b/>
                        <w:sz w:val="20"/>
                      </w:rPr>
                    </w:pPr>
                    <w:r>
                      <w:rPr>
                        <w:b/>
                        <w:sz w:val="20"/>
                      </w:rPr>
                      <w:t>F</w:t>
                    </w:r>
                  </w:p>
                  <w:p w:rsidR="002F0338" w:rsidRDefault="002F0338" w:rsidP="00D01103">
                    <w:pPr>
                      <w:spacing w:after="480"/>
                      <w:rPr>
                        <w:b/>
                        <w:sz w:val="20"/>
                      </w:rPr>
                    </w:pPr>
                    <w:r>
                      <w:rPr>
                        <w:b/>
                        <w:sz w:val="20"/>
                      </w:rPr>
                      <w:t>G</w:t>
                    </w:r>
                  </w:p>
                  <w:p w:rsidR="002F0338" w:rsidRDefault="002F0338" w:rsidP="00D01103">
                    <w:pPr>
                      <w:spacing w:after="480"/>
                      <w:rPr>
                        <w:b/>
                        <w:sz w:val="20"/>
                      </w:rPr>
                    </w:pPr>
                    <w:r>
                      <w:rPr>
                        <w:b/>
                        <w:sz w:val="20"/>
                      </w:rPr>
                      <w:t>H</w:t>
                    </w:r>
                  </w:p>
                  <w:p w:rsidR="002F0338" w:rsidRDefault="002F0338" w:rsidP="00D01103">
                    <w:pPr>
                      <w:spacing w:after="480"/>
                      <w:rPr>
                        <w:b/>
                        <w:sz w:val="20"/>
                      </w:rPr>
                    </w:pPr>
                    <w:r>
                      <w:rPr>
                        <w:b/>
                        <w:sz w:val="20"/>
                      </w:rPr>
                      <w:t>I</w:t>
                    </w:r>
                  </w:p>
                  <w:p w:rsidR="002F0338" w:rsidRDefault="002F0338" w:rsidP="00D01103">
                    <w:pPr>
                      <w:spacing w:after="480"/>
                      <w:rPr>
                        <w:b/>
                        <w:sz w:val="20"/>
                      </w:rPr>
                    </w:pPr>
                    <w:r>
                      <w:rPr>
                        <w:b/>
                        <w:sz w:val="20"/>
                      </w:rPr>
                      <w:t>J</w:t>
                    </w:r>
                  </w:p>
                  <w:p w:rsidR="002F0338" w:rsidRDefault="002F0338" w:rsidP="00D01103">
                    <w:pPr>
                      <w:spacing w:after="480"/>
                      <w:rPr>
                        <w:b/>
                        <w:sz w:val="20"/>
                      </w:rPr>
                    </w:pPr>
                    <w:r>
                      <w:rPr>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sidRPr="00292C64">
      <w:rPr>
        <w:sz w:val="28"/>
        <w:szCs w:val="28"/>
      </w:rPr>
      <w:t xml:space="preserve">-  </w:t>
    </w:r>
    <w:sdt>
      <w:sdtPr>
        <w:rPr>
          <w:sz w:val="28"/>
          <w:szCs w:val="28"/>
        </w:rPr>
        <w:id w:val="-642660615"/>
        <w:docPartObj>
          <w:docPartGallery w:val="Page Numbers (Bottom of Page)"/>
          <w:docPartUnique/>
        </w:docPartObj>
      </w:sdtPr>
      <w:sdtEndPr>
        <w:rPr>
          <w:noProof/>
        </w:rPr>
      </w:sdtEndPr>
      <w:sdtContent>
        <w:r w:rsidRPr="00292C64">
          <w:rPr>
            <w:sz w:val="28"/>
            <w:szCs w:val="28"/>
          </w:rPr>
          <w:fldChar w:fldCharType="begin"/>
        </w:r>
        <w:r w:rsidRPr="00292C64">
          <w:rPr>
            <w:sz w:val="28"/>
            <w:szCs w:val="28"/>
          </w:rPr>
          <w:instrText xml:space="preserve"> PAGE   \* MERGEFORMAT </w:instrText>
        </w:r>
        <w:r w:rsidRPr="00292C64">
          <w:rPr>
            <w:sz w:val="28"/>
            <w:szCs w:val="28"/>
          </w:rPr>
          <w:fldChar w:fldCharType="separate"/>
        </w:r>
        <w:r w:rsidR="00CC009C">
          <w:rPr>
            <w:noProof/>
            <w:sz w:val="28"/>
            <w:szCs w:val="28"/>
          </w:rPr>
          <w:t>21</w:t>
        </w:r>
        <w:r w:rsidRPr="00292C64">
          <w:rPr>
            <w:noProof/>
            <w:sz w:val="28"/>
            <w:szCs w:val="28"/>
          </w:rPr>
          <w:fldChar w:fldCharType="end"/>
        </w:r>
      </w:sdtContent>
    </w:sdt>
    <w:r w:rsidRPr="00292C64">
      <w:rPr>
        <w:noProof/>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338" w:rsidRPr="00CE6723" w:rsidRDefault="002F0338" w:rsidP="00CE6723">
    <w:pPr>
      <w:pStyle w:val="Header"/>
      <w:jc w:val="right"/>
      <w:rPr>
        <w:rFonts w:eastAsia="宋体"/>
        <w:i/>
      </w:rPr>
    </w:pPr>
    <w:r w:rsidRPr="00CE6723">
      <w:rPr>
        <w:rFonts w:eastAsia="宋体"/>
        <w:i/>
        <w:noProof/>
      </w:rPr>
      <mc:AlternateContent>
        <mc:Choice Requires="wps">
          <w:drawing>
            <wp:anchor distT="0" distB="0" distL="114300" distR="114300" simplePos="0" relativeHeight="251665920" behindDoc="0" locked="1" layoutInCell="0" allowOverlap="1">
              <wp:simplePos x="0" y="0"/>
              <wp:positionH relativeFrom="page">
                <wp:posOffset>411480</wp:posOffset>
              </wp:positionH>
              <wp:positionV relativeFrom="page">
                <wp:posOffset>749935</wp:posOffset>
              </wp:positionV>
              <wp:extent cx="393065" cy="9948545"/>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338" w:rsidRDefault="002F0338" w:rsidP="00D01103">
                          <w:pPr>
                            <w:spacing w:after="480"/>
                            <w:rPr>
                              <w:b/>
                              <w:sz w:val="20"/>
                            </w:rPr>
                          </w:pPr>
                          <w:r>
                            <w:rPr>
                              <w:rFonts w:hint="eastAsia"/>
                              <w:b/>
                              <w:sz w:val="20"/>
                            </w:rPr>
                            <w:t>A</w:t>
                          </w:r>
                        </w:p>
                        <w:p w:rsidR="002F0338" w:rsidRDefault="002F0338" w:rsidP="00D01103">
                          <w:pPr>
                            <w:spacing w:after="480"/>
                            <w:rPr>
                              <w:b/>
                              <w:sz w:val="20"/>
                            </w:rPr>
                          </w:pPr>
                          <w:r>
                            <w:rPr>
                              <w:rFonts w:hint="eastAsia"/>
                              <w:b/>
                              <w:sz w:val="20"/>
                            </w:rPr>
                            <w:t>B</w:t>
                          </w:r>
                        </w:p>
                        <w:p w:rsidR="002F0338" w:rsidRDefault="002F0338" w:rsidP="00D01103">
                          <w:pPr>
                            <w:spacing w:after="480"/>
                            <w:rPr>
                              <w:b/>
                              <w:sz w:val="20"/>
                            </w:rPr>
                          </w:pPr>
                          <w:r>
                            <w:rPr>
                              <w:rFonts w:hint="eastAsia"/>
                              <w:b/>
                              <w:sz w:val="20"/>
                            </w:rPr>
                            <w:t>C</w:t>
                          </w:r>
                        </w:p>
                        <w:p w:rsidR="002F0338" w:rsidRDefault="002F0338" w:rsidP="00D01103">
                          <w:pPr>
                            <w:spacing w:after="480"/>
                            <w:rPr>
                              <w:b/>
                              <w:sz w:val="20"/>
                            </w:rPr>
                          </w:pPr>
                          <w:r>
                            <w:rPr>
                              <w:rFonts w:hint="eastAsia"/>
                              <w:b/>
                              <w:sz w:val="20"/>
                            </w:rPr>
                            <w:t>D</w:t>
                          </w:r>
                        </w:p>
                        <w:p w:rsidR="002F0338" w:rsidRDefault="002F0338" w:rsidP="00D01103">
                          <w:pPr>
                            <w:spacing w:after="480"/>
                            <w:rPr>
                              <w:b/>
                              <w:sz w:val="20"/>
                            </w:rPr>
                          </w:pPr>
                          <w:r>
                            <w:rPr>
                              <w:rFonts w:hint="eastAsia"/>
                              <w:b/>
                              <w:sz w:val="20"/>
                            </w:rPr>
                            <w:t>E</w:t>
                          </w:r>
                        </w:p>
                        <w:p w:rsidR="002F0338" w:rsidRDefault="002F0338" w:rsidP="00D01103">
                          <w:pPr>
                            <w:spacing w:after="480"/>
                            <w:rPr>
                              <w:b/>
                              <w:sz w:val="20"/>
                            </w:rPr>
                          </w:pPr>
                          <w:r>
                            <w:rPr>
                              <w:rFonts w:hint="eastAsia"/>
                              <w:b/>
                              <w:sz w:val="20"/>
                            </w:rPr>
                            <w:t>F</w:t>
                          </w:r>
                        </w:p>
                        <w:p w:rsidR="002F0338" w:rsidRDefault="002F0338" w:rsidP="00D01103">
                          <w:pPr>
                            <w:spacing w:after="480"/>
                            <w:rPr>
                              <w:b/>
                              <w:sz w:val="20"/>
                            </w:rPr>
                          </w:pPr>
                          <w:r>
                            <w:rPr>
                              <w:rFonts w:hint="eastAsia"/>
                              <w:b/>
                              <w:sz w:val="20"/>
                            </w:rPr>
                            <w:t>G</w:t>
                          </w:r>
                        </w:p>
                        <w:p w:rsidR="002F0338" w:rsidRDefault="002F0338" w:rsidP="00D01103">
                          <w:pPr>
                            <w:spacing w:after="480"/>
                            <w:rPr>
                              <w:b/>
                              <w:sz w:val="20"/>
                            </w:rPr>
                          </w:pPr>
                          <w:r>
                            <w:rPr>
                              <w:rFonts w:hint="eastAsia"/>
                              <w:b/>
                              <w:sz w:val="20"/>
                            </w:rPr>
                            <w:t>H</w:t>
                          </w:r>
                        </w:p>
                        <w:p w:rsidR="002F0338" w:rsidRDefault="002F0338" w:rsidP="00D01103">
                          <w:pPr>
                            <w:spacing w:after="480"/>
                            <w:rPr>
                              <w:b/>
                              <w:sz w:val="20"/>
                            </w:rPr>
                          </w:pPr>
                          <w:r>
                            <w:rPr>
                              <w:rFonts w:hint="eastAsia"/>
                              <w:b/>
                              <w:sz w:val="20"/>
                            </w:rPr>
                            <w:t>I</w:t>
                          </w:r>
                        </w:p>
                        <w:p w:rsidR="002F0338" w:rsidRDefault="002F0338" w:rsidP="00D01103">
                          <w:pPr>
                            <w:spacing w:after="480"/>
                            <w:rPr>
                              <w:b/>
                              <w:sz w:val="20"/>
                            </w:rPr>
                          </w:pPr>
                          <w:r>
                            <w:rPr>
                              <w:rFonts w:hint="eastAsia"/>
                              <w:b/>
                              <w:sz w:val="20"/>
                            </w:rPr>
                            <w:t>J</w:t>
                          </w:r>
                        </w:p>
                        <w:p w:rsidR="002F0338" w:rsidRDefault="002F0338" w:rsidP="00D01103">
                          <w:pPr>
                            <w:spacing w:after="480"/>
                            <w:rPr>
                              <w:b/>
                              <w:sz w:val="20"/>
                            </w:rPr>
                          </w:pPr>
                          <w:r>
                            <w:rPr>
                              <w:rFonts w:hint="eastAsia"/>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32.4pt;margin-top:59.05pt;width:30.95pt;height:783.3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bGXuQIAAME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" o:allowincell="f" filled="f" stroked="f">
              <v:textbox>
                <w:txbxContent>
                  <w:p w:rsidR="002F0338" w:rsidRDefault="002F0338" w:rsidP="00D01103">
                    <w:pPr>
                      <w:spacing w:after="480"/>
                      <w:rPr>
                        <w:b/>
                        <w:sz w:val="20"/>
                      </w:rPr>
                    </w:pPr>
                    <w:r>
                      <w:rPr>
                        <w:rFonts w:hint="eastAsia"/>
                        <w:b/>
                        <w:sz w:val="20"/>
                      </w:rPr>
                      <w:t>A</w:t>
                    </w:r>
                  </w:p>
                  <w:p w:rsidR="002F0338" w:rsidRDefault="002F0338" w:rsidP="00D01103">
                    <w:pPr>
                      <w:spacing w:after="480"/>
                      <w:rPr>
                        <w:b/>
                        <w:sz w:val="20"/>
                      </w:rPr>
                    </w:pPr>
                    <w:r>
                      <w:rPr>
                        <w:rFonts w:hint="eastAsia"/>
                        <w:b/>
                        <w:sz w:val="20"/>
                      </w:rPr>
                      <w:t>B</w:t>
                    </w:r>
                  </w:p>
                  <w:p w:rsidR="002F0338" w:rsidRDefault="002F0338" w:rsidP="00D01103">
                    <w:pPr>
                      <w:spacing w:after="480"/>
                      <w:rPr>
                        <w:b/>
                        <w:sz w:val="20"/>
                      </w:rPr>
                    </w:pPr>
                    <w:r>
                      <w:rPr>
                        <w:rFonts w:hint="eastAsia"/>
                        <w:b/>
                        <w:sz w:val="20"/>
                      </w:rPr>
                      <w:t>C</w:t>
                    </w:r>
                  </w:p>
                  <w:p w:rsidR="002F0338" w:rsidRDefault="002F0338" w:rsidP="00D01103">
                    <w:pPr>
                      <w:spacing w:after="480"/>
                      <w:rPr>
                        <w:b/>
                        <w:sz w:val="20"/>
                      </w:rPr>
                    </w:pPr>
                    <w:r>
                      <w:rPr>
                        <w:rFonts w:hint="eastAsia"/>
                        <w:b/>
                        <w:sz w:val="20"/>
                      </w:rPr>
                      <w:t>D</w:t>
                    </w:r>
                  </w:p>
                  <w:p w:rsidR="002F0338" w:rsidRDefault="002F0338" w:rsidP="00D01103">
                    <w:pPr>
                      <w:spacing w:after="480"/>
                      <w:rPr>
                        <w:b/>
                        <w:sz w:val="20"/>
                      </w:rPr>
                    </w:pPr>
                    <w:r>
                      <w:rPr>
                        <w:rFonts w:hint="eastAsia"/>
                        <w:b/>
                        <w:sz w:val="20"/>
                      </w:rPr>
                      <w:t>E</w:t>
                    </w:r>
                  </w:p>
                  <w:p w:rsidR="002F0338" w:rsidRDefault="002F0338" w:rsidP="00D01103">
                    <w:pPr>
                      <w:spacing w:after="480"/>
                      <w:rPr>
                        <w:b/>
                        <w:sz w:val="20"/>
                      </w:rPr>
                    </w:pPr>
                    <w:r>
                      <w:rPr>
                        <w:rFonts w:hint="eastAsia"/>
                        <w:b/>
                        <w:sz w:val="20"/>
                      </w:rPr>
                      <w:t>F</w:t>
                    </w:r>
                  </w:p>
                  <w:p w:rsidR="002F0338" w:rsidRDefault="002F0338" w:rsidP="00D01103">
                    <w:pPr>
                      <w:spacing w:after="480"/>
                      <w:rPr>
                        <w:b/>
                        <w:sz w:val="20"/>
                      </w:rPr>
                    </w:pPr>
                    <w:r>
                      <w:rPr>
                        <w:rFonts w:hint="eastAsia"/>
                        <w:b/>
                        <w:sz w:val="20"/>
                      </w:rPr>
                      <w:t>G</w:t>
                    </w:r>
                  </w:p>
                  <w:p w:rsidR="002F0338" w:rsidRDefault="002F0338" w:rsidP="00D01103">
                    <w:pPr>
                      <w:spacing w:after="480"/>
                      <w:rPr>
                        <w:b/>
                        <w:sz w:val="20"/>
                      </w:rPr>
                    </w:pPr>
                    <w:r>
                      <w:rPr>
                        <w:rFonts w:hint="eastAsia"/>
                        <w:b/>
                        <w:sz w:val="20"/>
                      </w:rPr>
                      <w:t>H</w:t>
                    </w:r>
                  </w:p>
                  <w:p w:rsidR="002F0338" w:rsidRDefault="002F0338" w:rsidP="00D01103">
                    <w:pPr>
                      <w:spacing w:after="480"/>
                      <w:rPr>
                        <w:b/>
                        <w:sz w:val="20"/>
                      </w:rPr>
                    </w:pPr>
                    <w:r>
                      <w:rPr>
                        <w:rFonts w:hint="eastAsia"/>
                        <w:b/>
                        <w:sz w:val="20"/>
                      </w:rPr>
                      <w:t>I</w:t>
                    </w:r>
                  </w:p>
                  <w:p w:rsidR="002F0338" w:rsidRDefault="002F0338" w:rsidP="00D01103">
                    <w:pPr>
                      <w:spacing w:after="480"/>
                      <w:rPr>
                        <w:b/>
                        <w:sz w:val="20"/>
                      </w:rPr>
                    </w:pPr>
                    <w:r>
                      <w:rPr>
                        <w:rFonts w:hint="eastAsia"/>
                        <w:b/>
                        <w:sz w:val="20"/>
                      </w:rPr>
                      <w:t>J</w:t>
                    </w:r>
                  </w:p>
                  <w:p w:rsidR="002F0338" w:rsidRDefault="002F0338" w:rsidP="00D01103">
                    <w:pPr>
                      <w:spacing w:after="480"/>
                      <w:rPr>
                        <w:b/>
                        <w:sz w:val="20"/>
                      </w:rPr>
                    </w:pPr>
                    <w:r>
                      <w:rPr>
                        <w:rFonts w:hint="eastAsia"/>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sidRPr="00CE6723">
      <w:rPr>
        <w:rFonts w:eastAsia="宋体"/>
        <w:i/>
        <w:noProof/>
      </w:rPr>
      <mc:AlternateContent>
        <mc:Choice Requires="wps">
          <w:drawing>
            <wp:anchor distT="0" distB="0" distL="114300" distR="114300" simplePos="0" relativeHeight="251664896" behindDoc="0" locked="1" layoutInCell="0" allowOverlap="1">
              <wp:simplePos x="0" y="0"/>
              <wp:positionH relativeFrom="page">
                <wp:posOffset>6922135</wp:posOffset>
              </wp:positionH>
              <wp:positionV relativeFrom="page">
                <wp:posOffset>795655</wp:posOffset>
              </wp:positionV>
              <wp:extent cx="393065" cy="994854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338" w:rsidRDefault="002F0338" w:rsidP="00D01103">
                          <w:pPr>
                            <w:spacing w:after="480"/>
                            <w:rPr>
                              <w:b/>
                              <w:sz w:val="20"/>
                            </w:rPr>
                          </w:pPr>
                          <w:r>
                            <w:rPr>
                              <w:rFonts w:hint="eastAsia"/>
                              <w:b/>
                              <w:sz w:val="20"/>
                            </w:rPr>
                            <w:t>A</w:t>
                          </w:r>
                        </w:p>
                        <w:p w:rsidR="002F0338" w:rsidRDefault="002F0338" w:rsidP="00D01103">
                          <w:pPr>
                            <w:spacing w:after="480"/>
                            <w:rPr>
                              <w:b/>
                              <w:sz w:val="20"/>
                            </w:rPr>
                          </w:pPr>
                          <w:r>
                            <w:rPr>
                              <w:rFonts w:hint="eastAsia"/>
                              <w:b/>
                              <w:sz w:val="20"/>
                            </w:rPr>
                            <w:t>B</w:t>
                          </w:r>
                        </w:p>
                        <w:p w:rsidR="002F0338" w:rsidRDefault="002F0338" w:rsidP="00D01103">
                          <w:pPr>
                            <w:spacing w:after="480"/>
                            <w:rPr>
                              <w:b/>
                              <w:sz w:val="20"/>
                            </w:rPr>
                          </w:pPr>
                          <w:r>
                            <w:rPr>
                              <w:rFonts w:hint="eastAsia"/>
                              <w:b/>
                              <w:sz w:val="20"/>
                            </w:rPr>
                            <w:t>C</w:t>
                          </w:r>
                        </w:p>
                        <w:p w:rsidR="002F0338" w:rsidRDefault="002F0338" w:rsidP="00D01103">
                          <w:pPr>
                            <w:spacing w:after="480"/>
                            <w:rPr>
                              <w:b/>
                              <w:sz w:val="20"/>
                            </w:rPr>
                          </w:pPr>
                          <w:r>
                            <w:rPr>
                              <w:rFonts w:hint="eastAsia"/>
                              <w:b/>
                              <w:sz w:val="20"/>
                            </w:rPr>
                            <w:t>D</w:t>
                          </w:r>
                        </w:p>
                        <w:p w:rsidR="002F0338" w:rsidRDefault="002F0338" w:rsidP="00D01103">
                          <w:pPr>
                            <w:spacing w:after="480"/>
                            <w:rPr>
                              <w:b/>
                              <w:sz w:val="20"/>
                            </w:rPr>
                          </w:pPr>
                          <w:r>
                            <w:rPr>
                              <w:rFonts w:hint="eastAsia"/>
                              <w:b/>
                              <w:sz w:val="20"/>
                            </w:rPr>
                            <w:t>E</w:t>
                          </w:r>
                        </w:p>
                        <w:p w:rsidR="002F0338" w:rsidRDefault="002F0338" w:rsidP="00D01103">
                          <w:pPr>
                            <w:spacing w:after="480"/>
                            <w:rPr>
                              <w:b/>
                              <w:sz w:val="20"/>
                            </w:rPr>
                          </w:pPr>
                          <w:r>
                            <w:rPr>
                              <w:rFonts w:hint="eastAsia"/>
                              <w:b/>
                              <w:sz w:val="20"/>
                            </w:rPr>
                            <w:t>F</w:t>
                          </w:r>
                        </w:p>
                        <w:p w:rsidR="002F0338" w:rsidRDefault="002F0338" w:rsidP="00D01103">
                          <w:pPr>
                            <w:spacing w:after="480"/>
                            <w:rPr>
                              <w:b/>
                              <w:sz w:val="20"/>
                            </w:rPr>
                          </w:pPr>
                          <w:r>
                            <w:rPr>
                              <w:rFonts w:hint="eastAsia"/>
                              <w:b/>
                              <w:sz w:val="20"/>
                            </w:rPr>
                            <w:t>G</w:t>
                          </w:r>
                        </w:p>
                        <w:p w:rsidR="002F0338" w:rsidRDefault="002F0338" w:rsidP="00D01103">
                          <w:pPr>
                            <w:spacing w:after="480"/>
                            <w:rPr>
                              <w:b/>
                              <w:sz w:val="20"/>
                            </w:rPr>
                          </w:pPr>
                          <w:r>
                            <w:rPr>
                              <w:rFonts w:hint="eastAsia"/>
                              <w:b/>
                              <w:sz w:val="20"/>
                            </w:rPr>
                            <w:t>H</w:t>
                          </w:r>
                        </w:p>
                        <w:p w:rsidR="002F0338" w:rsidRDefault="002F0338" w:rsidP="00D01103">
                          <w:pPr>
                            <w:spacing w:after="480"/>
                            <w:rPr>
                              <w:b/>
                              <w:sz w:val="20"/>
                            </w:rPr>
                          </w:pPr>
                          <w:r>
                            <w:rPr>
                              <w:rFonts w:hint="eastAsia"/>
                              <w:b/>
                              <w:sz w:val="20"/>
                            </w:rPr>
                            <w:t>I</w:t>
                          </w:r>
                        </w:p>
                        <w:p w:rsidR="002F0338" w:rsidRDefault="002F0338" w:rsidP="00D01103">
                          <w:pPr>
                            <w:spacing w:after="480"/>
                            <w:rPr>
                              <w:b/>
                              <w:sz w:val="20"/>
                            </w:rPr>
                          </w:pPr>
                          <w:r>
                            <w:rPr>
                              <w:rFonts w:hint="eastAsia"/>
                              <w:b/>
                              <w:sz w:val="20"/>
                            </w:rPr>
                            <w:t>J</w:t>
                          </w:r>
                        </w:p>
                        <w:p w:rsidR="002F0338" w:rsidRDefault="002F0338" w:rsidP="00D01103">
                          <w:pPr>
                            <w:spacing w:after="480"/>
                            <w:rPr>
                              <w:b/>
                              <w:sz w:val="20"/>
                            </w:rPr>
                          </w:pPr>
                          <w:r>
                            <w:rPr>
                              <w:rFonts w:hint="eastAsia"/>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545.05pt;margin-top:62.65pt;width:30.95pt;height:783.3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" o:allowincell="f" filled="f" stroked="f">
              <v:textbox>
                <w:txbxContent>
                  <w:p w:rsidR="002F0338" w:rsidRDefault="002F0338" w:rsidP="00D01103">
                    <w:pPr>
                      <w:spacing w:after="480"/>
                      <w:rPr>
                        <w:b/>
                        <w:sz w:val="20"/>
                      </w:rPr>
                    </w:pPr>
                    <w:r>
                      <w:rPr>
                        <w:rFonts w:hint="eastAsia"/>
                        <w:b/>
                        <w:sz w:val="20"/>
                      </w:rPr>
                      <w:t>A</w:t>
                    </w:r>
                  </w:p>
                  <w:p w:rsidR="002F0338" w:rsidRDefault="002F0338" w:rsidP="00D01103">
                    <w:pPr>
                      <w:spacing w:after="480"/>
                      <w:rPr>
                        <w:b/>
                        <w:sz w:val="20"/>
                      </w:rPr>
                    </w:pPr>
                    <w:r>
                      <w:rPr>
                        <w:rFonts w:hint="eastAsia"/>
                        <w:b/>
                        <w:sz w:val="20"/>
                      </w:rPr>
                      <w:t>B</w:t>
                    </w:r>
                  </w:p>
                  <w:p w:rsidR="002F0338" w:rsidRDefault="002F0338" w:rsidP="00D01103">
                    <w:pPr>
                      <w:spacing w:after="480"/>
                      <w:rPr>
                        <w:b/>
                        <w:sz w:val="20"/>
                      </w:rPr>
                    </w:pPr>
                    <w:r>
                      <w:rPr>
                        <w:rFonts w:hint="eastAsia"/>
                        <w:b/>
                        <w:sz w:val="20"/>
                      </w:rPr>
                      <w:t>C</w:t>
                    </w:r>
                  </w:p>
                  <w:p w:rsidR="002F0338" w:rsidRDefault="002F0338" w:rsidP="00D01103">
                    <w:pPr>
                      <w:spacing w:after="480"/>
                      <w:rPr>
                        <w:b/>
                        <w:sz w:val="20"/>
                      </w:rPr>
                    </w:pPr>
                    <w:r>
                      <w:rPr>
                        <w:rFonts w:hint="eastAsia"/>
                        <w:b/>
                        <w:sz w:val="20"/>
                      </w:rPr>
                      <w:t>D</w:t>
                    </w:r>
                  </w:p>
                  <w:p w:rsidR="002F0338" w:rsidRDefault="002F0338" w:rsidP="00D01103">
                    <w:pPr>
                      <w:spacing w:after="480"/>
                      <w:rPr>
                        <w:b/>
                        <w:sz w:val="20"/>
                      </w:rPr>
                    </w:pPr>
                    <w:r>
                      <w:rPr>
                        <w:rFonts w:hint="eastAsia"/>
                        <w:b/>
                        <w:sz w:val="20"/>
                      </w:rPr>
                      <w:t>E</w:t>
                    </w:r>
                  </w:p>
                  <w:p w:rsidR="002F0338" w:rsidRDefault="002F0338" w:rsidP="00D01103">
                    <w:pPr>
                      <w:spacing w:after="480"/>
                      <w:rPr>
                        <w:b/>
                        <w:sz w:val="20"/>
                      </w:rPr>
                    </w:pPr>
                    <w:r>
                      <w:rPr>
                        <w:rFonts w:hint="eastAsia"/>
                        <w:b/>
                        <w:sz w:val="20"/>
                      </w:rPr>
                      <w:t>F</w:t>
                    </w:r>
                  </w:p>
                  <w:p w:rsidR="002F0338" w:rsidRDefault="002F0338" w:rsidP="00D01103">
                    <w:pPr>
                      <w:spacing w:after="480"/>
                      <w:rPr>
                        <w:b/>
                        <w:sz w:val="20"/>
                      </w:rPr>
                    </w:pPr>
                    <w:r>
                      <w:rPr>
                        <w:rFonts w:hint="eastAsia"/>
                        <w:b/>
                        <w:sz w:val="20"/>
                      </w:rPr>
                      <w:t>G</w:t>
                    </w:r>
                  </w:p>
                  <w:p w:rsidR="002F0338" w:rsidRDefault="002F0338" w:rsidP="00D01103">
                    <w:pPr>
                      <w:spacing w:after="480"/>
                      <w:rPr>
                        <w:b/>
                        <w:sz w:val="20"/>
                      </w:rPr>
                    </w:pPr>
                    <w:r>
                      <w:rPr>
                        <w:rFonts w:hint="eastAsia"/>
                        <w:b/>
                        <w:sz w:val="20"/>
                      </w:rPr>
                      <w:t>H</w:t>
                    </w:r>
                  </w:p>
                  <w:p w:rsidR="002F0338" w:rsidRDefault="002F0338" w:rsidP="00D01103">
                    <w:pPr>
                      <w:spacing w:after="480"/>
                      <w:rPr>
                        <w:b/>
                        <w:sz w:val="20"/>
                      </w:rPr>
                    </w:pPr>
                    <w:r>
                      <w:rPr>
                        <w:rFonts w:hint="eastAsia"/>
                        <w:b/>
                        <w:sz w:val="20"/>
                      </w:rPr>
                      <w:t>I</w:t>
                    </w:r>
                  </w:p>
                  <w:p w:rsidR="002F0338" w:rsidRDefault="002F0338" w:rsidP="00D01103">
                    <w:pPr>
                      <w:spacing w:after="480"/>
                      <w:rPr>
                        <w:b/>
                        <w:sz w:val="20"/>
                      </w:rPr>
                    </w:pPr>
                    <w:r>
                      <w:rPr>
                        <w:rFonts w:hint="eastAsia"/>
                        <w:b/>
                        <w:sz w:val="20"/>
                      </w:rPr>
                      <w:t>J</w:t>
                    </w:r>
                  </w:p>
                  <w:p w:rsidR="002F0338" w:rsidRDefault="002F0338" w:rsidP="00D01103">
                    <w:pPr>
                      <w:spacing w:after="480"/>
                      <w:rPr>
                        <w:b/>
                        <w:sz w:val="20"/>
                      </w:rPr>
                    </w:pPr>
                    <w:r>
                      <w:rPr>
                        <w:rFonts w:hint="eastAsia"/>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338" w:rsidRPr="00317FC3" w:rsidRDefault="002F0338" w:rsidP="005366DF">
    <w:pPr>
      <w:pStyle w:val="Footer"/>
      <w:tabs>
        <w:tab w:val="clear" w:pos="4153"/>
      </w:tabs>
      <w:spacing w:before="240"/>
      <w:jc w:val="center"/>
      <w:rPr>
        <w:sz w:val="28"/>
        <w:szCs w:val="28"/>
      </w:rPr>
    </w:pPr>
    <w:r>
      <w:rPr>
        <w:noProof/>
        <w:sz w:val="28"/>
        <w:szCs w:val="28"/>
        <w:lang w:val="en-GB"/>
      </w:rPr>
      <mc:AlternateContent>
        <mc:Choice Requires="wps">
          <w:drawing>
            <wp:anchor distT="0" distB="0" distL="114300" distR="114300" simplePos="0" relativeHeight="251672064" behindDoc="0" locked="1" layoutInCell="0" allowOverlap="1" wp14:anchorId="2DD810ED" wp14:editId="550E1FD9">
              <wp:simplePos x="0" y="0"/>
              <wp:positionH relativeFrom="page">
                <wp:posOffset>411480</wp:posOffset>
              </wp:positionH>
              <wp:positionV relativeFrom="page">
                <wp:posOffset>742315</wp:posOffset>
              </wp:positionV>
              <wp:extent cx="393065" cy="9948545"/>
              <wp:effectExtent l="0" t="0" r="0" b="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338" w:rsidRDefault="002F0338" w:rsidP="00D01103">
                          <w:pPr>
                            <w:spacing w:after="480"/>
                            <w:rPr>
                              <w:b/>
                              <w:sz w:val="20"/>
                            </w:rPr>
                          </w:pPr>
                          <w:r>
                            <w:rPr>
                              <w:b/>
                              <w:sz w:val="20"/>
                            </w:rPr>
                            <w:t>A</w:t>
                          </w:r>
                        </w:p>
                        <w:p w:rsidR="002F0338" w:rsidRDefault="002F0338" w:rsidP="00D01103">
                          <w:pPr>
                            <w:spacing w:after="480"/>
                            <w:rPr>
                              <w:b/>
                              <w:sz w:val="20"/>
                            </w:rPr>
                          </w:pPr>
                          <w:r>
                            <w:rPr>
                              <w:b/>
                              <w:sz w:val="20"/>
                            </w:rPr>
                            <w:t>B</w:t>
                          </w:r>
                        </w:p>
                        <w:p w:rsidR="002F0338" w:rsidRDefault="002F0338" w:rsidP="00D01103">
                          <w:pPr>
                            <w:spacing w:after="480"/>
                            <w:rPr>
                              <w:b/>
                              <w:sz w:val="20"/>
                            </w:rPr>
                          </w:pPr>
                          <w:r>
                            <w:rPr>
                              <w:b/>
                              <w:sz w:val="20"/>
                            </w:rPr>
                            <w:t>C</w:t>
                          </w:r>
                        </w:p>
                        <w:p w:rsidR="002F0338" w:rsidRDefault="002F0338" w:rsidP="00D01103">
                          <w:pPr>
                            <w:spacing w:after="480"/>
                            <w:rPr>
                              <w:b/>
                              <w:sz w:val="20"/>
                            </w:rPr>
                          </w:pPr>
                          <w:r>
                            <w:rPr>
                              <w:b/>
                              <w:sz w:val="20"/>
                            </w:rPr>
                            <w:t>D</w:t>
                          </w:r>
                        </w:p>
                        <w:p w:rsidR="002F0338" w:rsidRDefault="002F0338" w:rsidP="00D01103">
                          <w:pPr>
                            <w:spacing w:after="480"/>
                            <w:rPr>
                              <w:b/>
                              <w:sz w:val="20"/>
                            </w:rPr>
                          </w:pPr>
                          <w:r>
                            <w:rPr>
                              <w:b/>
                              <w:sz w:val="20"/>
                            </w:rPr>
                            <w:t>E</w:t>
                          </w:r>
                        </w:p>
                        <w:p w:rsidR="002F0338" w:rsidRDefault="002F0338" w:rsidP="00D01103">
                          <w:pPr>
                            <w:spacing w:after="480"/>
                            <w:rPr>
                              <w:b/>
                              <w:sz w:val="20"/>
                            </w:rPr>
                          </w:pPr>
                          <w:r>
                            <w:rPr>
                              <w:b/>
                              <w:sz w:val="20"/>
                            </w:rPr>
                            <w:t>F</w:t>
                          </w:r>
                        </w:p>
                        <w:p w:rsidR="002F0338" w:rsidRDefault="002F0338" w:rsidP="00D01103">
                          <w:pPr>
                            <w:spacing w:after="480"/>
                            <w:rPr>
                              <w:b/>
                              <w:sz w:val="20"/>
                            </w:rPr>
                          </w:pPr>
                          <w:r>
                            <w:rPr>
                              <w:b/>
                              <w:sz w:val="20"/>
                            </w:rPr>
                            <w:t>G</w:t>
                          </w:r>
                        </w:p>
                        <w:p w:rsidR="002F0338" w:rsidRDefault="002F0338" w:rsidP="00D01103">
                          <w:pPr>
                            <w:spacing w:after="480"/>
                            <w:rPr>
                              <w:b/>
                              <w:sz w:val="20"/>
                            </w:rPr>
                          </w:pPr>
                          <w:r>
                            <w:rPr>
                              <w:b/>
                              <w:sz w:val="20"/>
                            </w:rPr>
                            <w:t>H</w:t>
                          </w:r>
                        </w:p>
                        <w:p w:rsidR="002F0338" w:rsidRDefault="002F0338" w:rsidP="00D01103">
                          <w:pPr>
                            <w:spacing w:after="480"/>
                            <w:rPr>
                              <w:b/>
                              <w:sz w:val="20"/>
                            </w:rPr>
                          </w:pPr>
                          <w:r>
                            <w:rPr>
                              <w:b/>
                              <w:sz w:val="20"/>
                            </w:rPr>
                            <w:t>I</w:t>
                          </w:r>
                        </w:p>
                        <w:p w:rsidR="002F0338" w:rsidRDefault="002F0338" w:rsidP="00D01103">
                          <w:pPr>
                            <w:spacing w:after="480"/>
                            <w:rPr>
                              <w:b/>
                              <w:sz w:val="20"/>
                            </w:rPr>
                          </w:pPr>
                          <w:r>
                            <w:rPr>
                              <w:b/>
                              <w:sz w:val="20"/>
                            </w:rPr>
                            <w:t>J</w:t>
                          </w:r>
                        </w:p>
                        <w:p w:rsidR="002F0338" w:rsidRDefault="002F0338" w:rsidP="00D01103">
                          <w:pPr>
                            <w:spacing w:after="480"/>
                            <w:rPr>
                              <w:b/>
                              <w:sz w:val="20"/>
                            </w:rPr>
                          </w:pPr>
                          <w:r>
                            <w:rPr>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D810ED" id="_x0000_t202" coordsize="21600,21600" o:spt="202" path="m,l,21600r21600,l21600,xe">
              <v:stroke joinstyle="miter"/>
              <v:path gradientshapeok="t" o:connecttype="rect"/>
            </v:shapetype>
            <v:shape id="_x0000_s1030" type="#_x0000_t202" style="position:absolute;left:0;text-align:left;margin-left:32.4pt;margin-top:58.45pt;width:30.95pt;height:783.3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aNuQIAAMI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" o:allowincell="f" filled="f" stroked="f">
              <v:textbox>
                <w:txbxContent>
                  <w:p w:rsidR="002F0338" w:rsidRDefault="002F0338" w:rsidP="00D01103">
                    <w:pPr>
                      <w:spacing w:after="480"/>
                      <w:rPr>
                        <w:b/>
                        <w:sz w:val="20"/>
                      </w:rPr>
                    </w:pPr>
                    <w:r>
                      <w:rPr>
                        <w:b/>
                        <w:sz w:val="20"/>
                      </w:rPr>
                      <w:t>A</w:t>
                    </w:r>
                  </w:p>
                  <w:p w:rsidR="002F0338" w:rsidRDefault="002F0338" w:rsidP="00D01103">
                    <w:pPr>
                      <w:spacing w:after="480"/>
                      <w:rPr>
                        <w:b/>
                        <w:sz w:val="20"/>
                      </w:rPr>
                    </w:pPr>
                    <w:r>
                      <w:rPr>
                        <w:b/>
                        <w:sz w:val="20"/>
                      </w:rPr>
                      <w:t>B</w:t>
                    </w:r>
                  </w:p>
                  <w:p w:rsidR="002F0338" w:rsidRDefault="002F0338" w:rsidP="00D01103">
                    <w:pPr>
                      <w:spacing w:after="480"/>
                      <w:rPr>
                        <w:b/>
                        <w:sz w:val="20"/>
                      </w:rPr>
                    </w:pPr>
                    <w:r>
                      <w:rPr>
                        <w:b/>
                        <w:sz w:val="20"/>
                      </w:rPr>
                      <w:t>C</w:t>
                    </w:r>
                  </w:p>
                  <w:p w:rsidR="002F0338" w:rsidRDefault="002F0338" w:rsidP="00D01103">
                    <w:pPr>
                      <w:spacing w:after="480"/>
                      <w:rPr>
                        <w:b/>
                        <w:sz w:val="20"/>
                      </w:rPr>
                    </w:pPr>
                    <w:r>
                      <w:rPr>
                        <w:b/>
                        <w:sz w:val="20"/>
                      </w:rPr>
                      <w:t>D</w:t>
                    </w:r>
                  </w:p>
                  <w:p w:rsidR="002F0338" w:rsidRDefault="002F0338" w:rsidP="00D01103">
                    <w:pPr>
                      <w:spacing w:after="480"/>
                      <w:rPr>
                        <w:b/>
                        <w:sz w:val="20"/>
                      </w:rPr>
                    </w:pPr>
                    <w:r>
                      <w:rPr>
                        <w:b/>
                        <w:sz w:val="20"/>
                      </w:rPr>
                      <w:t>E</w:t>
                    </w:r>
                  </w:p>
                  <w:p w:rsidR="002F0338" w:rsidRDefault="002F0338" w:rsidP="00D01103">
                    <w:pPr>
                      <w:spacing w:after="480"/>
                      <w:rPr>
                        <w:b/>
                        <w:sz w:val="20"/>
                      </w:rPr>
                    </w:pPr>
                    <w:r>
                      <w:rPr>
                        <w:b/>
                        <w:sz w:val="20"/>
                      </w:rPr>
                      <w:t>F</w:t>
                    </w:r>
                  </w:p>
                  <w:p w:rsidR="002F0338" w:rsidRDefault="002F0338" w:rsidP="00D01103">
                    <w:pPr>
                      <w:spacing w:after="480"/>
                      <w:rPr>
                        <w:b/>
                        <w:sz w:val="20"/>
                      </w:rPr>
                    </w:pPr>
                    <w:r>
                      <w:rPr>
                        <w:b/>
                        <w:sz w:val="20"/>
                      </w:rPr>
                      <w:t>G</w:t>
                    </w:r>
                  </w:p>
                  <w:p w:rsidR="002F0338" w:rsidRDefault="002F0338" w:rsidP="00D01103">
                    <w:pPr>
                      <w:spacing w:after="480"/>
                      <w:rPr>
                        <w:b/>
                        <w:sz w:val="20"/>
                      </w:rPr>
                    </w:pPr>
                    <w:r>
                      <w:rPr>
                        <w:b/>
                        <w:sz w:val="20"/>
                      </w:rPr>
                      <w:t>H</w:t>
                    </w:r>
                  </w:p>
                  <w:p w:rsidR="002F0338" w:rsidRDefault="002F0338" w:rsidP="00D01103">
                    <w:pPr>
                      <w:spacing w:after="480"/>
                      <w:rPr>
                        <w:b/>
                        <w:sz w:val="20"/>
                      </w:rPr>
                    </w:pPr>
                    <w:r>
                      <w:rPr>
                        <w:b/>
                        <w:sz w:val="20"/>
                      </w:rPr>
                      <w:t>I</w:t>
                    </w:r>
                  </w:p>
                  <w:p w:rsidR="002F0338" w:rsidRDefault="002F0338" w:rsidP="00D01103">
                    <w:pPr>
                      <w:spacing w:after="480"/>
                      <w:rPr>
                        <w:b/>
                        <w:sz w:val="20"/>
                      </w:rPr>
                    </w:pPr>
                    <w:r>
                      <w:rPr>
                        <w:b/>
                        <w:sz w:val="20"/>
                      </w:rPr>
                      <w:t>J</w:t>
                    </w:r>
                  </w:p>
                  <w:p w:rsidR="002F0338" w:rsidRDefault="002F0338" w:rsidP="00D01103">
                    <w:pPr>
                      <w:spacing w:after="480"/>
                      <w:rPr>
                        <w:b/>
                        <w:sz w:val="20"/>
                      </w:rPr>
                    </w:pPr>
                    <w:r>
                      <w:rPr>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Pr>
        <w:noProof/>
        <w:sz w:val="28"/>
        <w:szCs w:val="28"/>
        <w:lang w:val="en-GB"/>
      </w:rPr>
      <mc:AlternateContent>
        <mc:Choice Requires="wps">
          <w:drawing>
            <wp:anchor distT="0" distB="0" distL="114300" distR="114300" simplePos="0" relativeHeight="251671040" behindDoc="0" locked="1" layoutInCell="0" allowOverlap="1" wp14:anchorId="19E8BA2D" wp14:editId="103B0ADF">
              <wp:simplePos x="0" y="0"/>
              <wp:positionH relativeFrom="page">
                <wp:posOffset>6922135</wp:posOffset>
              </wp:positionH>
              <wp:positionV relativeFrom="page">
                <wp:posOffset>742315</wp:posOffset>
              </wp:positionV>
              <wp:extent cx="393065" cy="9948545"/>
              <wp:effectExtent l="0" t="0" r="0" b="0"/>
              <wp:wrapNone/>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338" w:rsidRDefault="002F0338" w:rsidP="00D01103">
                          <w:pPr>
                            <w:spacing w:after="480"/>
                            <w:rPr>
                              <w:b/>
                              <w:sz w:val="20"/>
                            </w:rPr>
                          </w:pPr>
                          <w:r>
                            <w:rPr>
                              <w:b/>
                              <w:sz w:val="20"/>
                            </w:rPr>
                            <w:t>A</w:t>
                          </w:r>
                        </w:p>
                        <w:p w:rsidR="002F0338" w:rsidRDefault="002F0338" w:rsidP="00D01103">
                          <w:pPr>
                            <w:spacing w:after="480"/>
                            <w:rPr>
                              <w:b/>
                              <w:sz w:val="20"/>
                            </w:rPr>
                          </w:pPr>
                          <w:r>
                            <w:rPr>
                              <w:b/>
                              <w:sz w:val="20"/>
                            </w:rPr>
                            <w:t>B</w:t>
                          </w:r>
                        </w:p>
                        <w:p w:rsidR="002F0338" w:rsidRDefault="002F0338" w:rsidP="00D01103">
                          <w:pPr>
                            <w:spacing w:after="480"/>
                            <w:rPr>
                              <w:b/>
                              <w:sz w:val="20"/>
                            </w:rPr>
                          </w:pPr>
                          <w:r>
                            <w:rPr>
                              <w:b/>
                              <w:sz w:val="20"/>
                            </w:rPr>
                            <w:t>C</w:t>
                          </w:r>
                        </w:p>
                        <w:p w:rsidR="002F0338" w:rsidRDefault="002F0338" w:rsidP="00D01103">
                          <w:pPr>
                            <w:spacing w:after="480"/>
                            <w:rPr>
                              <w:b/>
                              <w:sz w:val="20"/>
                            </w:rPr>
                          </w:pPr>
                          <w:r>
                            <w:rPr>
                              <w:b/>
                              <w:sz w:val="20"/>
                            </w:rPr>
                            <w:t>D</w:t>
                          </w:r>
                        </w:p>
                        <w:p w:rsidR="002F0338" w:rsidRDefault="002F0338" w:rsidP="00D01103">
                          <w:pPr>
                            <w:spacing w:after="480"/>
                            <w:rPr>
                              <w:b/>
                              <w:sz w:val="20"/>
                            </w:rPr>
                          </w:pPr>
                          <w:r>
                            <w:rPr>
                              <w:b/>
                              <w:sz w:val="20"/>
                            </w:rPr>
                            <w:t>E</w:t>
                          </w:r>
                        </w:p>
                        <w:p w:rsidR="002F0338" w:rsidRDefault="002F0338" w:rsidP="00D01103">
                          <w:pPr>
                            <w:spacing w:after="480"/>
                            <w:rPr>
                              <w:b/>
                              <w:sz w:val="20"/>
                            </w:rPr>
                          </w:pPr>
                          <w:r>
                            <w:rPr>
                              <w:b/>
                              <w:sz w:val="20"/>
                            </w:rPr>
                            <w:t>F</w:t>
                          </w:r>
                        </w:p>
                        <w:p w:rsidR="002F0338" w:rsidRDefault="002F0338" w:rsidP="00D01103">
                          <w:pPr>
                            <w:spacing w:after="480"/>
                            <w:rPr>
                              <w:b/>
                              <w:sz w:val="20"/>
                            </w:rPr>
                          </w:pPr>
                          <w:r>
                            <w:rPr>
                              <w:b/>
                              <w:sz w:val="20"/>
                            </w:rPr>
                            <w:t>G</w:t>
                          </w:r>
                        </w:p>
                        <w:p w:rsidR="002F0338" w:rsidRDefault="002F0338" w:rsidP="00D01103">
                          <w:pPr>
                            <w:spacing w:after="480"/>
                            <w:rPr>
                              <w:b/>
                              <w:sz w:val="20"/>
                            </w:rPr>
                          </w:pPr>
                          <w:r>
                            <w:rPr>
                              <w:b/>
                              <w:sz w:val="20"/>
                            </w:rPr>
                            <w:t>H</w:t>
                          </w:r>
                        </w:p>
                        <w:p w:rsidR="002F0338" w:rsidRDefault="002F0338" w:rsidP="00D01103">
                          <w:pPr>
                            <w:spacing w:after="480"/>
                            <w:rPr>
                              <w:b/>
                              <w:sz w:val="20"/>
                            </w:rPr>
                          </w:pPr>
                          <w:r>
                            <w:rPr>
                              <w:b/>
                              <w:sz w:val="20"/>
                            </w:rPr>
                            <w:t>I</w:t>
                          </w:r>
                        </w:p>
                        <w:p w:rsidR="002F0338" w:rsidRDefault="002F0338" w:rsidP="00D01103">
                          <w:pPr>
                            <w:spacing w:after="480"/>
                            <w:rPr>
                              <w:b/>
                              <w:sz w:val="20"/>
                            </w:rPr>
                          </w:pPr>
                          <w:r>
                            <w:rPr>
                              <w:b/>
                              <w:sz w:val="20"/>
                            </w:rPr>
                            <w:t>J</w:t>
                          </w:r>
                        </w:p>
                        <w:p w:rsidR="002F0338" w:rsidRDefault="002F0338" w:rsidP="00D01103">
                          <w:pPr>
                            <w:spacing w:after="480"/>
                            <w:rPr>
                              <w:b/>
                              <w:sz w:val="20"/>
                            </w:rPr>
                          </w:pPr>
                          <w:r>
                            <w:rPr>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8BA2D" id="_x0000_s1031" type="#_x0000_t202" style="position:absolute;left:0;text-align:left;margin-left:545.05pt;margin-top:58.45pt;width:30.95pt;height:783.3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EZuQIAAMI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" o:allowincell="f" filled="f" stroked="f">
              <v:textbox>
                <w:txbxContent>
                  <w:p w:rsidR="002F0338" w:rsidRDefault="002F0338" w:rsidP="00D01103">
                    <w:pPr>
                      <w:spacing w:after="480"/>
                      <w:rPr>
                        <w:b/>
                        <w:sz w:val="20"/>
                      </w:rPr>
                    </w:pPr>
                    <w:r>
                      <w:rPr>
                        <w:b/>
                        <w:sz w:val="20"/>
                      </w:rPr>
                      <w:t>A</w:t>
                    </w:r>
                  </w:p>
                  <w:p w:rsidR="002F0338" w:rsidRDefault="002F0338" w:rsidP="00D01103">
                    <w:pPr>
                      <w:spacing w:after="480"/>
                      <w:rPr>
                        <w:b/>
                        <w:sz w:val="20"/>
                      </w:rPr>
                    </w:pPr>
                    <w:r>
                      <w:rPr>
                        <w:b/>
                        <w:sz w:val="20"/>
                      </w:rPr>
                      <w:t>B</w:t>
                    </w:r>
                  </w:p>
                  <w:p w:rsidR="002F0338" w:rsidRDefault="002F0338" w:rsidP="00D01103">
                    <w:pPr>
                      <w:spacing w:after="480"/>
                      <w:rPr>
                        <w:b/>
                        <w:sz w:val="20"/>
                      </w:rPr>
                    </w:pPr>
                    <w:r>
                      <w:rPr>
                        <w:b/>
                        <w:sz w:val="20"/>
                      </w:rPr>
                      <w:t>C</w:t>
                    </w:r>
                  </w:p>
                  <w:p w:rsidR="002F0338" w:rsidRDefault="002F0338" w:rsidP="00D01103">
                    <w:pPr>
                      <w:spacing w:after="480"/>
                      <w:rPr>
                        <w:b/>
                        <w:sz w:val="20"/>
                      </w:rPr>
                    </w:pPr>
                    <w:r>
                      <w:rPr>
                        <w:b/>
                        <w:sz w:val="20"/>
                      </w:rPr>
                      <w:t>D</w:t>
                    </w:r>
                  </w:p>
                  <w:p w:rsidR="002F0338" w:rsidRDefault="002F0338" w:rsidP="00D01103">
                    <w:pPr>
                      <w:spacing w:after="480"/>
                      <w:rPr>
                        <w:b/>
                        <w:sz w:val="20"/>
                      </w:rPr>
                    </w:pPr>
                    <w:r>
                      <w:rPr>
                        <w:b/>
                        <w:sz w:val="20"/>
                      </w:rPr>
                      <w:t>E</w:t>
                    </w:r>
                  </w:p>
                  <w:p w:rsidR="002F0338" w:rsidRDefault="002F0338" w:rsidP="00D01103">
                    <w:pPr>
                      <w:spacing w:after="480"/>
                      <w:rPr>
                        <w:b/>
                        <w:sz w:val="20"/>
                      </w:rPr>
                    </w:pPr>
                    <w:r>
                      <w:rPr>
                        <w:b/>
                        <w:sz w:val="20"/>
                      </w:rPr>
                      <w:t>F</w:t>
                    </w:r>
                  </w:p>
                  <w:p w:rsidR="002F0338" w:rsidRDefault="002F0338" w:rsidP="00D01103">
                    <w:pPr>
                      <w:spacing w:after="480"/>
                      <w:rPr>
                        <w:b/>
                        <w:sz w:val="20"/>
                      </w:rPr>
                    </w:pPr>
                    <w:r>
                      <w:rPr>
                        <w:b/>
                        <w:sz w:val="20"/>
                      </w:rPr>
                      <w:t>G</w:t>
                    </w:r>
                  </w:p>
                  <w:p w:rsidR="002F0338" w:rsidRDefault="002F0338" w:rsidP="00D01103">
                    <w:pPr>
                      <w:spacing w:after="480"/>
                      <w:rPr>
                        <w:b/>
                        <w:sz w:val="20"/>
                      </w:rPr>
                    </w:pPr>
                    <w:r>
                      <w:rPr>
                        <w:b/>
                        <w:sz w:val="20"/>
                      </w:rPr>
                      <w:t>H</w:t>
                    </w:r>
                  </w:p>
                  <w:p w:rsidR="002F0338" w:rsidRDefault="002F0338" w:rsidP="00D01103">
                    <w:pPr>
                      <w:spacing w:after="480"/>
                      <w:rPr>
                        <w:b/>
                        <w:sz w:val="20"/>
                      </w:rPr>
                    </w:pPr>
                    <w:r>
                      <w:rPr>
                        <w:b/>
                        <w:sz w:val="20"/>
                      </w:rPr>
                      <w:t>I</w:t>
                    </w:r>
                  </w:p>
                  <w:p w:rsidR="002F0338" w:rsidRDefault="002F0338" w:rsidP="00D01103">
                    <w:pPr>
                      <w:spacing w:after="480"/>
                      <w:rPr>
                        <w:b/>
                        <w:sz w:val="20"/>
                      </w:rPr>
                    </w:pPr>
                    <w:r>
                      <w:rPr>
                        <w:b/>
                        <w:sz w:val="20"/>
                      </w:rPr>
                      <w:t>J</w:t>
                    </w:r>
                  </w:p>
                  <w:p w:rsidR="002F0338" w:rsidRDefault="002F0338" w:rsidP="00D01103">
                    <w:pPr>
                      <w:spacing w:after="480"/>
                      <w:rPr>
                        <w:b/>
                        <w:sz w:val="20"/>
                      </w:rPr>
                    </w:pPr>
                    <w:r>
                      <w:rPr>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sidRPr="00292C64">
      <w:rPr>
        <w:sz w:val="28"/>
        <w:szCs w:val="28"/>
      </w:rPr>
      <w:t xml:space="preserve">-  </w:t>
    </w:r>
    <w:sdt>
      <w:sdtPr>
        <w:rPr>
          <w:sz w:val="28"/>
          <w:szCs w:val="28"/>
        </w:rPr>
        <w:id w:val="-2009580918"/>
        <w:docPartObj>
          <w:docPartGallery w:val="Page Numbers (Bottom of Page)"/>
          <w:docPartUnique/>
        </w:docPartObj>
      </w:sdtPr>
      <w:sdtEndPr>
        <w:rPr>
          <w:noProof/>
        </w:rPr>
      </w:sdtEndPr>
      <w:sdtContent>
        <w:r w:rsidRPr="00292C64">
          <w:rPr>
            <w:sz w:val="28"/>
            <w:szCs w:val="28"/>
          </w:rPr>
          <w:fldChar w:fldCharType="begin"/>
        </w:r>
        <w:r w:rsidRPr="00292C64">
          <w:rPr>
            <w:sz w:val="28"/>
            <w:szCs w:val="28"/>
          </w:rPr>
          <w:instrText xml:space="preserve"> PAGE   \* MERGEFORMAT </w:instrText>
        </w:r>
        <w:r w:rsidRPr="00292C64">
          <w:rPr>
            <w:sz w:val="28"/>
            <w:szCs w:val="28"/>
          </w:rPr>
          <w:fldChar w:fldCharType="separate"/>
        </w:r>
        <w:r w:rsidR="00CC009C">
          <w:rPr>
            <w:noProof/>
            <w:sz w:val="28"/>
            <w:szCs w:val="28"/>
          </w:rPr>
          <w:t>15</w:t>
        </w:r>
        <w:r w:rsidRPr="00292C64">
          <w:rPr>
            <w:noProof/>
            <w:sz w:val="28"/>
            <w:szCs w:val="28"/>
          </w:rPr>
          <w:fldChar w:fldCharType="end"/>
        </w:r>
      </w:sdtContent>
    </w:sdt>
    <w:r w:rsidRPr="00292C64">
      <w:rPr>
        <w:noProof/>
        <w:sz w:val="28"/>
        <w:szCs w:val="2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338" w:rsidRPr="00CE6723" w:rsidRDefault="002F0338" w:rsidP="00CE6723">
    <w:pPr>
      <w:pStyle w:val="Header"/>
      <w:jc w:val="right"/>
      <w:rPr>
        <w:rFonts w:eastAsia="宋体"/>
        <w:i/>
      </w:rPr>
    </w:pPr>
    <w:r w:rsidRPr="00CE6723">
      <w:rPr>
        <w:rFonts w:eastAsia="宋体"/>
        <w:i/>
        <w:noProof/>
      </w:rPr>
      <mc:AlternateContent>
        <mc:Choice Requires="wps">
          <w:drawing>
            <wp:anchor distT="0" distB="0" distL="114300" distR="114300" simplePos="0" relativeHeight="251668992" behindDoc="0" locked="1" layoutInCell="0" allowOverlap="1" wp14:anchorId="58DE15C3" wp14:editId="5AF5AE5C">
              <wp:simplePos x="0" y="0"/>
              <wp:positionH relativeFrom="page">
                <wp:posOffset>411480</wp:posOffset>
              </wp:positionH>
              <wp:positionV relativeFrom="page">
                <wp:posOffset>749935</wp:posOffset>
              </wp:positionV>
              <wp:extent cx="393065" cy="9948545"/>
              <wp:effectExtent l="0" t="0" r="0" b="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338" w:rsidRDefault="002F0338" w:rsidP="00D01103">
                          <w:pPr>
                            <w:spacing w:after="480"/>
                            <w:rPr>
                              <w:b/>
                              <w:sz w:val="20"/>
                            </w:rPr>
                          </w:pPr>
                          <w:r>
                            <w:rPr>
                              <w:rFonts w:hint="eastAsia"/>
                              <w:b/>
                              <w:sz w:val="20"/>
                            </w:rPr>
                            <w:t>A</w:t>
                          </w:r>
                        </w:p>
                        <w:p w:rsidR="002F0338" w:rsidRDefault="002F0338" w:rsidP="00D01103">
                          <w:pPr>
                            <w:spacing w:after="480"/>
                            <w:rPr>
                              <w:b/>
                              <w:sz w:val="20"/>
                            </w:rPr>
                          </w:pPr>
                          <w:r>
                            <w:rPr>
                              <w:rFonts w:hint="eastAsia"/>
                              <w:b/>
                              <w:sz w:val="20"/>
                            </w:rPr>
                            <w:t>B</w:t>
                          </w:r>
                        </w:p>
                        <w:p w:rsidR="002F0338" w:rsidRDefault="002F0338" w:rsidP="00D01103">
                          <w:pPr>
                            <w:spacing w:after="480"/>
                            <w:rPr>
                              <w:b/>
                              <w:sz w:val="20"/>
                            </w:rPr>
                          </w:pPr>
                          <w:r>
                            <w:rPr>
                              <w:rFonts w:hint="eastAsia"/>
                              <w:b/>
                              <w:sz w:val="20"/>
                            </w:rPr>
                            <w:t>C</w:t>
                          </w:r>
                        </w:p>
                        <w:p w:rsidR="002F0338" w:rsidRDefault="002F0338" w:rsidP="00D01103">
                          <w:pPr>
                            <w:spacing w:after="480"/>
                            <w:rPr>
                              <w:b/>
                              <w:sz w:val="20"/>
                            </w:rPr>
                          </w:pPr>
                          <w:r>
                            <w:rPr>
                              <w:rFonts w:hint="eastAsia"/>
                              <w:b/>
                              <w:sz w:val="20"/>
                            </w:rPr>
                            <w:t>D</w:t>
                          </w:r>
                        </w:p>
                        <w:p w:rsidR="002F0338" w:rsidRDefault="002F0338" w:rsidP="00D01103">
                          <w:pPr>
                            <w:spacing w:after="480"/>
                            <w:rPr>
                              <w:b/>
                              <w:sz w:val="20"/>
                            </w:rPr>
                          </w:pPr>
                          <w:r>
                            <w:rPr>
                              <w:rFonts w:hint="eastAsia"/>
                              <w:b/>
                              <w:sz w:val="20"/>
                            </w:rPr>
                            <w:t>E</w:t>
                          </w:r>
                        </w:p>
                        <w:p w:rsidR="002F0338" w:rsidRDefault="002F0338" w:rsidP="00D01103">
                          <w:pPr>
                            <w:spacing w:after="480"/>
                            <w:rPr>
                              <w:b/>
                              <w:sz w:val="20"/>
                            </w:rPr>
                          </w:pPr>
                          <w:r>
                            <w:rPr>
                              <w:rFonts w:hint="eastAsia"/>
                              <w:b/>
                              <w:sz w:val="20"/>
                            </w:rPr>
                            <w:t>F</w:t>
                          </w:r>
                        </w:p>
                        <w:p w:rsidR="002F0338" w:rsidRDefault="002F0338" w:rsidP="00D01103">
                          <w:pPr>
                            <w:spacing w:after="480"/>
                            <w:rPr>
                              <w:b/>
                              <w:sz w:val="20"/>
                            </w:rPr>
                          </w:pPr>
                          <w:r>
                            <w:rPr>
                              <w:rFonts w:hint="eastAsia"/>
                              <w:b/>
                              <w:sz w:val="20"/>
                            </w:rPr>
                            <w:t>G</w:t>
                          </w:r>
                        </w:p>
                        <w:p w:rsidR="002F0338" w:rsidRDefault="002F0338" w:rsidP="00D01103">
                          <w:pPr>
                            <w:spacing w:after="480"/>
                            <w:rPr>
                              <w:b/>
                              <w:sz w:val="20"/>
                            </w:rPr>
                          </w:pPr>
                          <w:r>
                            <w:rPr>
                              <w:rFonts w:hint="eastAsia"/>
                              <w:b/>
                              <w:sz w:val="20"/>
                            </w:rPr>
                            <w:t>H</w:t>
                          </w:r>
                        </w:p>
                        <w:p w:rsidR="002F0338" w:rsidRDefault="002F0338" w:rsidP="00D01103">
                          <w:pPr>
                            <w:spacing w:after="480"/>
                            <w:rPr>
                              <w:b/>
                              <w:sz w:val="20"/>
                            </w:rPr>
                          </w:pPr>
                          <w:r>
                            <w:rPr>
                              <w:rFonts w:hint="eastAsia"/>
                              <w:b/>
                              <w:sz w:val="20"/>
                            </w:rPr>
                            <w:t>I</w:t>
                          </w:r>
                        </w:p>
                        <w:p w:rsidR="002F0338" w:rsidRDefault="002F0338" w:rsidP="00D01103">
                          <w:pPr>
                            <w:spacing w:after="480"/>
                            <w:rPr>
                              <w:b/>
                              <w:sz w:val="20"/>
                            </w:rPr>
                          </w:pPr>
                          <w:r>
                            <w:rPr>
                              <w:rFonts w:hint="eastAsia"/>
                              <w:b/>
                              <w:sz w:val="20"/>
                            </w:rPr>
                            <w:t>J</w:t>
                          </w:r>
                        </w:p>
                        <w:p w:rsidR="002F0338" w:rsidRDefault="002F0338" w:rsidP="00D01103">
                          <w:pPr>
                            <w:spacing w:after="480"/>
                            <w:rPr>
                              <w:b/>
                              <w:sz w:val="20"/>
                            </w:rPr>
                          </w:pPr>
                          <w:r>
                            <w:rPr>
                              <w:rFonts w:hint="eastAsia"/>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DE15C3" id="_x0000_t202" coordsize="21600,21600" o:spt="202" path="m,l,21600r21600,l21600,xe">
              <v:stroke joinstyle="miter"/>
              <v:path gradientshapeok="t" o:connecttype="rect"/>
            </v:shapetype>
            <v:shape id="_x0000_s1032" type="#_x0000_t202" style="position:absolute;left:0;text-align:left;margin-left:32.4pt;margin-top:59.05pt;width:30.95pt;height:783.3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" o:allowincell="f" filled="f" stroked="f">
              <v:textbox>
                <w:txbxContent>
                  <w:p w:rsidR="002F0338" w:rsidRDefault="002F0338" w:rsidP="00D01103">
                    <w:pPr>
                      <w:spacing w:after="480"/>
                      <w:rPr>
                        <w:b/>
                        <w:sz w:val="20"/>
                      </w:rPr>
                    </w:pPr>
                    <w:r>
                      <w:rPr>
                        <w:rFonts w:hint="eastAsia"/>
                        <w:b/>
                        <w:sz w:val="20"/>
                      </w:rPr>
                      <w:t>A</w:t>
                    </w:r>
                  </w:p>
                  <w:p w:rsidR="002F0338" w:rsidRDefault="002F0338" w:rsidP="00D01103">
                    <w:pPr>
                      <w:spacing w:after="480"/>
                      <w:rPr>
                        <w:b/>
                        <w:sz w:val="20"/>
                      </w:rPr>
                    </w:pPr>
                    <w:r>
                      <w:rPr>
                        <w:rFonts w:hint="eastAsia"/>
                        <w:b/>
                        <w:sz w:val="20"/>
                      </w:rPr>
                      <w:t>B</w:t>
                    </w:r>
                  </w:p>
                  <w:p w:rsidR="002F0338" w:rsidRDefault="002F0338" w:rsidP="00D01103">
                    <w:pPr>
                      <w:spacing w:after="480"/>
                      <w:rPr>
                        <w:b/>
                        <w:sz w:val="20"/>
                      </w:rPr>
                    </w:pPr>
                    <w:r>
                      <w:rPr>
                        <w:rFonts w:hint="eastAsia"/>
                        <w:b/>
                        <w:sz w:val="20"/>
                      </w:rPr>
                      <w:t>C</w:t>
                    </w:r>
                  </w:p>
                  <w:p w:rsidR="002F0338" w:rsidRDefault="002F0338" w:rsidP="00D01103">
                    <w:pPr>
                      <w:spacing w:after="480"/>
                      <w:rPr>
                        <w:b/>
                        <w:sz w:val="20"/>
                      </w:rPr>
                    </w:pPr>
                    <w:r>
                      <w:rPr>
                        <w:rFonts w:hint="eastAsia"/>
                        <w:b/>
                        <w:sz w:val="20"/>
                      </w:rPr>
                      <w:t>D</w:t>
                    </w:r>
                  </w:p>
                  <w:p w:rsidR="002F0338" w:rsidRDefault="002F0338" w:rsidP="00D01103">
                    <w:pPr>
                      <w:spacing w:after="480"/>
                      <w:rPr>
                        <w:b/>
                        <w:sz w:val="20"/>
                      </w:rPr>
                    </w:pPr>
                    <w:r>
                      <w:rPr>
                        <w:rFonts w:hint="eastAsia"/>
                        <w:b/>
                        <w:sz w:val="20"/>
                      </w:rPr>
                      <w:t>E</w:t>
                    </w:r>
                  </w:p>
                  <w:p w:rsidR="002F0338" w:rsidRDefault="002F0338" w:rsidP="00D01103">
                    <w:pPr>
                      <w:spacing w:after="480"/>
                      <w:rPr>
                        <w:b/>
                        <w:sz w:val="20"/>
                      </w:rPr>
                    </w:pPr>
                    <w:r>
                      <w:rPr>
                        <w:rFonts w:hint="eastAsia"/>
                        <w:b/>
                        <w:sz w:val="20"/>
                      </w:rPr>
                      <w:t>F</w:t>
                    </w:r>
                  </w:p>
                  <w:p w:rsidR="002F0338" w:rsidRDefault="002F0338" w:rsidP="00D01103">
                    <w:pPr>
                      <w:spacing w:after="480"/>
                      <w:rPr>
                        <w:b/>
                        <w:sz w:val="20"/>
                      </w:rPr>
                    </w:pPr>
                    <w:r>
                      <w:rPr>
                        <w:rFonts w:hint="eastAsia"/>
                        <w:b/>
                        <w:sz w:val="20"/>
                      </w:rPr>
                      <w:t>G</w:t>
                    </w:r>
                  </w:p>
                  <w:p w:rsidR="002F0338" w:rsidRDefault="002F0338" w:rsidP="00D01103">
                    <w:pPr>
                      <w:spacing w:after="480"/>
                      <w:rPr>
                        <w:b/>
                        <w:sz w:val="20"/>
                      </w:rPr>
                    </w:pPr>
                    <w:r>
                      <w:rPr>
                        <w:rFonts w:hint="eastAsia"/>
                        <w:b/>
                        <w:sz w:val="20"/>
                      </w:rPr>
                      <w:t>H</w:t>
                    </w:r>
                  </w:p>
                  <w:p w:rsidR="002F0338" w:rsidRDefault="002F0338" w:rsidP="00D01103">
                    <w:pPr>
                      <w:spacing w:after="480"/>
                      <w:rPr>
                        <w:b/>
                        <w:sz w:val="20"/>
                      </w:rPr>
                    </w:pPr>
                    <w:r>
                      <w:rPr>
                        <w:rFonts w:hint="eastAsia"/>
                        <w:b/>
                        <w:sz w:val="20"/>
                      </w:rPr>
                      <w:t>I</w:t>
                    </w:r>
                  </w:p>
                  <w:p w:rsidR="002F0338" w:rsidRDefault="002F0338" w:rsidP="00D01103">
                    <w:pPr>
                      <w:spacing w:after="480"/>
                      <w:rPr>
                        <w:b/>
                        <w:sz w:val="20"/>
                      </w:rPr>
                    </w:pPr>
                    <w:r>
                      <w:rPr>
                        <w:rFonts w:hint="eastAsia"/>
                        <w:b/>
                        <w:sz w:val="20"/>
                      </w:rPr>
                      <w:t>J</w:t>
                    </w:r>
                  </w:p>
                  <w:p w:rsidR="002F0338" w:rsidRDefault="002F0338" w:rsidP="00D01103">
                    <w:pPr>
                      <w:spacing w:after="480"/>
                      <w:rPr>
                        <w:b/>
                        <w:sz w:val="20"/>
                      </w:rPr>
                    </w:pPr>
                    <w:r>
                      <w:rPr>
                        <w:rFonts w:hint="eastAsia"/>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sidRPr="00CE6723">
      <w:rPr>
        <w:rFonts w:eastAsia="宋体"/>
        <w:i/>
        <w:noProof/>
      </w:rPr>
      <mc:AlternateContent>
        <mc:Choice Requires="wps">
          <w:drawing>
            <wp:anchor distT="0" distB="0" distL="114300" distR="114300" simplePos="0" relativeHeight="251667968" behindDoc="0" locked="1" layoutInCell="0" allowOverlap="1" wp14:anchorId="1E2ED511" wp14:editId="05B0B842">
              <wp:simplePos x="0" y="0"/>
              <wp:positionH relativeFrom="page">
                <wp:posOffset>6922135</wp:posOffset>
              </wp:positionH>
              <wp:positionV relativeFrom="page">
                <wp:posOffset>795655</wp:posOffset>
              </wp:positionV>
              <wp:extent cx="393065" cy="9948545"/>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338" w:rsidRDefault="002F0338" w:rsidP="00D01103">
                          <w:pPr>
                            <w:spacing w:after="480"/>
                            <w:rPr>
                              <w:b/>
                              <w:sz w:val="20"/>
                            </w:rPr>
                          </w:pPr>
                          <w:r>
                            <w:rPr>
                              <w:rFonts w:hint="eastAsia"/>
                              <w:b/>
                              <w:sz w:val="20"/>
                            </w:rPr>
                            <w:t>A</w:t>
                          </w:r>
                        </w:p>
                        <w:p w:rsidR="002F0338" w:rsidRDefault="002F0338" w:rsidP="00D01103">
                          <w:pPr>
                            <w:spacing w:after="480"/>
                            <w:rPr>
                              <w:b/>
                              <w:sz w:val="20"/>
                            </w:rPr>
                          </w:pPr>
                          <w:r>
                            <w:rPr>
                              <w:rFonts w:hint="eastAsia"/>
                              <w:b/>
                              <w:sz w:val="20"/>
                            </w:rPr>
                            <w:t>B</w:t>
                          </w:r>
                        </w:p>
                        <w:p w:rsidR="002F0338" w:rsidRDefault="002F0338" w:rsidP="00D01103">
                          <w:pPr>
                            <w:spacing w:after="480"/>
                            <w:rPr>
                              <w:b/>
                              <w:sz w:val="20"/>
                            </w:rPr>
                          </w:pPr>
                          <w:r>
                            <w:rPr>
                              <w:rFonts w:hint="eastAsia"/>
                              <w:b/>
                              <w:sz w:val="20"/>
                            </w:rPr>
                            <w:t>C</w:t>
                          </w:r>
                        </w:p>
                        <w:p w:rsidR="002F0338" w:rsidRDefault="002F0338" w:rsidP="00D01103">
                          <w:pPr>
                            <w:spacing w:after="480"/>
                            <w:rPr>
                              <w:b/>
                              <w:sz w:val="20"/>
                            </w:rPr>
                          </w:pPr>
                          <w:r>
                            <w:rPr>
                              <w:rFonts w:hint="eastAsia"/>
                              <w:b/>
                              <w:sz w:val="20"/>
                            </w:rPr>
                            <w:t>D</w:t>
                          </w:r>
                        </w:p>
                        <w:p w:rsidR="002F0338" w:rsidRDefault="002F0338" w:rsidP="00D01103">
                          <w:pPr>
                            <w:spacing w:after="480"/>
                            <w:rPr>
                              <w:b/>
                              <w:sz w:val="20"/>
                            </w:rPr>
                          </w:pPr>
                          <w:r>
                            <w:rPr>
                              <w:rFonts w:hint="eastAsia"/>
                              <w:b/>
                              <w:sz w:val="20"/>
                            </w:rPr>
                            <w:t>E</w:t>
                          </w:r>
                        </w:p>
                        <w:p w:rsidR="002F0338" w:rsidRDefault="002F0338" w:rsidP="00D01103">
                          <w:pPr>
                            <w:spacing w:after="480"/>
                            <w:rPr>
                              <w:b/>
                              <w:sz w:val="20"/>
                            </w:rPr>
                          </w:pPr>
                          <w:r>
                            <w:rPr>
                              <w:rFonts w:hint="eastAsia"/>
                              <w:b/>
                              <w:sz w:val="20"/>
                            </w:rPr>
                            <w:t>F</w:t>
                          </w:r>
                        </w:p>
                        <w:p w:rsidR="002F0338" w:rsidRDefault="002F0338" w:rsidP="00D01103">
                          <w:pPr>
                            <w:spacing w:after="480"/>
                            <w:rPr>
                              <w:b/>
                              <w:sz w:val="20"/>
                            </w:rPr>
                          </w:pPr>
                          <w:r>
                            <w:rPr>
                              <w:rFonts w:hint="eastAsia"/>
                              <w:b/>
                              <w:sz w:val="20"/>
                            </w:rPr>
                            <w:t>G</w:t>
                          </w:r>
                        </w:p>
                        <w:p w:rsidR="002F0338" w:rsidRDefault="002F0338" w:rsidP="00D01103">
                          <w:pPr>
                            <w:spacing w:after="480"/>
                            <w:rPr>
                              <w:b/>
                              <w:sz w:val="20"/>
                            </w:rPr>
                          </w:pPr>
                          <w:r>
                            <w:rPr>
                              <w:rFonts w:hint="eastAsia"/>
                              <w:b/>
                              <w:sz w:val="20"/>
                            </w:rPr>
                            <w:t>H</w:t>
                          </w:r>
                        </w:p>
                        <w:p w:rsidR="002F0338" w:rsidRDefault="002F0338" w:rsidP="00D01103">
                          <w:pPr>
                            <w:spacing w:after="480"/>
                            <w:rPr>
                              <w:b/>
                              <w:sz w:val="20"/>
                            </w:rPr>
                          </w:pPr>
                          <w:r>
                            <w:rPr>
                              <w:rFonts w:hint="eastAsia"/>
                              <w:b/>
                              <w:sz w:val="20"/>
                            </w:rPr>
                            <w:t>I</w:t>
                          </w:r>
                        </w:p>
                        <w:p w:rsidR="002F0338" w:rsidRDefault="002F0338" w:rsidP="00D01103">
                          <w:pPr>
                            <w:spacing w:after="480"/>
                            <w:rPr>
                              <w:b/>
                              <w:sz w:val="20"/>
                            </w:rPr>
                          </w:pPr>
                          <w:r>
                            <w:rPr>
                              <w:rFonts w:hint="eastAsia"/>
                              <w:b/>
                              <w:sz w:val="20"/>
                            </w:rPr>
                            <w:t>J</w:t>
                          </w:r>
                        </w:p>
                        <w:p w:rsidR="002F0338" w:rsidRDefault="002F0338" w:rsidP="00D01103">
                          <w:pPr>
                            <w:spacing w:after="480"/>
                            <w:rPr>
                              <w:b/>
                              <w:sz w:val="20"/>
                            </w:rPr>
                          </w:pPr>
                          <w:r>
                            <w:rPr>
                              <w:rFonts w:hint="eastAsia"/>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ED511" id="_x0000_s1033" type="#_x0000_t202" style="position:absolute;left:0;text-align:left;margin-left:545.05pt;margin-top:62.65pt;width:30.95pt;height:783.3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" o:allowincell="f" filled="f" stroked="f">
              <v:textbox>
                <w:txbxContent>
                  <w:p w:rsidR="002F0338" w:rsidRDefault="002F0338" w:rsidP="00D01103">
                    <w:pPr>
                      <w:spacing w:after="480"/>
                      <w:rPr>
                        <w:b/>
                        <w:sz w:val="20"/>
                      </w:rPr>
                    </w:pPr>
                    <w:r>
                      <w:rPr>
                        <w:rFonts w:hint="eastAsia"/>
                        <w:b/>
                        <w:sz w:val="20"/>
                      </w:rPr>
                      <w:t>A</w:t>
                    </w:r>
                  </w:p>
                  <w:p w:rsidR="002F0338" w:rsidRDefault="002F0338" w:rsidP="00D01103">
                    <w:pPr>
                      <w:spacing w:after="480"/>
                      <w:rPr>
                        <w:b/>
                        <w:sz w:val="20"/>
                      </w:rPr>
                    </w:pPr>
                    <w:r>
                      <w:rPr>
                        <w:rFonts w:hint="eastAsia"/>
                        <w:b/>
                        <w:sz w:val="20"/>
                      </w:rPr>
                      <w:t>B</w:t>
                    </w:r>
                  </w:p>
                  <w:p w:rsidR="002F0338" w:rsidRDefault="002F0338" w:rsidP="00D01103">
                    <w:pPr>
                      <w:spacing w:after="480"/>
                      <w:rPr>
                        <w:b/>
                        <w:sz w:val="20"/>
                      </w:rPr>
                    </w:pPr>
                    <w:r>
                      <w:rPr>
                        <w:rFonts w:hint="eastAsia"/>
                        <w:b/>
                        <w:sz w:val="20"/>
                      </w:rPr>
                      <w:t>C</w:t>
                    </w:r>
                  </w:p>
                  <w:p w:rsidR="002F0338" w:rsidRDefault="002F0338" w:rsidP="00D01103">
                    <w:pPr>
                      <w:spacing w:after="480"/>
                      <w:rPr>
                        <w:b/>
                        <w:sz w:val="20"/>
                      </w:rPr>
                    </w:pPr>
                    <w:r>
                      <w:rPr>
                        <w:rFonts w:hint="eastAsia"/>
                        <w:b/>
                        <w:sz w:val="20"/>
                      </w:rPr>
                      <w:t>D</w:t>
                    </w:r>
                  </w:p>
                  <w:p w:rsidR="002F0338" w:rsidRDefault="002F0338" w:rsidP="00D01103">
                    <w:pPr>
                      <w:spacing w:after="480"/>
                      <w:rPr>
                        <w:b/>
                        <w:sz w:val="20"/>
                      </w:rPr>
                    </w:pPr>
                    <w:r>
                      <w:rPr>
                        <w:rFonts w:hint="eastAsia"/>
                        <w:b/>
                        <w:sz w:val="20"/>
                      </w:rPr>
                      <w:t>E</w:t>
                    </w:r>
                  </w:p>
                  <w:p w:rsidR="002F0338" w:rsidRDefault="002F0338" w:rsidP="00D01103">
                    <w:pPr>
                      <w:spacing w:after="480"/>
                      <w:rPr>
                        <w:b/>
                        <w:sz w:val="20"/>
                      </w:rPr>
                    </w:pPr>
                    <w:r>
                      <w:rPr>
                        <w:rFonts w:hint="eastAsia"/>
                        <w:b/>
                        <w:sz w:val="20"/>
                      </w:rPr>
                      <w:t>F</w:t>
                    </w:r>
                  </w:p>
                  <w:p w:rsidR="002F0338" w:rsidRDefault="002F0338" w:rsidP="00D01103">
                    <w:pPr>
                      <w:spacing w:after="480"/>
                      <w:rPr>
                        <w:b/>
                        <w:sz w:val="20"/>
                      </w:rPr>
                    </w:pPr>
                    <w:r>
                      <w:rPr>
                        <w:rFonts w:hint="eastAsia"/>
                        <w:b/>
                        <w:sz w:val="20"/>
                      </w:rPr>
                      <w:t>G</w:t>
                    </w:r>
                  </w:p>
                  <w:p w:rsidR="002F0338" w:rsidRDefault="002F0338" w:rsidP="00D01103">
                    <w:pPr>
                      <w:spacing w:after="480"/>
                      <w:rPr>
                        <w:b/>
                        <w:sz w:val="20"/>
                      </w:rPr>
                    </w:pPr>
                    <w:r>
                      <w:rPr>
                        <w:rFonts w:hint="eastAsia"/>
                        <w:b/>
                        <w:sz w:val="20"/>
                      </w:rPr>
                      <w:t>H</w:t>
                    </w:r>
                  </w:p>
                  <w:p w:rsidR="002F0338" w:rsidRDefault="002F0338" w:rsidP="00D01103">
                    <w:pPr>
                      <w:spacing w:after="480"/>
                      <w:rPr>
                        <w:b/>
                        <w:sz w:val="20"/>
                      </w:rPr>
                    </w:pPr>
                    <w:r>
                      <w:rPr>
                        <w:rFonts w:hint="eastAsia"/>
                        <w:b/>
                        <w:sz w:val="20"/>
                      </w:rPr>
                      <w:t>I</w:t>
                    </w:r>
                  </w:p>
                  <w:p w:rsidR="002F0338" w:rsidRDefault="002F0338" w:rsidP="00D01103">
                    <w:pPr>
                      <w:spacing w:after="480"/>
                      <w:rPr>
                        <w:b/>
                        <w:sz w:val="20"/>
                      </w:rPr>
                    </w:pPr>
                    <w:r>
                      <w:rPr>
                        <w:rFonts w:hint="eastAsia"/>
                        <w:b/>
                        <w:sz w:val="20"/>
                      </w:rPr>
                      <w:t>J</w:t>
                    </w:r>
                  </w:p>
                  <w:p w:rsidR="002F0338" w:rsidRDefault="002F0338" w:rsidP="00D01103">
                    <w:pPr>
                      <w:spacing w:after="480"/>
                      <w:rPr>
                        <w:b/>
                        <w:sz w:val="20"/>
                      </w:rPr>
                    </w:pPr>
                    <w:r>
                      <w:rPr>
                        <w:rFonts w:hint="eastAsia"/>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sidRPr="00CE6723">
      <w:rPr>
        <w:rFonts w:eastAsia="宋体"/>
        <w:i/>
      </w:rPr>
      <w:t xml:space="preserve">Appendix </w:t>
    </w:r>
    <w:r>
      <w:rPr>
        <w:rFonts w:eastAsia="宋体"/>
        <w:i/>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338" w:rsidRPr="00CE6723" w:rsidRDefault="002F0338" w:rsidP="00CE6723">
    <w:pPr>
      <w:pStyle w:val="Header"/>
      <w:jc w:val="right"/>
      <w:rPr>
        <w:rFonts w:eastAsia="宋体"/>
        <w:i/>
      </w:rPr>
    </w:pPr>
    <w:r w:rsidRPr="00CE6723">
      <w:rPr>
        <w:rFonts w:eastAsia="宋体"/>
        <w:i/>
        <w:noProof/>
      </w:rPr>
      <mc:AlternateContent>
        <mc:Choice Requires="wps">
          <w:drawing>
            <wp:anchor distT="0" distB="0" distL="114300" distR="114300" simplePos="0" relativeHeight="251678208" behindDoc="0" locked="1" layoutInCell="0" allowOverlap="1" wp14:anchorId="2194DD05" wp14:editId="66EFC1FC">
              <wp:simplePos x="0" y="0"/>
              <wp:positionH relativeFrom="page">
                <wp:posOffset>411480</wp:posOffset>
              </wp:positionH>
              <wp:positionV relativeFrom="page">
                <wp:posOffset>749935</wp:posOffset>
              </wp:positionV>
              <wp:extent cx="393065" cy="994854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338" w:rsidRDefault="002F0338" w:rsidP="00D01103">
                          <w:pPr>
                            <w:spacing w:after="480"/>
                            <w:rPr>
                              <w:b/>
                              <w:sz w:val="20"/>
                            </w:rPr>
                          </w:pPr>
                          <w:r>
                            <w:rPr>
                              <w:rFonts w:hint="eastAsia"/>
                              <w:b/>
                              <w:sz w:val="20"/>
                            </w:rPr>
                            <w:t>A</w:t>
                          </w:r>
                        </w:p>
                        <w:p w:rsidR="002F0338" w:rsidRDefault="002F0338" w:rsidP="00D01103">
                          <w:pPr>
                            <w:spacing w:after="480"/>
                            <w:rPr>
                              <w:b/>
                              <w:sz w:val="20"/>
                            </w:rPr>
                          </w:pPr>
                          <w:r>
                            <w:rPr>
                              <w:rFonts w:hint="eastAsia"/>
                              <w:b/>
                              <w:sz w:val="20"/>
                            </w:rPr>
                            <w:t>B</w:t>
                          </w:r>
                        </w:p>
                        <w:p w:rsidR="002F0338" w:rsidRDefault="002F0338" w:rsidP="00D01103">
                          <w:pPr>
                            <w:spacing w:after="480"/>
                            <w:rPr>
                              <w:b/>
                              <w:sz w:val="20"/>
                            </w:rPr>
                          </w:pPr>
                          <w:r>
                            <w:rPr>
                              <w:rFonts w:hint="eastAsia"/>
                              <w:b/>
                              <w:sz w:val="20"/>
                            </w:rPr>
                            <w:t>C</w:t>
                          </w:r>
                        </w:p>
                        <w:p w:rsidR="002F0338" w:rsidRDefault="002F0338" w:rsidP="00D01103">
                          <w:pPr>
                            <w:spacing w:after="480"/>
                            <w:rPr>
                              <w:b/>
                              <w:sz w:val="20"/>
                            </w:rPr>
                          </w:pPr>
                          <w:r>
                            <w:rPr>
                              <w:rFonts w:hint="eastAsia"/>
                              <w:b/>
                              <w:sz w:val="20"/>
                            </w:rPr>
                            <w:t>D</w:t>
                          </w:r>
                        </w:p>
                        <w:p w:rsidR="002F0338" w:rsidRDefault="002F0338" w:rsidP="00D01103">
                          <w:pPr>
                            <w:spacing w:after="480"/>
                            <w:rPr>
                              <w:b/>
                              <w:sz w:val="20"/>
                            </w:rPr>
                          </w:pPr>
                          <w:r>
                            <w:rPr>
                              <w:rFonts w:hint="eastAsia"/>
                              <w:b/>
                              <w:sz w:val="20"/>
                            </w:rPr>
                            <w:t>E</w:t>
                          </w:r>
                        </w:p>
                        <w:p w:rsidR="002F0338" w:rsidRDefault="002F0338" w:rsidP="00D01103">
                          <w:pPr>
                            <w:spacing w:after="480"/>
                            <w:rPr>
                              <w:b/>
                              <w:sz w:val="20"/>
                            </w:rPr>
                          </w:pPr>
                          <w:r>
                            <w:rPr>
                              <w:rFonts w:hint="eastAsia"/>
                              <w:b/>
                              <w:sz w:val="20"/>
                            </w:rPr>
                            <w:t>F</w:t>
                          </w:r>
                        </w:p>
                        <w:p w:rsidR="002F0338" w:rsidRDefault="002F0338" w:rsidP="00D01103">
                          <w:pPr>
                            <w:spacing w:after="480"/>
                            <w:rPr>
                              <w:b/>
                              <w:sz w:val="20"/>
                            </w:rPr>
                          </w:pPr>
                          <w:r>
                            <w:rPr>
                              <w:rFonts w:hint="eastAsia"/>
                              <w:b/>
                              <w:sz w:val="20"/>
                            </w:rPr>
                            <w:t>G</w:t>
                          </w:r>
                        </w:p>
                        <w:p w:rsidR="002F0338" w:rsidRDefault="002F0338" w:rsidP="00D01103">
                          <w:pPr>
                            <w:spacing w:after="480"/>
                            <w:rPr>
                              <w:b/>
                              <w:sz w:val="20"/>
                            </w:rPr>
                          </w:pPr>
                          <w:r>
                            <w:rPr>
                              <w:rFonts w:hint="eastAsia"/>
                              <w:b/>
                              <w:sz w:val="20"/>
                            </w:rPr>
                            <w:t>H</w:t>
                          </w:r>
                        </w:p>
                        <w:p w:rsidR="002F0338" w:rsidRDefault="002F0338" w:rsidP="00D01103">
                          <w:pPr>
                            <w:spacing w:after="480"/>
                            <w:rPr>
                              <w:b/>
                              <w:sz w:val="20"/>
                            </w:rPr>
                          </w:pPr>
                          <w:r>
                            <w:rPr>
                              <w:rFonts w:hint="eastAsia"/>
                              <w:b/>
                              <w:sz w:val="20"/>
                            </w:rPr>
                            <w:t>I</w:t>
                          </w:r>
                        </w:p>
                        <w:p w:rsidR="002F0338" w:rsidRDefault="002F0338" w:rsidP="00D01103">
                          <w:pPr>
                            <w:spacing w:after="480"/>
                            <w:rPr>
                              <w:b/>
                              <w:sz w:val="20"/>
                            </w:rPr>
                          </w:pPr>
                          <w:r>
                            <w:rPr>
                              <w:rFonts w:hint="eastAsia"/>
                              <w:b/>
                              <w:sz w:val="20"/>
                            </w:rPr>
                            <w:t>J</w:t>
                          </w:r>
                        </w:p>
                        <w:p w:rsidR="002F0338" w:rsidRDefault="002F0338" w:rsidP="00D01103">
                          <w:pPr>
                            <w:spacing w:after="480"/>
                            <w:rPr>
                              <w:b/>
                              <w:sz w:val="20"/>
                            </w:rPr>
                          </w:pPr>
                          <w:r>
                            <w:rPr>
                              <w:rFonts w:hint="eastAsia"/>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94DD05" id="_x0000_t202" coordsize="21600,21600" o:spt="202" path="m,l,21600r21600,l21600,xe">
              <v:stroke joinstyle="miter"/>
              <v:path gradientshapeok="t" o:connecttype="rect"/>
            </v:shapetype>
            <v:shape id="_x0000_s1034" type="#_x0000_t202" style="position:absolute;left:0;text-align:left;margin-left:32.4pt;margin-top:59.05pt;width:30.95pt;height:783.3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2GyuQIAAMI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" o:allowincell="f" filled="f" stroked="f">
              <v:textbox>
                <w:txbxContent>
                  <w:p w:rsidR="002F0338" w:rsidRDefault="002F0338" w:rsidP="00D01103">
                    <w:pPr>
                      <w:spacing w:after="480"/>
                      <w:rPr>
                        <w:b/>
                        <w:sz w:val="20"/>
                      </w:rPr>
                    </w:pPr>
                    <w:r>
                      <w:rPr>
                        <w:rFonts w:hint="eastAsia"/>
                        <w:b/>
                        <w:sz w:val="20"/>
                      </w:rPr>
                      <w:t>A</w:t>
                    </w:r>
                  </w:p>
                  <w:p w:rsidR="002F0338" w:rsidRDefault="002F0338" w:rsidP="00D01103">
                    <w:pPr>
                      <w:spacing w:after="480"/>
                      <w:rPr>
                        <w:b/>
                        <w:sz w:val="20"/>
                      </w:rPr>
                    </w:pPr>
                    <w:r>
                      <w:rPr>
                        <w:rFonts w:hint="eastAsia"/>
                        <w:b/>
                        <w:sz w:val="20"/>
                      </w:rPr>
                      <w:t>B</w:t>
                    </w:r>
                  </w:p>
                  <w:p w:rsidR="002F0338" w:rsidRDefault="002F0338" w:rsidP="00D01103">
                    <w:pPr>
                      <w:spacing w:after="480"/>
                      <w:rPr>
                        <w:b/>
                        <w:sz w:val="20"/>
                      </w:rPr>
                    </w:pPr>
                    <w:r>
                      <w:rPr>
                        <w:rFonts w:hint="eastAsia"/>
                        <w:b/>
                        <w:sz w:val="20"/>
                      </w:rPr>
                      <w:t>C</w:t>
                    </w:r>
                  </w:p>
                  <w:p w:rsidR="002F0338" w:rsidRDefault="002F0338" w:rsidP="00D01103">
                    <w:pPr>
                      <w:spacing w:after="480"/>
                      <w:rPr>
                        <w:b/>
                        <w:sz w:val="20"/>
                      </w:rPr>
                    </w:pPr>
                    <w:r>
                      <w:rPr>
                        <w:rFonts w:hint="eastAsia"/>
                        <w:b/>
                        <w:sz w:val="20"/>
                      </w:rPr>
                      <w:t>D</w:t>
                    </w:r>
                  </w:p>
                  <w:p w:rsidR="002F0338" w:rsidRDefault="002F0338" w:rsidP="00D01103">
                    <w:pPr>
                      <w:spacing w:after="480"/>
                      <w:rPr>
                        <w:b/>
                        <w:sz w:val="20"/>
                      </w:rPr>
                    </w:pPr>
                    <w:r>
                      <w:rPr>
                        <w:rFonts w:hint="eastAsia"/>
                        <w:b/>
                        <w:sz w:val="20"/>
                      </w:rPr>
                      <w:t>E</w:t>
                    </w:r>
                  </w:p>
                  <w:p w:rsidR="002F0338" w:rsidRDefault="002F0338" w:rsidP="00D01103">
                    <w:pPr>
                      <w:spacing w:after="480"/>
                      <w:rPr>
                        <w:b/>
                        <w:sz w:val="20"/>
                      </w:rPr>
                    </w:pPr>
                    <w:r>
                      <w:rPr>
                        <w:rFonts w:hint="eastAsia"/>
                        <w:b/>
                        <w:sz w:val="20"/>
                      </w:rPr>
                      <w:t>F</w:t>
                    </w:r>
                  </w:p>
                  <w:p w:rsidR="002F0338" w:rsidRDefault="002F0338" w:rsidP="00D01103">
                    <w:pPr>
                      <w:spacing w:after="480"/>
                      <w:rPr>
                        <w:b/>
                        <w:sz w:val="20"/>
                      </w:rPr>
                    </w:pPr>
                    <w:r>
                      <w:rPr>
                        <w:rFonts w:hint="eastAsia"/>
                        <w:b/>
                        <w:sz w:val="20"/>
                      </w:rPr>
                      <w:t>G</w:t>
                    </w:r>
                  </w:p>
                  <w:p w:rsidR="002F0338" w:rsidRDefault="002F0338" w:rsidP="00D01103">
                    <w:pPr>
                      <w:spacing w:after="480"/>
                      <w:rPr>
                        <w:b/>
                        <w:sz w:val="20"/>
                      </w:rPr>
                    </w:pPr>
                    <w:r>
                      <w:rPr>
                        <w:rFonts w:hint="eastAsia"/>
                        <w:b/>
                        <w:sz w:val="20"/>
                      </w:rPr>
                      <w:t>H</w:t>
                    </w:r>
                  </w:p>
                  <w:p w:rsidR="002F0338" w:rsidRDefault="002F0338" w:rsidP="00D01103">
                    <w:pPr>
                      <w:spacing w:after="480"/>
                      <w:rPr>
                        <w:b/>
                        <w:sz w:val="20"/>
                      </w:rPr>
                    </w:pPr>
                    <w:r>
                      <w:rPr>
                        <w:rFonts w:hint="eastAsia"/>
                        <w:b/>
                        <w:sz w:val="20"/>
                      </w:rPr>
                      <w:t>I</w:t>
                    </w:r>
                  </w:p>
                  <w:p w:rsidR="002F0338" w:rsidRDefault="002F0338" w:rsidP="00D01103">
                    <w:pPr>
                      <w:spacing w:after="480"/>
                      <w:rPr>
                        <w:b/>
                        <w:sz w:val="20"/>
                      </w:rPr>
                    </w:pPr>
                    <w:r>
                      <w:rPr>
                        <w:rFonts w:hint="eastAsia"/>
                        <w:b/>
                        <w:sz w:val="20"/>
                      </w:rPr>
                      <w:t>J</w:t>
                    </w:r>
                  </w:p>
                  <w:p w:rsidR="002F0338" w:rsidRDefault="002F0338" w:rsidP="00D01103">
                    <w:pPr>
                      <w:spacing w:after="480"/>
                      <w:rPr>
                        <w:b/>
                        <w:sz w:val="20"/>
                      </w:rPr>
                    </w:pPr>
                    <w:r>
                      <w:rPr>
                        <w:rFonts w:hint="eastAsia"/>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sidRPr="00CE6723">
      <w:rPr>
        <w:rFonts w:eastAsia="宋体"/>
        <w:i/>
        <w:noProof/>
      </w:rPr>
      <mc:AlternateContent>
        <mc:Choice Requires="wps">
          <w:drawing>
            <wp:anchor distT="0" distB="0" distL="114300" distR="114300" simplePos="0" relativeHeight="251677184" behindDoc="0" locked="1" layoutInCell="0" allowOverlap="1" wp14:anchorId="16F1D118" wp14:editId="55EF3273">
              <wp:simplePos x="0" y="0"/>
              <wp:positionH relativeFrom="page">
                <wp:posOffset>6922135</wp:posOffset>
              </wp:positionH>
              <wp:positionV relativeFrom="page">
                <wp:posOffset>795655</wp:posOffset>
              </wp:positionV>
              <wp:extent cx="393065" cy="994854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338" w:rsidRDefault="002F0338" w:rsidP="00D01103">
                          <w:pPr>
                            <w:spacing w:after="480"/>
                            <w:rPr>
                              <w:b/>
                              <w:sz w:val="20"/>
                            </w:rPr>
                          </w:pPr>
                          <w:r>
                            <w:rPr>
                              <w:rFonts w:hint="eastAsia"/>
                              <w:b/>
                              <w:sz w:val="20"/>
                            </w:rPr>
                            <w:t>A</w:t>
                          </w:r>
                        </w:p>
                        <w:p w:rsidR="002F0338" w:rsidRDefault="002F0338" w:rsidP="00D01103">
                          <w:pPr>
                            <w:spacing w:after="480"/>
                            <w:rPr>
                              <w:b/>
                              <w:sz w:val="20"/>
                            </w:rPr>
                          </w:pPr>
                          <w:r>
                            <w:rPr>
                              <w:rFonts w:hint="eastAsia"/>
                              <w:b/>
                              <w:sz w:val="20"/>
                            </w:rPr>
                            <w:t>B</w:t>
                          </w:r>
                        </w:p>
                        <w:p w:rsidR="002F0338" w:rsidRDefault="002F0338" w:rsidP="00D01103">
                          <w:pPr>
                            <w:spacing w:after="480"/>
                            <w:rPr>
                              <w:b/>
                              <w:sz w:val="20"/>
                            </w:rPr>
                          </w:pPr>
                          <w:r>
                            <w:rPr>
                              <w:rFonts w:hint="eastAsia"/>
                              <w:b/>
                              <w:sz w:val="20"/>
                            </w:rPr>
                            <w:t>C</w:t>
                          </w:r>
                        </w:p>
                        <w:p w:rsidR="002F0338" w:rsidRDefault="002F0338" w:rsidP="00D01103">
                          <w:pPr>
                            <w:spacing w:after="480"/>
                            <w:rPr>
                              <w:b/>
                              <w:sz w:val="20"/>
                            </w:rPr>
                          </w:pPr>
                          <w:r>
                            <w:rPr>
                              <w:rFonts w:hint="eastAsia"/>
                              <w:b/>
                              <w:sz w:val="20"/>
                            </w:rPr>
                            <w:t>D</w:t>
                          </w:r>
                        </w:p>
                        <w:p w:rsidR="002F0338" w:rsidRDefault="002F0338" w:rsidP="00D01103">
                          <w:pPr>
                            <w:spacing w:after="480"/>
                            <w:rPr>
                              <w:b/>
                              <w:sz w:val="20"/>
                            </w:rPr>
                          </w:pPr>
                          <w:r>
                            <w:rPr>
                              <w:rFonts w:hint="eastAsia"/>
                              <w:b/>
                              <w:sz w:val="20"/>
                            </w:rPr>
                            <w:t>E</w:t>
                          </w:r>
                        </w:p>
                        <w:p w:rsidR="002F0338" w:rsidRDefault="002F0338" w:rsidP="00D01103">
                          <w:pPr>
                            <w:spacing w:after="480"/>
                            <w:rPr>
                              <w:b/>
                              <w:sz w:val="20"/>
                            </w:rPr>
                          </w:pPr>
                          <w:r>
                            <w:rPr>
                              <w:rFonts w:hint="eastAsia"/>
                              <w:b/>
                              <w:sz w:val="20"/>
                            </w:rPr>
                            <w:t>F</w:t>
                          </w:r>
                        </w:p>
                        <w:p w:rsidR="002F0338" w:rsidRDefault="002F0338" w:rsidP="00D01103">
                          <w:pPr>
                            <w:spacing w:after="480"/>
                            <w:rPr>
                              <w:b/>
                              <w:sz w:val="20"/>
                            </w:rPr>
                          </w:pPr>
                          <w:r>
                            <w:rPr>
                              <w:rFonts w:hint="eastAsia"/>
                              <w:b/>
                              <w:sz w:val="20"/>
                            </w:rPr>
                            <w:t>G</w:t>
                          </w:r>
                        </w:p>
                        <w:p w:rsidR="002F0338" w:rsidRDefault="002F0338" w:rsidP="00D01103">
                          <w:pPr>
                            <w:spacing w:after="480"/>
                            <w:rPr>
                              <w:b/>
                              <w:sz w:val="20"/>
                            </w:rPr>
                          </w:pPr>
                          <w:r>
                            <w:rPr>
                              <w:rFonts w:hint="eastAsia"/>
                              <w:b/>
                              <w:sz w:val="20"/>
                            </w:rPr>
                            <w:t>H</w:t>
                          </w:r>
                        </w:p>
                        <w:p w:rsidR="002F0338" w:rsidRDefault="002F0338" w:rsidP="00D01103">
                          <w:pPr>
                            <w:spacing w:after="480"/>
                            <w:rPr>
                              <w:b/>
                              <w:sz w:val="20"/>
                            </w:rPr>
                          </w:pPr>
                          <w:r>
                            <w:rPr>
                              <w:rFonts w:hint="eastAsia"/>
                              <w:b/>
                              <w:sz w:val="20"/>
                            </w:rPr>
                            <w:t>I</w:t>
                          </w:r>
                        </w:p>
                        <w:p w:rsidR="002F0338" w:rsidRDefault="002F0338" w:rsidP="00D01103">
                          <w:pPr>
                            <w:spacing w:after="480"/>
                            <w:rPr>
                              <w:b/>
                              <w:sz w:val="20"/>
                            </w:rPr>
                          </w:pPr>
                          <w:r>
                            <w:rPr>
                              <w:rFonts w:hint="eastAsia"/>
                              <w:b/>
                              <w:sz w:val="20"/>
                            </w:rPr>
                            <w:t>J</w:t>
                          </w:r>
                        </w:p>
                        <w:p w:rsidR="002F0338" w:rsidRDefault="002F0338" w:rsidP="00D01103">
                          <w:pPr>
                            <w:spacing w:after="480"/>
                            <w:rPr>
                              <w:b/>
                              <w:sz w:val="20"/>
                            </w:rPr>
                          </w:pPr>
                          <w:r>
                            <w:rPr>
                              <w:rFonts w:hint="eastAsia"/>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1D118" id="Text Box 12" o:spid="_x0000_s1035" type="#_x0000_t202" style="position:absolute;left:0;text-align:left;margin-left:545.05pt;margin-top:62.65pt;width:30.95pt;height:783.3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l2ouQ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" o:allowincell="f" filled="f" stroked="f">
              <v:textbox>
                <w:txbxContent>
                  <w:p w:rsidR="002F0338" w:rsidRDefault="002F0338" w:rsidP="00D01103">
                    <w:pPr>
                      <w:spacing w:after="480"/>
                      <w:rPr>
                        <w:b/>
                        <w:sz w:val="20"/>
                      </w:rPr>
                    </w:pPr>
                    <w:r>
                      <w:rPr>
                        <w:rFonts w:hint="eastAsia"/>
                        <w:b/>
                        <w:sz w:val="20"/>
                      </w:rPr>
                      <w:t>A</w:t>
                    </w:r>
                  </w:p>
                  <w:p w:rsidR="002F0338" w:rsidRDefault="002F0338" w:rsidP="00D01103">
                    <w:pPr>
                      <w:spacing w:after="480"/>
                      <w:rPr>
                        <w:b/>
                        <w:sz w:val="20"/>
                      </w:rPr>
                    </w:pPr>
                    <w:r>
                      <w:rPr>
                        <w:rFonts w:hint="eastAsia"/>
                        <w:b/>
                        <w:sz w:val="20"/>
                      </w:rPr>
                      <w:t>B</w:t>
                    </w:r>
                  </w:p>
                  <w:p w:rsidR="002F0338" w:rsidRDefault="002F0338" w:rsidP="00D01103">
                    <w:pPr>
                      <w:spacing w:after="480"/>
                      <w:rPr>
                        <w:b/>
                        <w:sz w:val="20"/>
                      </w:rPr>
                    </w:pPr>
                    <w:r>
                      <w:rPr>
                        <w:rFonts w:hint="eastAsia"/>
                        <w:b/>
                        <w:sz w:val="20"/>
                      </w:rPr>
                      <w:t>C</w:t>
                    </w:r>
                  </w:p>
                  <w:p w:rsidR="002F0338" w:rsidRDefault="002F0338" w:rsidP="00D01103">
                    <w:pPr>
                      <w:spacing w:after="480"/>
                      <w:rPr>
                        <w:b/>
                        <w:sz w:val="20"/>
                      </w:rPr>
                    </w:pPr>
                    <w:r>
                      <w:rPr>
                        <w:rFonts w:hint="eastAsia"/>
                        <w:b/>
                        <w:sz w:val="20"/>
                      </w:rPr>
                      <w:t>D</w:t>
                    </w:r>
                  </w:p>
                  <w:p w:rsidR="002F0338" w:rsidRDefault="002F0338" w:rsidP="00D01103">
                    <w:pPr>
                      <w:spacing w:after="480"/>
                      <w:rPr>
                        <w:b/>
                        <w:sz w:val="20"/>
                      </w:rPr>
                    </w:pPr>
                    <w:r>
                      <w:rPr>
                        <w:rFonts w:hint="eastAsia"/>
                        <w:b/>
                        <w:sz w:val="20"/>
                      </w:rPr>
                      <w:t>E</w:t>
                    </w:r>
                  </w:p>
                  <w:p w:rsidR="002F0338" w:rsidRDefault="002F0338" w:rsidP="00D01103">
                    <w:pPr>
                      <w:spacing w:after="480"/>
                      <w:rPr>
                        <w:b/>
                        <w:sz w:val="20"/>
                      </w:rPr>
                    </w:pPr>
                    <w:r>
                      <w:rPr>
                        <w:rFonts w:hint="eastAsia"/>
                        <w:b/>
                        <w:sz w:val="20"/>
                      </w:rPr>
                      <w:t>F</w:t>
                    </w:r>
                  </w:p>
                  <w:p w:rsidR="002F0338" w:rsidRDefault="002F0338" w:rsidP="00D01103">
                    <w:pPr>
                      <w:spacing w:after="480"/>
                      <w:rPr>
                        <w:b/>
                        <w:sz w:val="20"/>
                      </w:rPr>
                    </w:pPr>
                    <w:r>
                      <w:rPr>
                        <w:rFonts w:hint="eastAsia"/>
                        <w:b/>
                        <w:sz w:val="20"/>
                      </w:rPr>
                      <w:t>G</w:t>
                    </w:r>
                  </w:p>
                  <w:p w:rsidR="002F0338" w:rsidRDefault="002F0338" w:rsidP="00D01103">
                    <w:pPr>
                      <w:spacing w:after="480"/>
                      <w:rPr>
                        <w:b/>
                        <w:sz w:val="20"/>
                      </w:rPr>
                    </w:pPr>
                    <w:r>
                      <w:rPr>
                        <w:rFonts w:hint="eastAsia"/>
                        <w:b/>
                        <w:sz w:val="20"/>
                      </w:rPr>
                      <w:t>H</w:t>
                    </w:r>
                  </w:p>
                  <w:p w:rsidR="002F0338" w:rsidRDefault="002F0338" w:rsidP="00D01103">
                    <w:pPr>
                      <w:spacing w:after="480"/>
                      <w:rPr>
                        <w:b/>
                        <w:sz w:val="20"/>
                      </w:rPr>
                    </w:pPr>
                    <w:r>
                      <w:rPr>
                        <w:rFonts w:hint="eastAsia"/>
                        <w:b/>
                        <w:sz w:val="20"/>
                      </w:rPr>
                      <w:t>I</w:t>
                    </w:r>
                  </w:p>
                  <w:p w:rsidR="002F0338" w:rsidRDefault="002F0338" w:rsidP="00D01103">
                    <w:pPr>
                      <w:spacing w:after="480"/>
                      <w:rPr>
                        <w:b/>
                        <w:sz w:val="20"/>
                      </w:rPr>
                    </w:pPr>
                    <w:r>
                      <w:rPr>
                        <w:rFonts w:hint="eastAsia"/>
                        <w:b/>
                        <w:sz w:val="20"/>
                      </w:rPr>
                      <w:t>J</w:t>
                    </w:r>
                  </w:p>
                  <w:p w:rsidR="002F0338" w:rsidRDefault="002F0338" w:rsidP="00D01103">
                    <w:pPr>
                      <w:spacing w:after="480"/>
                      <w:rPr>
                        <w:b/>
                        <w:sz w:val="20"/>
                      </w:rPr>
                    </w:pPr>
                    <w:r>
                      <w:rPr>
                        <w:rFonts w:hint="eastAsia"/>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Pr>
        <w:rFonts w:eastAsia="宋体"/>
        <w:i/>
      </w:rPr>
      <w:t>Appendix 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338" w:rsidRPr="00CE6723" w:rsidRDefault="002F0338" w:rsidP="00CE6723">
    <w:pPr>
      <w:pStyle w:val="Header"/>
      <w:jc w:val="right"/>
      <w:rPr>
        <w:rFonts w:eastAsia="宋体"/>
        <w:i/>
      </w:rPr>
    </w:pPr>
    <w:r w:rsidRPr="00CE6723">
      <w:rPr>
        <w:rFonts w:eastAsia="宋体"/>
        <w:i/>
        <w:noProof/>
      </w:rPr>
      <mc:AlternateContent>
        <mc:Choice Requires="wps">
          <w:drawing>
            <wp:anchor distT="0" distB="0" distL="114300" distR="114300" simplePos="0" relativeHeight="251681280" behindDoc="0" locked="1" layoutInCell="0" allowOverlap="1" wp14:anchorId="1079541B" wp14:editId="199C50A0">
              <wp:simplePos x="0" y="0"/>
              <wp:positionH relativeFrom="page">
                <wp:posOffset>411480</wp:posOffset>
              </wp:positionH>
              <wp:positionV relativeFrom="page">
                <wp:posOffset>749935</wp:posOffset>
              </wp:positionV>
              <wp:extent cx="393065" cy="9948545"/>
              <wp:effectExtent l="0" t="0" r="0"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338" w:rsidRDefault="002F0338" w:rsidP="00D01103">
                          <w:pPr>
                            <w:spacing w:after="480"/>
                            <w:rPr>
                              <w:b/>
                              <w:sz w:val="20"/>
                            </w:rPr>
                          </w:pPr>
                          <w:r>
                            <w:rPr>
                              <w:rFonts w:hint="eastAsia"/>
                              <w:b/>
                              <w:sz w:val="20"/>
                            </w:rPr>
                            <w:t>A</w:t>
                          </w:r>
                        </w:p>
                        <w:p w:rsidR="002F0338" w:rsidRDefault="002F0338" w:rsidP="00D01103">
                          <w:pPr>
                            <w:spacing w:after="480"/>
                            <w:rPr>
                              <w:b/>
                              <w:sz w:val="20"/>
                            </w:rPr>
                          </w:pPr>
                          <w:r>
                            <w:rPr>
                              <w:rFonts w:hint="eastAsia"/>
                              <w:b/>
                              <w:sz w:val="20"/>
                            </w:rPr>
                            <w:t>B</w:t>
                          </w:r>
                        </w:p>
                        <w:p w:rsidR="002F0338" w:rsidRDefault="002F0338" w:rsidP="00D01103">
                          <w:pPr>
                            <w:spacing w:after="480"/>
                            <w:rPr>
                              <w:b/>
                              <w:sz w:val="20"/>
                            </w:rPr>
                          </w:pPr>
                          <w:r>
                            <w:rPr>
                              <w:rFonts w:hint="eastAsia"/>
                              <w:b/>
                              <w:sz w:val="20"/>
                            </w:rPr>
                            <w:t>C</w:t>
                          </w:r>
                        </w:p>
                        <w:p w:rsidR="002F0338" w:rsidRDefault="002F0338" w:rsidP="00D01103">
                          <w:pPr>
                            <w:spacing w:after="480"/>
                            <w:rPr>
                              <w:b/>
                              <w:sz w:val="20"/>
                            </w:rPr>
                          </w:pPr>
                          <w:r>
                            <w:rPr>
                              <w:rFonts w:hint="eastAsia"/>
                              <w:b/>
                              <w:sz w:val="20"/>
                            </w:rPr>
                            <w:t>D</w:t>
                          </w:r>
                        </w:p>
                        <w:p w:rsidR="002F0338" w:rsidRDefault="002F0338" w:rsidP="00D01103">
                          <w:pPr>
                            <w:spacing w:after="480"/>
                            <w:rPr>
                              <w:b/>
                              <w:sz w:val="20"/>
                            </w:rPr>
                          </w:pPr>
                          <w:r>
                            <w:rPr>
                              <w:rFonts w:hint="eastAsia"/>
                              <w:b/>
                              <w:sz w:val="20"/>
                            </w:rPr>
                            <w:t>E</w:t>
                          </w:r>
                        </w:p>
                        <w:p w:rsidR="002F0338" w:rsidRDefault="002F0338" w:rsidP="00D01103">
                          <w:pPr>
                            <w:spacing w:after="480"/>
                            <w:rPr>
                              <w:b/>
                              <w:sz w:val="20"/>
                            </w:rPr>
                          </w:pPr>
                          <w:r>
                            <w:rPr>
                              <w:rFonts w:hint="eastAsia"/>
                              <w:b/>
                              <w:sz w:val="20"/>
                            </w:rPr>
                            <w:t>F</w:t>
                          </w:r>
                        </w:p>
                        <w:p w:rsidR="002F0338" w:rsidRDefault="002F0338" w:rsidP="00D01103">
                          <w:pPr>
                            <w:spacing w:after="480"/>
                            <w:rPr>
                              <w:b/>
                              <w:sz w:val="20"/>
                            </w:rPr>
                          </w:pPr>
                          <w:r>
                            <w:rPr>
                              <w:rFonts w:hint="eastAsia"/>
                              <w:b/>
                              <w:sz w:val="20"/>
                            </w:rPr>
                            <w:t>G</w:t>
                          </w:r>
                        </w:p>
                        <w:p w:rsidR="002F0338" w:rsidRDefault="002F0338" w:rsidP="00D01103">
                          <w:pPr>
                            <w:spacing w:after="480"/>
                            <w:rPr>
                              <w:b/>
                              <w:sz w:val="20"/>
                            </w:rPr>
                          </w:pPr>
                          <w:r>
                            <w:rPr>
                              <w:rFonts w:hint="eastAsia"/>
                              <w:b/>
                              <w:sz w:val="20"/>
                            </w:rPr>
                            <w:t>H</w:t>
                          </w:r>
                        </w:p>
                        <w:p w:rsidR="002F0338" w:rsidRDefault="002F0338" w:rsidP="00D01103">
                          <w:pPr>
                            <w:spacing w:after="480"/>
                            <w:rPr>
                              <w:b/>
                              <w:sz w:val="20"/>
                            </w:rPr>
                          </w:pPr>
                          <w:r>
                            <w:rPr>
                              <w:rFonts w:hint="eastAsia"/>
                              <w:b/>
                              <w:sz w:val="20"/>
                            </w:rPr>
                            <w:t>I</w:t>
                          </w:r>
                        </w:p>
                        <w:p w:rsidR="002F0338" w:rsidRDefault="002F0338" w:rsidP="00D01103">
                          <w:pPr>
                            <w:spacing w:after="480"/>
                            <w:rPr>
                              <w:b/>
                              <w:sz w:val="20"/>
                            </w:rPr>
                          </w:pPr>
                          <w:r>
                            <w:rPr>
                              <w:rFonts w:hint="eastAsia"/>
                              <w:b/>
                              <w:sz w:val="20"/>
                            </w:rPr>
                            <w:t>J</w:t>
                          </w:r>
                        </w:p>
                        <w:p w:rsidR="002F0338" w:rsidRDefault="002F0338" w:rsidP="00D01103">
                          <w:pPr>
                            <w:spacing w:after="480"/>
                            <w:rPr>
                              <w:b/>
                              <w:sz w:val="20"/>
                            </w:rPr>
                          </w:pPr>
                          <w:r>
                            <w:rPr>
                              <w:rFonts w:hint="eastAsia"/>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9541B" id="_x0000_t202" coordsize="21600,21600" o:spt="202" path="m,l,21600r21600,l21600,xe">
              <v:stroke joinstyle="miter"/>
              <v:path gradientshapeok="t" o:connecttype="rect"/>
            </v:shapetype>
            <v:shape id="_x0000_s1036" type="#_x0000_t202" style="position:absolute;left:0;text-align:left;margin-left:32.4pt;margin-top:59.05pt;width:30.95pt;height:783.3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" o:allowincell="f" filled="f" stroked="f">
              <v:textbox>
                <w:txbxContent>
                  <w:p w:rsidR="002F0338" w:rsidRDefault="002F0338" w:rsidP="00D01103">
                    <w:pPr>
                      <w:spacing w:after="480"/>
                      <w:rPr>
                        <w:b/>
                        <w:sz w:val="20"/>
                      </w:rPr>
                    </w:pPr>
                    <w:r>
                      <w:rPr>
                        <w:rFonts w:hint="eastAsia"/>
                        <w:b/>
                        <w:sz w:val="20"/>
                      </w:rPr>
                      <w:t>A</w:t>
                    </w:r>
                  </w:p>
                  <w:p w:rsidR="002F0338" w:rsidRDefault="002F0338" w:rsidP="00D01103">
                    <w:pPr>
                      <w:spacing w:after="480"/>
                      <w:rPr>
                        <w:b/>
                        <w:sz w:val="20"/>
                      </w:rPr>
                    </w:pPr>
                    <w:r>
                      <w:rPr>
                        <w:rFonts w:hint="eastAsia"/>
                        <w:b/>
                        <w:sz w:val="20"/>
                      </w:rPr>
                      <w:t>B</w:t>
                    </w:r>
                  </w:p>
                  <w:p w:rsidR="002F0338" w:rsidRDefault="002F0338" w:rsidP="00D01103">
                    <w:pPr>
                      <w:spacing w:after="480"/>
                      <w:rPr>
                        <w:b/>
                        <w:sz w:val="20"/>
                      </w:rPr>
                    </w:pPr>
                    <w:r>
                      <w:rPr>
                        <w:rFonts w:hint="eastAsia"/>
                        <w:b/>
                        <w:sz w:val="20"/>
                      </w:rPr>
                      <w:t>C</w:t>
                    </w:r>
                  </w:p>
                  <w:p w:rsidR="002F0338" w:rsidRDefault="002F0338" w:rsidP="00D01103">
                    <w:pPr>
                      <w:spacing w:after="480"/>
                      <w:rPr>
                        <w:b/>
                        <w:sz w:val="20"/>
                      </w:rPr>
                    </w:pPr>
                    <w:r>
                      <w:rPr>
                        <w:rFonts w:hint="eastAsia"/>
                        <w:b/>
                        <w:sz w:val="20"/>
                      </w:rPr>
                      <w:t>D</w:t>
                    </w:r>
                  </w:p>
                  <w:p w:rsidR="002F0338" w:rsidRDefault="002F0338" w:rsidP="00D01103">
                    <w:pPr>
                      <w:spacing w:after="480"/>
                      <w:rPr>
                        <w:b/>
                        <w:sz w:val="20"/>
                      </w:rPr>
                    </w:pPr>
                    <w:r>
                      <w:rPr>
                        <w:rFonts w:hint="eastAsia"/>
                        <w:b/>
                        <w:sz w:val="20"/>
                      </w:rPr>
                      <w:t>E</w:t>
                    </w:r>
                  </w:p>
                  <w:p w:rsidR="002F0338" w:rsidRDefault="002F0338" w:rsidP="00D01103">
                    <w:pPr>
                      <w:spacing w:after="480"/>
                      <w:rPr>
                        <w:b/>
                        <w:sz w:val="20"/>
                      </w:rPr>
                    </w:pPr>
                    <w:r>
                      <w:rPr>
                        <w:rFonts w:hint="eastAsia"/>
                        <w:b/>
                        <w:sz w:val="20"/>
                      </w:rPr>
                      <w:t>F</w:t>
                    </w:r>
                  </w:p>
                  <w:p w:rsidR="002F0338" w:rsidRDefault="002F0338" w:rsidP="00D01103">
                    <w:pPr>
                      <w:spacing w:after="480"/>
                      <w:rPr>
                        <w:b/>
                        <w:sz w:val="20"/>
                      </w:rPr>
                    </w:pPr>
                    <w:r>
                      <w:rPr>
                        <w:rFonts w:hint="eastAsia"/>
                        <w:b/>
                        <w:sz w:val="20"/>
                      </w:rPr>
                      <w:t>G</w:t>
                    </w:r>
                  </w:p>
                  <w:p w:rsidR="002F0338" w:rsidRDefault="002F0338" w:rsidP="00D01103">
                    <w:pPr>
                      <w:spacing w:after="480"/>
                      <w:rPr>
                        <w:b/>
                        <w:sz w:val="20"/>
                      </w:rPr>
                    </w:pPr>
                    <w:r>
                      <w:rPr>
                        <w:rFonts w:hint="eastAsia"/>
                        <w:b/>
                        <w:sz w:val="20"/>
                      </w:rPr>
                      <w:t>H</w:t>
                    </w:r>
                  </w:p>
                  <w:p w:rsidR="002F0338" w:rsidRDefault="002F0338" w:rsidP="00D01103">
                    <w:pPr>
                      <w:spacing w:after="480"/>
                      <w:rPr>
                        <w:b/>
                        <w:sz w:val="20"/>
                      </w:rPr>
                    </w:pPr>
                    <w:r>
                      <w:rPr>
                        <w:rFonts w:hint="eastAsia"/>
                        <w:b/>
                        <w:sz w:val="20"/>
                      </w:rPr>
                      <w:t>I</w:t>
                    </w:r>
                  </w:p>
                  <w:p w:rsidR="002F0338" w:rsidRDefault="002F0338" w:rsidP="00D01103">
                    <w:pPr>
                      <w:spacing w:after="480"/>
                      <w:rPr>
                        <w:b/>
                        <w:sz w:val="20"/>
                      </w:rPr>
                    </w:pPr>
                    <w:r>
                      <w:rPr>
                        <w:rFonts w:hint="eastAsia"/>
                        <w:b/>
                        <w:sz w:val="20"/>
                      </w:rPr>
                      <w:t>J</w:t>
                    </w:r>
                  </w:p>
                  <w:p w:rsidR="002F0338" w:rsidRDefault="002F0338" w:rsidP="00D01103">
                    <w:pPr>
                      <w:spacing w:after="480"/>
                      <w:rPr>
                        <w:b/>
                        <w:sz w:val="20"/>
                      </w:rPr>
                    </w:pPr>
                    <w:r>
                      <w:rPr>
                        <w:rFonts w:hint="eastAsia"/>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sidRPr="00CE6723">
      <w:rPr>
        <w:rFonts w:eastAsia="宋体"/>
        <w:i/>
        <w:noProof/>
      </w:rPr>
      <mc:AlternateContent>
        <mc:Choice Requires="wps">
          <w:drawing>
            <wp:anchor distT="0" distB="0" distL="114300" distR="114300" simplePos="0" relativeHeight="251680256" behindDoc="0" locked="1" layoutInCell="0" allowOverlap="1" wp14:anchorId="1CCDC22D" wp14:editId="1C9EE6BB">
              <wp:simplePos x="0" y="0"/>
              <wp:positionH relativeFrom="page">
                <wp:posOffset>6922135</wp:posOffset>
              </wp:positionH>
              <wp:positionV relativeFrom="page">
                <wp:posOffset>795655</wp:posOffset>
              </wp:positionV>
              <wp:extent cx="393065" cy="994854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338" w:rsidRDefault="002F0338" w:rsidP="00D01103">
                          <w:pPr>
                            <w:spacing w:after="480"/>
                            <w:rPr>
                              <w:b/>
                              <w:sz w:val="20"/>
                            </w:rPr>
                          </w:pPr>
                          <w:r>
                            <w:rPr>
                              <w:rFonts w:hint="eastAsia"/>
                              <w:b/>
                              <w:sz w:val="20"/>
                            </w:rPr>
                            <w:t>A</w:t>
                          </w:r>
                        </w:p>
                        <w:p w:rsidR="002F0338" w:rsidRDefault="002F0338" w:rsidP="00D01103">
                          <w:pPr>
                            <w:spacing w:after="480"/>
                            <w:rPr>
                              <w:b/>
                              <w:sz w:val="20"/>
                            </w:rPr>
                          </w:pPr>
                          <w:r>
                            <w:rPr>
                              <w:rFonts w:hint="eastAsia"/>
                              <w:b/>
                              <w:sz w:val="20"/>
                            </w:rPr>
                            <w:t>B</w:t>
                          </w:r>
                        </w:p>
                        <w:p w:rsidR="002F0338" w:rsidRDefault="002F0338" w:rsidP="00D01103">
                          <w:pPr>
                            <w:spacing w:after="480"/>
                            <w:rPr>
                              <w:b/>
                              <w:sz w:val="20"/>
                            </w:rPr>
                          </w:pPr>
                          <w:r>
                            <w:rPr>
                              <w:rFonts w:hint="eastAsia"/>
                              <w:b/>
                              <w:sz w:val="20"/>
                            </w:rPr>
                            <w:t>C</w:t>
                          </w:r>
                        </w:p>
                        <w:p w:rsidR="002F0338" w:rsidRDefault="002F0338" w:rsidP="00D01103">
                          <w:pPr>
                            <w:spacing w:after="480"/>
                            <w:rPr>
                              <w:b/>
                              <w:sz w:val="20"/>
                            </w:rPr>
                          </w:pPr>
                          <w:r>
                            <w:rPr>
                              <w:rFonts w:hint="eastAsia"/>
                              <w:b/>
                              <w:sz w:val="20"/>
                            </w:rPr>
                            <w:t>D</w:t>
                          </w:r>
                        </w:p>
                        <w:p w:rsidR="002F0338" w:rsidRDefault="002F0338" w:rsidP="00D01103">
                          <w:pPr>
                            <w:spacing w:after="480"/>
                            <w:rPr>
                              <w:b/>
                              <w:sz w:val="20"/>
                            </w:rPr>
                          </w:pPr>
                          <w:r>
                            <w:rPr>
                              <w:rFonts w:hint="eastAsia"/>
                              <w:b/>
                              <w:sz w:val="20"/>
                            </w:rPr>
                            <w:t>E</w:t>
                          </w:r>
                        </w:p>
                        <w:p w:rsidR="002F0338" w:rsidRDefault="002F0338" w:rsidP="00D01103">
                          <w:pPr>
                            <w:spacing w:after="480"/>
                            <w:rPr>
                              <w:b/>
                              <w:sz w:val="20"/>
                            </w:rPr>
                          </w:pPr>
                          <w:r>
                            <w:rPr>
                              <w:rFonts w:hint="eastAsia"/>
                              <w:b/>
                              <w:sz w:val="20"/>
                            </w:rPr>
                            <w:t>F</w:t>
                          </w:r>
                        </w:p>
                        <w:p w:rsidR="002F0338" w:rsidRDefault="002F0338" w:rsidP="00D01103">
                          <w:pPr>
                            <w:spacing w:after="480"/>
                            <w:rPr>
                              <w:b/>
                              <w:sz w:val="20"/>
                            </w:rPr>
                          </w:pPr>
                          <w:r>
                            <w:rPr>
                              <w:rFonts w:hint="eastAsia"/>
                              <w:b/>
                              <w:sz w:val="20"/>
                            </w:rPr>
                            <w:t>G</w:t>
                          </w:r>
                        </w:p>
                        <w:p w:rsidR="002F0338" w:rsidRDefault="002F0338" w:rsidP="00D01103">
                          <w:pPr>
                            <w:spacing w:after="480"/>
                            <w:rPr>
                              <w:b/>
                              <w:sz w:val="20"/>
                            </w:rPr>
                          </w:pPr>
                          <w:r>
                            <w:rPr>
                              <w:rFonts w:hint="eastAsia"/>
                              <w:b/>
                              <w:sz w:val="20"/>
                            </w:rPr>
                            <w:t>H</w:t>
                          </w:r>
                        </w:p>
                        <w:p w:rsidR="002F0338" w:rsidRDefault="002F0338" w:rsidP="00D01103">
                          <w:pPr>
                            <w:spacing w:after="480"/>
                            <w:rPr>
                              <w:b/>
                              <w:sz w:val="20"/>
                            </w:rPr>
                          </w:pPr>
                          <w:r>
                            <w:rPr>
                              <w:rFonts w:hint="eastAsia"/>
                              <w:b/>
                              <w:sz w:val="20"/>
                            </w:rPr>
                            <w:t>I</w:t>
                          </w:r>
                        </w:p>
                        <w:p w:rsidR="002F0338" w:rsidRDefault="002F0338" w:rsidP="00D01103">
                          <w:pPr>
                            <w:spacing w:after="480"/>
                            <w:rPr>
                              <w:b/>
                              <w:sz w:val="20"/>
                            </w:rPr>
                          </w:pPr>
                          <w:r>
                            <w:rPr>
                              <w:rFonts w:hint="eastAsia"/>
                              <w:b/>
                              <w:sz w:val="20"/>
                            </w:rPr>
                            <w:t>J</w:t>
                          </w:r>
                        </w:p>
                        <w:p w:rsidR="002F0338" w:rsidRDefault="002F0338" w:rsidP="00D01103">
                          <w:pPr>
                            <w:spacing w:after="480"/>
                            <w:rPr>
                              <w:b/>
                              <w:sz w:val="20"/>
                            </w:rPr>
                          </w:pPr>
                          <w:r>
                            <w:rPr>
                              <w:rFonts w:hint="eastAsia"/>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DC22D" id="Text Box 22" o:spid="_x0000_s1037" type="#_x0000_t202" style="position:absolute;left:0;text-align:left;margin-left:545.05pt;margin-top:62.65pt;width:30.95pt;height:783.35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uugIAAMM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" o:allowincell="f" filled="f" stroked="f">
              <v:textbox>
                <w:txbxContent>
                  <w:p w:rsidR="002F0338" w:rsidRDefault="002F0338" w:rsidP="00D01103">
                    <w:pPr>
                      <w:spacing w:after="480"/>
                      <w:rPr>
                        <w:b/>
                        <w:sz w:val="20"/>
                      </w:rPr>
                    </w:pPr>
                    <w:r>
                      <w:rPr>
                        <w:rFonts w:hint="eastAsia"/>
                        <w:b/>
                        <w:sz w:val="20"/>
                      </w:rPr>
                      <w:t>A</w:t>
                    </w:r>
                  </w:p>
                  <w:p w:rsidR="002F0338" w:rsidRDefault="002F0338" w:rsidP="00D01103">
                    <w:pPr>
                      <w:spacing w:after="480"/>
                      <w:rPr>
                        <w:b/>
                        <w:sz w:val="20"/>
                      </w:rPr>
                    </w:pPr>
                    <w:r>
                      <w:rPr>
                        <w:rFonts w:hint="eastAsia"/>
                        <w:b/>
                        <w:sz w:val="20"/>
                      </w:rPr>
                      <w:t>B</w:t>
                    </w:r>
                  </w:p>
                  <w:p w:rsidR="002F0338" w:rsidRDefault="002F0338" w:rsidP="00D01103">
                    <w:pPr>
                      <w:spacing w:after="480"/>
                      <w:rPr>
                        <w:b/>
                        <w:sz w:val="20"/>
                      </w:rPr>
                    </w:pPr>
                    <w:r>
                      <w:rPr>
                        <w:rFonts w:hint="eastAsia"/>
                        <w:b/>
                        <w:sz w:val="20"/>
                      </w:rPr>
                      <w:t>C</w:t>
                    </w:r>
                  </w:p>
                  <w:p w:rsidR="002F0338" w:rsidRDefault="002F0338" w:rsidP="00D01103">
                    <w:pPr>
                      <w:spacing w:after="480"/>
                      <w:rPr>
                        <w:b/>
                        <w:sz w:val="20"/>
                      </w:rPr>
                    </w:pPr>
                    <w:r>
                      <w:rPr>
                        <w:rFonts w:hint="eastAsia"/>
                        <w:b/>
                        <w:sz w:val="20"/>
                      </w:rPr>
                      <w:t>D</w:t>
                    </w:r>
                  </w:p>
                  <w:p w:rsidR="002F0338" w:rsidRDefault="002F0338" w:rsidP="00D01103">
                    <w:pPr>
                      <w:spacing w:after="480"/>
                      <w:rPr>
                        <w:b/>
                        <w:sz w:val="20"/>
                      </w:rPr>
                    </w:pPr>
                    <w:r>
                      <w:rPr>
                        <w:rFonts w:hint="eastAsia"/>
                        <w:b/>
                        <w:sz w:val="20"/>
                      </w:rPr>
                      <w:t>E</w:t>
                    </w:r>
                  </w:p>
                  <w:p w:rsidR="002F0338" w:rsidRDefault="002F0338" w:rsidP="00D01103">
                    <w:pPr>
                      <w:spacing w:after="480"/>
                      <w:rPr>
                        <w:b/>
                        <w:sz w:val="20"/>
                      </w:rPr>
                    </w:pPr>
                    <w:r>
                      <w:rPr>
                        <w:rFonts w:hint="eastAsia"/>
                        <w:b/>
                        <w:sz w:val="20"/>
                      </w:rPr>
                      <w:t>F</w:t>
                    </w:r>
                  </w:p>
                  <w:p w:rsidR="002F0338" w:rsidRDefault="002F0338" w:rsidP="00D01103">
                    <w:pPr>
                      <w:spacing w:after="480"/>
                      <w:rPr>
                        <w:b/>
                        <w:sz w:val="20"/>
                      </w:rPr>
                    </w:pPr>
                    <w:r>
                      <w:rPr>
                        <w:rFonts w:hint="eastAsia"/>
                        <w:b/>
                        <w:sz w:val="20"/>
                      </w:rPr>
                      <w:t>G</w:t>
                    </w:r>
                  </w:p>
                  <w:p w:rsidR="002F0338" w:rsidRDefault="002F0338" w:rsidP="00D01103">
                    <w:pPr>
                      <w:spacing w:after="480"/>
                      <w:rPr>
                        <w:b/>
                        <w:sz w:val="20"/>
                      </w:rPr>
                    </w:pPr>
                    <w:r>
                      <w:rPr>
                        <w:rFonts w:hint="eastAsia"/>
                        <w:b/>
                        <w:sz w:val="20"/>
                      </w:rPr>
                      <w:t>H</w:t>
                    </w:r>
                  </w:p>
                  <w:p w:rsidR="002F0338" w:rsidRDefault="002F0338" w:rsidP="00D01103">
                    <w:pPr>
                      <w:spacing w:after="480"/>
                      <w:rPr>
                        <w:b/>
                        <w:sz w:val="20"/>
                      </w:rPr>
                    </w:pPr>
                    <w:r>
                      <w:rPr>
                        <w:rFonts w:hint="eastAsia"/>
                        <w:b/>
                        <w:sz w:val="20"/>
                      </w:rPr>
                      <w:t>I</w:t>
                    </w:r>
                  </w:p>
                  <w:p w:rsidR="002F0338" w:rsidRDefault="002F0338" w:rsidP="00D01103">
                    <w:pPr>
                      <w:spacing w:after="480"/>
                      <w:rPr>
                        <w:b/>
                        <w:sz w:val="20"/>
                      </w:rPr>
                    </w:pPr>
                    <w:r>
                      <w:rPr>
                        <w:rFonts w:hint="eastAsia"/>
                        <w:b/>
                        <w:sz w:val="20"/>
                      </w:rPr>
                      <w:t>J</w:t>
                    </w:r>
                  </w:p>
                  <w:p w:rsidR="002F0338" w:rsidRDefault="002F0338" w:rsidP="00D01103">
                    <w:pPr>
                      <w:spacing w:after="480"/>
                      <w:rPr>
                        <w:b/>
                        <w:sz w:val="20"/>
                      </w:rPr>
                    </w:pPr>
                    <w:r>
                      <w:rPr>
                        <w:rFonts w:hint="eastAsia"/>
                        <w:b/>
                        <w:sz w:val="20"/>
                      </w:rPr>
                      <w:t>K</w:t>
                    </w:r>
                  </w:p>
                  <w:p w:rsidR="002F0338" w:rsidRPr="00A752A8" w:rsidRDefault="002F0338" w:rsidP="00D01103">
                    <w:pPr>
                      <w:spacing w:after="480"/>
                      <w:rPr>
                        <w:b/>
                        <w:sz w:val="20"/>
                        <w:lang w:val="es-ES"/>
                      </w:rPr>
                    </w:pPr>
                    <w:r w:rsidRPr="00A752A8">
                      <w:rPr>
                        <w:rFonts w:hint="eastAsia"/>
                        <w:b/>
                        <w:sz w:val="20"/>
                        <w:lang w:val="es-ES"/>
                      </w:rPr>
                      <w:t>L</w:t>
                    </w:r>
                  </w:p>
                  <w:p w:rsidR="002F0338" w:rsidRPr="00A752A8" w:rsidRDefault="002F0338" w:rsidP="00D01103">
                    <w:pPr>
                      <w:spacing w:after="480"/>
                      <w:rPr>
                        <w:b/>
                        <w:sz w:val="20"/>
                        <w:lang w:val="es-ES"/>
                      </w:rPr>
                    </w:pPr>
                    <w:r w:rsidRPr="00A752A8">
                      <w:rPr>
                        <w:rFonts w:hint="eastAsia"/>
                        <w:b/>
                        <w:sz w:val="20"/>
                        <w:lang w:val="es-ES"/>
                      </w:rPr>
                      <w:t>M</w:t>
                    </w:r>
                  </w:p>
                  <w:p w:rsidR="002F0338" w:rsidRPr="00A752A8" w:rsidRDefault="002F0338" w:rsidP="00D01103">
                    <w:pPr>
                      <w:spacing w:after="480"/>
                      <w:rPr>
                        <w:b/>
                        <w:sz w:val="20"/>
                        <w:lang w:val="es-ES"/>
                      </w:rPr>
                    </w:pPr>
                    <w:r w:rsidRPr="00A752A8">
                      <w:rPr>
                        <w:rFonts w:hint="eastAsia"/>
                        <w:b/>
                        <w:sz w:val="20"/>
                        <w:lang w:val="es-ES"/>
                      </w:rPr>
                      <w:t>N</w:t>
                    </w:r>
                  </w:p>
                  <w:p w:rsidR="002F0338" w:rsidRPr="00A752A8" w:rsidRDefault="002F0338" w:rsidP="00D01103">
                    <w:pPr>
                      <w:spacing w:after="480"/>
                      <w:rPr>
                        <w:b/>
                        <w:sz w:val="20"/>
                        <w:lang w:val="es-ES"/>
                      </w:rPr>
                    </w:pPr>
                    <w:r w:rsidRPr="00A752A8">
                      <w:rPr>
                        <w:rFonts w:hint="eastAsia"/>
                        <w:b/>
                        <w:sz w:val="20"/>
                        <w:lang w:val="es-ES"/>
                      </w:rPr>
                      <w:t>O</w:t>
                    </w:r>
                  </w:p>
                  <w:p w:rsidR="002F0338" w:rsidRPr="00A752A8" w:rsidRDefault="002F0338" w:rsidP="00D01103">
                    <w:pPr>
                      <w:spacing w:after="480"/>
                      <w:rPr>
                        <w:b/>
                        <w:sz w:val="20"/>
                        <w:lang w:val="es-ES"/>
                      </w:rPr>
                    </w:pPr>
                    <w:r w:rsidRPr="00A752A8">
                      <w:rPr>
                        <w:rFonts w:hint="eastAsia"/>
                        <w:b/>
                        <w:sz w:val="20"/>
                        <w:lang w:val="es-ES"/>
                      </w:rPr>
                      <w:t>P</w:t>
                    </w:r>
                  </w:p>
                  <w:p w:rsidR="002F0338" w:rsidRPr="00A752A8" w:rsidRDefault="002F0338" w:rsidP="00D01103">
                    <w:pPr>
                      <w:spacing w:after="480"/>
                      <w:rPr>
                        <w:b/>
                        <w:sz w:val="20"/>
                        <w:lang w:val="es-ES"/>
                      </w:rPr>
                    </w:pPr>
                    <w:r w:rsidRPr="00A752A8">
                      <w:rPr>
                        <w:rFonts w:hint="eastAsia"/>
                        <w:b/>
                        <w:sz w:val="20"/>
                        <w:lang w:val="es-ES"/>
                      </w:rPr>
                      <w:t>Q</w:t>
                    </w:r>
                  </w:p>
                  <w:p w:rsidR="002F0338" w:rsidRPr="00A752A8" w:rsidRDefault="002F0338" w:rsidP="00D01103">
                    <w:pPr>
                      <w:spacing w:after="480"/>
                      <w:rPr>
                        <w:b/>
                        <w:sz w:val="20"/>
                        <w:lang w:val="es-ES"/>
                      </w:rPr>
                    </w:pPr>
                    <w:r w:rsidRPr="00A752A8">
                      <w:rPr>
                        <w:rFonts w:hint="eastAsia"/>
                        <w:b/>
                        <w:sz w:val="20"/>
                        <w:lang w:val="es-ES"/>
                      </w:rPr>
                      <w:t>R</w:t>
                    </w:r>
                  </w:p>
                  <w:p w:rsidR="002F0338" w:rsidRPr="00A752A8" w:rsidRDefault="002F0338" w:rsidP="00D01103">
                    <w:pPr>
                      <w:spacing w:after="480"/>
                      <w:rPr>
                        <w:b/>
                        <w:sz w:val="20"/>
                        <w:lang w:val="es-ES"/>
                      </w:rPr>
                    </w:pPr>
                    <w:r w:rsidRPr="00A752A8">
                      <w:rPr>
                        <w:rFonts w:hint="eastAsia"/>
                        <w:b/>
                        <w:sz w:val="20"/>
                        <w:lang w:val="es-ES"/>
                      </w:rPr>
                      <w:t>S</w:t>
                    </w:r>
                  </w:p>
                  <w:p w:rsidR="002F0338" w:rsidRPr="00A752A8" w:rsidRDefault="002F0338" w:rsidP="00D01103">
                    <w:pPr>
                      <w:spacing w:after="480"/>
                      <w:rPr>
                        <w:b/>
                        <w:sz w:val="20"/>
                        <w:lang w:val="es-ES"/>
                      </w:rPr>
                    </w:pPr>
                    <w:r w:rsidRPr="00A752A8">
                      <w:rPr>
                        <w:rFonts w:hint="eastAsia"/>
                        <w:b/>
                        <w:sz w:val="20"/>
                        <w:lang w:val="es-ES"/>
                      </w:rPr>
                      <w:t>T</w:t>
                    </w:r>
                  </w:p>
                  <w:p w:rsidR="002F0338" w:rsidRPr="00A752A8" w:rsidRDefault="002F0338" w:rsidP="00D01103">
                    <w:pPr>
                      <w:spacing w:after="480"/>
                      <w:rPr>
                        <w:b/>
                        <w:sz w:val="20"/>
                        <w:lang w:val="es-ES"/>
                      </w:rPr>
                    </w:pPr>
                    <w:r w:rsidRPr="00A752A8">
                      <w:rPr>
                        <w:rFonts w:hint="eastAsia"/>
                        <w:b/>
                        <w:sz w:val="20"/>
                        <w:lang w:val="es-ES"/>
                      </w:rPr>
                      <w:t>U</w:t>
                    </w:r>
                  </w:p>
                  <w:p w:rsidR="002F0338" w:rsidRPr="00A752A8" w:rsidRDefault="002F0338"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Pr>
        <w:rFonts w:eastAsia="宋体"/>
        <w:i/>
      </w:rPr>
      <w:t>Appendix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4449B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0444E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55AA7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2049FE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62050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8868E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7E989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D6CF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82E0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62D2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0"/>
    <w:name w:val="ParaNumbers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lowerRoman"/>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decimal"/>
      <w:lvlText w:val="%8)"/>
      <w:lvlJc w:val="left"/>
    </w:lvl>
    <w:lvl w:ilvl="8">
      <w:numFmt w:val="decimal"/>
      <w:lvlText w:val=""/>
      <w:lvlJc w:val="left"/>
    </w:lvl>
  </w:abstractNum>
  <w:abstractNum w:abstractNumId="11"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2" w15:restartNumberingAfterBreak="0">
    <w:nsid w:val="04F43071"/>
    <w:multiLevelType w:val="multilevel"/>
    <w:tmpl w:val="CE3438AE"/>
    <w:lvl w:ilvl="0">
      <w:start w:val="1"/>
      <w:numFmt w:val="decimal"/>
      <w:pStyle w:val="EditedFinal"/>
      <w:lvlText w:val="%1."/>
      <w:lvlJc w:val="left"/>
      <w:pPr>
        <w:tabs>
          <w:tab w:val="num" w:pos="720"/>
        </w:tabs>
        <w:ind w:left="720" w:hanging="720"/>
      </w:pPr>
      <w:rPr>
        <w:rFonts w:cs="Times New Roman" w:hint="eastAsia"/>
        <w:i w:val="0"/>
      </w:rPr>
    </w:lvl>
    <w:lvl w:ilvl="1">
      <w:start w:val="1"/>
      <w:numFmt w:val="decimal"/>
      <w:lvlText w:val="(%2)"/>
      <w:lvlJc w:val="left"/>
      <w:pPr>
        <w:tabs>
          <w:tab w:val="num" w:pos="1440"/>
        </w:tabs>
        <w:ind w:left="1440" w:hanging="720"/>
      </w:pPr>
      <w:rPr>
        <w:rFonts w:cs="Times New Roman" w:hint="eastAsia"/>
      </w:rPr>
    </w:lvl>
    <w:lvl w:ilvl="2">
      <w:start w:val="1"/>
      <w:numFmt w:val="lowerLetter"/>
      <w:lvlText w:val="(%3)"/>
      <w:lvlJc w:val="left"/>
      <w:pPr>
        <w:tabs>
          <w:tab w:val="num" w:pos="2160"/>
        </w:tabs>
        <w:ind w:left="2160" w:hanging="720"/>
      </w:pPr>
      <w:rPr>
        <w:rFonts w:cs="Times New Roman" w:hint="eastAsia"/>
      </w:rPr>
    </w:lvl>
    <w:lvl w:ilvl="3">
      <w:start w:val="1"/>
      <w:numFmt w:val="lowerRoman"/>
      <w:lvlText w:val="(%4)"/>
      <w:lvlJc w:val="left"/>
      <w:pPr>
        <w:tabs>
          <w:tab w:val="num" w:pos="2880"/>
        </w:tabs>
        <w:ind w:left="2880" w:hanging="720"/>
      </w:pPr>
      <w:rPr>
        <w:rFonts w:cs="Times New Roman" w:hint="eastAsia"/>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13" w15:restartNumberingAfterBreak="0">
    <w:nsid w:val="1215619D"/>
    <w:multiLevelType w:val="hybridMultilevel"/>
    <w:tmpl w:val="5832EBEC"/>
    <w:lvl w:ilvl="0" w:tplc="30EADCDA">
      <w:start w:val="1"/>
      <w:numFmt w:val="decimal"/>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8411C4"/>
    <w:multiLevelType w:val="multilevel"/>
    <w:tmpl w:val="ADC03210"/>
    <w:lvl w:ilvl="0">
      <w:start w:val="1"/>
      <w:numFmt w:val="decimal"/>
      <w:lvlText w:val="%1."/>
      <w:lvlJc w:val="left"/>
      <w:pPr>
        <w:tabs>
          <w:tab w:val="num" w:pos="720"/>
        </w:tabs>
        <w:ind w:left="720" w:hanging="720"/>
      </w:pPr>
      <w:rPr>
        <w:rFonts w:hint="eastAsia"/>
        <w:b w:val="0"/>
        <w:bCs w:val="0"/>
      </w:rPr>
    </w:lvl>
    <w:lvl w:ilvl="1">
      <w:start w:val="1"/>
      <w:numFmt w:val="decimal"/>
      <w:lvlText w:val="(%2)"/>
      <w:lvlJc w:val="left"/>
      <w:pPr>
        <w:tabs>
          <w:tab w:val="num" w:pos="1440"/>
        </w:tabs>
        <w:ind w:left="1440" w:hanging="720"/>
      </w:pPr>
      <w:rPr>
        <w:rFonts w:hint="eastAsia"/>
      </w:rPr>
    </w:lvl>
    <w:lvl w:ilvl="2">
      <w:start w:val="1"/>
      <w:numFmt w:val="lowerRoman"/>
      <w:lvlText w:val="(%3)"/>
      <w:lvlJc w:val="left"/>
      <w:pPr>
        <w:tabs>
          <w:tab w:val="num" w:pos="2160"/>
        </w:tabs>
        <w:ind w:left="2160" w:hanging="720"/>
      </w:pPr>
      <w:rPr>
        <w:rFonts w:hint="eastAsia"/>
        <w:i w:val="0"/>
        <w:iCs w:val="0"/>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5" w15:restartNumberingAfterBreak="0">
    <w:nsid w:val="23680EB3"/>
    <w:multiLevelType w:val="hybridMultilevel"/>
    <w:tmpl w:val="90FCB508"/>
    <w:lvl w:ilvl="0" w:tplc="3BA6A86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1065B2"/>
    <w:multiLevelType w:val="hybridMultilevel"/>
    <w:tmpl w:val="348A0480"/>
    <w:lvl w:ilvl="0" w:tplc="243EC46E">
      <w:start w:val="1"/>
      <w:numFmt w:val="decimal"/>
      <w:lvlRestart w:val="0"/>
      <w:lvlText w:val="%1.      "/>
      <w:lvlJc w:val="left"/>
      <w:pPr>
        <w:tabs>
          <w:tab w:val="num" w:pos="180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2469AB"/>
    <w:multiLevelType w:val="multilevel"/>
    <w:tmpl w:val="8F08CEF2"/>
    <w:lvl w:ilvl="0">
      <w:start w:val="1"/>
      <w:numFmt w:val="decimal"/>
      <w:pStyle w:val="para"/>
      <w:lvlText w:val="%1."/>
      <w:lvlJc w:val="left"/>
      <w:pPr>
        <w:tabs>
          <w:tab w:val="num" w:pos="360"/>
        </w:tabs>
        <w:ind w:left="0" w:firstLine="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B187839"/>
    <w:multiLevelType w:val="hybridMultilevel"/>
    <w:tmpl w:val="3CE6D0A6"/>
    <w:lvl w:ilvl="0" w:tplc="DFBCDD20">
      <w:start w:val="1"/>
      <w:numFmt w:val="decimal"/>
      <w:pStyle w:val="Text1"/>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0570DE1A">
      <w:start w:val="1"/>
      <w:numFmt w:val="lowerLetter"/>
      <w:pStyle w:val="Text2"/>
      <w:lvlText w:val="(%2)"/>
      <w:lvlJc w:val="left"/>
      <w:pPr>
        <w:ind w:left="144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2" w:tplc="EB2EC536">
      <w:start w:val="1"/>
      <w:numFmt w:val="lowerRoman"/>
      <w:pStyle w:val="Text3"/>
      <w:lvlText w:val="(%3)"/>
      <w:lvlJc w:val="left"/>
      <w:pPr>
        <w:ind w:left="2160" w:hanging="180"/>
      </w:pPr>
      <w:rPr>
        <w:b w:val="0"/>
        <w:bCs w:val="0"/>
        <w:i w:val="0"/>
        <w:iCs w:val="0"/>
        <w:caps w:val="0"/>
        <w:smallCaps w:val="0"/>
        <w:strike w:val="0"/>
        <w:dstrike w:val="0"/>
        <w:noProof w:val="0"/>
        <w:vanish w:val="0"/>
        <w:color w:val="000000"/>
        <w:spacing w:val="0"/>
        <w:kern w:val="0"/>
        <w:position w:val="0"/>
        <w:u w:val="none"/>
        <w:vertAlign w:val="baseline"/>
        <w:em w:v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D44819"/>
    <w:multiLevelType w:val="hybridMultilevel"/>
    <w:tmpl w:val="68C49E48"/>
    <w:lvl w:ilvl="0" w:tplc="C21C476C">
      <w:start w:val="39"/>
      <w:numFmt w:val="decimal"/>
      <w:lvlText w:val="%1."/>
      <w:lvlJc w:val="left"/>
      <w:pPr>
        <w:ind w:left="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821108">
      <w:start w:val="1"/>
      <w:numFmt w:val="decimal"/>
      <w:lvlText w:val="(%2)"/>
      <w:lvlJc w:val="left"/>
      <w:pPr>
        <w:ind w:left="12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74AB66">
      <w:start w:val="1"/>
      <w:numFmt w:val="lowerLetter"/>
      <w:lvlText w:val="(%3)"/>
      <w:lvlJc w:val="left"/>
      <w:pPr>
        <w:ind w:left="17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83E2960">
      <w:start w:val="1"/>
      <w:numFmt w:val="decimal"/>
      <w:lvlText w:val="%4"/>
      <w:lvlJc w:val="left"/>
      <w:pPr>
        <w:ind w:left="22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68C4F2C">
      <w:start w:val="1"/>
      <w:numFmt w:val="lowerLetter"/>
      <w:lvlText w:val="%5"/>
      <w:lvlJc w:val="left"/>
      <w:pPr>
        <w:ind w:left="29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17E8DA6">
      <w:start w:val="1"/>
      <w:numFmt w:val="lowerRoman"/>
      <w:lvlText w:val="%6"/>
      <w:lvlJc w:val="left"/>
      <w:pPr>
        <w:ind w:left="36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EA66E8">
      <w:start w:val="1"/>
      <w:numFmt w:val="decimal"/>
      <w:lvlText w:val="%7"/>
      <w:lvlJc w:val="left"/>
      <w:pPr>
        <w:ind w:left="4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AE4A4B8">
      <w:start w:val="1"/>
      <w:numFmt w:val="lowerLetter"/>
      <w:lvlText w:val="%8"/>
      <w:lvlJc w:val="left"/>
      <w:pPr>
        <w:ind w:left="5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48620B8">
      <w:start w:val="1"/>
      <w:numFmt w:val="lowerRoman"/>
      <w:lvlText w:val="%9"/>
      <w:lvlJc w:val="left"/>
      <w:pPr>
        <w:ind w:left="5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35665AE1"/>
    <w:multiLevelType w:val="multilevel"/>
    <w:tmpl w:val="7CC8868C"/>
    <w:lvl w:ilvl="0">
      <w:start w:val="1"/>
      <w:numFmt w:val="decimal"/>
      <w:pStyle w:val="FWNL1"/>
      <w:lvlText w:val="%1."/>
      <w:lvlJc w:val="left"/>
      <w:pPr>
        <w:tabs>
          <w:tab w:val="num" w:pos="1440"/>
        </w:tabs>
      </w:pPr>
      <w:rPr>
        <w:rFonts w:ascii="Times New Roman" w:hAnsi="Times New Roman" w:cs="Times New Roman"/>
        <w:b w:val="0"/>
        <w:i w:val="0"/>
        <w:caps w:val="0"/>
        <w:color w:val="auto"/>
        <w:u w:val="none"/>
      </w:rPr>
    </w:lvl>
    <w:lvl w:ilvl="1">
      <w:start w:val="1"/>
      <w:numFmt w:val="lowerLetter"/>
      <w:pStyle w:val="FWNL2"/>
      <w:lvlText w:val="(%2)"/>
      <w:lvlJc w:val="left"/>
      <w:pPr>
        <w:tabs>
          <w:tab w:val="num" w:pos="1440"/>
        </w:tabs>
        <w:ind w:left="1440" w:hanging="720"/>
      </w:pPr>
      <w:rPr>
        <w:rFonts w:ascii="Times New Roman" w:hAnsi="Times New Roman" w:cs="Times New Roman"/>
        <w:b w:val="0"/>
        <w:i w:val="0"/>
        <w:caps w:val="0"/>
        <w:color w:val="auto"/>
        <w:u w:val="none"/>
      </w:rPr>
    </w:lvl>
    <w:lvl w:ilvl="2">
      <w:start w:val="1"/>
      <w:numFmt w:val="lowerRoman"/>
      <w:pStyle w:val="FWNL3"/>
      <w:lvlText w:val="(%3)"/>
      <w:lvlJc w:val="right"/>
      <w:pPr>
        <w:tabs>
          <w:tab w:val="num" w:pos="2160"/>
        </w:tabs>
        <w:ind w:left="2160" w:hanging="216"/>
      </w:pPr>
      <w:rPr>
        <w:rFonts w:ascii="Times New Roman" w:hAnsi="Times New Roman" w:cs="Times New Roman"/>
        <w:b w:val="0"/>
        <w:i w:val="0"/>
        <w:caps w:val="0"/>
        <w:color w:val="auto"/>
        <w:u w:val="none"/>
      </w:rPr>
    </w:lvl>
    <w:lvl w:ilvl="3">
      <w:start w:val="1"/>
      <w:numFmt w:val="upperLetter"/>
      <w:pStyle w:val="FWNL4"/>
      <w:lvlText w:val="(%4)"/>
      <w:lvlJc w:val="left"/>
      <w:pPr>
        <w:tabs>
          <w:tab w:val="num" w:pos="2880"/>
        </w:tabs>
        <w:ind w:left="2880" w:hanging="720"/>
      </w:pPr>
      <w:rPr>
        <w:rFonts w:ascii="Times New Roman" w:hAnsi="Times New Roman" w:cs="Times New Roman"/>
        <w:b w:val="0"/>
        <w:i w:val="0"/>
        <w:caps w:val="0"/>
        <w:color w:val="auto"/>
        <w:u w:val="none"/>
      </w:rPr>
    </w:lvl>
    <w:lvl w:ilvl="4">
      <w:start w:val="1"/>
      <w:numFmt w:val="upperRoman"/>
      <w:pStyle w:val="FWNL5"/>
      <w:lvlText w:val="(%5)"/>
      <w:lvlJc w:val="right"/>
      <w:pPr>
        <w:tabs>
          <w:tab w:val="num" w:pos="3600"/>
        </w:tabs>
        <w:ind w:left="3600" w:hanging="216"/>
      </w:pPr>
      <w:rPr>
        <w:rFonts w:ascii="Times New Roman" w:hAnsi="Times New Roman" w:cs="Times New Roman"/>
        <w:b w:val="0"/>
        <w:i w:val="0"/>
        <w:caps w:val="0"/>
        <w:color w:val="auto"/>
        <w:u w:val="none"/>
      </w:rPr>
    </w:lvl>
    <w:lvl w:ilvl="5">
      <w:start w:val="27"/>
      <w:numFmt w:val="lowerLetter"/>
      <w:pStyle w:val="FWNL6"/>
      <w:lvlText w:val="(%6)"/>
      <w:lvlJc w:val="left"/>
      <w:pPr>
        <w:tabs>
          <w:tab w:val="num" w:pos="4320"/>
        </w:tabs>
        <w:ind w:left="4320" w:hanging="720"/>
      </w:pPr>
      <w:rPr>
        <w:rFonts w:ascii="Times New Roman" w:hAnsi="Times New Roman" w:cs="Times New Roman"/>
        <w:b w:val="0"/>
        <w:i w:val="0"/>
        <w:caps w:val="0"/>
        <w:color w:val="auto"/>
        <w:u w:val="none"/>
      </w:rPr>
    </w:lvl>
    <w:lvl w:ilvl="6">
      <w:start w:val="1"/>
      <w:numFmt w:val="decimal"/>
      <w:pStyle w:val="FWNL7"/>
      <w:lvlText w:val="(%7)"/>
      <w:lvlJc w:val="left"/>
      <w:pPr>
        <w:tabs>
          <w:tab w:val="num" w:pos="5040"/>
        </w:tabs>
        <w:ind w:left="5040" w:hanging="720"/>
      </w:pPr>
      <w:rPr>
        <w:rFonts w:ascii="Times New Roman" w:hAnsi="Times New Roman" w:cs="Times New Roman"/>
        <w:b w:val="0"/>
        <w:i w:val="0"/>
        <w:caps w:val="0"/>
        <w:color w:val="auto"/>
        <w:u w:val="none"/>
      </w:rPr>
    </w:lvl>
    <w:lvl w:ilvl="7">
      <w:start w:val="1"/>
      <w:numFmt w:val="lowerRoman"/>
      <w:lvlText w:val="%8."/>
      <w:lvlJc w:val="left"/>
      <w:pPr>
        <w:tabs>
          <w:tab w:val="num" w:pos="6480"/>
        </w:tabs>
        <w:ind w:firstLine="5040"/>
      </w:pPr>
      <w:rPr>
        <w:rFonts w:ascii="Times New Roman" w:hAnsi="Times New Roman" w:cs="Times New Roman"/>
        <w:b w:val="0"/>
        <w:i w:val="0"/>
        <w:caps w:val="0"/>
        <w:color w:val="auto"/>
        <w:u w:val="none"/>
      </w:rPr>
    </w:lvl>
    <w:lvl w:ilvl="8">
      <w:start w:val="1"/>
      <w:numFmt w:val="decimal"/>
      <w:lvlText w:val="%9."/>
      <w:lvlJc w:val="left"/>
      <w:pPr>
        <w:tabs>
          <w:tab w:val="num" w:pos="7200"/>
        </w:tabs>
        <w:ind w:firstLine="5760"/>
      </w:pPr>
      <w:rPr>
        <w:rFonts w:ascii="Times New Roman" w:hAnsi="Times New Roman" w:cs="Times New Roman"/>
        <w:b w:val="0"/>
        <w:i w:val="0"/>
        <w:caps w:val="0"/>
        <w:color w:val="auto"/>
        <w:u w:val="none"/>
      </w:rPr>
    </w:lvl>
  </w:abstractNum>
  <w:abstractNum w:abstractNumId="21" w15:restartNumberingAfterBreak="0">
    <w:nsid w:val="40610CA1"/>
    <w:multiLevelType w:val="hybridMultilevel"/>
    <w:tmpl w:val="52B08CC6"/>
    <w:lvl w:ilvl="0" w:tplc="F9164C42">
      <w:start w:val="47"/>
      <w:numFmt w:val="decimal"/>
      <w:lvlText w:val="%1."/>
      <w:lvlJc w:val="left"/>
      <w:pPr>
        <w:ind w:left="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AFE9420">
      <w:start w:val="1"/>
      <w:numFmt w:val="decimal"/>
      <w:lvlText w:val="(%2)"/>
      <w:lvlJc w:val="left"/>
      <w:pPr>
        <w:ind w:left="1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52539C">
      <w:start w:val="1"/>
      <w:numFmt w:val="lowerRoman"/>
      <w:lvlText w:val="%3"/>
      <w:lvlJc w:val="left"/>
      <w:pPr>
        <w:ind w:left="1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8EDCD0">
      <w:start w:val="1"/>
      <w:numFmt w:val="decimal"/>
      <w:lvlText w:val="%4"/>
      <w:lvlJc w:val="left"/>
      <w:pPr>
        <w:ind w:left="2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90FC26">
      <w:start w:val="1"/>
      <w:numFmt w:val="lowerLetter"/>
      <w:lvlText w:val="%5"/>
      <w:lvlJc w:val="left"/>
      <w:pPr>
        <w:ind w:left="30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8C6B96">
      <w:start w:val="1"/>
      <w:numFmt w:val="lowerRoman"/>
      <w:lvlText w:val="%6"/>
      <w:lvlJc w:val="left"/>
      <w:pPr>
        <w:ind w:left="3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28DA18">
      <w:start w:val="1"/>
      <w:numFmt w:val="decimal"/>
      <w:lvlText w:val="%7"/>
      <w:lvlJc w:val="left"/>
      <w:pPr>
        <w:ind w:left="4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96CA7A">
      <w:start w:val="1"/>
      <w:numFmt w:val="lowerLetter"/>
      <w:lvlText w:val="%8"/>
      <w:lvlJc w:val="left"/>
      <w:pPr>
        <w:ind w:left="5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161DD8">
      <w:start w:val="1"/>
      <w:numFmt w:val="lowerRoman"/>
      <w:lvlText w:val="%9"/>
      <w:lvlJc w:val="left"/>
      <w:pPr>
        <w:ind w:left="59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4B040A63"/>
    <w:multiLevelType w:val="multilevel"/>
    <w:tmpl w:val="625A7694"/>
    <w:lvl w:ilvl="0">
      <w:start w:val="1"/>
      <w:numFmt w:val="decimal"/>
      <w:pStyle w:val="Style1"/>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6A240CD"/>
    <w:multiLevelType w:val="hybridMultilevel"/>
    <w:tmpl w:val="69742984"/>
    <w:styleLink w:val="Numbered"/>
    <w:lvl w:ilvl="0" w:tplc="2D3CC66E">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29A1B86">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5A4FF0">
      <w:start w:val="1"/>
      <w:numFmt w:val="decimal"/>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AEE6244">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EAFA8E">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186A10A">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D30ECB8">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762BD48">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6780EB2">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60B9565C"/>
    <w:multiLevelType w:val="hybridMultilevel"/>
    <w:tmpl w:val="6362382C"/>
    <w:lvl w:ilvl="0" w:tplc="FD3CA94A">
      <w:start w:val="1"/>
      <w:numFmt w:val="decimal"/>
      <w:lvlText w:val="%1."/>
      <w:lvlJc w:val="left"/>
      <w:pPr>
        <w:ind w:left="580"/>
      </w:pPr>
      <w:rPr>
        <w:rFonts w:ascii="Times New Roman" w:eastAsia="Times New Roman"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1" w:tplc="4F0A8E32">
      <w:start w:val="1"/>
      <w:numFmt w:val="lowerLetter"/>
      <w:lvlText w:val="(%2)"/>
      <w:lvlJc w:val="left"/>
      <w:pPr>
        <w:ind w:left="1118"/>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F084ABEA">
      <w:start w:val="1"/>
      <w:numFmt w:val="lowerRoman"/>
      <w:lvlText w:val="%3"/>
      <w:lvlJc w:val="left"/>
      <w:pPr>
        <w:ind w:left="16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E50429C">
      <w:start w:val="1"/>
      <w:numFmt w:val="decimal"/>
      <w:lvlText w:val="%4"/>
      <w:lvlJc w:val="left"/>
      <w:pPr>
        <w:ind w:left="23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032CE86">
      <w:start w:val="1"/>
      <w:numFmt w:val="lowerLetter"/>
      <w:lvlText w:val="%5"/>
      <w:lvlJc w:val="left"/>
      <w:pPr>
        <w:ind w:left="30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A14C510">
      <w:start w:val="1"/>
      <w:numFmt w:val="lowerRoman"/>
      <w:lvlText w:val="%6"/>
      <w:lvlJc w:val="left"/>
      <w:pPr>
        <w:ind w:left="38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AA2D42A">
      <w:start w:val="1"/>
      <w:numFmt w:val="decimal"/>
      <w:lvlText w:val="%7"/>
      <w:lvlJc w:val="left"/>
      <w:pPr>
        <w:ind w:left="45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530D7FE">
      <w:start w:val="1"/>
      <w:numFmt w:val="lowerLetter"/>
      <w:lvlText w:val="%8"/>
      <w:lvlJc w:val="left"/>
      <w:pPr>
        <w:ind w:left="52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AEA6BA2">
      <w:start w:val="1"/>
      <w:numFmt w:val="lowerRoman"/>
      <w:lvlText w:val="%9"/>
      <w:lvlJc w:val="left"/>
      <w:pPr>
        <w:ind w:left="59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643D4A9B"/>
    <w:multiLevelType w:val="hybridMultilevel"/>
    <w:tmpl w:val="E3AE4C5C"/>
    <w:lvl w:ilvl="0" w:tplc="5F604DB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330742"/>
    <w:multiLevelType w:val="hybridMultilevel"/>
    <w:tmpl w:val="359C31AE"/>
    <w:lvl w:ilvl="0" w:tplc="916EB9D8">
      <w:start w:val="1"/>
      <w:numFmt w:val="decimal"/>
      <w:pStyle w:val="Final"/>
      <w:lvlText w:val="%1."/>
      <w:lvlJc w:val="left"/>
      <w:pPr>
        <w:ind w:left="720" w:hanging="360"/>
      </w:pPr>
      <w:rPr>
        <w:lang w:val="en-US"/>
      </w:rPr>
    </w:lvl>
    <w:lvl w:ilvl="1" w:tplc="EB06F39E">
      <w:start w:val="1"/>
      <w:numFmt w:val="decimal"/>
      <w:pStyle w:val="HC-Hanging"/>
      <w:lvlText w:val="(%2)"/>
      <w:lvlJc w:val="left"/>
      <w:pPr>
        <w:ind w:left="1800" w:hanging="720"/>
      </w:pPr>
      <w:rPr>
        <w:rFonts w:ascii="Times New Roman" w:eastAsia="宋体"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8AAE0B6">
      <w:start w:val="1"/>
      <w:numFmt w:val="lowerLetter"/>
      <w:lvlText w:val="(%5)"/>
      <w:lvlJc w:val="left"/>
      <w:pPr>
        <w:ind w:left="3600"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5A2B26"/>
    <w:multiLevelType w:val="hybridMultilevel"/>
    <w:tmpl w:val="3490D3D2"/>
    <w:lvl w:ilvl="0" w:tplc="12C8E6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23"/>
  </w:num>
  <w:num w:numId="17">
    <w:abstractNumId w:val="26"/>
  </w:num>
  <w:num w:numId="18">
    <w:abstractNumId w:val="26"/>
  </w:num>
  <w:num w:numId="19">
    <w:abstractNumId w:val="25"/>
  </w:num>
  <w:num w:numId="20">
    <w:abstractNumId w:val="27"/>
  </w:num>
  <w:num w:numId="21">
    <w:abstractNumId w:val="15"/>
  </w:num>
  <w:num w:numId="22">
    <w:abstractNumId w:val="13"/>
  </w:num>
  <w:num w:numId="23">
    <w:abstractNumId w:val="16"/>
  </w:num>
  <w:num w:numId="24">
    <w:abstractNumId w:val="20"/>
  </w:num>
  <w:num w:numId="25">
    <w:abstractNumId w:val="14"/>
  </w:num>
  <w:num w:numId="26">
    <w:abstractNumId w:val="19"/>
  </w:num>
  <w:num w:numId="27">
    <w:abstractNumId w:val="21"/>
  </w:num>
  <w:num w:numId="28">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30721"/>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2F"/>
    <w:rsid w:val="00000A6B"/>
    <w:rsid w:val="000011F4"/>
    <w:rsid w:val="00002950"/>
    <w:rsid w:val="00003659"/>
    <w:rsid w:val="00003C9F"/>
    <w:rsid w:val="00005695"/>
    <w:rsid w:val="00007927"/>
    <w:rsid w:val="00007EB9"/>
    <w:rsid w:val="000145A3"/>
    <w:rsid w:val="000152E6"/>
    <w:rsid w:val="0001738B"/>
    <w:rsid w:val="0001796B"/>
    <w:rsid w:val="000201C3"/>
    <w:rsid w:val="00021E97"/>
    <w:rsid w:val="00022666"/>
    <w:rsid w:val="00023021"/>
    <w:rsid w:val="000232EB"/>
    <w:rsid w:val="00026FD5"/>
    <w:rsid w:val="000274EC"/>
    <w:rsid w:val="00027966"/>
    <w:rsid w:val="00027E54"/>
    <w:rsid w:val="00030440"/>
    <w:rsid w:val="00032618"/>
    <w:rsid w:val="000333DF"/>
    <w:rsid w:val="00033614"/>
    <w:rsid w:val="00035BD9"/>
    <w:rsid w:val="00035BFF"/>
    <w:rsid w:val="000362B4"/>
    <w:rsid w:val="00036637"/>
    <w:rsid w:val="00036854"/>
    <w:rsid w:val="0003691A"/>
    <w:rsid w:val="00036A67"/>
    <w:rsid w:val="000372FE"/>
    <w:rsid w:val="00037E96"/>
    <w:rsid w:val="00040012"/>
    <w:rsid w:val="00040031"/>
    <w:rsid w:val="00040706"/>
    <w:rsid w:val="0004083A"/>
    <w:rsid w:val="00040AA4"/>
    <w:rsid w:val="00040D86"/>
    <w:rsid w:val="00040FA6"/>
    <w:rsid w:val="000420D2"/>
    <w:rsid w:val="00042403"/>
    <w:rsid w:val="00042944"/>
    <w:rsid w:val="00042A1F"/>
    <w:rsid w:val="00044043"/>
    <w:rsid w:val="000446FD"/>
    <w:rsid w:val="00046390"/>
    <w:rsid w:val="00046C4E"/>
    <w:rsid w:val="00046C64"/>
    <w:rsid w:val="00047056"/>
    <w:rsid w:val="0005005A"/>
    <w:rsid w:val="000500B3"/>
    <w:rsid w:val="00050A2F"/>
    <w:rsid w:val="00051669"/>
    <w:rsid w:val="000520F1"/>
    <w:rsid w:val="000525E6"/>
    <w:rsid w:val="0005377B"/>
    <w:rsid w:val="0005447F"/>
    <w:rsid w:val="000544A7"/>
    <w:rsid w:val="00055452"/>
    <w:rsid w:val="0005565A"/>
    <w:rsid w:val="00055A27"/>
    <w:rsid w:val="00055E51"/>
    <w:rsid w:val="00055EAB"/>
    <w:rsid w:val="0005776F"/>
    <w:rsid w:val="000601E8"/>
    <w:rsid w:val="00060C4F"/>
    <w:rsid w:val="00061749"/>
    <w:rsid w:val="0006262A"/>
    <w:rsid w:val="00062B36"/>
    <w:rsid w:val="00062B79"/>
    <w:rsid w:val="00063A98"/>
    <w:rsid w:val="00063D63"/>
    <w:rsid w:val="00064002"/>
    <w:rsid w:val="0006482F"/>
    <w:rsid w:val="00065565"/>
    <w:rsid w:val="00065E54"/>
    <w:rsid w:val="000662AE"/>
    <w:rsid w:val="00066E4D"/>
    <w:rsid w:val="00067307"/>
    <w:rsid w:val="00070038"/>
    <w:rsid w:val="0007012B"/>
    <w:rsid w:val="00071D44"/>
    <w:rsid w:val="00073E6B"/>
    <w:rsid w:val="00073FB0"/>
    <w:rsid w:val="00075414"/>
    <w:rsid w:val="000754C8"/>
    <w:rsid w:val="000756C1"/>
    <w:rsid w:val="00076281"/>
    <w:rsid w:val="000762A1"/>
    <w:rsid w:val="0007754E"/>
    <w:rsid w:val="00080DA2"/>
    <w:rsid w:val="00081A94"/>
    <w:rsid w:val="00082112"/>
    <w:rsid w:val="0008220E"/>
    <w:rsid w:val="000825C9"/>
    <w:rsid w:val="00082855"/>
    <w:rsid w:val="00082C3E"/>
    <w:rsid w:val="0008304C"/>
    <w:rsid w:val="000833D0"/>
    <w:rsid w:val="000838B6"/>
    <w:rsid w:val="00083C46"/>
    <w:rsid w:val="00084222"/>
    <w:rsid w:val="00084DB0"/>
    <w:rsid w:val="000851AC"/>
    <w:rsid w:val="00087AE3"/>
    <w:rsid w:val="00090101"/>
    <w:rsid w:val="00091488"/>
    <w:rsid w:val="00091604"/>
    <w:rsid w:val="0009167A"/>
    <w:rsid w:val="00092277"/>
    <w:rsid w:val="0009265A"/>
    <w:rsid w:val="00092BD0"/>
    <w:rsid w:val="00092CE1"/>
    <w:rsid w:val="00093964"/>
    <w:rsid w:val="000941D3"/>
    <w:rsid w:val="0009520F"/>
    <w:rsid w:val="000A12CC"/>
    <w:rsid w:val="000A1672"/>
    <w:rsid w:val="000A176E"/>
    <w:rsid w:val="000A1D15"/>
    <w:rsid w:val="000A21A2"/>
    <w:rsid w:val="000A26AC"/>
    <w:rsid w:val="000A284A"/>
    <w:rsid w:val="000A3D89"/>
    <w:rsid w:val="000A4491"/>
    <w:rsid w:val="000A462C"/>
    <w:rsid w:val="000A4AE2"/>
    <w:rsid w:val="000A6691"/>
    <w:rsid w:val="000A6A17"/>
    <w:rsid w:val="000A7A0A"/>
    <w:rsid w:val="000B07B0"/>
    <w:rsid w:val="000B0F01"/>
    <w:rsid w:val="000B1766"/>
    <w:rsid w:val="000B2652"/>
    <w:rsid w:val="000B31B6"/>
    <w:rsid w:val="000B3F76"/>
    <w:rsid w:val="000B42F3"/>
    <w:rsid w:val="000B45F7"/>
    <w:rsid w:val="000B5893"/>
    <w:rsid w:val="000B5C32"/>
    <w:rsid w:val="000B66FC"/>
    <w:rsid w:val="000B6F5F"/>
    <w:rsid w:val="000B7D27"/>
    <w:rsid w:val="000B7FF4"/>
    <w:rsid w:val="000C0D4C"/>
    <w:rsid w:val="000C13C3"/>
    <w:rsid w:val="000C2BEB"/>
    <w:rsid w:val="000C2D5A"/>
    <w:rsid w:val="000C4290"/>
    <w:rsid w:val="000C4297"/>
    <w:rsid w:val="000C47CC"/>
    <w:rsid w:val="000C4E05"/>
    <w:rsid w:val="000C5C15"/>
    <w:rsid w:val="000C5D9E"/>
    <w:rsid w:val="000C5FEC"/>
    <w:rsid w:val="000C6B88"/>
    <w:rsid w:val="000C750A"/>
    <w:rsid w:val="000C7CB3"/>
    <w:rsid w:val="000D0550"/>
    <w:rsid w:val="000D074C"/>
    <w:rsid w:val="000D0BBF"/>
    <w:rsid w:val="000D0D6F"/>
    <w:rsid w:val="000D12A7"/>
    <w:rsid w:val="000D1FE4"/>
    <w:rsid w:val="000D335A"/>
    <w:rsid w:val="000D470F"/>
    <w:rsid w:val="000D643F"/>
    <w:rsid w:val="000E0C26"/>
    <w:rsid w:val="000E0F13"/>
    <w:rsid w:val="000E1881"/>
    <w:rsid w:val="000E1C7D"/>
    <w:rsid w:val="000E1E12"/>
    <w:rsid w:val="000E327B"/>
    <w:rsid w:val="000E32DA"/>
    <w:rsid w:val="000E3AD9"/>
    <w:rsid w:val="000E4D01"/>
    <w:rsid w:val="000E628D"/>
    <w:rsid w:val="000E68AB"/>
    <w:rsid w:val="000E74C5"/>
    <w:rsid w:val="000E77BE"/>
    <w:rsid w:val="000E7BDF"/>
    <w:rsid w:val="000F0C13"/>
    <w:rsid w:val="000F0E26"/>
    <w:rsid w:val="000F24BD"/>
    <w:rsid w:val="000F32B7"/>
    <w:rsid w:val="000F35E0"/>
    <w:rsid w:val="000F391C"/>
    <w:rsid w:val="000F4C9F"/>
    <w:rsid w:val="000F549A"/>
    <w:rsid w:val="000F691D"/>
    <w:rsid w:val="000F6A31"/>
    <w:rsid w:val="000F6A71"/>
    <w:rsid w:val="000F7542"/>
    <w:rsid w:val="001009FF"/>
    <w:rsid w:val="0010109E"/>
    <w:rsid w:val="00101B9B"/>
    <w:rsid w:val="001023F7"/>
    <w:rsid w:val="0010246E"/>
    <w:rsid w:val="00102BA6"/>
    <w:rsid w:val="00103254"/>
    <w:rsid w:val="001033A9"/>
    <w:rsid w:val="00104815"/>
    <w:rsid w:val="001063C5"/>
    <w:rsid w:val="00106D6F"/>
    <w:rsid w:val="00107228"/>
    <w:rsid w:val="00107D1E"/>
    <w:rsid w:val="001117F6"/>
    <w:rsid w:val="001118AB"/>
    <w:rsid w:val="0011223C"/>
    <w:rsid w:val="001123B7"/>
    <w:rsid w:val="001125CC"/>
    <w:rsid w:val="00112AC3"/>
    <w:rsid w:val="00112FA7"/>
    <w:rsid w:val="00113165"/>
    <w:rsid w:val="00113EB0"/>
    <w:rsid w:val="0011403F"/>
    <w:rsid w:val="0011414F"/>
    <w:rsid w:val="00114923"/>
    <w:rsid w:val="00114B52"/>
    <w:rsid w:val="0011541A"/>
    <w:rsid w:val="0011709C"/>
    <w:rsid w:val="001202AC"/>
    <w:rsid w:val="00120301"/>
    <w:rsid w:val="001212A0"/>
    <w:rsid w:val="00121798"/>
    <w:rsid w:val="00121B3D"/>
    <w:rsid w:val="00122BEB"/>
    <w:rsid w:val="0012366C"/>
    <w:rsid w:val="00123995"/>
    <w:rsid w:val="00123AEB"/>
    <w:rsid w:val="001253DC"/>
    <w:rsid w:val="0012572A"/>
    <w:rsid w:val="00125B8B"/>
    <w:rsid w:val="00125BDE"/>
    <w:rsid w:val="0012657D"/>
    <w:rsid w:val="001277DF"/>
    <w:rsid w:val="001279A9"/>
    <w:rsid w:val="00127E62"/>
    <w:rsid w:val="00127E8A"/>
    <w:rsid w:val="0013022D"/>
    <w:rsid w:val="001310A7"/>
    <w:rsid w:val="00131F79"/>
    <w:rsid w:val="00133B31"/>
    <w:rsid w:val="00133CE5"/>
    <w:rsid w:val="001351ED"/>
    <w:rsid w:val="001351F6"/>
    <w:rsid w:val="001353F6"/>
    <w:rsid w:val="0013599E"/>
    <w:rsid w:val="001366AC"/>
    <w:rsid w:val="00136845"/>
    <w:rsid w:val="0013709F"/>
    <w:rsid w:val="00137AB7"/>
    <w:rsid w:val="0014072B"/>
    <w:rsid w:val="001408FF"/>
    <w:rsid w:val="001410A5"/>
    <w:rsid w:val="00141253"/>
    <w:rsid w:val="0014152F"/>
    <w:rsid w:val="00141824"/>
    <w:rsid w:val="00142350"/>
    <w:rsid w:val="00142C56"/>
    <w:rsid w:val="00143BC8"/>
    <w:rsid w:val="00143CC6"/>
    <w:rsid w:val="00144445"/>
    <w:rsid w:val="0014565C"/>
    <w:rsid w:val="00146238"/>
    <w:rsid w:val="001463EA"/>
    <w:rsid w:val="001471F7"/>
    <w:rsid w:val="00147BA8"/>
    <w:rsid w:val="00147CDF"/>
    <w:rsid w:val="00150E3F"/>
    <w:rsid w:val="00151267"/>
    <w:rsid w:val="001512C1"/>
    <w:rsid w:val="00151327"/>
    <w:rsid w:val="001539A8"/>
    <w:rsid w:val="00154E68"/>
    <w:rsid w:val="00156841"/>
    <w:rsid w:val="00156B3C"/>
    <w:rsid w:val="00156D75"/>
    <w:rsid w:val="00157E67"/>
    <w:rsid w:val="00160663"/>
    <w:rsid w:val="0016131D"/>
    <w:rsid w:val="00161E59"/>
    <w:rsid w:val="001626D2"/>
    <w:rsid w:val="00163BE7"/>
    <w:rsid w:val="001672F3"/>
    <w:rsid w:val="00167F49"/>
    <w:rsid w:val="001704D8"/>
    <w:rsid w:val="001710A3"/>
    <w:rsid w:val="001710B9"/>
    <w:rsid w:val="00172283"/>
    <w:rsid w:val="001723BA"/>
    <w:rsid w:val="00173730"/>
    <w:rsid w:val="00173F78"/>
    <w:rsid w:val="00174110"/>
    <w:rsid w:val="0017438A"/>
    <w:rsid w:val="001744B5"/>
    <w:rsid w:val="001744F3"/>
    <w:rsid w:val="00174FAC"/>
    <w:rsid w:val="0017521C"/>
    <w:rsid w:val="001762A2"/>
    <w:rsid w:val="00176782"/>
    <w:rsid w:val="00176F7A"/>
    <w:rsid w:val="001770FA"/>
    <w:rsid w:val="00180717"/>
    <w:rsid w:val="00180B03"/>
    <w:rsid w:val="0018162A"/>
    <w:rsid w:val="00181C86"/>
    <w:rsid w:val="00182AA6"/>
    <w:rsid w:val="0018452A"/>
    <w:rsid w:val="001848E6"/>
    <w:rsid w:val="00185640"/>
    <w:rsid w:val="00185C1E"/>
    <w:rsid w:val="001864B1"/>
    <w:rsid w:val="00186832"/>
    <w:rsid w:val="0018721B"/>
    <w:rsid w:val="0018739D"/>
    <w:rsid w:val="00190906"/>
    <w:rsid w:val="0019103C"/>
    <w:rsid w:val="00191520"/>
    <w:rsid w:val="00191BF3"/>
    <w:rsid w:val="0019245F"/>
    <w:rsid w:val="00192EC7"/>
    <w:rsid w:val="00193289"/>
    <w:rsid w:val="00193390"/>
    <w:rsid w:val="001933AE"/>
    <w:rsid w:val="00193BBD"/>
    <w:rsid w:val="00193BE3"/>
    <w:rsid w:val="00193C54"/>
    <w:rsid w:val="00194A99"/>
    <w:rsid w:val="00194BA0"/>
    <w:rsid w:val="00196258"/>
    <w:rsid w:val="0019644D"/>
    <w:rsid w:val="00197515"/>
    <w:rsid w:val="00197A8E"/>
    <w:rsid w:val="00197C4C"/>
    <w:rsid w:val="00197F57"/>
    <w:rsid w:val="001A0488"/>
    <w:rsid w:val="001A04DA"/>
    <w:rsid w:val="001A1110"/>
    <w:rsid w:val="001A11CE"/>
    <w:rsid w:val="001A1EC4"/>
    <w:rsid w:val="001A2210"/>
    <w:rsid w:val="001A2A63"/>
    <w:rsid w:val="001A2DD0"/>
    <w:rsid w:val="001A2F83"/>
    <w:rsid w:val="001A2FC9"/>
    <w:rsid w:val="001A3727"/>
    <w:rsid w:val="001A374C"/>
    <w:rsid w:val="001A390F"/>
    <w:rsid w:val="001A48DD"/>
    <w:rsid w:val="001A4D6F"/>
    <w:rsid w:val="001A4FD9"/>
    <w:rsid w:val="001A520A"/>
    <w:rsid w:val="001A5663"/>
    <w:rsid w:val="001A5817"/>
    <w:rsid w:val="001A5D60"/>
    <w:rsid w:val="001A6691"/>
    <w:rsid w:val="001A698B"/>
    <w:rsid w:val="001A733E"/>
    <w:rsid w:val="001A7530"/>
    <w:rsid w:val="001B046F"/>
    <w:rsid w:val="001B0765"/>
    <w:rsid w:val="001B1026"/>
    <w:rsid w:val="001B2CBA"/>
    <w:rsid w:val="001B3353"/>
    <w:rsid w:val="001B39E0"/>
    <w:rsid w:val="001B52C0"/>
    <w:rsid w:val="001B5DBB"/>
    <w:rsid w:val="001B6344"/>
    <w:rsid w:val="001B64CE"/>
    <w:rsid w:val="001B6516"/>
    <w:rsid w:val="001B6C3B"/>
    <w:rsid w:val="001B7818"/>
    <w:rsid w:val="001B7A1C"/>
    <w:rsid w:val="001B7B7E"/>
    <w:rsid w:val="001C0078"/>
    <w:rsid w:val="001C0AC9"/>
    <w:rsid w:val="001C2E38"/>
    <w:rsid w:val="001C436A"/>
    <w:rsid w:val="001C4CCF"/>
    <w:rsid w:val="001C4CD3"/>
    <w:rsid w:val="001C4E4F"/>
    <w:rsid w:val="001C5094"/>
    <w:rsid w:val="001C57EF"/>
    <w:rsid w:val="001C65FA"/>
    <w:rsid w:val="001C66B0"/>
    <w:rsid w:val="001C7E24"/>
    <w:rsid w:val="001D03F7"/>
    <w:rsid w:val="001D1A0D"/>
    <w:rsid w:val="001D1BD3"/>
    <w:rsid w:val="001D38A1"/>
    <w:rsid w:val="001D5324"/>
    <w:rsid w:val="001D544C"/>
    <w:rsid w:val="001D59F9"/>
    <w:rsid w:val="001D5A7B"/>
    <w:rsid w:val="001D6B6C"/>
    <w:rsid w:val="001D6E5F"/>
    <w:rsid w:val="001D74CC"/>
    <w:rsid w:val="001D75FE"/>
    <w:rsid w:val="001D7BE1"/>
    <w:rsid w:val="001D7F73"/>
    <w:rsid w:val="001E1A7D"/>
    <w:rsid w:val="001E1BB2"/>
    <w:rsid w:val="001E340A"/>
    <w:rsid w:val="001E4337"/>
    <w:rsid w:val="001E460A"/>
    <w:rsid w:val="001E54CA"/>
    <w:rsid w:val="001E5986"/>
    <w:rsid w:val="001E6660"/>
    <w:rsid w:val="001E670F"/>
    <w:rsid w:val="001E6956"/>
    <w:rsid w:val="001E6C18"/>
    <w:rsid w:val="001F027A"/>
    <w:rsid w:val="001F22C9"/>
    <w:rsid w:val="001F37E1"/>
    <w:rsid w:val="001F381F"/>
    <w:rsid w:val="001F38B8"/>
    <w:rsid w:val="001F39E2"/>
    <w:rsid w:val="001F5CF2"/>
    <w:rsid w:val="001F5EB0"/>
    <w:rsid w:val="001F61DD"/>
    <w:rsid w:val="001F6472"/>
    <w:rsid w:val="001F6BC9"/>
    <w:rsid w:val="001F6DFE"/>
    <w:rsid w:val="001F6F4D"/>
    <w:rsid w:val="001F7154"/>
    <w:rsid w:val="00200D2D"/>
    <w:rsid w:val="00200E5A"/>
    <w:rsid w:val="0020129E"/>
    <w:rsid w:val="0020155E"/>
    <w:rsid w:val="002016C0"/>
    <w:rsid w:val="00201D09"/>
    <w:rsid w:val="002021FE"/>
    <w:rsid w:val="00202605"/>
    <w:rsid w:val="00202AA3"/>
    <w:rsid w:val="00202B90"/>
    <w:rsid w:val="0020416E"/>
    <w:rsid w:val="00204558"/>
    <w:rsid w:val="00205A1C"/>
    <w:rsid w:val="00206818"/>
    <w:rsid w:val="002079A3"/>
    <w:rsid w:val="0021000B"/>
    <w:rsid w:val="00210200"/>
    <w:rsid w:val="00210BA8"/>
    <w:rsid w:val="00210C3D"/>
    <w:rsid w:val="00212568"/>
    <w:rsid w:val="00212BFE"/>
    <w:rsid w:val="00215194"/>
    <w:rsid w:val="00216FFD"/>
    <w:rsid w:val="002177D9"/>
    <w:rsid w:val="00217A43"/>
    <w:rsid w:val="00220CD2"/>
    <w:rsid w:val="00220E07"/>
    <w:rsid w:val="00221630"/>
    <w:rsid w:val="00222B5D"/>
    <w:rsid w:val="0022329E"/>
    <w:rsid w:val="002237FD"/>
    <w:rsid w:val="00223AFD"/>
    <w:rsid w:val="00225759"/>
    <w:rsid w:val="00225915"/>
    <w:rsid w:val="002263ED"/>
    <w:rsid w:val="00227380"/>
    <w:rsid w:val="00227D4C"/>
    <w:rsid w:val="00230175"/>
    <w:rsid w:val="002304E4"/>
    <w:rsid w:val="00230CFE"/>
    <w:rsid w:val="002313DB"/>
    <w:rsid w:val="00232410"/>
    <w:rsid w:val="00232661"/>
    <w:rsid w:val="00232BC8"/>
    <w:rsid w:val="00232C14"/>
    <w:rsid w:val="002331F2"/>
    <w:rsid w:val="002337A6"/>
    <w:rsid w:val="00233822"/>
    <w:rsid w:val="00233BE6"/>
    <w:rsid w:val="0023427E"/>
    <w:rsid w:val="002365F9"/>
    <w:rsid w:val="002374A3"/>
    <w:rsid w:val="00240F10"/>
    <w:rsid w:val="00241062"/>
    <w:rsid w:val="002410DE"/>
    <w:rsid w:val="00241771"/>
    <w:rsid w:val="00241D4C"/>
    <w:rsid w:val="002425FA"/>
    <w:rsid w:val="00242C4E"/>
    <w:rsid w:val="00243CC3"/>
    <w:rsid w:val="00244396"/>
    <w:rsid w:val="0024565D"/>
    <w:rsid w:val="00245BED"/>
    <w:rsid w:val="00246EE3"/>
    <w:rsid w:val="00246F68"/>
    <w:rsid w:val="00247208"/>
    <w:rsid w:val="002504AC"/>
    <w:rsid w:val="00250C58"/>
    <w:rsid w:val="002510CB"/>
    <w:rsid w:val="00251D2E"/>
    <w:rsid w:val="00251F01"/>
    <w:rsid w:val="00252072"/>
    <w:rsid w:val="00254FEB"/>
    <w:rsid w:val="00255A99"/>
    <w:rsid w:val="00255CC1"/>
    <w:rsid w:val="00256034"/>
    <w:rsid w:val="00256F55"/>
    <w:rsid w:val="002600F4"/>
    <w:rsid w:val="002603DD"/>
    <w:rsid w:val="00260DB9"/>
    <w:rsid w:val="00261477"/>
    <w:rsid w:val="00261517"/>
    <w:rsid w:val="00262326"/>
    <w:rsid w:val="00263665"/>
    <w:rsid w:val="00263C58"/>
    <w:rsid w:val="00264E67"/>
    <w:rsid w:val="0026562A"/>
    <w:rsid w:val="00265AC5"/>
    <w:rsid w:val="00265E2C"/>
    <w:rsid w:val="0026684E"/>
    <w:rsid w:val="002678C3"/>
    <w:rsid w:val="00270024"/>
    <w:rsid w:val="00270B3F"/>
    <w:rsid w:val="00271353"/>
    <w:rsid w:val="0027194D"/>
    <w:rsid w:val="00271A6C"/>
    <w:rsid w:val="00271DAB"/>
    <w:rsid w:val="0027224B"/>
    <w:rsid w:val="002724BB"/>
    <w:rsid w:val="00273AEB"/>
    <w:rsid w:val="00273BC5"/>
    <w:rsid w:val="00273EC2"/>
    <w:rsid w:val="002745EC"/>
    <w:rsid w:val="00274DB6"/>
    <w:rsid w:val="002753EF"/>
    <w:rsid w:val="00275EE4"/>
    <w:rsid w:val="00276C7D"/>
    <w:rsid w:val="00276D1B"/>
    <w:rsid w:val="00276D99"/>
    <w:rsid w:val="0027710C"/>
    <w:rsid w:val="002773D1"/>
    <w:rsid w:val="00277455"/>
    <w:rsid w:val="00277DE2"/>
    <w:rsid w:val="00277DF6"/>
    <w:rsid w:val="0028127F"/>
    <w:rsid w:val="002813F2"/>
    <w:rsid w:val="00281A15"/>
    <w:rsid w:val="00282947"/>
    <w:rsid w:val="002835F3"/>
    <w:rsid w:val="00283AF4"/>
    <w:rsid w:val="00284256"/>
    <w:rsid w:val="00284D40"/>
    <w:rsid w:val="00284F04"/>
    <w:rsid w:val="0028520E"/>
    <w:rsid w:val="00285D2A"/>
    <w:rsid w:val="002879D2"/>
    <w:rsid w:val="0029112E"/>
    <w:rsid w:val="0029256F"/>
    <w:rsid w:val="00292C64"/>
    <w:rsid w:val="002942B2"/>
    <w:rsid w:val="002958C1"/>
    <w:rsid w:val="00295AA8"/>
    <w:rsid w:val="00295BFA"/>
    <w:rsid w:val="00295FE1"/>
    <w:rsid w:val="00297104"/>
    <w:rsid w:val="002A124D"/>
    <w:rsid w:val="002A18E2"/>
    <w:rsid w:val="002A3B7C"/>
    <w:rsid w:val="002A42F1"/>
    <w:rsid w:val="002A47E2"/>
    <w:rsid w:val="002A63EE"/>
    <w:rsid w:val="002A64BA"/>
    <w:rsid w:val="002A6AC5"/>
    <w:rsid w:val="002A70DC"/>
    <w:rsid w:val="002A722D"/>
    <w:rsid w:val="002A7CE2"/>
    <w:rsid w:val="002B01CE"/>
    <w:rsid w:val="002B0D9B"/>
    <w:rsid w:val="002B15AF"/>
    <w:rsid w:val="002B1822"/>
    <w:rsid w:val="002B1E1F"/>
    <w:rsid w:val="002B20B3"/>
    <w:rsid w:val="002B24F3"/>
    <w:rsid w:val="002B2643"/>
    <w:rsid w:val="002B27BB"/>
    <w:rsid w:val="002B3D94"/>
    <w:rsid w:val="002B4936"/>
    <w:rsid w:val="002B56D4"/>
    <w:rsid w:val="002B729C"/>
    <w:rsid w:val="002B7530"/>
    <w:rsid w:val="002B759D"/>
    <w:rsid w:val="002B75A7"/>
    <w:rsid w:val="002B7B13"/>
    <w:rsid w:val="002B7C0F"/>
    <w:rsid w:val="002C0FCB"/>
    <w:rsid w:val="002C199C"/>
    <w:rsid w:val="002C1BFC"/>
    <w:rsid w:val="002C46B0"/>
    <w:rsid w:val="002C50CC"/>
    <w:rsid w:val="002C5D75"/>
    <w:rsid w:val="002C5DDA"/>
    <w:rsid w:val="002C6512"/>
    <w:rsid w:val="002C782A"/>
    <w:rsid w:val="002C7E1F"/>
    <w:rsid w:val="002D011D"/>
    <w:rsid w:val="002D02F3"/>
    <w:rsid w:val="002D1A95"/>
    <w:rsid w:val="002D1AA4"/>
    <w:rsid w:val="002D23F7"/>
    <w:rsid w:val="002D2FD0"/>
    <w:rsid w:val="002D3037"/>
    <w:rsid w:val="002D30E7"/>
    <w:rsid w:val="002D347F"/>
    <w:rsid w:val="002D3B3A"/>
    <w:rsid w:val="002D3C35"/>
    <w:rsid w:val="002D46BB"/>
    <w:rsid w:val="002D4E23"/>
    <w:rsid w:val="002D52B8"/>
    <w:rsid w:val="002D57B8"/>
    <w:rsid w:val="002D5919"/>
    <w:rsid w:val="002D67D5"/>
    <w:rsid w:val="002D6B81"/>
    <w:rsid w:val="002D6DEB"/>
    <w:rsid w:val="002D7CAB"/>
    <w:rsid w:val="002D7DEB"/>
    <w:rsid w:val="002E0327"/>
    <w:rsid w:val="002E08BD"/>
    <w:rsid w:val="002E0DFB"/>
    <w:rsid w:val="002E222C"/>
    <w:rsid w:val="002E23A7"/>
    <w:rsid w:val="002E2A07"/>
    <w:rsid w:val="002E2C7D"/>
    <w:rsid w:val="002E2EEF"/>
    <w:rsid w:val="002E3936"/>
    <w:rsid w:val="002E3B03"/>
    <w:rsid w:val="002E3DCE"/>
    <w:rsid w:val="002E5247"/>
    <w:rsid w:val="002E53B4"/>
    <w:rsid w:val="002E5D42"/>
    <w:rsid w:val="002E6369"/>
    <w:rsid w:val="002E677E"/>
    <w:rsid w:val="002E721D"/>
    <w:rsid w:val="002E777F"/>
    <w:rsid w:val="002E7C3A"/>
    <w:rsid w:val="002E7CC3"/>
    <w:rsid w:val="002F0338"/>
    <w:rsid w:val="002F0DA8"/>
    <w:rsid w:val="002F0EEB"/>
    <w:rsid w:val="002F1573"/>
    <w:rsid w:val="002F2550"/>
    <w:rsid w:val="002F2B88"/>
    <w:rsid w:val="002F38AA"/>
    <w:rsid w:val="002F3DC8"/>
    <w:rsid w:val="002F458D"/>
    <w:rsid w:val="002F4ABF"/>
    <w:rsid w:val="002F5CA7"/>
    <w:rsid w:val="002F5CD3"/>
    <w:rsid w:val="002F66D4"/>
    <w:rsid w:val="002F6DD8"/>
    <w:rsid w:val="002F71AF"/>
    <w:rsid w:val="002F7808"/>
    <w:rsid w:val="002F7E2D"/>
    <w:rsid w:val="00300832"/>
    <w:rsid w:val="00300C47"/>
    <w:rsid w:val="00300E8B"/>
    <w:rsid w:val="00301810"/>
    <w:rsid w:val="00303872"/>
    <w:rsid w:val="00303E7D"/>
    <w:rsid w:val="0030403A"/>
    <w:rsid w:val="00305058"/>
    <w:rsid w:val="00305E3E"/>
    <w:rsid w:val="00306D42"/>
    <w:rsid w:val="00306EE2"/>
    <w:rsid w:val="00306F55"/>
    <w:rsid w:val="00307746"/>
    <w:rsid w:val="00307E24"/>
    <w:rsid w:val="00311AF9"/>
    <w:rsid w:val="00311F48"/>
    <w:rsid w:val="003126A5"/>
    <w:rsid w:val="0031414E"/>
    <w:rsid w:val="0031486E"/>
    <w:rsid w:val="003148BD"/>
    <w:rsid w:val="00314906"/>
    <w:rsid w:val="003156FC"/>
    <w:rsid w:val="003168C2"/>
    <w:rsid w:val="003175C0"/>
    <w:rsid w:val="0031786D"/>
    <w:rsid w:val="00317FC3"/>
    <w:rsid w:val="00320927"/>
    <w:rsid w:val="00321F02"/>
    <w:rsid w:val="00322458"/>
    <w:rsid w:val="00323C98"/>
    <w:rsid w:val="00324B9B"/>
    <w:rsid w:val="0032537F"/>
    <w:rsid w:val="00325E9B"/>
    <w:rsid w:val="00327CD8"/>
    <w:rsid w:val="00330BE3"/>
    <w:rsid w:val="003310FA"/>
    <w:rsid w:val="003322CC"/>
    <w:rsid w:val="00332366"/>
    <w:rsid w:val="003337E3"/>
    <w:rsid w:val="003349FD"/>
    <w:rsid w:val="003353F0"/>
    <w:rsid w:val="0033551E"/>
    <w:rsid w:val="00335FB1"/>
    <w:rsid w:val="00336588"/>
    <w:rsid w:val="003371F3"/>
    <w:rsid w:val="003415D1"/>
    <w:rsid w:val="0034172B"/>
    <w:rsid w:val="003417E8"/>
    <w:rsid w:val="00342357"/>
    <w:rsid w:val="00342A8B"/>
    <w:rsid w:val="00343841"/>
    <w:rsid w:val="00343980"/>
    <w:rsid w:val="003441C1"/>
    <w:rsid w:val="0034436B"/>
    <w:rsid w:val="003472C9"/>
    <w:rsid w:val="00347947"/>
    <w:rsid w:val="00350148"/>
    <w:rsid w:val="003508F0"/>
    <w:rsid w:val="00351BAB"/>
    <w:rsid w:val="0035275A"/>
    <w:rsid w:val="003530D0"/>
    <w:rsid w:val="00354554"/>
    <w:rsid w:val="00354DFF"/>
    <w:rsid w:val="003550C0"/>
    <w:rsid w:val="003554EB"/>
    <w:rsid w:val="00355CB9"/>
    <w:rsid w:val="00355D3C"/>
    <w:rsid w:val="00357736"/>
    <w:rsid w:val="0036031D"/>
    <w:rsid w:val="00360A9F"/>
    <w:rsid w:val="003615B2"/>
    <w:rsid w:val="00361D37"/>
    <w:rsid w:val="00362466"/>
    <w:rsid w:val="003629F0"/>
    <w:rsid w:val="00362D5D"/>
    <w:rsid w:val="00363140"/>
    <w:rsid w:val="00364E60"/>
    <w:rsid w:val="00364EFD"/>
    <w:rsid w:val="00365E60"/>
    <w:rsid w:val="003661BF"/>
    <w:rsid w:val="003672ED"/>
    <w:rsid w:val="00370ED8"/>
    <w:rsid w:val="003720B2"/>
    <w:rsid w:val="00372FCF"/>
    <w:rsid w:val="00373348"/>
    <w:rsid w:val="00373A1D"/>
    <w:rsid w:val="00373A27"/>
    <w:rsid w:val="00373D20"/>
    <w:rsid w:val="00374835"/>
    <w:rsid w:val="00374A3E"/>
    <w:rsid w:val="00374B0D"/>
    <w:rsid w:val="00374F60"/>
    <w:rsid w:val="00375608"/>
    <w:rsid w:val="00375D9E"/>
    <w:rsid w:val="00377CC5"/>
    <w:rsid w:val="00380057"/>
    <w:rsid w:val="0038064B"/>
    <w:rsid w:val="0038068C"/>
    <w:rsid w:val="00380EEF"/>
    <w:rsid w:val="00381752"/>
    <w:rsid w:val="00383EF0"/>
    <w:rsid w:val="003851BF"/>
    <w:rsid w:val="0038571E"/>
    <w:rsid w:val="00385DAF"/>
    <w:rsid w:val="00386804"/>
    <w:rsid w:val="00387B63"/>
    <w:rsid w:val="00390978"/>
    <w:rsid w:val="00392E8C"/>
    <w:rsid w:val="00393203"/>
    <w:rsid w:val="00394C58"/>
    <w:rsid w:val="00395FB1"/>
    <w:rsid w:val="003A07FE"/>
    <w:rsid w:val="003A0D8F"/>
    <w:rsid w:val="003A1408"/>
    <w:rsid w:val="003A19C1"/>
    <w:rsid w:val="003A2168"/>
    <w:rsid w:val="003A2B5E"/>
    <w:rsid w:val="003A3213"/>
    <w:rsid w:val="003A3617"/>
    <w:rsid w:val="003A4C41"/>
    <w:rsid w:val="003A5228"/>
    <w:rsid w:val="003A5386"/>
    <w:rsid w:val="003A5A66"/>
    <w:rsid w:val="003A6BCD"/>
    <w:rsid w:val="003A718C"/>
    <w:rsid w:val="003A74A7"/>
    <w:rsid w:val="003A7677"/>
    <w:rsid w:val="003A769B"/>
    <w:rsid w:val="003B0222"/>
    <w:rsid w:val="003B06AC"/>
    <w:rsid w:val="003B0AD3"/>
    <w:rsid w:val="003B24E5"/>
    <w:rsid w:val="003B2F8D"/>
    <w:rsid w:val="003B309D"/>
    <w:rsid w:val="003B32B3"/>
    <w:rsid w:val="003B39B2"/>
    <w:rsid w:val="003B46E0"/>
    <w:rsid w:val="003B5AD2"/>
    <w:rsid w:val="003B5DC8"/>
    <w:rsid w:val="003B6083"/>
    <w:rsid w:val="003B681C"/>
    <w:rsid w:val="003B6878"/>
    <w:rsid w:val="003B702D"/>
    <w:rsid w:val="003B72CF"/>
    <w:rsid w:val="003B768E"/>
    <w:rsid w:val="003C01BD"/>
    <w:rsid w:val="003C01E0"/>
    <w:rsid w:val="003C085C"/>
    <w:rsid w:val="003C101C"/>
    <w:rsid w:val="003C1ECC"/>
    <w:rsid w:val="003C1F6C"/>
    <w:rsid w:val="003C27D8"/>
    <w:rsid w:val="003C29A5"/>
    <w:rsid w:val="003C32BE"/>
    <w:rsid w:val="003C3AB1"/>
    <w:rsid w:val="003C3DA8"/>
    <w:rsid w:val="003C4281"/>
    <w:rsid w:val="003C45D0"/>
    <w:rsid w:val="003C4980"/>
    <w:rsid w:val="003C54C8"/>
    <w:rsid w:val="003C59F9"/>
    <w:rsid w:val="003C5B59"/>
    <w:rsid w:val="003C5D4C"/>
    <w:rsid w:val="003C605D"/>
    <w:rsid w:val="003C659F"/>
    <w:rsid w:val="003C674F"/>
    <w:rsid w:val="003C7805"/>
    <w:rsid w:val="003C7B7F"/>
    <w:rsid w:val="003D0D51"/>
    <w:rsid w:val="003D131B"/>
    <w:rsid w:val="003D17B9"/>
    <w:rsid w:val="003D1A80"/>
    <w:rsid w:val="003D1CDB"/>
    <w:rsid w:val="003D2545"/>
    <w:rsid w:val="003D2CB5"/>
    <w:rsid w:val="003D40FE"/>
    <w:rsid w:val="003D418F"/>
    <w:rsid w:val="003D50A8"/>
    <w:rsid w:val="003D58D8"/>
    <w:rsid w:val="003D68A3"/>
    <w:rsid w:val="003D6C0D"/>
    <w:rsid w:val="003D6C6C"/>
    <w:rsid w:val="003D7482"/>
    <w:rsid w:val="003E0E4C"/>
    <w:rsid w:val="003E0E83"/>
    <w:rsid w:val="003E15FE"/>
    <w:rsid w:val="003E1C5F"/>
    <w:rsid w:val="003E47DC"/>
    <w:rsid w:val="003E4DAB"/>
    <w:rsid w:val="003E6255"/>
    <w:rsid w:val="003E62A1"/>
    <w:rsid w:val="003E6AD3"/>
    <w:rsid w:val="003E77DF"/>
    <w:rsid w:val="003E7B4B"/>
    <w:rsid w:val="003F0E24"/>
    <w:rsid w:val="003F1125"/>
    <w:rsid w:val="003F1A38"/>
    <w:rsid w:val="003F1BE3"/>
    <w:rsid w:val="003F269D"/>
    <w:rsid w:val="003F34C8"/>
    <w:rsid w:val="003F3DF4"/>
    <w:rsid w:val="003F491B"/>
    <w:rsid w:val="003F5151"/>
    <w:rsid w:val="003F518D"/>
    <w:rsid w:val="003F6937"/>
    <w:rsid w:val="00400634"/>
    <w:rsid w:val="00401028"/>
    <w:rsid w:val="004020D9"/>
    <w:rsid w:val="0040296B"/>
    <w:rsid w:val="00402EDC"/>
    <w:rsid w:val="0040311D"/>
    <w:rsid w:val="00403BB5"/>
    <w:rsid w:val="004049FE"/>
    <w:rsid w:val="00404F46"/>
    <w:rsid w:val="0040536A"/>
    <w:rsid w:val="004063E6"/>
    <w:rsid w:val="00406793"/>
    <w:rsid w:val="004076F8"/>
    <w:rsid w:val="0041131E"/>
    <w:rsid w:val="00411602"/>
    <w:rsid w:val="00411A2D"/>
    <w:rsid w:val="00412C67"/>
    <w:rsid w:val="004137AC"/>
    <w:rsid w:val="00415263"/>
    <w:rsid w:val="00416718"/>
    <w:rsid w:val="004177DC"/>
    <w:rsid w:val="00417B8D"/>
    <w:rsid w:val="00417DDE"/>
    <w:rsid w:val="0042047E"/>
    <w:rsid w:val="00420A8F"/>
    <w:rsid w:val="0042315D"/>
    <w:rsid w:val="00423578"/>
    <w:rsid w:val="00423937"/>
    <w:rsid w:val="00424608"/>
    <w:rsid w:val="004250EB"/>
    <w:rsid w:val="00425D1F"/>
    <w:rsid w:val="00426E29"/>
    <w:rsid w:val="00427B3A"/>
    <w:rsid w:val="00430248"/>
    <w:rsid w:val="0043066C"/>
    <w:rsid w:val="00430E43"/>
    <w:rsid w:val="0043194F"/>
    <w:rsid w:val="00431996"/>
    <w:rsid w:val="00432523"/>
    <w:rsid w:val="00432FF3"/>
    <w:rsid w:val="00433193"/>
    <w:rsid w:val="004336E8"/>
    <w:rsid w:val="00435B09"/>
    <w:rsid w:val="00436256"/>
    <w:rsid w:val="00437673"/>
    <w:rsid w:val="00437E40"/>
    <w:rsid w:val="004403C9"/>
    <w:rsid w:val="0044136C"/>
    <w:rsid w:val="0044142A"/>
    <w:rsid w:val="00442BA5"/>
    <w:rsid w:val="0044393C"/>
    <w:rsid w:val="00444AED"/>
    <w:rsid w:val="004465E1"/>
    <w:rsid w:val="00450ADC"/>
    <w:rsid w:val="00450C92"/>
    <w:rsid w:val="00450D77"/>
    <w:rsid w:val="0045111F"/>
    <w:rsid w:val="0045119A"/>
    <w:rsid w:val="00451EA8"/>
    <w:rsid w:val="00455013"/>
    <w:rsid w:val="0045564D"/>
    <w:rsid w:val="00455E77"/>
    <w:rsid w:val="0045692E"/>
    <w:rsid w:val="00456A61"/>
    <w:rsid w:val="004572E0"/>
    <w:rsid w:val="0045788F"/>
    <w:rsid w:val="0046052E"/>
    <w:rsid w:val="004617C3"/>
    <w:rsid w:val="00462CD3"/>
    <w:rsid w:val="00463688"/>
    <w:rsid w:val="00463A82"/>
    <w:rsid w:val="00463BFE"/>
    <w:rsid w:val="00463E8B"/>
    <w:rsid w:val="00464409"/>
    <w:rsid w:val="004655AA"/>
    <w:rsid w:val="0046563A"/>
    <w:rsid w:val="00466C64"/>
    <w:rsid w:val="00470BAF"/>
    <w:rsid w:val="004712CA"/>
    <w:rsid w:val="0047177F"/>
    <w:rsid w:val="00472010"/>
    <w:rsid w:val="00473348"/>
    <w:rsid w:val="00473D07"/>
    <w:rsid w:val="00473FEC"/>
    <w:rsid w:val="004747F9"/>
    <w:rsid w:val="00474D8B"/>
    <w:rsid w:val="00475344"/>
    <w:rsid w:val="00475554"/>
    <w:rsid w:val="004762A5"/>
    <w:rsid w:val="004765E2"/>
    <w:rsid w:val="0047736E"/>
    <w:rsid w:val="0047761D"/>
    <w:rsid w:val="00477F9B"/>
    <w:rsid w:val="00477FBA"/>
    <w:rsid w:val="00480072"/>
    <w:rsid w:val="004808D4"/>
    <w:rsid w:val="00480C65"/>
    <w:rsid w:val="00480F92"/>
    <w:rsid w:val="00481654"/>
    <w:rsid w:val="0048187C"/>
    <w:rsid w:val="00481C5D"/>
    <w:rsid w:val="00482C95"/>
    <w:rsid w:val="00483FBF"/>
    <w:rsid w:val="00485F16"/>
    <w:rsid w:val="004864D7"/>
    <w:rsid w:val="004866B6"/>
    <w:rsid w:val="00486781"/>
    <w:rsid w:val="00486F21"/>
    <w:rsid w:val="004872F7"/>
    <w:rsid w:val="00487946"/>
    <w:rsid w:val="00490677"/>
    <w:rsid w:val="00491276"/>
    <w:rsid w:val="00492320"/>
    <w:rsid w:val="00492630"/>
    <w:rsid w:val="004929BE"/>
    <w:rsid w:val="00492B83"/>
    <w:rsid w:val="00493BF4"/>
    <w:rsid w:val="00493F01"/>
    <w:rsid w:val="00494492"/>
    <w:rsid w:val="00494B50"/>
    <w:rsid w:val="00494ED8"/>
    <w:rsid w:val="00495689"/>
    <w:rsid w:val="00495E28"/>
    <w:rsid w:val="00496338"/>
    <w:rsid w:val="004971EA"/>
    <w:rsid w:val="004A03C5"/>
    <w:rsid w:val="004A064A"/>
    <w:rsid w:val="004A22E8"/>
    <w:rsid w:val="004A2E5B"/>
    <w:rsid w:val="004A2FE1"/>
    <w:rsid w:val="004A381F"/>
    <w:rsid w:val="004A3E3E"/>
    <w:rsid w:val="004A3ED9"/>
    <w:rsid w:val="004A3EF8"/>
    <w:rsid w:val="004A3FB8"/>
    <w:rsid w:val="004A443A"/>
    <w:rsid w:val="004A4B46"/>
    <w:rsid w:val="004A767A"/>
    <w:rsid w:val="004A77D2"/>
    <w:rsid w:val="004B0BF7"/>
    <w:rsid w:val="004B18A1"/>
    <w:rsid w:val="004B1DA5"/>
    <w:rsid w:val="004B1E55"/>
    <w:rsid w:val="004B294B"/>
    <w:rsid w:val="004B336A"/>
    <w:rsid w:val="004B3EA6"/>
    <w:rsid w:val="004B4013"/>
    <w:rsid w:val="004B4DCB"/>
    <w:rsid w:val="004B4EDD"/>
    <w:rsid w:val="004B586D"/>
    <w:rsid w:val="004B6390"/>
    <w:rsid w:val="004B6967"/>
    <w:rsid w:val="004B6E81"/>
    <w:rsid w:val="004B73A9"/>
    <w:rsid w:val="004C03B2"/>
    <w:rsid w:val="004C0EAE"/>
    <w:rsid w:val="004C1117"/>
    <w:rsid w:val="004C1F1B"/>
    <w:rsid w:val="004C2248"/>
    <w:rsid w:val="004C2F42"/>
    <w:rsid w:val="004C3765"/>
    <w:rsid w:val="004C39A2"/>
    <w:rsid w:val="004C473E"/>
    <w:rsid w:val="004C4C60"/>
    <w:rsid w:val="004C57C7"/>
    <w:rsid w:val="004C586C"/>
    <w:rsid w:val="004C6197"/>
    <w:rsid w:val="004C71D3"/>
    <w:rsid w:val="004C76D8"/>
    <w:rsid w:val="004C7B3C"/>
    <w:rsid w:val="004D0292"/>
    <w:rsid w:val="004D03EC"/>
    <w:rsid w:val="004D069F"/>
    <w:rsid w:val="004D0B75"/>
    <w:rsid w:val="004D1C46"/>
    <w:rsid w:val="004D254F"/>
    <w:rsid w:val="004D29AE"/>
    <w:rsid w:val="004D3FFD"/>
    <w:rsid w:val="004D4164"/>
    <w:rsid w:val="004D4540"/>
    <w:rsid w:val="004D4F0E"/>
    <w:rsid w:val="004D729D"/>
    <w:rsid w:val="004E02FC"/>
    <w:rsid w:val="004E098E"/>
    <w:rsid w:val="004E0DD5"/>
    <w:rsid w:val="004E1371"/>
    <w:rsid w:val="004E1A3E"/>
    <w:rsid w:val="004E1A76"/>
    <w:rsid w:val="004E28C5"/>
    <w:rsid w:val="004E382A"/>
    <w:rsid w:val="004E43AA"/>
    <w:rsid w:val="004E50A7"/>
    <w:rsid w:val="004E516D"/>
    <w:rsid w:val="004E55B0"/>
    <w:rsid w:val="004E565F"/>
    <w:rsid w:val="004E66E9"/>
    <w:rsid w:val="004E7E8E"/>
    <w:rsid w:val="004F045B"/>
    <w:rsid w:val="004F06F5"/>
    <w:rsid w:val="004F0B4D"/>
    <w:rsid w:val="004F13D5"/>
    <w:rsid w:val="004F295D"/>
    <w:rsid w:val="004F304F"/>
    <w:rsid w:val="004F3127"/>
    <w:rsid w:val="004F410F"/>
    <w:rsid w:val="004F4932"/>
    <w:rsid w:val="004F4D5C"/>
    <w:rsid w:val="004F5767"/>
    <w:rsid w:val="004F697A"/>
    <w:rsid w:val="004F6AD9"/>
    <w:rsid w:val="004F6EF5"/>
    <w:rsid w:val="004F75D6"/>
    <w:rsid w:val="004F7BD6"/>
    <w:rsid w:val="004F7DFC"/>
    <w:rsid w:val="004F7E87"/>
    <w:rsid w:val="005001B9"/>
    <w:rsid w:val="005001FA"/>
    <w:rsid w:val="005003BD"/>
    <w:rsid w:val="00500725"/>
    <w:rsid w:val="00501404"/>
    <w:rsid w:val="00502664"/>
    <w:rsid w:val="005029B8"/>
    <w:rsid w:val="00504405"/>
    <w:rsid w:val="00504699"/>
    <w:rsid w:val="00506426"/>
    <w:rsid w:val="005067B8"/>
    <w:rsid w:val="0050729B"/>
    <w:rsid w:val="005074B5"/>
    <w:rsid w:val="0051208D"/>
    <w:rsid w:val="00512EF8"/>
    <w:rsid w:val="00513556"/>
    <w:rsid w:val="00513CD9"/>
    <w:rsid w:val="00513E61"/>
    <w:rsid w:val="0051420E"/>
    <w:rsid w:val="00515B91"/>
    <w:rsid w:val="0051650D"/>
    <w:rsid w:val="005165A9"/>
    <w:rsid w:val="005169E9"/>
    <w:rsid w:val="005201F0"/>
    <w:rsid w:val="00520DE8"/>
    <w:rsid w:val="00521895"/>
    <w:rsid w:val="0052266E"/>
    <w:rsid w:val="005234DD"/>
    <w:rsid w:val="005239A5"/>
    <w:rsid w:val="00523CF8"/>
    <w:rsid w:val="00523E67"/>
    <w:rsid w:val="005241C7"/>
    <w:rsid w:val="00524237"/>
    <w:rsid w:val="005242F4"/>
    <w:rsid w:val="00524EA7"/>
    <w:rsid w:val="00525EFF"/>
    <w:rsid w:val="0052644C"/>
    <w:rsid w:val="00526F56"/>
    <w:rsid w:val="00527DB8"/>
    <w:rsid w:val="005304FD"/>
    <w:rsid w:val="00531022"/>
    <w:rsid w:val="00531A9A"/>
    <w:rsid w:val="005323B6"/>
    <w:rsid w:val="005325F4"/>
    <w:rsid w:val="0053276D"/>
    <w:rsid w:val="00532D9D"/>
    <w:rsid w:val="005333BE"/>
    <w:rsid w:val="00533761"/>
    <w:rsid w:val="00533D95"/>
    <w:rsid w:val="005357FB"/>
    <w:rsid w:val="00535852"/>
    <w:rsid w:val="00536046"/>
    <w:rsid w:val="005366DF"/>
    <w:rsid w:val="00536B60"/>
    <w:rsid w:val="005379F9"/>
    <w:rsid w:val="00540036"/>
    <w:rsid w:val="00540A6D"/>
    <w:rsid w:val="00541CAF"/>
    <w:rsid w:val="0054325C"/>
    <w:rsid w:val="0054327D"/>
    <w:rsid w:val="0054489C"/>
    <w:rsid w:val="00544A2F"/>
    <w:rsid w:val="005451FA"/>
    <w:rsid w:val="005462CE"/>
    <w:rsid w:val="00546587"/>
    <w:rsid w:val="00546C43"/>
    <w:rsid w:val="00547522"/>
    <w:rsid w:val="00550E2D"/>
    <w:rsid w:val="00551B8A"/>
    <w:rsid w:val="00552DB7"/>
    <w:rsid w:val="00552DCB"/>
    <w:rsid w:val="00552E54"/>
    <w:rsid w:val="00554D13"/>
    <w:rsid w:val="005559CE"/>
    <w:rsid w:val="0055621F"/>
    <w:rsid w:val="005564C4"/>
    <w:rsid w:val="005570D0"/>
    <w:rsid w:val="00557E04"/>
    <w:rsid w:val="0056008A"/>
    <w:rsid w:val="00560692"/>
    <w:rsid w:val="005624D6"/>
    <w:rsid w:val="00562B59"/>
    <w:rsid w:val="00563582"/>
    <w:rsid w:val="005643F3"/>
    <w:rsid w:val="00565204"/>
    <w:rsid w:val="00565D0B"/>
    <w:rsid w:val="00566096"/>
    <w:rsid w:val="00566C8E"/>
    <w:rsid w:val="00566F1E"/>
    <w:rsid w:val="00570CEB"/>
    <w:rsid w:val="005730D1"/>
    <w:rsid w:val="0057325E"/>
    <w:rsid w:val="00573734"/>
    <w:rsid w:val="005740CE"/>
    <w:rsid w:val="00574120"/>
    <w:rsid w:val="005742FC"/>
    <w:rsid w:val="00575F87"/>
    <w:rsid w:val="00576DA3"/>
    <w:rsid w:val="00577290"/>
    <w:rsid w:val="0058031F"/>
    <w:rsid w:val="00580904"/>
    <w:rsid w:val="00581C25"/>
    <w:rsid w:val="00581D08"/>
    <w:rsid w:val="00583004"/>
    <w:rsid w:val="00583078"/>
    <w:rsid w:val="005831AA"/>
    <w:rsid w:val="005832D6"/>
    <w:rsid w:val="00583712"/>
    <w:rsid w:val="00583C15"/>
    <w:rsid w:val="0058414B"/>
    <w:rsid w:val="005848B0"/>
    <w:rsid w:val="00585D49"/>
    <w:rsid w:val="00586B10"/>
    <w:rsid w:val="0059024A"/>
    <w:rsid w:val="00590367"/>
    <w:rsid w:val="00590F32"/>
    <w:rsid w:val="005919A3"/>
    <w:rsid w:val="0059255A"/>
    <w:rsid w:val="00593D91"/>
    <w:rsid w:val="005947D0"/>
    <w:rsid w:val="0059540C"/>
    <w:rsid w:val="00595785"/>
    <w:rsid w:val="00595C64"/>
    <w:rsid w:val="00596532"/>
    <w:rsid w:val="00596B1B"/>
    <w:rsid w:val="00596E50"/>
    <w:rsid w:val="00597FD1"/>
    <w:rsid w:val="005A255C"/>
    <w:rsid w:val="005A28A8"/>
    <w:rsid w:val="005A2A6C"/>
    <w:rsid w:val="005A3101"/>
    <w:rsid w:val="005A3BBC"/>
    <w:rsid w:val="005A4468"/>
    <w:rsid w:val="005A4673"/>
    <w:rsid w:val="005A4FA7"/>
    <w:rsid w:val="005A55C5"/>
    <w:rsid w:val="005A5A3E"/>
    <w:rsid w:val="005A5CB4"/>
    <w:rsid w:val="005A6D42"/>
    <w:rsid w:val="005A79A6"/>
    <w:rsid w:val="005B06D8"/>
    <w:rsid w:val="005B08BD"/>
    <w:rsid w:val="005B14E7"/>
    <w:rsid w:val="005B27E6"/>
    <w:rsid w:val="005B29DD"/>
    <w:rsid w:val="005B32A5"/>
    <w:rsid w:val="005B40CF"/>
    <w:rsid w:val="005B5063"/>
    <w:rsid w:val="005B6FD4"/>
    <w:rsid w:val="005B762F"/>
    <w:rsid w:val="005B780F"/>
    <w:rsid w:val="005C0440"/>
    <w:rsid w:val="005C0A6C"/>
    <w:rsid w:val="005C15DD"/>
    <w:rsid w:val="005C221B"/>
    <w:rsid w:val="005C2BB6"/>
    <w:rsid w:val="005C2D47"/>
    <w:rsid w:val="005C2E4D"/>
    <w:rsid w:val="005C32F1"/>
    <w:rsid w:val="005C4CDC"/>
    <w:rsid w:val="005C4DC7"/>
    <w:rsid w:val="005C50D3"/>
    <w:rsid w:val="005C5ED8"/>
    <w:rsid w:val="005C6170"/>
    <w:rsid w:val="005C6515"/>
    <w:rsid w:val="005C7796"/>
    <w:rsid w:val="005D02A0"/>
    <w:rsid w:val="005D088A"/>
    <w:rsid w:val="005D0EA2"/>
    <w:rsid w:val="005D1206"/>
    <w:rsid w:val="005D1711"/>
    <w:rsid w:val="005D19FB"/>
    <w:rsid w:val="005D3C91"/>
    <w:rsid w:val="005D3EB1"/>
    <w:rsid w:val="005D3F20"/>
    <w:rsid w:val="005D41EE"/>
    <w:rsid w:val="005D44D5"/>
    <w:rsid w:val="005D58BA"/>
    <w:rsid w:val="005D62A9"/>
    <w:rsid w:val="005D63B5"/>
    <w:rsid w:val="005D6774"/>
    <w:rsid w:val="005D74C8"/>
    <w:rsid w:val="005D7505"/>
    <w:rsid w:val="005D7630"/>
    <w:rsid w:val="005E075A"/>
    <w:rsid w:val="005E1452"/>
    <w:rsid w:val="005E3847"/>
    <w:rsid w:val="005E4980"/>
    <w:rsid w:val="005E4D9D"/>
    <w:rsid w:val="005E5949"/>
    <w:rsid w:val="005E5C7C"/>
    <w:rsid w:val="005E5D44"/>
    <w:rsid w:val="005E64FC"/>
    <w:rsid w:val="005E75BE"/>
    <w:rsid w:val="005E7792"/>
    <w:rsid w:val="005E7D3F"/>
    <w:rsid w:val="005F05BA"/>
    <w:rsid w:val="005F0E81"/>
    <w:rsid w:val="005F164D"/>
    <w:rsid w:val="005F1B6E"/>
    <w:rsid w:val="005F1CCB"/>
    <w:rsid w:val="005F2A74"/>
    <w:rsid w:val="005F2E21"/>
    <w:rsid w:val="005F30CA"/>
    <w:rsid w:val="005F3A79"/>
    <w:rsid w:val="005F3F19"/>
    <w:rsid w:val="005F43FD"/>
    <w:rsid w:val="005F44FB"/>
    <w:rsid w:val="005F4CAB"/>
    <w:rsid w:val="005F5141"/>
    <w:rsid w:val="005F54C5"/>
    <w:rsid w:val="005F56C3"/>
    <w:rsid w:val="005F59D4"/>
    <w:rsid w:val="005F5B44"/>
    <w:rsid w:val="005F5EC1"/>
    <w:rsid w:val="005F6D66"/>
    <w:rsid w:val="005F6EAE"/>
    <w:rsid w:val="005F7185"/>
    <w:rsid w:val="005F71B5"/>
    <w:rsid w:val="005F71D5"/>
    <w:rsid w:val="005F776B"/>
    <w:rsid w:val="006001BD"/>
    <w:rsid w:val="0060044F"/>
    <w:rsid w:val="00600CB9"/>
    <w:rsid w:val="00601BF9"/>
    <w:rsid w:val="00601C57"/>
    <w:rsid w:val="00602EB5"/>
    <w:rsid w:val="006033A8"/>
    <w:rsid w:val="00603CAD"/>
    <w:rsid w:val="00603FED"/>
    <w:rsid w:val="0060473B"/>
    <w:rsid w:val="006048BC"/>
    <w:rsid w:val="00604987"/>
    <w:rsid w:val="00604EB1"/>
    <w:rsid w:val="006067AD"/>
    <w:rsid w:val="00610B9F"/>
    <w:rsid w:val="0061182B"/>
    <w:rsid w:val="00611B01"/>
    <w:rsid w:val="00612A62"/>
    <w:rsid w:val="00613221"/>
    <w:rsid w:val="006138D0"/>
    <w:rsid w:val="00613A14"/>
    <w:rsid w:val="00613CDF"/>
    <w:rsid w:val="00614CDC"/>
    <w:rsid w:val="00614F1F"/>
    <w:rsid w:val="006160FE"/>
    <w:rsid w:val="0061631F"/>
    <w:rsid w:val="00616777"/>
    <w:rsid w:val="00616C70"/>
    <w:rsid w:val="00616C94"/>
    <w:rsid w:val="00621AAA"/>
    <w:rsid w:val="00621B99"/>
    <w:rsid w:val="00623B15"/>
    <w:rsid w:val="006246F6"/>
    <w:rsid w:val="006253BF"/>
    <w:rsid w:val="006256F3"/>
    <w:rsid w:val="006258DF"/>
    <w:rsid w:val="00626D46"/>
    <w:rsid w:val="00627449"/>
    <w:rsid w:val="0063073A"/>
    <w:rsid w:val="00630FED"/>
    <w:rsid w:val="00631483"/>
    <w:rsid w:val="006318A4"/>
    <w:rsid w:val="00631B93"/>
    <w:rsid w:val="00632B0D"/>
    <w:rsid w:val="00632B33"/>
    <w:rsid w:val="00632CE0"/>
    <w:rsid w:val="00633C3B"/>
    <w:rsid w:val="00634143"/>
    <w:rsid w:val="00634327"/>
    <w:rsid w:val="0063445E"/>
    <w:rsid w:val="00634483"/>
    <w:rsid w:val="00634C2F"/>
    <w:rsid w:val="006355C6"/>
    <w:rsid w:val="006367F5"/>
    <w:rsid w:val="006368DD"/>
    <w:rsid w:val="00636C1C"/>
    <w:rsid w:val="006400E0"/>
    <w:rsid w:val="0064049C"/>
    <w:rsid w:val="006421D0"/>
    <w:rsid w:val="00642289"/>
    <w:rsid w:val="006427A2"/>
    <w:rsid w:val="006435D3"/>
    <w:rsid w:val="00643604"/>
    <w:rsid w:val="00644138"/>
    <w:rsid w:val="00645B87"/>
    <w:rsid w:val="00646331"/>
    <w:rsid w:val="006463C6"/>
    <w:rsid w:val="00646700"/>
    <w:rsid w:val="00646B25"/>
    <w:rsid w:val="00647B00"/>
    <w:rsid w:val="00647B12"/>
    <w:rsid w:val="0065147B"/>
    <w:rsid w:val="00653FA8"/>
    <w:rsid w:val="006547E1"/>
    <w:rsid w:val="00655B08"/>
    <w:rsid w:val="00655B6C"/>
    <w:rsid w:val="00657D21"/>
    <w:rsid w:val="00660796"/>
    <w:rsid w:val="00660AF6"/>
    <w:rsid w:val="00660D99"/>
    <w:rsid w:val="0066129F"/>
    <w:rsid w:val="00661373"/>
    <w:rsid w:val="00661C42"/>
    <w:rsid w:val="006621A0"/>
    <w:rsid w:val="0066280B"/>
    <w:rsid w:val="0066281E"/>
    <w:rsid w:val="00662876"/>
    <w:rsid w:val="00662E6B"/>
    <w:rsid w:val="006633A4"/>
    <w:rsid w:val="00663463"/>
    <w:rsid w:val="006635BC"/>
    <w:rsid w:val="00663E8E"/>
    <w:rsid w:val="00664207"/>
    <w:rsid w:val="00664C26"/>
    <w:rsid w:val="006651DC"/>
    <w:rsid w:val="00666500"/>
    <w:rsid w:val="006665DB"/>
    <w:rsid w:val="006670BC"/>
    <w:rsid w:val="00667969"/>
    <w:rsid w:val="006679FB"/>
    <w:rsid w:val="00670063"/>
    <w:rsid w:val="00670405"/>
    <w:rsid w:val="006708A1"/>
    <w:rsid w:val="00672B09"/>
    <w:rsid w:val="00672E6E"/>
    <w:rsid w:val="00672F40"/>
    <w:rsid w:val="00675076"/>
    <w:rsid w:val="006778F8"/>
    <w:rsid w:val="00677CFD"/>
    <w:rsid w:val="00680E61"/>
    <w:rsid w:val="00681155"/>
    <w:rsid w:val="00681347"/>
    <w:rsid w:val="006817B6"/>
    <w:rsid w:val="00683088"/>
    <w:rsid w:val="0068323A"/>
    <w:rsid w:val="006832CB"/>
    <w:rsid w:val="00683D34"/>
    <w:rsid w:val="00683D96"/>
    <w:rsid w:val="0068425B"/>
    <w:rsid w:val="00684677"/>
    <w:rsid w:val="00684A62"/>
    <w:rsid w:val="00685E59"/>
    <w:rsid w:val="00685F63"/>
    <w:rsid w:val="00686264"/>
    <w:rsid w:val="006862B4"/>
    <w:rsid w:val="00686631"/>
    <w:rsid w:val="00686B4D"/>
    <w:rsid w:val="00686D75"/>
    <w:rsid w:val="0068717F"/>
    <w:rsid w:val="00687B56"/>
    <w:rsid w:val="00690501"/>
    <w:rsid w:val="0069067F"/>
    <w:rsid w:val="006911FE"/>
    <w:rsid w:val="0069135F"/>
    <w:rsid w:val="00691ABA"/>
    <w:rsid w:val="00691F31"/>
    <w:rsid w:val="0069303F"/>
    <w:rsid w:val="00693441"/>
    <w:rsid w:val="00693EDD"/>
    <w:rsid w:val="006945A7"/>
    <w:rsid w:val="00694AC5"/>
    <w:rsid w:val="00695D11"/>
    <w:rsid w:val="00695F9E"/>
    <w:rsid w:val="006A0261"/>
    <w:rsid w:val="006A0724"/>
    <w:rsid w:val="006A087A"/>
    <w:rsid w:val="006A3B82"/>
    <w:rsid w:val="006A3E8C"/>
    <w:rsid w:val="006A3F1D"/>
    <w:rsid w:val="006A4EC5"/>
    <w:rsid w:val="006A5BA5"/>
    <w:rsid w:val="006A5F9A"/>
    <w:rsid w:val="006A66B6"/>
    <w:rsid w:val="006A682F"/>
    <w:rsid w:val="006B0193"/>
    <w:rsid w:val="006B0343"/>
    <w:rsid w:val="006B03A1"/>
    <w:rsid w:val="006B0685"/>
    <w:rsid w:val="006B0C46"/>
    <w:rsid w:val="006B1A8A"/>
    <w:rsid w:val="006B1C23"/>
    <w:rsid w:val="006B1E49"/>
    <w:rsid w:val="006B31E9"/>
    <w:rsid w:val="006B390E"/>
    <w:rsid w:val="006B4A0F"/>
    <w:rsid w:val="006B4BF3"/>
    <w:rsid w:val="006B55EF"/>
    <w:rsid w:val="006B62D7"/>
    <w:rsid w:val="006B7ABC"/>
    <w:rsid w:val="006C1188"/>
    <w:rsid w:val="006C1E82"/>
    <w:rsid w:val="006C2597"/>
    <w:rsid w:val="006C2A4F"/>
    <w:rsid w:val="006C2D76"/>
    <w:rsid w:val="006C2DBD"/>
    <w:rsid w:val="006C33E9"/>
    <w:rsid w:val="006C42D7"/>
    <w:rsid w:val="006C7290"/>
    <w:rsid w:val="006D084A"/>
    <w:rsid w:val="006D1604"/>
    <w:rsid w:val="006D1964"/>
    <w:rsid w:val="006D1A57"/>
    <w:rsid w:val="006D2018"/>
    <w:rsid w:val="006D28F0"/>
    <w:rsid w:val="006D29F3"/>
    <w:rsid w:val="006D2E8E"/>
    <w:rsid w:val="006D4282"/>
    <w:rsid w:val="006D49A5"/>
    <w:rsid w:val="006D55D8"/>
    <w:rsid w:val="006D5BB5"/>
    <w:rsid w:val="006D6290"/>
    <w:rsid w:val="006D7984"/>
    <w:rsid w:val="006E00A6"/>
    <w:rsid w:val="006E0669"/>
    <w:rsid w:val="006E146E"/>
    <w:rsid w:val="006E1B37"/>
    <w:rsid w:val="006E1B4B"/>
    <w:rsid w:val="006E21C3"/>
    <w:rsid w:val="006E226A"/>
    <w:rsid w:val="006E27BF"/>
    <w:rsid w:val="006E3141"/>
    <w:rsid w:val="006E37F0"/>
    <w:rsid w:val="006E3BC5"/>
    <w:rsid w:val="006E3D41"/>
    <w:rsid w:val="006E3F1F"/>
    <w:rsid w:val="006E5382"/>
    <w:rsid w:val="006E751F"/>
    <w:rsid w:val="006E7949"/>
    <w:rsid w:val="006F1B34"/>
    <w:rsid w:val="006F23BC"/>
    <w:rsid w:val="006F33F4"/>
    <w:rsid w:val="006F34D4"/>
    <w:rsid w:val="006F4B46"/>
    <w:rsid w:val="006F4FF7"/>
    <w:rsid w:val="006F5008"/>
    <w:rsid w:val="006F5485"/>
    <w:rsid w:val="006F6BC3"/>
    <w:rsid w:val="006F7BFE"/>
    <w:rsid w:val="00700F68"/>
    <w:rsid w:val="00700FBD"/>
    <w:rsid w:val="00701E39"/>
    <w:rsid w:val="00702BF7"/>
    <w:rsid w:val="00702C18"/>
    <w:rsid w:val="0070305B"/>
    <w:rsid w:val="007039B2"/>
    <w:rsid w:val="007051E6"/>
    <w:rsid w:val="00705333"/>
    <w:rsid w:val="00705A51"/>
    <w:rsid w:val="00705EA4"/>
    <w:rsid w:val="00706F39"/>
    <w:rsid w:val="0071101B"/>
    <w:rsid w:val="00711533"/>
    <w:rsid w:val="00711F12"/>
    <w:rsid w:val="007120FF"/>
    <w:rsid w:val="00712D0B"/>
    <w:rsid w:val="00712EDB"/>
    <w:rsid w:val="00713BCC"/>
    <w:rsid w:val="00714376"/>
    <w:rsid w:val="00714F97"/>
    <w:rsid w:val="00715412"/>
    <w:rsid w:val="00715714"/>
    <w:rsid w:val="00716125"/>
    <w:rsid w:val="00721D17"/>
    <w:rsid w:val="00722118"/>
    <w:rsid w:val="0072231B"/>
    <w:rsid w:val="00722C4C"/>
    <w:rsid w:val="00723B66"/>
    <w:rsid w:val="00724137"/>
    <w:rsid w:val="00724674"/>
    <w:rsid w:val="0072521A"/>
    <w:rsid w:val="00725635"/>
    <w:rsid w:val="0072582D"/>
    <w:rsid w:val="00725CE1"/>
    <w:rsid w:val="007261EB"/>
    <w:rsid w:val="00727619"/>
    <w:rsid w:val="0072762E"/>
    <w:rsid w:val="00727EEE"/>
    <w:rsid w:val="0073018B"/>
    <w:rsid w:val="00730C0C"/>
    <w:rsid w:val="00730E2C"/>
    <w:rsid w:val="00731226"/>
    <w:rsid w:val="00731DE9"/>
    <w:rsid w:val="00731EB4"/>
    <w:rsid w:val="0073216B"/>
    <w:rsid w:val="0073222F"/>
    <w:rsid w:val="007323A8"/>
    <w:rsid w:val="00732646"/>
    <w:rsid w:val="00732C10"/>
    <w:rsid w:val="007342FA"/>
    <w:rsid w:val="00734BD6"/>
    <w:rsid w:val="00734E74"/>
    <w:rsid w:val="007351D3"/>
    <w:rsid w:val="00735E36"/>
    <w:rsid w:val="00736044"/>
    <w:rsid w:val="007362D4"/>
    <w:rsid w:val="00736DE2"/>
    <w:rsid w:val="00736F9F"/>
    <w:rsid w:val="007370DB"/>
    <w:rsid w:val="00741262"/>
    <w:rsid w:val="00742D66"/>
    <w:rsid w:val="007433CC"/>
    <w:rsid w:val="007448F2"/>
    <w:rsid w:val="00745653"/>
    <w:rsid w:val="00746772"/>
    <w:rsid w:val="00746CA4"/>
    <w:rsid w:val="00746DA3"/>
    <w:rsid w:val="00747B82"/>
    <w:rsid w:val="00747BCC"/>
    <w:rsid w:val="00750988"/>
    <w:rsid w:val="00751652"/>
    <w:rsid w:val="007519EF"/>
    <w:rsid w:val="0075226A"/>
    <w:rsid w:val="007531BC"/>
    <w:rsid w:val="0075358C"/>
    <w:rsid w:val="00753FB7"/>
    <w:rsid w:val="0075534A"/>
    <w:rsid w:val="007554D1"/>
    <w:rsid w:val="00755581"/>
    <w:rsid w:val="007558DB"/>
    <w:rsid w:val="0075691B"/>
    <w:rsid w:val="00756DC8"/>
    <w:rsid w:val="00757362"/>
    <w:rsid w:val="007574D4"/>
    <w:rsid w:val="00757A17"/>
    <w:rsid w:val="00761596"/>
    <w:rsid w:val="00764EE5"/>
    <w:rsid w:val="007653CE"/>
    <w:rsid w:val="00765994"/>
    <w:rsid w:val="00766BCB"/>
    <w:rsid w:val="00766F3C"/>
    <w:rsid w:val="007679F4"/>
    <w:rsid w:val="00767AB8"/>
    <w:rsid w:val="00770430"/>
    <w:rsid w:val="00770B43"/>
    <w:rsid w:val="00771000"/>
    <w:rsid w:val="0077370F"/>
    <w:rsid w:val="00773E80"/>
    <w:rsid w:val="00774A09"/>
    <w:rsid w:val="007752F9"/>
    <w:rsid w:val="007759DD"/>
    <w:rsid w:val="007763D1"/>
    <w:rsid w:val="00777C4E"/>
    <w:rsid w:val="00777E77"/>
    <w:rsid w:val="00780611"/>
    <w:rsid w:val="007819F7"/>
    <w:rsid w:val="00781C55"/>
    <w:rsid w:val="0078222D"/>
    <w:rsid w:val="007829FE"/>
    <w:rsid w:val="00782B6E"/>
    <w:rsid w:val="00782F36"/>
    <w:rsid w:val="007858D3"/>
    <w:rsid w:val="00785A8B"/>
    <w:rsid w:val="00786493"/>
    <w:rsid w:val="007866D4"/>
    <w:rsid w:val="00786831"/>
    <w:rsid w:val="00787DDE"/>
    <w:rsid w:val="00787FAC"/>
    <w:rsid w:val="00790071"/>
    <w:rsid w:val="00791654"/>
    <w:rsid w:val="00791819"/>
    <w:rsid w:val="007948C4"/>
    <w:rsid w:val="0079503F"/>
    <w:rsid w:val="00795A70"/>
    <w:rsid w:val="0079638D"/>
    <w:rsid w:val="007970CD"/>
    <w:rsid w:val="007A0114"/>
    <w:rsid w:val="007A02F6"/>
    <w:rsid w:val="007A05E2"/>
    <w:rsid w:val="007A108A"/>
    <w:rsid w:val="007A2C97"/>
    <w:rsid w:val="007A2F96"/>
    <w:rsid w:val="007A3AC8"/>
    <w:rsid w:val="007A4F0E"/>
    <w:rsid w:val="007A580E"/>
    <w:rsid w:val="007A6699"/>
    <w:rsid w:val="007A79A3"/>
    <w:rsid w:val="007B00E0"/>
    <w:rsid w:val="007B0F30"/>
    <w:rsid w:val="007B2480"/>
    <w:rsid w:val="007B326D"/>
    <w:rsid w:val="007B3852"/>
    <w:rsid w:val="007B4E70"/>
    <w:rsid w:val="007B5963"/>
    <w:rsid w:val="007B76BE"/>
    <w:rsid w:val="007C017C"/>
    <w:rsid w:val="007C03FD"/>
    <w:rsid w:val="007C140E"/>
    <w:rsid w:val="007C1D22"/>
    <w:rsid w:val="007C4281"/>
    <w:rsid w:val="007C49FF"/>
    <w:rsid w:val="007C5CCF"/>
    <w:rsid w:val="007C60C4"/>
    <w:rsid w:val="007C6443"/>
    <w:rsid w:val="007C7D91"/>
    <w:rsid w:val="007D03D8"/>
    <w:rsid w:val="007D180E"/>
    <w:rsid w:val="007D1AC8"/>
    <w:rsid w:val="007D2E9B"/>
    <w:rsid w:val="007D3092"/>
    <w:rsid w:val="007D368C"/>
    <w:rsid w:val="007D3D59"/>
    <w:rsid w:val="007D3DA8"/>
    <w:rsid w:val="007D3F8F"/>
    <w:rsid w:val="007D432D"/>
    <w:rsid w:val="007D5ACB"/>
    <w:rsid w:val="007D5BB8"/>
    <w:rsid w:val="007D6098"/>
    <w:rsid w:val="007D69BE"/>
    <w:rsid w:val="007D6E15"/>
    <w:rsid w:val="007D6E52"/>
    <w:rsid w:val="007D7D51"/>
    <w:rsid w:val="007D7E46"/>
    <w:rsid w:val="007E0870"/>
    <w:rsid w:val="007E0D2D"/>
    <w:rsid w:val="007E14F8"/>
    <w:rsid w:val="007E2B41"/>
    <w:rsid w:val="007E3652"/>
    <w:rsid w:val="007E3D88"/>
    <w:rsid w:val="007E4769"/>
    <w:rsid w:val="007E4BE7"/>
    <w:rsid w:val="007E4F90"/>
    <w:rsid w:val="007E5188"/>
    <w:rsid w:val="007E556C"/>
    <w:rsid w:val="007E6376"/>
    <w:rsid w:val="007E65CF"/>
    <w:rsid w:val="007E7BF2"/>
    <w:rsid w:val="007F00AD"/>
    <w:rsid w:val="007F17DE"/>
    <w:rsid w:val="007F256E"/>
    <w:rsid w:val="007F29F6"/>
    <w:rsid w:val="007F4A02"/>
    <w:rsid w:val="007F4D58"/>
    <w:rsid w:val="007F56CB"/>
    <w:rsid w:val="007F5E6D"/>
    <w:rsid w:val="007F64AD"/>
    <w:rsid w:val="007F7BC5"/>
    <w:rsid w:val="007F7BFE"/>
    <w:rsid w:val="007F7F75"/>
    <w:rsid w:val="007F7F99"/>
    <w:rsid w:val="00800830"/>
    <w:rsid w:val="00802501"/>
    <w:rsid w:val="00803EAC"/>
    <w:rsid w:val="00804117"/>
    <w:rsid w:val="00805677"/>
    <w:rsid w:val="00805705"/>
    <w:rsid w:val="0080577A"/>
    <w:rsid w:val="008061E0"/>
    <w:rsid w:val="008063E0"/>
    <w:rsid w:val="008069B0"/>
    <w:rsid w:val="008069D1"/>
    <w:rsid w:val="008069E4"/>
    <w:rsid w:val="00806C2F"/>
    <w:rsid w:val="00806CAC"/>
    <w:rsid w:val="00807D90"/>
    <w:rsid w:val="00810818"/>
    <w:rsid w:val="00811CB2"/>
    <w:rsid w:val="0081235F"/>
    <w:rsid w:val="008123A5"/>
    <w:rsid w:val="00812AC2"/>
    <w:rsid w:val="008130D9"/>
    <w:rsid w:val="00813209"/>
    <w:rsid w:val="00813CD7"/>
    <w:rsid w:val="008150ED"/>
    <w:rsid w:val="0081523B"/>
    <w:rsid w:val="0081686C"/>
    <w:rsid w:val="00817A84"/>
    <w:rsid w:val="00820317"/>
    <w:rsid w:val="0082092A"/>
    <w:rsid w:val="008209F6"/>
    <w:rsid w:val="0082162E"/>
    <w:rsid w:val="00821A99"/>
    <w:rsid w:val="00821B4F"/>
    <w:rsid w:val="00821B83"/>
    <w:rsid w:val="00822B3D"/>
    <w:rsid w:val="00822D65"/>
    <w:rsid w:val="00823107"/>
    <w:rsid w:val="00823E07"/>
    <w:rsid w:val="008243B6"/>
    <w:rsid w:val="00826390"/>
    <w:rsid w:val="008264D8"/>
    <w:rsid w:val="008264E6"/>
    <w:rsid w:val="008264F5"/>
    <w:rsid w:val="00826E18"/>
    <w:rsid w:val="008309A6"/>
    <w:rsid w:val="00830E4F"/>
    <w:rsid w:val="00830F73"/>
    <w:rsid w:val="008310FD"/>
    <w:rsid w:val="00831510"/>
    <w:rsid w:val="00832691"/>
    <w:rsid w:val="0083293E"/>
    <w:rsid w:val="008335B6"/>
    <w:rsid w:val="00834663"/>
    <w:rsid w:val="00835685"/>
    <w:rsid w:val="00835BD6"/>
    <w:rsid w:val="0083679E"/>
    <w:rsid w:val="00836B58"/>
    <w:rsid w:val="008371E5"/>
    <w:rsid w:val="0083796B"/>
    <w:rsid w:val="00840C89"/>
    <w:rsid w:val="008415D6"/>
    <w:rsid w:val="00841E44"/>
    <w:rsid w:val="00841F1F"/>
    <w:rsid w:val="00842610"/>
    <w:rsid w:val="0084279D"/>
    <w:rsid w:val="00843582"/>
    <w:rsid w:val="00844415"/>
    <w:rsid w:val="00844B62"/>
    <w:rsid w:val="00844CDF"/>
    <w:rsid w:val="008455D2"/>
    <w:rsid w:val="00850468"/>
    <w:rsid w:val="00850CD1"/>
    <w:rsid w:val="008514E1"/>
    <w:rsid w:val="0085165A"/>
    <w:rsid w:val="0085192A"/>
    <w:rsid w:val="008520BD"/>
    <w:rsid w:val="00852831"/>
    <w:rsid w:val="00854B16"/>
    <w:rsid w:val="00854F8F"/>
    <w:rsid w:val="00855136"/>
    <w:rsid w:val="00855EDB"/>
    <w:rsid w:val="008572BA"/>
    <w:rsid w:val="00860274"/>
    <w:rsid w:val="008603B8"/>
    <w:rsid w:val="00860582"/>
    <w:rsid w:val="00860F05"/>
    <w:rsid w:val="008613BB"/>
    <w:rsid w:val="0086183D"/>
    <w:rsid w:val="0086187F"/>
    <w:rsid w:val="00861979"/>
    <w:rsid w:val="00861B2C"/>
    <w:rsid w:val="00862D0B"/>
    <w:rsid w:val="0086370C"/>
    <w:rsid w:val="00864972"/>
    <w:rsid w:val="008654EA"/>
    <w:rsid w:val="00865D8F"/>
    <w:rsid w:val="00865E95"/>
    <w:rsid w:val="00866284"/>
    <w:rsid w:val="008662A1"/>
    <w:rsid w:val="00866927"/>
    <w:rsid w:val="00867013"/>
    <w:rsid w:val="008705A8"/>
    <w:rsid w:val="00870EED"/>
    <w:rsid w:val="00871616"/>
    <w:rsid w:val="00872BCA"/>
    <w:rsid w:val="00873452"/>
    <w:rsid w:val="008738EE"/>
    <w:rsid w:val="00873C21"/>
    <w:rsid w:val="00873DB2"/>
    <w:rsid w:val="0087558A"/>
    <w:rsid w:val="00875EA8"/>
    <w:rsid w:val="00876828"/>
    <w:rsid w:val="00876D16"/>
    <w:rsid w:val="0087735A"/>
    <w:rsid w:val="0087795D"/>
    <w:rsid w:val="0088036D"/>
    <w:rsid w:val="00880845"/>
    <w:rsid w:val="00880DCE"/>
    <w:rsid w:val="0088192B"/>
    <w:rsid w:val="008820B2"/>
    <w:rsid w:val="0088250A"/>
    <w:rsid w:val="0088302A"/>
    <w:rsid w:val="0088369F"/>
    <w:rsid w:val="0088393E"/>
    <w:rsid w:val="00884261"/>
    <w:rsid w:val="008842DE"/>
    <w:rsid w:val="008849B9"/>
    <w:rsid w:val="00884A7F"/>
    <w:rsid w:val="00884DA3"/>
    <w:rsid w:val="008855BF"/>
    <w:rsid w:val="00885703"/>
    <w:rsid w:val="00885A9A"/>
    <w:rsid w:val="00885B14"/>
    <w:rsid w:val="00886C01"/>
    <w:rsid w:val="0089051C"/>
    <w:rsid w:val="00891B68"/>
    <w:rsid w:val="00891E15"/>
    <w:rsid w:val="00892258"/>
    <w:rsid w:val="00892C5A"/>
    <w:rsid w:val="00893CCC"/>
    <w:rsid w:val="00893DFC"/>
    <w:rsid w:val="00894A87"/>
    <w:rsid w:val="00896EB8"/>
    <w:rsid w:val="00897584"/>
    <w:rsid w:val="008A008C"/>
    <w:rsid w:val="008A00B0"/>
    <w:rsid w:val="008A023D"/>
    <w:rsid w:val="008A137F"/>
    <w:rsid w:val="008A1E4C"/>
    <w:rsid w:val="008A1E93"/>
    <w:rsid w:val="008A29AF"/>
    <w:rsid w:val="008A386E"/>
    <w:rsid w:val="008A426A"/>
    <w:rsid w:val="008A4588"/>
    <w:rsid w:val="008A46DF"/>
    <w:rsid w:val="008A5B31"/>
    <w:rsid w:val="008A7EE2"/>
    <w:rsid w:val="008B1B22"/>
    <w:rsid w:val="008B24E4"/>
    <w:rsid w:val="008B38CB"/>
    <w:rsid w:val="008B3D99"/>
    <w:rsid w:val="008B5B67"/>
    <w:rsid w:val="008B67EC"/>
    <w:rsid w:val="008B7A08"/>
    <w:rsid w:val="008B7AB7"/>
    <w:rsid w:val="008B7C24"/>
    <w:rsid w:val="008B7DBF"/>
    <w:rsid w:val="008C2B0B"/>
    <w:rsid w:val="008C3A93"/>
    <w:rsid w:val="008C5337"/>
    <w:rsid w:val="008C5D0A"/>
    <w:rsid w:val="008C622C"/>
    <w:rsid w:val="008C7C83"/>
    <w:rsid w:val="008D0D57"/>
    <w:rsid w:val="008D0EB3"/>
    <w:rsid w:val="008D2FA4"/>
    <w:rsid w:val="008D3321"/>
    <w:rsid w:val="008D3BCE"/>
    <w:rsid w:val="008D4591"/>
    <w:rsid w:val="008D4B1E"/>
    <w:rsid w:val="008D512F"/>
    <w:rsid w:val="008D5906"/>
    <w:rsid w:val="008E039F"/>
    <w:rsid w:val="008E04EF"/>
    <w:rsid w:val="008E15BE"/>
    <w:rsid w:val="008E253F"/>
    <w:rsid w:val="008E3098"/>
    <w:rsid w:val="008E3376"/>
    <w:rsid w:val="008E3693"/>
    <w:rsid w:val="008E4072"/>
    <w:rsid w:val="008E58F1"/>
    <w:rsid w:val="008E7277"/>
    <w:rsid w:val="008E7D41"/>
    <w:rsid w:val="008F0885"/>
    <w:rsid w:val="008F141F"/>
    <w:rsid w:val="008F1AD0"/>
    <w:rsid w:val="008F1B5A"/>
    <w:rsid w:val="008F298E"/>
    <w:rsid w:val="008F3011"/>
    <w:rsid w:val="008F3014"/>
    <w:rsid w:val="008F36EB"/>
    <w:rsid w:val="008F4CF4"/>
    <w:rsid w:val="008F52B1"/>
    <w:rsid w:val="008F57A6"/>
    <w:rsid w:val="008F74FD"/>
    <w:rsid w:val="008F7CA5"/>
    <w:rsid w:val="00900EF4"/>
    <w:rsid w:val="00900F08"/>
    <w:rsid w:val="00901BE9"/>
    <w:rsid w:val="00901CA3"/>
    <w:rsid w:val="00901E1C"/>
    <w:rsid w:val="009029BD"/>
    <w:rsid w:val="0090322F"/>
    <w:rsid w:val="00904276"/>
    <w:rsid w:val="00904394"/>
    <w:rsid w:val="00904C30"/>
    <w:rsid w:val="0090619B"/>
    <w:rsid w:val="009064AE"/>
    <w:rsid w:val="00906D12"/>
    <w:rsid w:val="0090728B"/>
    <w:rsid w:val="009109C2"/>
    <w:rsid w:val="00910E0F"/>
    <w:rsid w:val="009117EB"/>
    <w:rsid w:val="00911F4D"/>
    <w:rsid w:val="009121B9"/>
    <w:rsid w:val="00912C9B"/>
    <w:rsid w:val="00912CDF"/>
    <w:rsid w:val="00915624"/>
    <w:rsid w:val="009160BE"/>
    <w:rsid w:val="00916496"/>
    <w:rsid w:val="00916D20"/>
    <w:rsid w:val="00916EB1"/>
    <w:rsid w:val="00916EF9"/>
    <w:rsid w:val="00917B28"/>
    <w:rsid w:val="00917CDC"/>
    <w:rsid w:val="00922594"/>
    <w:rsid w:val="00922FC6"/>
    <w:rsid w:val="009235CA"/>
    <w:rsid w:val="00924680"/>
    <w:rsid w:val="00924E23"/>
    <w:rsid w:val="00927BAA"/>
    <w:rsid w:val="009300B7"/>
    <w:rsid w:val="00930338"/>
    <w:rsid w:val="009314B0"/>
    <w:rsid w:val="00931619"/>
    <w:rsid w:val="009316F4"/>
    <w:rsid w:val="00931BBC"/>
    <w:rsid w:val="009321E8"/>
    <w:rsid w:val="00932680"/>
    <w:rsid w:val="00934212"/>
    <w:rsid w:val="00934965"/>
    <w:rsid w:val="00934B5C"/>
    <w:rsid w:val="00934EB3"/>
    <w:rsid w:val="009354B9"/>
    <w:rsid w:val="00935F88"/>
    <w:rsid w:val="00936A9F"/>
    <w:rsid w:val="00937785"/>
    <w:rsid w:val="00940883"/>
    <w:rsid w:val="00942277"/>
    <w:rsid w:val="00942507"/>
    <w:rsid w:val="0094321C"/>
    <w:rsid w:val="00943ED2"/>
    <w:rsid w:val="00945558"/>
    <w:rsid w:val="00945A1E"/>
    <w:rsid w:val="00947975"/>
    <w:rsid w:val="009503C8"/>
    <w:rsid w:val="009504CF"/>
    <w:rsid w:val="009505AD"/>
    <w:rsid w:val="009507B7"/>
    <w:rsid w:val="0095207E"/>
    <w:rsid w:val="00952CEC"/>
    <w:rsid w:val="00952F54"/>
    <w:rsid w:val="0095462F"/>
    <w:rsid w:val="00954A19"/>
    <w:rsid w:val="00955B23"/>
    <w:rsid w:val="00955D6E"/>
    <w:rsid w:val="00956AB1"/>
    <w:rsid w:val="00956CA3"/>
    <w:rsid w:val="00957C13"/>
    <w:rsid w:val="009600EC"/>
    <w:rsid w:val="00960408"/>
    <w:rsid w:val="0096099E"/>
    <w:rsid w:val="009613CD"/>
    <w:rsid w:val="00962732"/>
    <w:rsid w:val="00962D34"/>
    <w:rsid w:val="00962FD0"/>
    <w:rsid w:val="00963948"/>
    <w:rsid w:val="00963AC3"/>
    <w:rsid w:val="00964D05"/>
    <w:rsid w:val="009653B4"/>
    <w:rsid w:val="00965458"/>
    <w:rsid w:val="009654D2"/>
    <w:rsid w:val="0096732F"/>
    <w:rsid w:val="009710B5"/>
    <w:rsid w:val="00971C54"/>
    <w:rsid w:val="00972271"/>
    <w:rsid w:val="0097287B"/>
    <w:rsid w:val="00972923"/>
    <w:rsid w:val="009736CA"/>
    <w:rsid w:val="00973F24"/>
    <w:rsid w:val="0097434A"/>
    <w:rsid w:val="0097525F"/>
    <w:rsid w:val="009752AC"/>
    <w:rsid w:val="00975678"/>
    <w:rsid w:val="009764FF"/>
    <w:rsid w:val="00976C2D"/>
    <w:rsid w:val="00977A41"/>
    <w:rsid w:val="00977ED9"/>
    <w:rsid w:val="00980078"/>
    <w:rsid w:val="00980231"/>
    <w:rsid w:val="00980D3F"/>
    <w:rsid w:val="00981051"/>
    <w:rsid w:val="0098116B"/>
    <w:rsid w:val="009813BC"/>
    <w:rsid w:val="00981479"/>
    <w:rsid w:val="0098278D"/>
    <w:rsid w:val="00982977"/>
    <w:rsid w:val="0098305C"/>
    <w:rsid w:val="00983803"/>
    <w:rsid w:val="00984298"/>
    <w:rsid w:val="00984FF3"/>
    <w:rsid w:val="00985C08"/>
    <w:rsid w:val="0098645B"/>
    <w:rsid w:val="0098649F"/>
    <w:rsid w:val="00986C79"/>
    <w:rsid w:val="0098749E"/>
    <w:rsid w:val="00987E5D"/>
    <w:rsid w:val="009901BA"/>
    <w:rsid w:val="00990435"/>
    <w:rsid w:val="009908E5"/>
    <w:rsid w:val="00990A09"/>
    <w:rsid w:val="00990D03"/>
    <w:rsid w:val="00990D43"/>
    <w:rsid w:val="009917EB"/>
    <w:rsid w:val="00994CA4"/>
    <w:rsid w:val="00995B25"/>
    <w:rsid w:val="00995D96"/>
    <w:rsid w:val="00996394"/>
    <w:rsid w:val="009969DD"/>
    <w:rsid w:val="00997E45"/>
    <w:rsid w:val="009A04C4"/>
    <w:rsid w:val="009A0967"/>
    <w:rsid w:val="009A0DFC"/>
    <w:rsid w:val="009A2BE0"/>
    <w:rsid w:val="009A2EA0"/>
    <w:rsid w:val="009A2FE0"/>
    <w:rsid w:val="009A3242"/>
    <w:rsid w:val="009A37A9"/>
    <w:rsid w:val="009A508E"/>
    <w:rsid w:val="009A5454"/>
    <w:rsid w:val="009A5468"/>
    <w:rsid w:val="009A73B5"/>
    <w:rsid w:val="009B038B"/>
    <w:rsid w:val="009B07F2"/>
    <w:rsid w:val="009B1530"/>
    <w:rsid w:val="009B19D2"/>
    <w:rsid w:val="009B1B70"/>
    <w:rsid w:val="009B5086"/>
    <w:rsid w:val="009B5EB0"/>
    <w:rsid w:val="009B63E0"/>
    <w:rsid w:val="009B6E12"/>
    <w:rsid w:val="009B7774"/>
    <w:rsid w:val="009C0358"/>
    <w:rsid w:val="009C1C58"/>
    <w:rsid w:val="009C1E10"/>
    <w:rsid w:val="009C2558"/>
    <w:rsid w:val="009C2B88"/>
    <w:rsid w:val="009C31EF"/>
    <w:rsid w:val="009C3B34"/>
    <w:rsid w:val="009C3E55"/>
    <w:rsid w:val="009C3E8F"/>
    <w:rsid w:val="009C4F0C"/>
    <w:rsid w:val="009C613C"/>
    <w:rsid w:val="009C63BA"/>
    <w:rsid w:val="009C6AFE"/>
    <w:rsid w:val="009C7767"/>
    <w:rsid w:val="009C7E9B"/>
    <w:rsid w:val="009D09D7"/>
    <w:rsid w:val="009D1A6B"/>
    <w:rsid w:val="009D3301"/>
    <w:rsid w:val="009D3B27"/>
    <w:rsid w:val="009D3D30"/>
    <w:rsid w:val="009D6276"/>
    <w:rsid w:val="009D7087"/>
    <w:rsid w:val="009D7CB4"/>
    <w:rsid w:val="009E10E8"/>
    <w:rsid w:val="009E1395"/>
    <w:rsid w:val="009E1579"/>
    <w:rsid w:val="009E1EDD"/>
    <w:rsid w:val="009E202D"/>
    <w:rsid w:val="009E2E6D"/>
    <w:rsid w:val="009E403C"/>
    <w:rsid w:val="009E5105"/>
    <w:rsid w:val="009E7527"/>
    <w:rsid w:val="009F0836"/>
    <w:rsid w:val="009F0875"/>
    <w:rsid w:val="009F0CBD"/>
    <w:rsid w:val="009F24B0"/>
    <w:rsid w:val="009F49E9"/>
    <w:rsid w:val="009F4F24"/>
    <w:rsid w:val="009F5DAB"/>
    <w:rsid w:val="009F6E0A"/>
    <w:rsid w:val="00A001C9"/>
    <w:rsid w:val="00A00B8E"/>
    <w:rsid w:val="00A01344"/>
    <w:rsid w:val="00A01DBC"/>
    <w:rsid w:val="00A04B91"/>
    <w:rsid w:val="00A054D1"/>
    <w:rsid w:val="00A061F2"/>
    <w:rsid w:val="00A0639D"/>
    <w:rsid w:val="00A06DB4"/>
    <w:rsid w:val="00A07513"/>
    <w:rsid w:val="00A10112"/>
    <w:rsid w:val="00A1034D"/>
    <w:rsid w:val="00A1053C"/>
    <w:rsid w:val="00A108A6"/>
    <w:rsid w:val="00A1192D"/>
    <w:rsid w:val="00A11AE0"/>
    <w:rsid w:val="00A11FE4"/>
    <w:rsid w:val="00A1238A"/>
    <w:rsid w:val="00A12C40"/>
    <w:rsid w:val="00A12E5B"/>
    <w:rsid w:val="00A13A06"/>
    <w:rsid w:val="00A13C5A"/>
    <w:rsid w:val="00A13F4D"/>
    <w:rsid w:val="00A15350"/>
    <w:rsid w:val="00A15AC0"/>
    <w:rsid w:val="00A16225"/>
    <w:rsid w:val="00A176AD"/>
    <w:rsid w:val="00A20330"/>
    <w:rsid w:val="00A21250"/>
    <w:rsid w:val="00A21C4F"/>
    <w:rsid w:val="00A23B61"/>
    <w:rsid w:val="00A23C71"/>
    <w:rsid w:val="00A23E68"/>
    <w:rsid w:val="00A23ED9"/>
    <w:rsid w:val="00A24023"/>
    <w:rsid w:val="00A25124"/>
    <w:rsid w:val="00A25DD2"/>
    <w:rsid w:val="00A26230"/>
    <w:rsid w:val="00A26637"/>
    <w:rsid w:val="00A27357"/>
    <w:rsid w:val="00A30C53"/>
    <w:rsid w:val="00A3156C"/>
    <w:rsid w:val="00A31BE2"/>
    <w:rsid w:val="00A33CBA"/>
    <w:rsid w:val="00A35A26"/>
    <w:rsid w:val="00A36B35"/>
    <w:rsid w:val="00A3701F"/>
    <w:rsid w:val="00A372EC"/>
    <w:rsid w:val="00A37C18"/>
    <w:rsid w:val="00A40884"/>
    <w:rsid w:val="00A40D85"/>
    <w:rsid w:val="00A41036"/>
    <w:rsid w:val="00A41B8D"/>
    <w:rsid w:val="00A41D8E"/>
    <w:rsid w:val="00A41DC5"/>
    <w:rsid w:val="00A4209E"/>
    <w:rsid w:val="00A43001"/>
    <w:rsid w:val="00A43548"/>
    <w:rsid w:val="00A4381B"/>
    <w:rsid w:val="00A43A01"/>
    <w:rsid w:val="00A43B53"/>
    <w:rsid w:val="00A43FA3"/>
    <w:rsid w:val="00A446DD"/>
    <w:rsid w:val="00A46D67"/>
    <w:rsid w:val="00A4705B"/>
    <w:rsid w:val="00A475E2"/>
    <w:rsid w:val="00A47715"/>
    <w:rsid w:val="00A50640"/>
    <w:rsid w:val="00A50991"/>
    <w:rsid w:val="00A514BD"/>
    <w:rsid w:val="00A51501"/>
    <w:rsid w:val="00A519D1"/>
    <w:rsid w:val="00A52297"/>
    <w:rsid w:val="00A5282F"/>
    <w:rsid w:val="00A52D35"/>
    <w:rsid w:val="00A55497"/>
    <w:rsid w:val="00A56077"/>
    <w:rsid w:val="00A56483"/>
    <w:rsid w:val="00A56DB2"/>
    <w:rsid w:val="00A57804"/>
    <w:rsid w:val="00A60E20"/>
    <w:rsid w:val="00A60F79"/>
    <w:rsid w:val="00A611F5"/>
    <w:rsid w:val="00A62295"/>
    <w:rsid w:val="00A62B13"/>
    <w:rsid w:val="00A63057"/>
    <w:rsid w:val="00A63504"/>
    <w:rsid w:val="00A63620"/>
    <w:rsid w:val="00A6382B"/>
    <w:rsid w:val="00A6387D"/>
    <w:rsid w:val="00A63B75"/>
    <w:rsid w:val="00A64332"/>
    <w:rsid w:val="00A64816"/>
    <w:rsid w:val="00A64905"/>
    <w:rsid w:val="00A656C2"/>
    <w:rsid w:val="00A659E9"/>
    <w:rsid w:val="00A65A2C"/>
    <w:rsid w:val="00A70AC4"/>
    <w:rsid w:val="00A70C87"/>
    <w:rsid w:val="00A71761"/>
    <w:rsid w:val="00A71E7C"/>
    <w:rsid w:val="00A7249A"/>
    <w:rsid w:val="00A7379E"/>
    <w:rsid w:val="00A73B4B"/>
    <w:rsid w:val="00A73C06"/>
    <w:rsid w:val="00A73D6C"/>
    <w:rsid w:val="00A73FBD"/>
    <w:rsid w:val="00A74124"/>
    <w:rsid w:val="00A74340"/>
    <w:rsid w:val="00A752A8"/>
    <w:rsid w:val="00A75964"/>
    <w:rsid w:val="00A75F81"/>
    <w:rsid w:val="00A7732A"/>
    <w:rsid w:val="00A77688"/>
    <w:rsid w:val="00A77967"/>
    <w:rsid w:val="00A81CAD"/>
    <w:rsid w:val="00A82897"/>
    <w:rsid w:val="00A8362D"/>
    <w:rsid w:val="00A83844"/>
    <w:rsid w:val="00A8460E"/>
    <w:rsid w:val="00A8546E"/>
    <w:rsid w:val="00A85C5C"/>
    <w:rsid w:val="00A86040"/>
    <w:rsid w:val="00A86511"/>
    <w:rsid w:val="00A90B5C"/>
    <w:rsid w:val="00A91460"/>
    <w:rsid w:val="00A918D6"/>
    <w:rsid w:val="00A921DC"/>
    <w:rsid w:val="00A93CEF"/>
    <w:rsid w:val="00A94C73"/>
    <w:rsid w:val="00A94DFF"/>
    <w:rsid w:val="00A96478"/>
    <w:rsid w:val="00A964BE"/>
    <w:rsid w:val="00A9688E"/>
    <w:rsid w:val="00A96B21"/>
    <w:rsid w:val="00A973B1"/>
    <w:rsid w:val="00A974DE"/>
    <w:rsid w:val="00A97E40"/>
    <w:rsid w:val="00AA0138"/>
    <w:rsid w:val="00AA015E"/>
    <w:rsid w:val="00AA13CF"/>
    <w:rsid w:val="00AA17B5"/>
    <w:rsid w:val="00AA22BD"/>
    <w:rsid w:val="00AA23F3"/>
    <w:rsid w:val="00AA3749"/>
    <w:rsid w:val="00AA3C91"/>
    <w:rsid w:val="00AA450F"/>
    <w:rsid w:val="00AA682E"/>
    <w:rsid w:val="00AA7180"/>
    <w:rsid w:val="00AA771C"/>
    <w:rsid w:val="00AA7EC0"/>
    <w:rsid w:val="00AA7EF5"/>
    <w:rsid w:val="00AB006E"/>
    <w:rsid w:val="00AB0529"/>
    <w:rsid w:val="00AB059B"/>
    <w:rsid w:val="00AB0D94"/>
    <w:rsid w:val="00AB1742"/>
    <w:rsid w:val="00AB2EC9"/>
    <w:rsid w:val="00AB4261"/>
    <w:rsid w:val="00AB4661"/>
    <w:rsid w:val="00AB47DF"/>
    <w:rsid w:val="00AB51A2"/>
    <w:rsid w:val="00AB59B6"/>
    <w:rsid w:val="00AB6384"/>
    <w:rsid w:val="00AB672F"/>
    <w:rsid w:val="00AB68A1"/>
    <w:rsid w:val="00AB6BA7"/>
    <w:rsid w:val="00AB73B1"/>
    <w:rsid w:val="00AB764F"/>
    <w:rsid w:val="00AB7D43"/>
    <w:rsid w:val="00AB7DA1"/>
    <w:rsid w:val="00AC3665"/>
    <w:rsid w:val="00AC367F"/>
    <w:rsid w:val="00AC3BD7"/>
    <w:rsid w:val="00AC4406"/>
    <w:rsid w:val="00AC56C7"/>
    <w:rsid w:val="00AC57F5"/>
    <w:rsid w:val="00AC5DF7"/>
    <w:rsid w:val="00AC6C42"/>
    <w:rsid w:val="00AC7D92"/>
    <w:rsid w:val="00AD049F"/>
    <w:rsid w:val="00AD0807"/>
    <w:rsid w:val="00AD0A24"/>
    <w:rsid w:val="00AD1429"/>
    <w:rsid w:val="00AD143B"/>
    <w:rsid w:val="00AD14D2"/>
    <w:rsid w:val="00AD1DA9"/>
    <w:rsid w:val="00AD25E6"/>
    <w:rsid w:val="00AD2A03"/>
    <w:rsid w:val="00AD2C0B"/>
    <w:rsid w:val="00AD2C57"/>
    <w:rsid w:val="00AD2FA8"/>
    <w:rsid w:val="00AD4389"/>
    <w:rsid w:val="00AD45D4"/>
    <w:rsid w:val="00AD4DBE"/>
    <w:rsid w:val="00AD4DD7"/>
    <w:rsid w:val="00AD4E64"/>
    <w:rsid w:val="00AD559C"/>
    <w:rsid w:val="00AD59B3"/>
    <w:rsid w:val="00AD628F"/>
    <w:rsid w:val="00AD6548"/>
    <w:rsid w:val="00AD6B5E"/>
    <w:rsid w:val="00AD786F"/>
    <w:rsid w:val="00AE0190"/>
    <w:rsid w:val="00AE0360"/>
    <w:rsid w:val="00AE1779"/>
    <w:rsid w:val="00AE282C"/>
    <w:rsid w:val="00AE2A42"/>
    <w:rsid w:val="00AE38B1"/>
    <w:rsid w:val="00AE3E93"/>
    <w:rsid w:val="00AE4179"/>
    <w:rsid w:val="00AE4AB6"/>
    <w:rsid w:val="00AE4DED"/>
    <w:rsid w:val="00AE5098"/>
    <w:rsid w:val="00AE50E4"/>
    <w:rsid w:val="00AE5465"/>
    <w:rsid w:val="00AE629B"/>
    <w:rsid w:val="00AE712B"/>
    <w:rsid w:val="00AE740C"/>
    <w:rsid w:val="00AE7FF2"/>
    <w:rsid w:val="00AF06C6"/>
    <w:rsid w:val="00AF0D74"/>
    <w:rsid w:val="00AF2839"/>
    <w:rsid w:val="00AF2A91"/>
    <w:rsid w:val="00AF4964"/>
    <w:rsid w:val="00AF577D"/>
    <w:rsid w:val="00AF5ABE"/>
    <w:rsid w:val="00AF5AEA"/>
    <w:rsid w:val="00AF67CB"/>
    <w:rsid w:val="00AF741D"/>
    <w:rsid w:val="00B002D2"/>
    <w:rsid w:val="00B015EB"/>
    <w:rsid w:val="00B032C2"/>
    <w:rsid w:val="00B04B91"/>
    <w:rsid w:val="00B0651D"/>
    <w:rsid w:val="00B06FE8"/>
    <w:rsid w:val="00B076C1"/>
    <w:rsid w:val="00B1007B"/>
    <w:rsid w:val="00B10781"/>
    <w:rsid w:val="00B10B2E"/>
    <w:rsid w:val="00B112CC"/>
    <w:rsid w:val="00B11529"/>
    <w:rsid w:val="00B117FC"/>
    <w:rsid w:val="00B118F4"/>
    <w:rsid w:val="00B12D51"/>
    <w:rsid w:val="00B13098"/>
    <w:rsid w:val="00B133ED"/>
    <w:rsid w:val="00B13420"/>
    <w:rsid w:val="00B14456"/>
    <w:rsid w:val="00B156FD"/>
    <w:rsid w:val="00B1795B"/>
    <w:rsid w:val="00B17AF8"/>
    <w:rsid w:val="00B20CC4"/>
    <w:rsid w:val="00B211E3"/>
    <w:rsid w:val="00B21D8F"/>
    <w:rsid w:val="00B22C7B"/>
    <w:rsid w:val="00B22E79"/>
    <w:rsid w:val="00B22FDD"/>
    <w:rsid w:val="00B23D1D"/>
    <w:rsid w:val="00B23D93"/>
    <w:rsid w:val="00B23DF6"/>
    <w:rsid w:val="00B241DA"/>
    <w:rsid w:val="00B242F2"/>
    <w:rsid w:val="00B244C2"/>
    <w:rsid w:val="00B24679"/>
    <w:rsid w:val="00B250EE"/>
    <w:rsid w:val="00B26704"/>
    <w:rsid w:val="00B26B7C"/>
    <w:rsid w:val="00B2745C"/>
    <w:rsid w:val="00B3099F"/>
    <w:rsid w:val="00B30C99"/>
    <w:rsid w:val="00B314B3"/>
    <w:rsid w:val="00B319E8"/>
    <w:rsid w:val="00B32227"/>
    <w:rsid w:val="00B3245D"/>
    <w:rsid w:val="00B324EF"/>
    <w:rsid w:val="00B33AAD"/>
    <w:rsid w:val="00B33B2D"/>
    <w:rsid w:val="00B34004"/>
    <w:rsid w:val="00B34390"/>
    <w:rsid w:val="00B348DE"/>
    <w:rsid w:val="00B360CE"/>
    <w:rsid w:val="00B36FEF"/>
    <w:rsid w:val="00B379D4"/>
    <w:rsid w:val="00B4081D"/>
    <w:rsid w:val="00B409BB"/>
    <w:rsid w:val="00B40FD6"/>
    <w:rsid w:val="00B412F9"/>
    <w:rsid w:val="00B421A9"/>
    <w:rsid w:val="00B42A51"/>
    <w:rsid w:val="00B44B2D"/>
    <w:rsid w:val="00B455CB"/>
    <w:rsid w:val="00B461F5"/>
    <w:rsid w:val="00B463B9"/>
    <w:rsid w:val="00B465BD"/>
    <w:rsid w:val="00B46973"/>
    <w:rsid w:val="00B476F7"/>
    <w:rsid w:val="00B47811"/>
    <w:rsid w:val="00B47E72"/>
    <w:rsid w:val="00B53F47"/>
    <w:rsid w:val="00B54E80"/>
    <w:rsid w:val="00B55839"/>
    <w:rsid w:val="00B55959"/>
    <w:rsid w:val="00B55DD8"/>
    <w:rsid w:val="00B574EF"/>
    <w:rsid w:val="00B57F4D"/>
    <w:rsid w:val="00B6097A"/>
    <w:rsid w:val="00B60A27"/>
    <w:rsid w:val="00B60C68"/>
    <w:rsid w:val="00B615F1"/>
    <w:rsid w:val="00B63323"/>
    <w:rsid w:val="00B6343A"/>
    <w:rsid w:val="00B63C59"/>
    <w:rsid w:val="00B6430D"/>
    <w:rsid w:val="00B669DA"/>
    <w:rsid w:val="00B66A1D"/>
    <w:rsid w:val="00B66EDE"/>
    <w:rsid w:val="00B671F0"/>
    <w:rsid w:val="00B67474"/>
    <w:rsid w:val="00B674D6"/>
    <w:rsid w:val="00B6784B"/>
    <w:rsid w:val="00B67E41"/>
    <w:rsid w:val="00B67E6B"/>
    <w:rsid w:val="00B70555"/>
    <w:rsid w:val="00B708CC"/>
    <w:rsid w:val="00B70B13"/>
    <w:rsid w:val="00B70DBD"/>
    <w:rsid w:val="00B712CD"/>
    <w:rsid w:val="00B74DD1"/>
    <w:rsid w:val="00B74DE3"/>
    <w:rsid w:val="00B75072"/>
    <w:rsid w:val="00B75999"/>
    <w:rsid w:val="00B76E2C"/>
    <w:rsid w:val="00B77151"/>
    <w:rsid w:val="00B77A13"/>
    <w:rsid w:val="00B77ABA"/>
    <w:rsid w:val="00B77F0D"/>
    <w:rsid w:val="00B80A5E"/>
    <w:rsid w:val="00B818BC"/>
    <w:rsid w:val="00B82820"/>
    <w:rsid w:val="00B82952"/>
    <w:rsid w:val="00B82C5B"/>
    <w:rsid w:val="00B8365D"/>
    <w:rsid w:val="00B83FC2"/>
    <w:rsid w:val="00B84787"/>
    <w:rsid w:val="00B848A6"/>
    <w:rsid w:val="00B84A14"/>
    <w:rsid w:val="00B8532F"/>
    <w:rsid w:val="00B8650C"/>
    <w:rsid w:val="00B87124"/>
    <w:rsid w:val="00B8734A"/>
    <w:rsid w:val="00B87AB4"/>
    <w:rsid w:val="00B87FF3"/>
    <w:rsid w:val="00B909D6"/>
    <w:rsid w:val="00B90B3F"/>
    <w:rsid w:val="00B910EB"/>
    <w:rsid w:val="00B91147"/>
    <w:rsid w:val="00B931A8"/>
    <w:rsid w:val="00B93F78"/>
    <w:rsid w:val="00B94539"/>
    <w:rsid w:val="00B949D8"/>
    <w:rsid w:val="00B94B92"/>
    <w:rsid w:val="00B94C96"/>
    <w:rsid w:val="00B94D6D"/>
    <w:rsid w:val="00B97625"/>
    <w:rsid w:val="00B97FAB"/>
    <w:rsid w:val="00BA0AF8"/>
    <w:rsid w:val="00BA1E14"/>
    <w:rsid w:val="00BA305D"/>
    <w:rsid w:val="00BA35C1"/>
    <w:rsid w:val="00BA35D1"/>
    <w:rsid w:val="00BA45C4"/>
    <w:rsid w:val="00BA4C3C"/>
    <w:rsid w:val="00BA4EC2"/>
    <w:rsid w:val="00BA584D"/>
    <w:rsid w:val="00BA586A"/>
    <w:rsid w:val="00BA58EA"/>
    <w:rsid w:val="00BA794D"/>
    <w:rsid w:val="00BA7B7C"/>
    <w:rsid w:val="00BA7D24"/>
    <w:rsid w:val="00BB0789"/>
    <w:rsid w:val="00BB0EE7"/>
    <w:rsid w:val="00BB16B9"/>
    <w:rsid w:val="00BB2424"/>
    <w:rsid w:val="00BB29B6"/>
    <w:rsid w:val="00BB2A2A"/>
    <w:rsid w:val="00BB3E60"/>
    <w:rsid w:val="00BB425D"/>
    <w:rsid w:val="00BB4908"/>
    <w:rsid w:val="00BB6012"/>
    <w:rsid w:val="00BB6A4F"/>
    <w:rsid w:val="00BB74B8"/>
    <w:rsid w:val="00BB7B24"/>
    <w:rsid w:val="00BC050D"/>
    <w:rsid w:val="00BC173D"/>
    <w:rsid w:val="00BC1C3A"/>
    <w:rsid w:val="00BC1F27"/>
    <w:rsid w:val="00BC2976"/>
    <w:rsid w:val="00BC2C5B"/>
    <w:rsid w:val="00BC344F"/>
    <w:rsid w:val="00BC46A8"/>
    <w:rsid w:val="00BC4C5E"/>
    <w:rsid w:val="00BC4CF0"/>
    <w:rsid w:val="00BC4D0C"/>
    <w:rsid w:val="00BC5C66"/>
    <w:rsid w:val="00BC6526"/>
    <w:rsid w:val="00BC6D71"/>
    <w:rsid w:val="00BC7B03"/>
    <w:rsid w:val="00BC7EFC"/>
    <w:rsid w:val="00BC7F2D"/>
    <w:rsid w:val="00BC7F4A"/>
    <w:rsid w:val="00BD0232"/>
    <w:rsid w:val="00BD04DC"/>
    <w:rsid w:val="00BD054A"/>
    <w:rsid w:val="00BD0724"/>
    <w:rsid w:val="00BD0B1F"/>
    <w:rsid w:val="00BD1773"/>
    <w:rsid w:val="00BD17F9"/>
    <w:rsid w:val="00BD2497"/>
    <w:rsid w:val="00BD26B3"/>
    <w:rsid w:val="00BD28AE"/>
    <w:rsid w:val="00BD349D"/>
    <w:rsid w:val="00BD3732"/>
    <w:rsid w:val="00BD4655"/>
    <w:rsid w:val="00BD4AA6"/>
    <w:rsid w:val="00BD510C"/>
    <w:rsid w:val="00BD55BD"/>
    <w:rsid w:val="00BD5B07"/>
    <w:rsid w:val="00BD6ECD"/>
    <w:rsid w:val="00BD6F35"/>
    <w:rsid w:val="00BD7013"/>
    <w:rsid w:val="00BD79C3"/>
    <w:rsid w:val="00BD7E6F"/>
    <w:rsid w:val="00BE0762"/>
    <w:rsid w:val="00BE1411"/>
    <w:rsid w:val="00BE15F8"/>
    <w:rsid w:val="00BE4154"/>
    <w:rsid w:val="00BE4A93"/>
    <w:rsid w:val="00BE5250"/>
    <w:rsid w:val="00BE534F"/>
    <w:rsid w:val="00BE5C82"/>
    <w:rsid w:val="00BE6A59"/>
    <w:rsid w:val="00BE6A6C"/>
    <w:rsid w:val="00BE6AAF"/>
    <w:rsid w:val="00BE745E"/>
    <w:rsid w:val="00BE7886"/>
    <w:rsid w:val="00BE7A4A"/>
    <w:rsid w:val="00BF00A4"/>
    <w:rsid w:val="00BF0266"/>
    <w:rsid w:val="00BF1DDA"/>
    <w:rsid w:val="00BF2FC1"/>
    <w:rsid w:val="00BF35BC"/>
    <w:rsid w:val="00BF395B"/>
    <w:rsid w:val="00BF3D30"/>
    <w:rsid w:val="00BF4A31"/>
    <w:rsid w:val="00BF595B"/>
    <w:rsid w:val="00BF5AA5"/>
    <w:rsid w:val="00BF6863"/>
    <w:rsid w:val="00C00AC9"/>
    <w:rsid w:val="00C00C08"/>
    <w:rsid w:val="00C00E8E"/>
    <w:rsid w:val="00C0205C"/>
    <w:rsid w:val="00C0219A"/>
    <w:rsid w:val="00C04AD3"/>
    <w:rsid w:val="00C04E72"/>
    <w:rsid w:val="00C04FF1"/>
    <w:rsid w:val="00C05261"/>
    <w:rsid w:val="00C0543B"/>
    <w:rsid w:val="00C054E5"/>
    <w:rsid w:val="00C056EA"/>
    <w:rsid w:val="00C057B6"/>
    <w:rsid w:val="00C05B6C"/>
    <w:rsid w:val="00C063E3"/>
    <w:rsid w:val="00C06B1F"/>
    <w:rsid w:val="00C11062"/>
    <w:rsid w:val="00C11DD2"/>
    <w:rsid w:val="00C1223E"/>
    <w:rsid w:val="00C1230B"/>
    <w:rsid w:val="00C133AD"/>
    <w:rsid w:val="00C13FF2"/>
    <w:rsid w:val="00C146F0"/>
    <w:rsid w:val="00C151AB"/>
    <w:rsid w:val="00C152FC"/>
    <w:rsid w:val="00C153B1"/>
    <w:rsid w:val="00C16A90"/>
    <w:rsid w:val="00C20E50"/>
    <w:rsid w:val="00C21986"/>
    <w:rsid w:val="00C22847"/>
    <w:rsid w:val="00C22F79"/>
    <w:rsid w:val="00C23B21"/>
    <w:rsid w:val="00C23BD0"/>
    <w:rsid w:val="00C241F2"/>
    <w:rsid w:val="00C242C9"/>
    <w:rsid w:val="00C25E5D"/>
    <w:rsid w:val="00C260BE"/>
    <w:rsid w:val="00C26F22"/>
    <w:rsid w:val="00C2764F"/>
    <w:rsid w:val="00C306D3"/>
    <w:rsid w:val="00C30B4F"/>
    <w:rsid w:val="00C315B4"/>
    <w:rsid w:val="00C31AF9"/>
    <w:rsid w:val="00C31F27"/>
    <w:rsid w:val="00C31F63"/>
    <w:rsid w:val="00C337AA"/>
    <w:rsid w:val="00C33A53"/>
    <w:rsid w:val="00C342AC"/>
    <w:rsid w:val="00C348B9"/>
    <w:rsid w:val="00C35E87"/>
    <w:rsid w:val="00C36342"/>
    <w:rsid w:val="00C36DB7"/>
    <w:rsid w:val="00C36F46"/>
    <w:rsid w:val="00C36FEB"/>
    <w:rsid w:val="00C37A44"/>
    <w:rsid w:val="00C40610"/>
    <w:rsid w:val="00C40901"/>
    <w:rsid w:val="00C40F1F"/>
    <w:rsid w:val="00C42954"/>
    <w:rsid w:val="00C42BCB"/>
    <w:rsid w:val="00C4346D"/>
    <w:rsid w:val="00C43935"/>
    <w:rsid w:val="00C439F7"/>
    <w:rsid w:val="00C44054"/>
    <w:rsid w:val="00C44174"/>
    <w:rsid w:val="00C4504F"/>
    <w:rsid w:val="00C452BC"/>
    <w:rsid w:val="00C45A64"/>
    <w:rsid w:val="00C4682B"/>
    <w:rsid w:val="00C4748C"/>
    <w:rsid w:val="00C47EE1"/>
    <w:rsid w:val="00C47F2D"/>
    <w:rsid w:val="00C505F1"/>
    <w:rsid w:val="00C50AC8"/>
    <w:rsid w:val="00C50CFD"/>
    <w:rsid w:val="00C51021"/>
    <w:rsid w:val="00C525A7"/>
    <w:rsid w:val="00C528ED"/>
    <w:rsid w:val="00C52F23"/>
    <w:rsid w:val="00C53DCD"/>
    <w:rsid w:val="00C54A1C"/>
    <w:rsid w:val="00C5783E"/>
    <w:rsid w:val="00C578B5"/>
    <w:rsid w:val="00C61F55"/>
    <w:rsid w:val="00C6241D"/>
    <w:rsid w:val="00C625A2"/>
    <w:rsid w:val="00C6334A"/>
    <w:rsid w:val="00C6341E"/>
    <w:rsid w:val="00C63700"/>
    <w:rsid w:val="00C6426C"/>
    <w:rsid w:val="00C65076"/>
    <w:rsid w:val="00C67334"/>
    <w:rsid w:val="00C676A3"/>
    <w:rsid w:val="00C6775E"/>
    <w:rsid w:val="00C70745"/>
    <w:rsid w:val="00C7081F"/>
    <w:rsid w:val="00C71FA1"/>
    <w:rsid w:val="00C7205C"/>
    <w:rsid w:val="00C72E72"/>
    <w:rsid w:val="00C74053"/>
    <w:rsid w:val="00C7550C"/>
    <w:rsid w:val="00C77364"/>
    <w:rsid w:val="00C773EC"/>
    <w:rsid w:val="00C7777E"/>
    <w:rsid w:val="00C77807"/>
    <w:rsid w:val="00C8022A"/>
    <w:rsid w:val="00C8050A"/>
    <w:rsid w:val="00C80512"/>
    <w:rsid w:val="00C80BC5"/>
    <w:rsid w:val="00C80C8E"/>
    <w:rsid w:val="00C80D06"/>
    <w:rsid w:val="00C8115E"/>
    <w:rsid w:val="00C81201"/>
    <w:rsid w:val="00C8225B"/>
    <w:rsid w:val="00C82A80"/>
    <w:rsid w:val="00C83148"/>
    <w:rsid w:val="00C831D3"/>
    <w:rsid w:val="00C84051"/>
    <w:rsid w:val="00C8447F"/>
    <w:rsid w:val="00C8546B"/>
    <w:rsid w:val="00C86B29"/>
    <w:rsid w:val="00C86D83"/>
    <w:rsid w:val="00C86E28"/>
    <w:rsid w:val="00C86EFF"/>
    <w:rsid w:val="00C87C53"/>
    <w:rsid w:val="00C87EDB"/>
    <w:rsid w:val="00C9019F"/>
    <w:rsid w:val="00C905B4"/>
    <w:rsid w:val="00C91161"/>
    <w:rsid w:val="00C914A1"/>
    <w:rsid w:val="00C91805"/>
    <w:rsid w:val="00C91C1E"/>
    <w:rsid w:val="00C9389F"/>
    <w:rsid w:val="00C946FC"/>
    <w:rsid w:val="00C94F8A"/>
    <w:rsid w:val="00C95AED"/>
    <w:rsid w:val="00C960DE"/>
    <w:rsid w:val="00C97758"/>
    <w:rsid w:val="00CA2875"/>
    <w:rsid w:val="00CA3014"/>
    <w:rsid w:val="00CA3736"/>
    <w:rsid w:val="00CA3A6C"/>
    <w:rsid w:val="00CA45F4"/>
    <w:rsid w:val="00CA4DFD"/>
    <w:rsid w:val="00CA7B26"/>
    <w:rsid w:val="00CB0FEC"/>
    <w:rsid w:val="00CB18BE"/>
    <w:rsid w:val="00CB219D"/>
    <w:rsid w:val="00CB24C3"/>
    <w:rsid w:val="00CB26D2"/>
    <w:rsid w:val="00CB27CD"/>
    <w:rsid w:val="00CB2E87"/>
    <w:rsid w:val="00CB3340"/>
    <w:rsid w:val="00CB3E81"/>
    <w:rsid w:val="00CB4573"/>
    <w:rsid w:val="00CB489A"/>
    <w:rsid w:val="00CB4D3E"/>
    <w:rsid w:val="00CB63E6"/>
    <w:rsid w:val="00CB7AE9"/>
    <w:rsid w:val="00CC0098"/>
    <w:rsid w:val="00CC009C"/>
    <w:rsid w:val="00CC0706"/>
    <w:rsid w:val="00CC16B5"/>
    <w:rsid w:val="00CC2173"/>
    <w:rsid w:val="00CC2523"/>
    <w:rsid w:val="00CC297B"/>
    <w:rsid w:val="00CC33E6"/>
    <w:rsid w:val="00CC33F4"/>
    <w:rsid w:val="00CC3F49"/>
    <w:rsid w:val="00CC4413"/>
    <w:rsid w:val="00CC598B"/>
    <w:rsid w:val="00CC5B17"/>
    <w:rsid w:val="00CC6020"/>
    <w:rsid w:val="00CC6AE5"/>
    <w:rsid w:val="00CC7C1D"/>
    <w:rsid w:val="00CD0762"/>
    <w:rsid w:val="00CD0A44"/>
    <w:rsid w:val="00CD0C7C"/>
    <w:rsid w:val="00CD1B83"/>
    <w:rsid w:val="00CD2F90"/>
    <w:rsid w:val="00CD3563"/>
    <w:rsid w:val="00CD3BCB"/>
    <w:rsid w:val="00CD3E39"/>
    <w:rsid w:val="00CD410D"/>
    <w:rsid w:val="00CD4B9B"/>
    <w:rsid w:val="00CD5DAD"/>
    <w:rsid w:val="00CD6077"/>
    <w:rsid w:val="00CD63FB"/>
    <w:rsid w:val="00CD6D35"/>
    <w:rsid w:val="00CD6D81"/>
    <w:rsid w:val="00CD71B4"/>
    <w:rsid w:val="00CD76A2"/>
    <w:rsid w:val="00CD7ADC"/>
    <w:rsid w:val="00CE14D2"/>
    <w:rsid w:val="00CE1565"/>
    <w:rsid w:val="00CE1E4C"/>
    <w:rsid w:val="00CE1E60"/>
    <w:rsid w:val="00CE20CF"/>
    <w:rsid w:val="00CE2661"/>
    <w:rsid w:val="00CE4C61"/>
    <w:rsid w:val="00CE58C4"/>
    <w:rsid w:val="00CE6723"/>
    <w:rsid w:val="00CE68E8"/>
    <w:rsid w:val="00CE725F"/>
    <w:rsid w:val="00CE798A"/>
    <w:rsid w:val="00CF017C"/>
    <w:rsid w:val="00CF3DEA"/>
    <w:rsid w:val="00CF4A7A"/>
    <w:rsid w:val="00CF4EB4"/>
    <w:rsid w:val="00CF54ED"/>
    <w:rsid w:val="00CF6870"/>
    <w:rsid w:val="00CF7041"/>
    <w:rsid w:val="00CF77A2"/>
    <w:rsid w:val="00CF79E4"/>
    <w:rsid w:val="00CF7C94"/>
    <w:rsid w:val="00CF7FF4"/>
    <w:rsid w:val="00D0005E"/>
    <w:rsid w:val="00D00104"/>
    <w:rsid w:val="00D01103"/>
    <w:rsid w:val="00D01647"/>
    <w:rsid w:val="00D0202E"/>
    <w:rsid w:val="00D02517"/>
    <w:rsid w:val="00D033F6"/>
    <w:rsid w:val="00D03B9B"/>
    <w:rsid w:val="00D03E93"/>
    <w:rsid w:val="00D0514B"/>
    <w:rsid w:val="00D05C2C"/>
    <w:rsid w:val="00D05E7B"/>
    <w:rsid w:val="00D06302"/>
    <w:rsid w:val="00D0640D"/>
    <w:rsid w:val="00D06D61"/>
    <w:rsid w:val="00D06DD2"/>
    <w:rsid w:val="00D06EC8"/>
    <w:rsid w:val="00D06FFD"/>
    <w:rsid w:val="00D079DF"/>
    <w:rsid w:val="00D07C2C"/>
    <w:rsid w:val="00D10297"/>
    <w:rsid w:val="00D10A3E"/>
    <w:rsid w:val="00D116DB"/>
    <w:rsid w:val="00D11C94"/>
    <w:rsid w:val="00D130DE"/>
    <w:rsid w:val="00D1349C"/>
    <w:rsid w:val="00D13653"/>
    <w:rsid w:val="00D1458C"/>
    <w:rsid w:val="00D1460F"/>
    <w:rsid w:val="00D1536C"/>
    <w:rsid w:val="00D15E76"/>
    <w:rsid w:val="00D16765"/>
    <w:rsid w:val="00D1739E"/>
    <w:rsid w:val="00D20741"/>
    <w:rsid w:val="00D20BAB"/>
    <w:rsid w:val="00D20C71"/>
    <w:rsid w:val="00D21CA2"/>
    <w:rsid w:val="00D22522"/>
    <w:rsid w:val="00D22665"/>
    <w:rsid w:val="00D23D4C"/>
    <w:rsid w:val="00D26256"/>
    <w:rsid w:val="00D26C1D"/>
    <w:rsid w:val="00D2711C"/>
    <w:rsid w:val="00D27231"/>
    <w:rsid w:val="00D2796C"/>
    <w:rsid w:val="00D30695"/>
    <w:rsid w:val="00D30E2B"/>
    <w:rsid w:val="00D312B5"/>
    <w:rsid w:val="00D312FE"/>
    <w:rsid w:val="00D31790"/>
    <w:rsid w:val="00D327F4"/>
    <w:rsid w:val="00D32842"/>
    <w:rsid w:val="00D33492"/>
    <w:rsid w:val="00D342DA"/>
    <w:rsid w:val="00D347FE"/>
    <w:rsid w:val="00D36FBA"/>
    <w:rsid w:val="00D3702F"/>
    <w:rsid w:val="00D37614"/>
    <w:rsid w:val="00D40804"/>
    <w:rsid w:val="00D41070"/>
    <w:rsid w:val="00D410E7"/>
    <w:rsid w:val="00D4131F"/>
    <w:rsid w:val="00D41887"/>
    <w:rsid w:val="00D41B77"/>
    <w:rsid w:val="00D42015"/>
    <w:rsid w:val="00D4256E"/>
    <w:rsid w:val="00D4278A"/>
    <w:rsid w:val="00D43997"/>
    <w:rsid w:val="00D43E5E"/>
    <w:rsid w:val="00D448F5"/>
    <w:rsid w:val="00D45B08"/>
    <w:rsid w:val="00D46937"/>
    <w:rsid w:val="00D46AD4"/>
    <w:rsid w:val="00D46F5C"/>
    <w:rsid w:val="00D47ABA"/>
    <w:rsid w:val="00D50C3B"/>
    <w:rsid w:val="00D54785"/>
    <w:rsid w:val="00D559F5"/>
    <w:rsid w:val="00D56936"/>
    <w:rsid w:val="00D56E53"/>
    <w:rsid w:val="00D57D73"/>
    <w:rsid w:val="00D6129C"/>
    <w:rsid w:val="00D6182E"/>
    <w:rsid w:val="00D61F3B"/>
    <w:rsid w:val="00D62139"/>
    <w:rsid w:val="00D62312"/>
    <w:rsid w:val="00D62A71"/>
    <w:rsid w:val="00D63A10"/>
    <w:rsid w:val="00D63AD1"/>
    <w:rsid w:val="00D65F5B"/>
    <w:rsid w:val="00D66370"/>
    <w:rsid w:val="00D66999"/>
    <w:rsid w:val="00D674A2"/>
    <w:rsid w:val="00D7057C"/>
    <w:rsid w:val="00D7127B"/>
    <w:rsid w:val="00D71AF3"/>
    <w:rsid w:val="00D72A9D"/>
    <w:rsid w:val="00D7321F"/>
    <w:rsid w:val="00D73390"/>
    <w:rsid w:val="00D73C37"/>
    <w:rsid w:val="00D73F4D"/>
    <w:rsid w:val="00D74025"/>
    <w:rsid w:val="00D74165"/>
    <w:rsid w:val="00D74403"/>
    <w:rsid w:val="00D744AA"/>
    <w:rsid w:val="00D74B66"/>
    <w:rsid w:val="00D74D65"/>
    <w:rsid w:val="00D758FA"/>
    <w:rsid w:val="00D7660C"/>
    <w:rsid w:val="00D76E52"/>
    <w:rsid w:val="00D76F44"/>
    <w:rsid w:val="00D772AA"/>
    <w:rsid w:val="00D77773"/>
    <w:rsid w:val="00D77FE7"/>
    <w:rsid w:val="00D814F7"/>
    <w:rsid w:val="00D816C2"/>
    <w:rsid w:val="00D81CA4"/>
    <w:rsid w:val="00D8225B"/>
    <w:rsid w:val="00D8261C"/>
    <w:rsid w:val="00D82856"/>
    <w:rsid w:val="00D83FDB"/>
    <w:rsid w:val="00D84037"/>
    <w:rsid w:val="00D8499F"/>
    <w:rsid w:val="00D858D1"/>
    <w:rsid w:val="00D869FC"/>
    <w:rsid w:val="00D870A8"/>
    <w:rsid w:val="00D91098"/>
    <w:rsid w:val="00D91743"/>
    <w:rsid w:val="00D91CAE"/>
    <w:rsid w:val="00D9217A"/>
    <w:rsid w:val="00D94E97"/>
    <w:rsid w:val="00D95202"/>
    <w:rsid w:val="00D95AAB"/>
    <w:rsid w:val="00D95EFA"/>
    <w:rsid w:val="00D965CA"/>
    <w:rsid w:val="00D97408"/>
    <w:rsid w:val="00D9784E"/>
    <w:rsid w:val="00DA083D"/>
    <w:rsid w:val="00DA098E"/>
    <w:rsid w:val="00DA0F91"/>
    <w:rsid w:val="00DA1051"/>
    <w:rsid w:val="00DA15D5"/>
    <w:rsid w:val="00DA24F1"/>
    <w:rsid w:val="00DA34C4"/>
    <w:rsid w:val="00DA4DEA"/>
    <w:rsid w:val="00DA52D6"/>
    <w:rsid w:val="00DA649A"/>
    <w:rsid w:val="00DA69C8"/>
    <w:rsid w:val="00DA6A1D"/>
    <w:rsid w:val="00DA6F1B"/>
    <w:rsid w:val="00DA7582"/>
    <w:rsid w:val="00DB0617"/>
    <w:rsid w:val="00DB0DB7"/>
    <w:rsid w:val="00DB104D"/>
    <w:rsid w:val="00DB19A0"/>
    <w:rsid w:val="00DB351A"/>
    <w:rsid w:val="00DB3534"/>
    <w:rsid w:val="00DB3DEF"/>
    <w:rsid w:val="00DB433D"/>
    <w:rsid w:val="00DB4C36"/>
    <w:rsid w:val="00DB5353"/>
    <w:rsid w:val="00DB5AC7"/>
    <w:rsid w:val="00DB6B27"/>
    <w:rsid w:val="00DB6C26"/>
    <w:rsid w:val="00DB72DC"/>
    <w:rsid w:val="00DC0293"/>
    <w:rsid w:val="00DC1749"/>
    <w:rsid w:val="00DC21EC"/>
    <w:rsid w:val="00DC2A9D"/>
    <w:rsid w:val="00DC6077"/>
    <w:rsid w:val="00DC6368"/>
    <w:rsid w:val="00DC67C9"/>
    <w:rsid w:val="00DC6B5C"/>
    <w:rsid w:val="00DC6EB5"/>
    <w:rsid w:val="00DC73D4"/>
    <w:rsid w:val="00DC7A9C"/>
    <w:rsid w:val="00DC7CEC"/>
    <w:rsid w:val="00DD0054"/>
    <w:rsid w:val="00DD10ED"/>
    <w:rsid w:val="00DD1A96"/>
    <w:rsid w:val="00DD1DFB"/>
    <w:rsid w:val="00DD2712"/>
    <w:rsid w:val="00DD4446"/>
    <w:rsid w:val="00DD4813"/>
    <w:rsid w:val="00DD4A7E"/>
    <w:rsid w:val="00DD4D21"/>
    <w:rsid w:val="00DD4E4E"/>
    <w:rsid w:val="00DD5894"/>
    <w:rsid w:val="00DD6103"/>
    <w:rsid w:val="00DD73AC"/>
    <w:rsid w:val="00DD7EAC"/>
    <w:rsid w:val="00DE0A3A"/>
    <w:rsid w:val="00DE0E38"/>
    <w:rsid w:val="00DE1A8C"/>
    <w:rsid w:val="00DE214C"/>
    <w:rsid w:val="00DE276B"/>
    <w:rsid w:val="00DE3389"/>
    <w:rsid w:val="00DE35AD"/>
    <w:rsid w:val="00DE3FB8"/>
    <w:rsid w:val="00DE44A8"/>
    <w:rsid w:val="00DE4882"/>
    <w:rsid w:val="00DE58F9"/>
    <w:rsid w:val="00DE5CB9"/>
    <w:rsid w:val="00DE67A5"/>
    <w:rsid w:val="00DE6D5B"/>
    <w:rsid w:val="00DE731A"/>
    <w:rsid w:val="00DE74DF"/>
    <w:rsid w:val="00DE7550"/>
    <w:rsid w:val="00DF0495"/>
    <w:rsid w:val="00DF04A4"/>
    <w:rsid w:val="00DF085E"/>
    <w:rsid w:val="00DF1419"/>
    <w:rsid w:val="00DF26D6"/>
    <w:rsid w:val="00DF26ED"/>
    <w:rsid w:val="00DF2E6D"/>
    <w:rsid w:val="00DF2FAE"/>
    <w:rsid w:val="00DF3968"/>
    <w:rsid w:val="00DF4828"/>
    <w:rsid w:val="00DF5031"/>
    <w:rsid w:val="00DF5ACB"/>
    <w:rsid w:val="00DF5FCD"/>
    <w:rsid w:val="00DF66B9"/>
    <w:rsid w:val="00DF7B44"/>
    <w:rsid w:val="00E000BB"/>
    <w:rsid w:val="00E013BA"/>
    <w:rsid w:val="00E01722"/>
    <w:rsid w:val="00E01D80"/>
    <w:rsid w:val="00E01E48"/>
    <w:rsid w:val="00E027E7"/>
    <w:rsid w:val="00E03163"/>
    <w:rsid w:val="00E031BF"/>
    <w:rsid w:val="00E03CA1"/>
    <w:rsid w:val="00E0457E"/>
    <w:rsid w:val="00E046F9"/>
    <w:rsid w:val="00E04DDA"/>
    <w:rsid w:val="00E04FFD"/>
    <w:rsid w:val="00E050D7"/>
    <w:rsid w:val="00E05B51"/>
    <w:rsid w:val="00E05CB5"/>
    <w:rsid w:val="00E06647"/>
    <w:rsid w:val="00E07E73"/>
    <w:rsid w:val="00E1001F"/>
    <w:rsid w:val="00E11570"/>
    <w:rsid w:val="00E11C93"/>
    <w:rsid w:val="00E125EE"/>
    <w:rsid w:val="00E134A7"/>
    <w:rsid w:val="00E135E5"/>
    <w:rsid w:val="00E1473C"/>
    <w:rsid w:val="00E14F79"/>
    <w:rsid w:val="00E15D1F"/>
    <w:rsid w:val="00E16198"/>
    <w:rsid w:val="00E17BDA"/>
    <w:rsid w:val="00E17BF8"/>
    <w:rsid w:val="00E17E1B"/>
    <w:rsid w:val="00E2066D"/>
    <w:rsid w:val="00E210C0"/>
    <w:rsid w:val="00E21C40"/>
    <w:rsid w:val="00E21DC0"/>
    <w:rsid w:val="00E222DE"/>
    <w:rsid w:val="00E229DB"/>
    <w:rsid w:val="00E234B3"/>
    <w:rsid w:val="00E24170"/>
    <w:rsid w:val="00E2468F"/>
    <w:rsid w:val="00E248A7"/>
    <w:rsid w:val="00E24A72"/>
    <w:rsid w:val="00E24A93"/>
    <w:rsid w:val="00E2526A"/>
    <w:rsid w:val="00E25DB6"/>
    <w:rsid w:val="00E26FB3"/>
    <w:rsid w:val="00E27697"/>
    <w:rsid w:val="00E27943"/>
    <w:rsid w:val="00E27F7D"/>
    <w:rsid w:val="00E3011A"/>
    <w:rsid w:val="00E30530"/>
    <w:rsid w:val="00E30F2B"/>
    <w:rsid w:val="00E31D3A"/>
    <w:rsid w:val="00E31DE4"/>
    <w:rsid w:val="00E31ECB"/>
    <w:rsid w:val="00E33228"/>
    <w:rsid w:val="00E337A7"/>
    <w:rsid w:val="00E354F6"/>
    <w:rsid w:val="00E37199"/>
    <w:rsid w:val="00E37C5B"/>
    <w:rsid w:val="00E37FD6"/>
    <w:rsid w:val="00E403A7"/>
    <w:rsid w:val="00E40857"/>
    <w:rsid w:val="00E410AA"/>
    <w:rsid w:val="00E411AB"/>
    <w:rsid w:val="00E41A46"/>
    <w:rsid w:val="00E42BD6"/>
    <w:rsid w:val="00E43274"/>
    <w:rsid w:val="00E436E8"/>
    <w:rsid w:val="00E43AF8"/>
    <w:rsid w:val="00E43E10"/>
    <w:rsid w:val="00E44043"/>
    <w:rsid w:val="00E44EFF"/>
    <w:rsid w:val="00E45955"/>
    <w:rsid w:val="00E45A3D"/>
    <w:rsid w:val="00E45C0B"/>
    <w:rsid w:val="00E473BE"/>
    <w:rsid w:val="00E47A0C"/>
    <w:rsid w:val="00E47C3C"/>
    <w:rsid w:val="00E47D96"/>
    <w:rsid w:val="00E51035"/>
    <w:rsid w:val="00E51103"/>
    <w:rsid w:val="00E52ECF"/>
    <w:rsid w:val="00E52F5F"/>
    <w:rsid w:val="00E5355F"/>
    <w:rsid w:val="00E571E7"/>
    <w:rsid w:val="00E57B6D"/>
    <w:rsid w:val="00E57D88"/>
    <w:rsid w:val="00E57FD0"/>
    <w:rsid w:val="00E60093"/>
    <w:rsid w:val="00E60543"/>
    <w:rsid w:val="00E605FD"/>
    <w:rsid w:val="00E610C4"/>
    <w:rsid w:val="00E61170"/>
    <w:rsid w:val="00E61B07"/>
    <w:rsid w:val="00E62190"/>
    <w:rsid w:val="00E62668"/>
    <w:rsid w:val="00E6271A"/>
    <w:rsid w:val="00E63D02"/>
    <w:rsid w:val="00E63D16"/>
    <w:rsid w:val="00E652D9"/>
    <w:rsid w:val="00E65542"/>
    <w:rsid w:val="00E65829"/>
    <w:rsid w:val="00E6597B"/>
    <w:rsid w:val="00E659EB"/>
    <w:rsid w:val="00E65C4A"/>
    <w:rsid w:val="00E662B1"/>
    <w:rsid w:val="00E66428"/>
    <w:rsid w:val="00E664C9"/>
    <w:rsid w:val="00E67B4E"/>
    <w:rsid w:val="00E67F7D"/>
    <w:rsid w:val="00E7037D"/>
    <w:rsid w:val="00E70787"/>
    <w:rsid w:val="00E7190C"/>
    <w:rsid w:val="00E71F88"/>
    <w:rsid w:val="00E7252D"/>
    <w:rsid w:val="00E74381"/>
    <w:rsid w:val="00E75187"/>
    <w:rsid w:val="00E756EC"/>
    <w:rsid w:val="00E75929"/>
    <w:rsid w:val="00E760AA"/>
    <w:rsid w:val="00E7669C"/>
    <w:rsid w:val="00E801DD"/>
    <w:rsid w:val="00E808C8"/>
    <w:rsid w:val="00E82156"/>
    <w:rsid w:val="00E8236E"/>
    <w:rsid w:val="00E83F7C"/>
    <w:rsid w:val="00E8436C"/>
    <w:rsid w:val="00E84922"/>
    <w:rsid w:val="00E85161"/>
    <w:rsid w:val="00E866E5"/>
    <w:rsid w:val="00E86CED"/>
    <w:rsid w:val="00E86DB4"/>
    <w:rsid w:val="00E901D7"/>
    <w:rsid w:val="00E90214"/>
    <w:rsid w:val="00E9090A"/>
    <w:rsid w:val="00E90A7E"/>
    <w:rsid w:val="00E90AD8"/>
    <w:rsid w:val="00E913F0"/>
    <w:rsid w:val="00E919D2"/>
    <w:rsid w:val="00E9373B"/>
    <w:rsid w:val="00E93865"/>
    <w:rsid w:val="00E93F26"/>
    <w:rsid w:val="00E94D59"/>
    <w:rsid w:val="00E95137"/>
    <w:rsid w:val="00E954FF"/>
    <w:rsid w:val="00E96453"/>
    <w:rsid w:val="00E97798"/>
    <w:rsid w:val="00E97A3B"/>
    <w:rsid w:val="00EA011A"/>
    <w:rsid w:val="00EA254B"/>
    <w:rsid w:val="00EA302E"/>
    <w:rsid w:val="00EA401C"/>
    <w:rsid w:val="00EA4AB5"/>
    <w:rsid w:val="00EA55C3"/>
    <w:rsid w:val="00EA5AB9"/>
    <w:rsid w:val="00EA69A0"/>
    <w:rsid w:val="00EA7285"/>
    <w:rsid w:val="00EA7A14"/>
    <w:rsid w:val="00EB0427"/>
    <w:rsid w:val="00EB15D7"/>
    <w:rsid w:val="00EB1D3E"/>
    <w:rsid w:val="00EB3B9D"/>
    <w:rsid w:val="00EB3D73"/>
    <w:rsid w:val="00EB4C76"/>
    <w:rsid w:val="00EB4E9D"/>
    <w:rsid w:val="00EB5472"/>
    <w:rsid w:val="00EB5A21"/>
    <w:rsid w:val="00EB5CD1"/>
    <w:rsid w:val="00EB60C3"/>
    <w:rsid w:val="00EB668C"/>
    <w:rsid w:val="00EB6D41"/>
    <w:rsid w:val="00EB7DF4"/>
    <w:rsid w:val="00EC0568"/>
    <w:rsid w:val="00EC091B"/>
    <w:rsid w:val="00EC1404"/>
    <w:rsid w:val="00EC156F"/>
    <w:rsid w:val="00EC1878"/>
    <w:rsid w:val="00EC2F62"/>
    <w:rsid w:val="00EC310C"/>
    <w:rsid w:val="00EC3DAC"/>
    <w:rsid w:val="00EC5AC9"/>
    <w:rsid w:val="00EC6108"/>
    <w:rsid w:val="00EC6838"/>
    <w:rsid w:val="00ED00C4"/>
    <w:rsid w:val="00ED0808"/>
    <w:rsid w:val="00ED1A55"/>
    <w:rsid w:val="00ED24BB"/>
    <w:rsid w:val="00ED2AFD"/>
    <w:rsid w:val="00ED3992"/>
    <w:rsid w:val="00ED3B2A"/>
    <w:rsid w:val="00ED3BA1"/>
    <w:rsid w:val="00ED4654"/>
    <w:rsid w:val="00ED5C91"/>
    <w:rsid w:val="00ED68F1"/>
    <w:rsid w:val="00ED6CA5"/>
    <w:rsid w:val="00ED758C"/>
    <w:rsid w:val="00ED7913"/>
    <w:rsid w:val="00EE0554"/>
    <w:rsid w:val="00EE0557"/>
    <w:rsid w:val="00EE1210"/>
    <w:rsid w:val="00EE194A"/>
    <w:rsid w:val="00EE2048"/>
    <w:rsid w:val="00EE2826"/>
    <w:rsid w:val="00EE291B"/>
    <w:rsid w:val="00EE2A78"/>
    <w:rsid w:val="00EE3EBB"/>
    <w:rsid w:val="00EE454E"/>
    <w:rsid w:val="00EE4A13"/>
    <w:rsid w:val="00EE5FDA"/>
    <w:rsid w:val="00EE6C7F"/>
    <w:rsid w:val="00EE768D"/>
    <w:rsid w:val="00EF2769"/>
    <w:rsid w:val="00EF27CB"/>
    <w:rsid w:val="00EF2FEB"/>
    <w:rsid w:val="00EF34F1"/>
    <w:rsid w:val="00EF366F"/>
    <w:rsid w:val="00EF3CD4"/>
    <w:rsid w:val="00EF3E6F"/>
    <w:rsid w:val="00EF4279"/>
    <w:rsid w:val="00EF46A1"/>
    <w:rsid w:val="00EF533B"/>
    <w:rsid w:val="00EF72EE"/>
    <w:rsid w:val="00EF7320"/>
    <w:rsid w:val="00EF7EF0"/>
    <w:rsid w:val="00F00085"/>
    <w:rsid w:val="00F0038B"/>
    <w:rsid w:val="00F008FF"/>
    <w:rsid w:val="00F00B57"/>
    <w:rsid w:val="00F012AC"/>
    <w:rsid w:val="00F0173C"/>
    <w:rsid w:val="00F01923"/>
    <w:rsid w:val="00F02610"/>
    <w:rsid w:val="00F02700"/>
    <w:rsid w:val="00F02C3A"/>
    <w:rsid w:val="00F03CD8"/>
    <w:rsid w:val="00F051A7"/>
    <w:rsid w:val="00F05EC4"/>
    <w:rsid w:val="00F0687C"/>
    <w:rsid w:val="00F07A09"/>
    <w:rsid w:val="00F07CA5"/>
    <w:rsid w:val="00F109DB"/>
    <w:rsid w:val="00F11336"/>
    <w:rsid w:val="00F1287D"/>
    <w:rsid w:val="00F12C8C"/>
    <w:rsid w:val="00F12D09"/>
    <w:rsid w:val="00F1345B"/>
    <w:rsid w:val="00F1620C"/>
    <w:rsid w:val="00F1638B"/>
    <w:rsid w:val="00F163BE"/>
    <w:rsid w:val="00F1652A"/>
    <w:rsid w:val="00F16A3D"/>
    <w:rsid w:val="00F17F74"/>
    <w:rsid w:val="00F200C2"/>
    <w:rsid w:val="00F20829"/>
    <w:rsid w:val="00F21BD7"/>
    <w:rsid w:val="00F21BFE"/>
    <w:rsid w:val="00F22745"/>
    <w:rsid w:val="00F24465"/>
    <w:rsid w:val="00F249C9"/>
    <w:rsid w:val="00F252EB"/>
    <w:rsid w:val="00F267CD"/>
    <w:rsid w:val="00F27539"/>
    <w:rsid w:val="00F27E99"/>
    <w:rsid w:val="00F30514"/>
    <w:rsid w:val="00F30624"/>
    <w:rsid w:val="00F30889"/>
    <w:rsid w:val="00F30D0D"/>
    <w:rsid w:val="00F31B0E"/>
    <w:rsid w:val="00F324E1"/>
    <w:rsid w:val="00F32DF9"/>
    <w:rsid w:val="00F33B0B"/>
    <w:rsid w:val="00F34195"/>
    <w:rsid w:val="00F34B9A"/>
    <w:rsid w:val="00F34D39"/>
    <w:rsid w:val="00F35903"/>
    <w:rsid w:val="00F35BD3"/>
    <w:rsid w:val="00F35CAC"/>
    <w:rsid w:val="00F3612B"/>
    <w:rsid w:val="00F362F8"/>
    <w:rsid w:val="00F36993"/>
    <w:rsid w:val="00F36B36"/>
    <w:rsid w:val="00F36BA6"/>
    <w:rsid w:val="00F4072C"/>
    <w:rsid w:val="00F41E93"/>
    <w:rsid w:val="00F422CB"/>
    <w:rsid w:val="00F42AC1"/>
    <w:rsid w:val="00F435C2"/>
    <w:rsid w:val="00F440E0"/>
    <w:rsid w:val="00F44589"/>
    <w:rsid w:val="00F44596"/>
    <w:rsid w:val="00F44B35"/>
    <w:rsid w:val="00F455B2"/>
    <w:rsid w:val="00F4562F"/>
    <w:rsid w:val="00F457A7"/>
    <w:rsid w:val="00F45CC5"/>
    <w:rsid w:val="00F46FE5"/>
    <w:rsid w:val="00F47125"/>
    <w:rsid w:val="00F47491"/>
    <w:rsid w:val="00F47D43"/>
    <w:rsid w:val="00F50047"/>
    <w:rsid w:val="00F509F2"/>
    <w:rsid w:val="00F51C78"/>
    <w:rsid w:val="00F522F6"/>
    <w:rsid w:val="00F538F1"/>
    <w:rsid w:val="00F5394C"/>
    <w:rsid w:val="00F53991"/>
    <w:rsid w:val="00F54674"/>
    <w:rsid w:val="00F55503"/>
    <w:rsid w:val="00F55507"/>
    <w:rsid w:val="00F55547"/>
    <w:rsid w:val="00F55800"/>
    <w:rsid w:val="00F55D25"/>
    <w:rsid w:val="00F55E15"/>
    <w:rsid w:val="00F6028F"/>
    <w:rsid w:val="00F606ED"/>
    <w:rsid w:val="00F61E4C"/>
    <w:rsid w:val="00F6251B"/>
    <w:rsid w:val="00F62B9A"/>
    <w:rsid w:val="00F6439F"/>
    <w:rsid w:val="00F6447A"/>
    <w:rsid w:val="00F64B12"/>
    <w:rsid w:val="00F650B2"/>
    <w:rsid w:val="00F65892"/>
    <w:rsid w:val="00F658B8"/>
    <w:rsid w:val="00F6653A"/>
    <w:rsid w:val="00F6669B"/>
    <w:rsid w:val="00F66DF6"/>
    <w:rsid w:val="00F67278"/>
    <w:rsid w:val="00F702BF"/>
    <w:rsid w:val="00F7122B"/>
    <w:rsid w:val="00F71991"/>
    <w:rsid w:val="00F721DD"/>
    <w:rsid w:val="00F74A02"/>
    <w:rsid w:val="00F7512F"/>
    <w:rsid w:val="00F755C9"/>
    <w:rsid w:val="00F758D5"/>
    <w:rsid w:val="00F75EBD"/>
    <w:rsid w:val="00F76482"/>
    <w:rsid w:val="00F776FE"/>
    <w:rsid w:val="00F8041E"/>
    <w:rsid w:val="00F80BC3"/>
    <w:rsid w:val="00F81E5C"/>
    <w:rsid w:val="00F82708"/>
    <w:rsid w:val="00F8355C"/>
    <w:rsid w:val="00F84EC0"/>
    <w:rsid w:val="00F84F28"/>
    <w:rsid w:val="00F852CA"/>
    <w:rsid w:val="00F8544B"/>
    <w:rsid w:val="00F85CDC"/>
    <w:rsid w:val="00F85E18"/>
    <w:rsid w:val="00F86C33"/>
    <w:rsid w:val="00F86DFE"/>
    <w:rsid w:val="00F86E05"/>
    <w:rsid w:val="00F87C2C"/>
    <w:rsid w:val="00F908B8"/>
    <w:rsid w:val="00F91F28"/>
    <w:rsid w:val="00F9299A"/>
    <w:rsid w:val="00F93641"/>
    <w:rsid w:val="00F943F3"/>
    <w:rsid w:val="00F947FA"/>
    <w:rsid w:val="00F96DBA"/>
    <w:rsid w:val="00FA04F9"/>
    <w:rsid w:val="00FA08E6"/>
    <w:rsid w:val="00FA0EDD"/>
    <w:rsid w:val="00FA117D"/>
    <w:rsid w:val="00FA19E1"/>
    <w:rsid w:val="00FA20B4"/>
    <w:rsid w:val="00FA2553"/>
    <w:rsid w:val="00FA4F7E"/>
    <w:rsid w:val="00FA502B"/>
    <w:rsid w:val="00FA56A5"/>
    <w:rsid w:val="00FA59F0"/>
    <w:rsid w:val="00FA5A74"/>
    <w:rsid w:val="00FA64AA"/>
    <w:rsid w:val="00FA7598"/>
    <w:rsid w:val="00FA78B3"/>
    <w:rsid w:val="00FA7A69"/>
    <w:rsid w:val="00FA7EFA"/>
    <w:rsid w:val="00FB0F13"/>
    <w:rsid w:val="00FB13F8"/>
    <w:rsid w:val="00FB19A3"/>
    <w:rsid w:val="00FB1B5F"/>
    <w:rsid w:val="00FB1CE8"/>
    <w:rsid w:val="00FB2515"/>
    <w:rsid w:val="00FB25FB"/>
    <w:rsid w:val="00FB34CB"/>
    <w:rsid w:val="00FB4431"/>
    <w:rsid w:val="00FB46A0"/>
    <w:rsid w:val="00FB574B"/>
    <w:rsid w:val="00FB60F4"/>
    <w:rsid w:val="00FB62B7"/>
    <w:rsid w:val="00FB6792"/>
    <w:rsid w:val="00FB6AC1"/>
    <w:rsid w:val="00FC1037"/>
    <w:rsid w:val="00FC21E5"/>
    <w:rsid w:val="00FC317B"/>
    <w:rsid w:val="00FC39E9"/>
    <w:rsid w:val="00FC4A35"/>
    <w:rsid w:val="00FC54E5"/>
    <w:rsid w:val="00FC55A8"/>
    <w:rsid w:val="00FC6D5E"/>
    <w:rsid w:val="00FC72EC"/>
    <w:rsid w:val="00FC78DB"/>
    <w:rsid w:val="00FD0349"/>
    <w:rsid w:val="00FD0EDA"/>
    <w:rsid w:val="00FD1098"/>
    <w:rsid w:val="00FD23BA"/>
    <w:rsid w:val="00FD2451"/>
    <w:rsid w:val="00FD27E3"/>
    <w:rsid w:val="00FD36EA"/>
    <w:rsid w:val="00FD3FC2"/>
    <w:rsid w:val="00FD4467"/>
    <w:rsid w:val="00FD4743"/>
    <w:rsid w:val="00FD5425"/>
    <w:rsid w:val="00FD55C9"/>
    <w:rsid w:val="00FD5788"/>
    <w:rsid w:val="00FD5A53"/>
    <w:rsid w:val="00FD624D"/>
    <w:rsid w:val="00FD665B"/>
    <w:rsid w:val="00FD6D98"/>
    <w:rsid w:val="00FD6FCE"/>
    <w:rsid w:val="00FD72C3"/>
    <w:rsid w:val="00FD77DF"/>
    <w:rsid w:val="00FE02C3"/>
    <w:rsid w:val="00FE05AF"/>
    <w:rsid w:val="00FE0D40"/>
    <w:rsid w:val="00FE16CE"/>
    <w:rsid w:val="00FE3336"/>
    <w:rsid w:val="00FE33D3"/>
    <w:rsid w:val="00FE354B"/>
    <w:rsid w:val="00FE37A6"/>
    <w:rsid w:val="00FE51B0"/>
    <w:rsid w:val="00FE5351"/>
    <w:rsid w:val="00FE54FF"/>
    <w:rsid w:val="00FE656D"/>
    <w:rsid w:val="00FE6BEC"/>
    <w:rsid w:val="00FE6E42"/>
    <w:rsid w:val="00FF0BC8"/>
    <w:rsid w:val="00FF0C92"/>
    <w:rsid w:val="00FF0F36"/>
    <w:rsid w:val="00FF2EE6"/>
    <w:rsid w:val="00FF592A"/>
    <w:rsid w:val="00FF6A98"/>
    <w:rsid w:val="00FF6AE0"/>
    <w:rsid w:val="00FF6B27"/>
    <w:rsid w:val="00FF6CD5"/>
    <w:rsid w:val="00FF7A04"/>
    <w:rsid w:val="00FF7C82"/>
    <w:rsid w:val="00FF7F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5:docId w15:val="{B3D5AAE6-70A0-404C-A10F-3727E540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AF9"/>
    <w:pPr>
      <w:ind w:left="720" w:hanging="720"/>
      <w:jc w:val="both"/>
    </w:pPr>
    <w:rPr>
      <w:kern w:val="2"/>
      <w:sz w:val="28"/>
    </w:rPr>
  </w:style>
  <w:style w:type="paragraph" w:styleId="Heading1">
    <w:name w:val="heading 1"/>
    <w:basedOn w:val="Normal"/>
    <w:next w:val="Normal"/>
    <w:qFormat/>
    <w:rsid w:val="00232410"/>
    <w:pPr>
      <w:keepNext/>
      <w:spacing w:line="360" w:lineRule="auto"/>
      <w:jc w:val="center"/>
      <w:outlineLvl w:val="0"/>
    </w:pPr>
    <w:rPr>
      <w:b/>
    </w:rPr>
  </w:style>
  <w:style w:type="paragraph" w:styleId="Heading2">
    <w:name w:val="heading 2"/>
    <w:basedOn w:val="Normal"/>
    <w:next w:val="Normal"/>
    <w:link w:val="Heading2Char"/>
    <w:qFormat/>
    <w:rsid w:val="00232410"/>
    <w:pPr>
      <w:keepNext/>
      <w:outlineLvl w:val="1"/>
    </w:pPr>
    <w:rPr>
      <w:b/>
      <w:bCs/>
      <w:sz w:val="20"/>
    </w:rPr>
  </w:style>
  <w:style w:type="paragraph" w:styleId="Heading3">
    <w:name w:val="heading 3"/>
    <w:basedOn w:val="Normal"/>
    <w:next w:val="Normal"/>
    <w:link w:val="Heading3Char"/>
    <w:qFormat/>
    <w:rsid w:val="00232410"/>
    <w:pPr>
      <w:keepNext/>
      <w:jc w:val="center"/>
      <w:outlineLvl w:val="2"/>
    </w:pPr>
    <w:rPr>
      <w:b/>
      <w:bCs/>
      <w:sz w:val="20"/>
    </w:rPr>
  </w:style>
  <w:style w:type="paragraph" w:styleId="Heading4">
    <w:name w:val="heading 4"/>
    <w:basedOn w:val="Normal"/>
    <w:next w:val="Normal"/>
    <w:link w:val="Heading4Char"/>
    <w:qFormat/>
    <w:rsid w:val="00232410"/>
    <w:pPr>
      <w:keepNext/>
      <w:outlineLvl w:val="3"/>
    </w:pPr>
    <w:rPr>
      <w:b/>
      <w:sz w:val="21"/>
    </w:rPr>
  </w:style>
  <w:style w:type="paragraph" w:styleId="Heading5">
    <w:name w:val="heading 5"/>
    <w:basedOn w:val="Normal"/>
    <w:next w:val="Normal"/>
    <w:qFormat/>
    <w:rsid w:val="00232410"/>
    <w:pPr>
      <w:spacing w:before="240" w:after="60"/>
      <w:outlineLvl w:val="4"/>
    </w:pPr>
    <w:rPr>
      <w:rFonts w:ascii="Calibri" w:hAnsi="Calibri"/>
      <w:b/>
      <w:bCs/>
      <w:i/>
      <w:iCs/>
      <w:sz w:val="26"/>
      <w:szCs w:val="26"/>
    </w:rPr>
  </w:style>
  <w:style w:type="paragraph" w:styleId="Heading6">
    <w:name w:val="heading 6"/>
    <w:basedOn w:val="Normal"/>
    <w:next w:val="Normal"/>
    <w:qFormat/>
    <w:rsid w:val="00232410"/>
    <w:pPr>
      <w:spacing w:before="240" w:after="60"/>
      <w:outlineLvl w:val="5"/>
    </w:pPr>
    <w:rPr>
      <w:rFonts w:ascii="Calibri" w:hAnsi="Calibri"/>
      <w:b/>
      <w:bCs/>
      <w:sz w:val="22"/>
      <w:szCs w:val="22"/>
    </w:rPr>
  </w:style>
  <w:style w:type="paragraph" w:styleId="Heading7">
    <w:name w:val="heading 7"/>
    <w:basedOn w:val="Normal"/>
    <w:next w:val="Normal"/>
    <w:qFormat/>
    <w:rsid w:val="00232410"/>
    <w:pPr>
      <w:keepNext/>
      <w:kinsoku w:val="0"/>
      <w:overflowPunct w:val="0"/>
      <w:autoSpaceDE w:val="0"/>
      <w:autoSpaceDN w:val="0"/>
      <w:adjustRightInd w:val="0"/>
      <w:snapToGrid w:val="0"/>
      <w:outlineLvl w:val="6"/>
    </w:pPr>
    <w:rPr>
      <w:rFonts w:eastAsia="MingLiU"/>
      <w:bCs/>
      <w:snapToGrid w:val="0"/>
      <w:kern w:val="0"/>
      <w:sz w:val="24"/>
      <w:lang w:val="en-GB"/>
    </w:rPr>
  </w:style>
  <w:style w:type="paragraph" w:styleId="Heading8">
    <w:name w:val="heading 8"/>
    <w:basedOn w:val="Normal"/>
    <w:next w:val="Normal"/>
    <w:qFormat/>
    <w:rsid w:val="00232410"/>
    <w:pPr>
      <w:keepNext/>
      <w:ind w:rightChars="-454" w:right="-1271"/>
      <w:outlineLvl w:val="7"/>
    </w:pPr>
    <w:rPr>
      <w:b/>
      <w:bCs/>
      <w:szCs w:val="24"/>
    </w:rPr>
  </w:style>
  <w:style w:type="paragraph" w:styleId="Heading9">
    <w:name w:val="heading 9"/>
    <w:basedOn w:val="Normal"/>
    <w:next w:val="Normal"/>
    <w:qFormat/>
    <w:rsid w:val="00232410"/>
    <w:pPr>
      <w:keepNext/>
      <w:spacing w:line="360" w:lineRule="auto"/>
      <w:ind w:rightChars="-454" w:right="-1271"/>
      <w:outlineLvl w:val="8"/>
    </w:pPr>
    <w:rPr>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rsid w:val="00232410"/>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uiPriority w:val="99"/>
    <w:rsid w:val="00232410"/>
    <w:pPr>
      <w:tabs>
        <w:tab w:val="center" w:pos="4153"/>
        <w:tab w:val="right" w:pos="8306"/>
      </w:tabs>
      <w:snapToGrid w:val="0"/>
    </w:pPr>
    <w:rPr>
      <w:sz w:val="18"/>
    </w:rPr>
  </w:style>
  <w:style w:type="paragraph" w:customStyle="1" w:styleId="mainheadings">
    <w:name w:val="mainheadings"/>
    <w:next w:val="Normal"/>
    <w:rsid w:val="00232410"/>
    <w:pPr>
      <w:keepNext/>
      <w:spacing w:before="600"/>
      <w:ind w:left="720" w:hanging="720"/>
      <w:jc w:val="both"/>
    </w:pPr>
    <w:rPr>
      <w:rFonts w:eastAsia="MingLiU"/>
      <w:i/>
      <w:caps/>
      <w:noProof/>
      <w:kern w:val="2"/>
      <w:sz w:val="28"/>
      <w:lang w:eastAsia="en-US"/>
    </w:rPr>
  </w:style>
  <w:style w:type="character" w:styleId="PageNumber">
    <w:name w:val="page number"/>
    <w:basedOn w:val="DefaultParagraphFont"/>
    <w:semiHidden/>
    <w:rsid w:val="00232410"/>
  </w:style>
  <w:style w:type="paragraph" w:customStyle="1" w:styleId="para">
    <w:name w:val="para"/>
    <w:rsid w:val="00232410"/>
    <w:pPr>
      <w:numPr>
        <w:numId w:val="1"/>
      </w:numPr>
      <w:snapToGrid w:val="0"/>
      <w:spacing w:before="480" w:line="360" w:lineRule="auto"/>
      <w:jc w:val="both"/>
    </w:pPr>
    <w:rPr>
      <w:kern w:val="2"/>
      <w:sz w:val="28"/>
    </w:rPr>
  </w:style>
  <w:style w:type="paragraph" w:customStyle="1" w:styleId="PARA-CONT">
    <w:name w:val="PARA-CON'T"/>
    <w:basedOn w:val="para"/>
    <w:next w:val="para"/>
    <w:rsid w:val="00232410"/>
    <w:pPr>
      <w:numPr>
        <w:numId w:val="0"/>
      </w:numPr>
      <w:spacing w:before="240"/>
    </w:pPr>
  </w:style>
  <w:style w:type="paragraph" w:customStyle="1" w:styleId="Para-heading">
    <w:name w:val="Para-heading"/>
    <w:basedOn w:val="para"/>
    <w:next w:val="para"/>
    <w:rsid w:val="00232410"/>
    <w:pPr>
      <w:spacing w:before="120"/>
    </w:pPr>
  </w:style>
  <w:style w:type="paragraph" w:customStyle="1" w:styleId="points">
    <w:name w:val="points"/>
    <w:basedOn w:val="para"/>
    <w:rsid w:val="00232410"/>
    <w:pPr>
      <w:numPr>
        <w:numId w:val="0"/>
      </w:numPr>
      <w:tabs>
        <w:tab w:val="left" w:pos="1400"/>
        <w:tab w:val="left" w:pos="1960"/>
      </w:tabs>
      <w:spacing w:before="120"/>
      <w:ind w:left="1417" w:hanging="680"/>
    </w:pPr>
  </w:style>
  <w:style w:type="paragraph" w:customStyle="1" w:styleId="Quote1">
    <w:name w:val="Quote1"/>
    <w:rsid w:val="00232410"/>
    <w:pPr>
      <w:tabs>
        <w:tab w:val="left" w:pos="1985"/>
      </w:tabs>
      <w:adjustRightInd w:val="0"/>
      <w:snapToGrid w:val="0"/>
      <w:spacing w:before="120" w:after="120"/>
      <w:ind w:left="1418" w:right="737" w:hanging="720"/>
      <w:jc w:val="both"/>
    </w:pPr>
    <w:rPr>
      <w:kern w:val="2"/>
      <w:sz w:val="24"/>
      <w:lang w:val="en-GB"/>
    </w:rPr>
  </w:style>
  <w:style w:type="paragraph" w:customStyle="1" w:styleId="subheadinginitalic">
    <w:name w:val="subheading (in italic)"/>
    <w:next w:val="Para-heading"/>
    <w:rsid w:val="00232410"/>
    <w:pPr>
      <w:keepNext/>
      <w:snapToGrid w:val="0"/>
      <w:spacing w:before="600" w:line="360" w:lineRule="auto"/>
      <w:ind w:left="720" w:hanging="720"/>
      <w:jc w:val="both"/>
    </w:pPr>
    <w:rPr>
      <w:rFonts w:eastAsia="MingLiU"/>
      <w:i/>
      <w:kern w:val="2"/>
      <w:sz w:val="28"/>
    </w:rPr>
  </w:style>
  <w:style w:type="paragraph" w:styleId="BodyTextIndent">
    <w:name w:val="Body Text Indent"/>
    <w:basedOn w:val="Normal"/>
    <w:semiHidden/>
    <w:rsid w:val="00232410"/>
    <w:pPr>
      <w:snapToGrid w:val="0"/>
      <w:ind w:left="280" w:hanging="280"/>
    </w:pPr>
  </w:style>
  <w:style w:type="paragraph" w:styleId="FootnoteText">
    <w:name w:val="footnote text"/>
    <w:basedOn w:val="Normal"/>
    <w:link w:val="FootnoteTextChar1"/>
    <w:uiPriority w:val="99"/>
    <w:rsid w:val="00E210C0"/>
    <w:pPr>
      <w:ind w:left="360" w:hanging="360"/>
    </w:pPr>
    <w:rPr>
      <w:sz w:val="20"/>
    </w:rPr>
  </w:style>
  <w:style w:type="character" w:styleId="FootnoteReference">
    <w:name w:val="footnote reference"/>
    <w:uiPriority w:val="99"/>
    <w:rsid w:val="00232410"/>
    <w:rPr>
      <w:vertAlign w:val="superscript"/>
    </w:rPr>
  </w:style>
  <w:style w:type="paragraph" w:customStyle="1" w:styleId="Final">
    <w:name w:val="Final"/>
    <w:basedOn w:val="Normal"/>
    <w:qFormat/>
    <w:rsid w:val="0029256F"/>
    <w:pPr>
      <w:numPr>
        <w:numId w:val="17"/>
      </w:numPr>
      <w:tabs>
        <w:tab w:val="left" w:pos="1440"/>
        <w:tab w:val="center" w:pos="4320"/>
        <w:tab w:val="right" w:pos="9072"/>
      </w:tabs>
      <w:snapToGrid w:val="0"/>
      <w:spacing w:after="440" w:line="360" w:lineRule="auto"/>
      <w:ind w:left="0" w:firstLine="0"/>
    </w:pPr>
    <w:rPr>
      <w:kern w:val="0"/>
      <w:lang w:val="en-GB"/>
    </w:rPr>
  </w:style>
  <w:style w:type="paragraph" w:styleId="BodyText">
    <w:name w:val="Body Text"/>
    <w:basedOn w:val="Normal"/>
    <w:semiHidden/>
    <w:rsid w:val="00232410"/>
    <w:pPr>
      <w:jc w:val="left"/>
    </w:pPr>
    <w:rPr>
      <w:kern w:val="0"/>
      <w:szCs w:val="24"/>
    </w:rPr>
  </w:style>
  <w:style w:type="paragraph" w:styleId="BodyTextIndent2">
    <w:name w:val="Body Text Indent 2"/>
    <w:basedOn w:val="Normal"/>
    <w:semiHidden/>
    <w:rsid w:val="00232410"/>
    <w:pPr>
      <w:ind w:left="1080"/>
    </w:pPr>
  </w:style>
  <w:style w:type="paragraph" w:styleId="EnvelopeReturn">
    <w:name w:val="envelope return"/>
    <w:basedOn w:val="Normal"/>
    <w:semiHidden/>
    <w:rsid w:val="00232410"/>
    <w:pPr>
      <w:tabs>
        <w:tab w:val="left" w:pos="1440"/>
        <w:tab w:val="center" w:pos="4320"/>
        <w:tab w:val="right" w:pos="9072"/>
      </w:tabs>
      <w:snapToGrid w:val="0"/>
      <w:jc w:val="left"/>
    </w:pPr>
    <w:rPr>
      <w:rFonts w:eastAsia="MingLiU"/>
      <w:kern w:val="0"/>
    </w:rPr>
  </w:style>
  <w:style w:type="paragraph" w:customStyle="1" w:styleId="ar-quotation">
    <w:name w:val="ar-quotation"/>
    <w:basedOn w:val="Normal"/>
    <w:rsid w:val="00232410"/>
    <w:pPr>
      <w:tabs>
        <w:tab w:val="left" w:pos="1440"/>
        <w:tab w:val="left" w:pos="2160"/>
      </w:tabs>
      <w:snapToGrid w:val="0"/>
      <w:spacing w:before="240"/>
      <w:ind w:left="1440" w:right="720"/>
      <w:jc w:val="left"/>
    </w:pPr>
    <w:rPr>
      <w:rFonts w:eastAsia="MingLiU"/>
      <w:kern w:val="0"/>
      <w:sz w:val="24"/>
      <w:lang w:val="en-GB"/>
    </w:rPr>
  </w:style>
  <w:style w:type="paragraph" w:customStyle="1" w:styleId="ar-draft">
    <w:name w:val="ar-draft"/>
    <w:basedOn w:val="Normal"/>
    <w:rsid w:val="00232410"/>
    <w:pPr>
      <w:numPr>
        <w:numId w:val="2"/>
      </w:numPr>
      <w:tabs>
        <w:tab w:val="clear" w:pos="360"/>
        <w:tab w:val="left" w:pos="1440"/>
      </w:tabs>
      <w:snapToGrid w:val="0"/>
      <w:spacing w:before="600" w:line="600" w:lineRule="exact"/>
      <w:jc w:val="left"/>
    </w:pPr>
    <w:rPr>
      <w:rFonts w:eastAsia="MingLiU"/>
      <w:kern w:val="0"/>
      <w:lang w:val="en-GB"/>
    </w:rPr>
  </w:style>
  <w:style w:type="paragraph" w:styleId="BodyText2">
    <w:name w:val="Body Text 2"/>
    <w:basedOn w:val="Normal"/>
    <w:semiHidden/>
    <w:rsid w:val="00232410"/>
    <w:pPr>
      <w:kinsoku w:val="0"/>
      <w:overflowPunct w:val="0"/>
      <w:autoSpaceDE w:val="0"/>
      <w:autoSpaceDN w:val="0"/>
      <w:adjustRightInd w:val="0"/>
      <w:snapToGrid w:val="0"/>
    </w:pPr>
    <w:rPr>
      <w:rFonts w:eastAsia="MingLiU"/>
      <w:bCs/>
      <w:i/>
      <w:iCs/>
      <w:snapToGrid w:val="0"/>
      <w:kern w:val="0"/>
      <w:sz w:val="24"/>
      <w:lang w:val="en-GB"/>
    </w:rPr>
  </w:style>
  <w:style w:type="paragraph" w:styleId="BodyText3">
    <w:name w:val="Body Text 3"/>
    <w:basedOn w:val="Normal"/>
    <w:semiHidden/>
    <w:rsid w:val="00232410"/>
    <w:pPr>
      <w:kinsoku w:val="0"/>
      <w:overflowPunct w:val="0"/>
      <w:autoSpaceDE w:val="0"/>
      <w:autoSpaceDN w:val="0"/>
      <w:adjustRightInd w:val="0"/>
      <w:snapToGrid w:val="0"/>
    </w:pPr>
    <w:rPr>
      <w:rFonts w:eastAsia="MingLiU"/>
      <w:bCs/>
      <w:snapToGrid w:val="0"/>
      <w:kern w:val="0"/>
      <w:sz w:val="24"/>
      <w:lang w:val="en-GB"/>
    </w:rPr>
  </w:style>
  <w:style w:type="paragraph" w:styleId="BodyTextIndent3">
    <w:name w:val="Body Text Indent 3"/>
    <w:basedOn w:val="Normal"/>
    <w:semiHidden/>
    <w:rsid w:val="00232410"/>
    <w:pPr>
      <w:ind w:left="648" w:hanging="648"/>
    </w:pPr>
  </w:style>
  <w:style w:type="character" w:customStyle="1" w:styleId="Heading5Char">
    <w:name w:val="Heading 5 Char"/>
    <w:semiHidden/>
    <w:rsid w:val="00232410"/>
    <w:rPr>
      <w:rFonts w:ascii="Calibri" w:eastAsia="宋体" w:hAnsi="Calibri" w:cs="Times New Roman"/>
      <w:b/>
      <w:bCs/>
      <w:i/>
      <w:iCs/>
      <w:kern w:val="2"/>
      <w:sz w:val="26"/>
      <w:szCs w:val="26"/>
    </w:rPr>
  </w:style>
  <w:style w:type="character" w:customStyle="1" w:styleId="Heading6Char">
    <w:name w:val="Heading 6 Char"/>
    <w:semiHidden/>
    <w:rsid w:val="00232410"/>
    <w:rPr>
      <w:rFonts w:ascii="Calibri" w:eastAsia="宋体" w:hAnsi="Calibri" w:cs="Times New Roman"/>
      <w:b/>
      <w:bCs/>
      <w:kern w:val="2"/>
      <w:sz w:val="22"/>
      <w:szCs w:val="22"/>
    </w:rPr>
  </w:style>
  <w:style w:type="paragraph" w:styleId="BalloonText">
    <w:name w:val="Balloon Text"/>
    <w:basedOn w:val="Normal"/>
    <w:semiHidden/>
    <w:unhideWhenUsed/>
    <w:rsid w:val="00232410"/>
    <w:rPr>
      <w:rFonts w:ascii="Tahoma" w:hAnsi="Tahoma" w:cs="Tahoma"/>
      <w:sz w:val="16"/>
      <w:szCs w:val="16"/>
    </w:rPr>
  </w:style>
  <w:style w:type="character" w:customStyle="1" w:styleId="BalloonTextChar">
    <w:name w:val="Balloon Text Char"/>
    <w:semiHidden/>
    <w:rsid w:val="00232410"/>
    <w:rPr>
      <w:rFonts w:ascii="Tahoma" w:hAnsi="Tahoma" w:cs="Tahoma"/>
      <w:kern w:val="2"/>
      <w:sz w:val="16"/>
      <w:szCs w:val="16"/>
    </w:rPr>
  </w:style>
  <w:style w:type="paragraph" w:styleId="ListParagraph">
    <w:name w:val="List Paragraph"/>
    <w:basedOn w:val="Normal"/>
    <w:link w:val="ListParagraphChar"/>
    <w:uiPriority w:val="34"/>
    <w:qFormat/>
    <w:rsid w:val="00232410"/>
  </w:style>
  <w:style w:type="paragraph" w:customStyle="1" w:styleId="subheadinginbold">
    <w:name w:val="subheading (in bold)"/>
    <w:basedOn w:val="subheadinginitalic"/>
    <w:qFormat/>
    <w:rsid w:val="00232410"/>
    <w:rPr>
      <w:rFonts w:eastAsia="宋体"/>
      <w:b/>
      <w:i w:val="0"/>
    </w:rPr>
  </w:style>
  <w:style w:type="paragraph" w:customStyle="1" w:styleId="Style">
    <w:name w:val="Style"/>
    <w:rsid w:val="00232410"/>
    <w:pPr>
      <w:widowControl w:val="0"/>
      <w:autoSpaceDE w:val="0"/>
      <w:autoSpaceDN w:val="0"/>
      <w:adjustRightInd w:val="0"/>
      <w:ind w:left="720" w:hanging="720"/>
      <w:jc w:val="both"/>
    </w:pPr>
    <w:rPr>
      <w:kern w:val="2"/>
      <w:sz w:val="24"/>
      <w:szCs w:val="24"/>
    </w:rPr>
  </w:style>
  <w:style w:type="paragraph" w:styleId="NormalWeb">
    <w:name w:val="Normal (Web)"/>
    <w:basedOn w:val="Normal"/>
    <w:semiHidden/>
    <w:unhideWhenUsed/>
    <w:rsid w:val="00232410"/>
    <w:pPr>
      <w:spacing w:before="100" w:beforeAutospacing="1" w:after="100" w:afterAutospacing="1"/>
      <w:jc w:val="left"/>
    </w:pPr>
    <w:rPr>
      <w:rFonts w:eastAsia="Times New Roman"/>
      <w:kern w:val="0"/>
      <w:sz w:val="24"/>
      <w:szCs w:val="24"/>
    </w:rPr>
  </w:style>
  <w:style w:type="paragraph" w:customStyle="1" w:styleId="Text1">
    <w:name w:val="Text 1"/>
    <w:basedOn w:val="Normal"/>
    <w:qFormat/>
    <w:rsid w:val="00232410"/>
    <w:pPr>
      <w:numPr>
        <w:numId w:val="3"/>
      </w:numPr>
      <w:spacing w:line="276" w:lineRule="auto"/>
      <w:ind w:hanging="720"/>
    </w:pPr>
    <w:rPr>
      <w:rFonts w:eastAsia="PMingLiU"/>
      <w:kern w:val="0"/>
      <w:sz w:val="24"/>
      <w:szCs w:val="22"/>
      <w:lang w:val="en-GB"/>
    </w:rPr>
  </w:style>
  <w:style w:type="paragraph" w:customStyle="1" w:styleId="Text3">
    <w:name w:val="Text 3"/>
    <w:basedOn w:val="Text2"/>
    <w:uiPriority w:val="2"/>
    <w:qFormat/>
    <w:rsid w:val="00232410"/>
    <w:pPr>
      <w:numPr>
        <w:ilvl w:val="2"/>
      </w:numPr>
      <w:tabs>
        <w:tab w:val="num" w:pos="3150"/>
      </w:tabs>
      <w:ind w:left="3150" w:hanging="720"/>
    </w:pPr>
  </w:style>
  <w:style w:type="paragraph" w:customStyle="1" w:styleId="Text2">
    <w:name w:val="Text 2"/>
    <w:basedOn w:val="Text1"/>
    <w:uiPriority w:val="1"/>
    <w:qFormat/>
    <w:rsid w:val="00232410"/>
    <w:pPr>
      <w:numPr>
        <w:ilvl w:val="1"/>
      </w:numPr>
      <w:tabs>
        <w:tab w:val="num" w:pos="2430"/>
      </w:tabs>
      <w:ind w:left="2430" w:hanging="720"/>
    </w:pPr>
  </w:style>
  <w:style w:type="paragraph" w:styleId="Quote">
    <w:name w:val="Quote"/>
    <w:basedOn w:val="Normal"/>
    <w:next w:val="Normal"/>
    <w:link w:val="QuoteChar"/>
    <w:uiPriority w:val="29"/>
    <w:qFormat/>
    <w:rsid w:val="00232410"/>
    <w:pPr>
      <w:spacing w:line="276" w:lineRule="auto"/>
      <w:ind w:left="1418" w:right="855"/>
    </w:pPr>
    <w:rPr>
      <w:rFonts w:eastAsia="PMingLiU"/>
      <w:i/>
      <w:iCs/>
      <w:color w:val="000000"/>
      <w:kern w:val="0"/>
      <w:sz w:val="24"/>
      <w:szCs w:val="22"/>
      <w:lang w:val="en-GB" w:eastAsia="zh-TW"/>
    </w:rPr>
  </w:style>
  <w:style w:type="paragraph" w:customStyle="1" w:styleId="CellBody">
    <w:name w:val="CellBody"/>
    <w:basedOn w:val="Normal"/>
    <w:rsid w:val="00232410"/>
    <w:pPr>
      <w:spacing w:before="60" w:after="60" w:line="290" w:lineRule="auto"/>
      <w:jc w:val="left"/>
    </w:pPr>
    <w:rPr>
      <w:rFonts w:ascii="Arial" w:eastAsia="Times New Roman" w:hAnsi="Arial"/>
      <w:kern w:val="20"/>
      <w:sz w:val="20"/>
      <w:lang w:val="en-GB" w:eastAsia="en-GB"/>
    </w:rPr>
  </w:style>
  <w:style w:type="character" w:customStyle="1" w:styleId="apple-converted-space">
    <w:name w:val="apple-converted-space"/>
    <w:basedOn w:val="DefaultParagraphFont"/>
    <w:rsid w:val="00232410"/>
  </w:style>
  <w:style w:type="paragraph" w:customStyle="1" w:styleId="Style1">
    <w:name w:val="Style1"/>
    <w:basedOn w:val="Normal"/>
    <w:autoRedefine/>
    <w:rsid w:val="00232410"/>
    <w:pPr>
      <w:numPr>
        <w:numId w:val="4"/>
      </w:numPr>
      <w:spacing w:line="360" w:lineRule="auto"/>
      <w:jc w:val="left"/>
    </w:pPr>
    <w:rPr>
      <w:rFonts w:ascii="Calibri" w:eastAsia="Times New Roman" w:hAnsi="Calibri"/>
      <w:color w:val="008000"/>
      <w:kern w:val="0"/>
      <w:szCs w:val="24"/>
      <w:lang w:eastAsia="en-US"/>
    </w:rPr>
  </w:style>
  <w:style w:type="character" w:customStyle="1" w:styleId="FooterChar">
    <w:name w:val="Footer Char"/>
    <w:uiPriority w:val="99"/>
    <w:locked/>
    <w:rsid w:val="00232410"/>
    <w:rPr>
      <w:rFonts w:cs="Times New Roman"/>
      <w:sz w:val="20"/>
      <w:szCs w:val="20"/>
    </w:rPr>
  </w:style>
  <w:style w:type="character" w:customStyle="1" w:styleId="FootnoteTextChar">
    <w:name w:val="Footnote Text Char"/>
    <w:uiPriority w:val="99"/>
    <w:rsid w:val="00232410"/>
    <w:rPr>
      <w:sz w:val="20"/>
      <w:szCs w:val="20"/>
    </w:rPr>
  </w:style>
  <w:style w:type="character" w:customStyle="1" w:styleId="HeaderChar">
    <w:name w:val="Header Char"/>
    <w:uiPriority w:val="99"/>
    <w:rsid w:val="00232410"/>
    <w:rPr>
      <w:sz w:val="26"/>
      <w:szCs w:val="22"/>
    </w:rPr>
  </w:style>
  <w:style w:type="paragraph" w:styleId="NoSpacing">
    <w:name w:val="No Spacing"/>
    <w:qFormat/>
    <w:rsid w:val="00232410"/>
    <w:pPr>
      <w:jc w:val="both"/>
    </w:pPr>
    <w:rPr>
      <w:rFonts w:eastAsia="PMingLiU"/>
      <w:sz w:val="26"/>
      <w:szCs w:val="22"/>
      <w:lang w:val="en-GB" w:eastAsia="zh-TW"/>
    </w:rPr>
  </w:style>
  <w:style w:type="paragraph" w:styleId="Revision">
    <w:name w:val="Revision"/>
    <w:hidden/>
    <w:semiHidden/>
    <w:rsid w:val="00232410"/>
    <w:rPr>
      <w:rFonts w:eastAsia="PMingLiU"/>
      <w:sz w:val="26"/>
      <w:szCs w:val="22"/>
      <w:lang w:val="en-GB" w:eastAsia="zh-TW"/>
    </w:rPr>
  </w:style>
  <w:style w:type="paragraph" w:customStyle="1" w:styleId="text">
    <w:name w:val="text"/>
    <w:basedOn w:val="Normal"/>
    <w:rsid w:val="00232410"/>
    <w:pPr>
      <w:spacing w:line="480" w:lineRule="auto"/>
      <w:ind w:left="0" w:firstLine="0"/>
    </w:pPr>
    <w:rPr>
      <w:rFonts w:eastAsia="Times New Roman"/>
      <w:kern w:val="0"/>
      <w:sz w:val="24"/>
      <w:lang w:val="en-GB" w:eastAsia="en-GB"/>
    </w:rPr>
  </w:style>
  <w:style w:type="paragraph" w:styleId="Title">
    <w:name w:val="Title"/>
    <w:basedOn w:val="Normal"/>
    <w:qFormat/>
    <w:rsid w:val="00232410"/>
    <w:pPr>
      <w:widowControl w:val="0"/>
      <w:snapToGrid w:val="0"/>
      <w:ind w:left="0" w:firstLine="0"/>
      <w:jc w:val="center"/>
    </w:pPr>
  </w:style>
  <w:style w:type="paragraph" w:customStyle="1" w:styleId="qt">
    <w:name w:val="qt"/>
    <w:rsid w:val="00232410"/>
    <w:pPr>
      <w:spacing w:before="60"/>
      <w:ind w:left="720" w:right="720"/>
    </w:pPr>
    <w:rPr>
      <w:sz w:val="26"/>
      <w:lang w:val="en-GB" w:eastAsia="en-US"/>
    </w:rPr>
  </w:style>
  <w:style w:type="paragraph" w:customStyle="1" w:styleId="paraleft">
    <w:name w:val="paraleft"/>
    <w:rsid w:val="00232410"/>
    <w:pPr>
      <w:spacing w:line="480" w:lineRule="auto"/>
      <w:jc w:val="both"/>
    </w:pPr>
    <w:rPr>
      <w:sz w:val="26"/>
      <w:lang w:val="en-GB" w:eastAsia="en-US"/>
    </w:rPr>
  </w:style>
  <w:style w:type="character" w:customStyle="1" w:styleId="case">
    <w:name w:val="case"/>
    <w:rsid w:val="00232410"/>
    <w:rPr>
      <w:i/>
    </w:rPr>
  </w:style>
  <w:style w:type="character" w:customStyle="1" w:styleId="case0">
    <w:name w:val="/case"/>
    <w:basedOn w:val="DefaultParagraphFont"/>
    <w:rsid w:val="00232410"/>
  </w:style>
  <w:style w:type="character" w:customStyle="1" w:styleId="dtref">
    <w:name w:val="dtref"/>
    <w:rsid w:val="00232410"/>
    <w:rPr>
      <w:rFonts w:ascii="Times New Roman" w:hAnsi="Times New Roman"/>
    </w:rPr>
  </w:style>
  <w:style w:type="character" w:customStyle="1" w:styleId="ref">
    <w:name w:val="ref"/>
    <w:rsid w:val="00232410"/>
    <w:rPr>
      <w:rFonts w:ascii="Times New Roman" w:hAnsi="Times New Roman"/>
    </w:rPr>
  </w:style>
  <w:style w:type="character" w:customStyle="1" w:styleId="ref0">
    <w:name w:val="/ref"/>
    <w:rsid w:val="00232410"/>
  </w:style>
  <w:style w:type="paragraph" w:customStyle="1" w:styleId="subheading">
    <w:name w:val="subheading"/>
    <w:next w:val="Normal"/>
    <w:rsid w:val="00232410"/>
    <w:pPr>
      <w:keepNext/>
      <w:snapToGrid w:val="0"/>
      <w:spacing w:before="600" w:line="360" w:lineRule="auto"/>
    </w:pPr>
    <w:rPr>
      <w:rFonts w:eastAsia="MingLiU"/>
      <w:i/>
      <w:sz w:val="28"/>
    </w:rPr>
  </w:style>
  <w:style w:type="paragraph" w:styleId="ListBullet">
    <w:name w:val="List Bullet"/>
    <w:basedOn w:val="Normal"/>
    <w:autoRedefine/>
    <w:semiHidden/>
    <w:rsid w:val="00232410"/>
    <w:pPr>
      <w:numPr>
        <w:numId w:val="5"/>
      </w:numPr>
      <w:jc w:val="left"/>
    </w:pPr>
    <w:rPr>
      <w:kern w:val="0"/>
      <w:sz w:val="24"/>
      <w:szCs w:val="24"/>
    </w:rPr>
  </w:style>
  <w:style w:type="paragraph" w:styleId="ListBullet2">
    <w:name w:val="List Bullet 2"/>
    <w:basedOn w:val="Normal"/>
    <w:autoRedefine/>
    <w:semiHidden/>
    <w:rsid w:val="00232410"/>
    <w:pPr>
      <w:numPr>
        <w:numId w:val="6"/>
      </w:numPr>
      <w:jc w:val="left"/>
    </w:pPr>
    <w:rPr>
      <w:kern w:val="0"/>
      <w:sz w:val="24"/>
      <w:szCs w:val="24"/>
    </w:rPr>
  </w:style>
  <w:style w:type="paragraph" w:styleId="ListBullet3">
    <w:name w:val="List Bullet 3"/>
    <w:basedOn w:val="Normal"/>
    <w:autoRedefine/>
    <w:semiHidden/>
    <w:rsid w:val="00232410"/>
    <w:pPr>
      <w:numPr>
        <w:numId w:val="7"/>
      </w:numPr>
      <w:jc w:val="left"/>
    </w:pPr>
    <w:rPr>
      <w:kern w:val="0"/>
      <w:sz w:val="24"/>
      <w:szCs w:val="24"/>
    </w:rPr>
  </w:style>
  <w:style w:type="paragraph" w:styleId="ListBullet4">
    <w:name w:val="List Bullet 4"/>
    <w:basedOn w:val="Normal"/>
    <w:autoRedefine/>
    <w:semiHidden/>
    <w:rsid w:val="00232410"/>
    <w:pPr>
      <w:numPr>
        <w:numId w:val="8"/>
      </w:numPr>
      <w:jc w:val="left"/>
    </w:pPr>
    <w:rPr>
      <w:kern w:val="0"/>
      <w:sz w:val="24"/>
      <w:szCs w:val="24"/>
    </w:rPr>
  </w:style>
  <w:style w:type="paragraph" w:styleId="ListBullet5">
    <w:name w:val="List Bullet 5"/>
    <w:basedOn w:val="Normal"/>
    <w:autoRedefine/>
    <w:semiHidden/>
    <w:rsid w:val="00232410"/>
    <w:pPr>
      <w:numPr>
        <w:numId w:val="9"/>
      </w:numPr>
      <w:jc w:val="left"/>
    </w:pPr>
    <w:rPr>
      <w:kern w:val="0"/>
      <w:sz w:val="24"/>
      <w:szCs w:val="24"/>
    </w:rPr>
  </w:style>
  <w:style w:type="paragraph" w:styleId="ListNumber">
    <w:name w:val="List Number"/>
    <w:basedOn w:val="Normal"/>
    <w:semiHidden/>
    <w:rsid w:val="00232410"/>
    <w:pPr>
      <w:numPr>
        <w:numId w:val="10"/>
      </w:numPr>
      <w:jc w:val="left"/>
    </w:pPr>
    <w:rPr>
      <w:kern w:val="0"/>
      <w:sz w:val="24"/>
      <w:szCs w:val="24"/>
    </w:rPr>
  </w:style>
  <w:style w:type="paragraph" w:styleId="ListNumber2">
    <w:name w:val="List Number 2"/>
    <w:basedOn w:val="Normal"/>
    <w:semiHidden/>
    <w:rsid w:val="00232410"/>
    <w:pPr>
      <w:numPr>
        <w:numId w:val="11"/>
      </w:numPr>
      <w:jc w:val="left"/>
    </w:pPr>
    <w:rPr>
      <w:kern w:val="0"/>
      <w:sz w:val="24"/>
      <w:szCs w:val="24"/>
    </w:rPr>
  </w:style>
  <w:style w:type="paragraph" w:styleId="ListNumber3">
    <w:name w:val="List Number 3"/>
    <w:basedOn w:val="Normal"/>
    <w:semiHidden/>
    <w:rsid w:val="00232410"/>
    <w:pPr>
      <w:numPr>
        <w:numId w:val="12"/>
      </w:numPr>
      <w:jc w:val="left"/>
    </w:pPr>
    <w:rPr>
      <w:kern w:val="0"/>
      <w:sz w:val="24"/>
      <w:szCs w:val="24"/>
    </w:rPr>
  </w:style>
  <w:style w:type="paragraph" w:styleId="ListNumber4">
    <w:name w:val="List Number 4"/>
    <w:basedOn w:val="Normal"/>
    <w:semiHidden/>
    <w:rsid w:val="00232410"/>
    <w:pPr>
      <w:numPr>
        <w:numId w:val="13"/>
      </w:numPr>
      <w:jc w:val="left"/>
    </w:pPr>
    <w:rPr>
      <w:kern w:val="0"/>
      <w:sz w:val="24"/>
      <w:szCs w:val="24"/>
    </w:rPr>
  </w:style>
  <w:style w:type="paragraph" w:styleId="ListNumber5">
    <w:name w:val="List Number 5"/>
    <w:basedOn w:val="Normal"/>
    <w:semiHidden/>
    <w:rsid w:val="00232410"/>
    <w:pPr>
      <w:numPr>
        <w:numId w:val="14"/>
      </w:numPr>
      <w:jc w:val="left"/>
    </w:pPr>
    <w:rPr>
      <w:kern w:val="0"/>
      <w:sz w:val="24"/>
      <w:szCs w:val="24"/>
    </w:rPr>
  </w:style>
  <w:style w:type="character" w:customStyle="1" w:styleId="italic">
    <w:name w:val="italic"/>
    <w:basedOn w:val="DefaultParagraphFont"/>
    <w:rsid w:val="00232410"/>
  </w:style>
  <w:style w:type="character" w:customStyle="1" w:styleId="ro">
    <w:name w:val="ro"/>
    <w:basedOn w:val="DefaultParagraphFont"/>
    <w:rsid w:val="00232410"/>
  </w:style>
  <w:style w:type="paragraph" w:customStyle="1" w:styleId="Style3">
    <w:name w:val="Style3"/>
    <w:basedOn w:val="Normal"/>
    <w:qFormat/>
    <w:rsid w:val="00232410"/>
    <w:pPr>
      <w:spacing w:line="360" w:lineRule="auto"/>
      <w:ind w:left="0" w:firstLine="0"/>
    </w:pPr>
    <w:rPr>
      <w:kern w:val="0"/>
      <w:szCs w:val="28"/>
    </w:rPr>
  </w:style>
  <w:style w:type="paragraph" w:styleId="BlockText">
    <w:name w:val="Block Text"/>
    <w:basedOn w:val="Normal"/>
    <w:semiHidden/>
    <w:rsid w:val="00232410"/>
    <w:pPr>
      <w:spacing w:before="120"/>
      <w:ind w:right="600" w:firstLine="0"/>
    </w:pPr>
    <w:rPr>
      <w:sz w:val="20"/>
      <w:szCs w:val="16"/>
    </w:rPr>
  </w:style>
  <w:style w:type="character" w:customStyle="1" w:styleId="QuoteChar">
    <w:name w:val="Quote Char"/>
    <w:link w:val="Quote"/>
    <w:uiPriority w:val="29"/>
    <w:rsid w:val="00381752"/>
    <w:rPr>
      <w:rFonts w:eastAsia="PMingLiU"/>
      <w:i/>
      <w:iCs/>
      <w:color w:val="000000"/>
      <w:sz w:val="24"/>
      <w:szCs w:val="22"/>
      <w:lang w:val="en-GB" w:eastAsia="zh-TW"/>
    </w:rPr>
  </w:style>
  <w:style w:type="character" w:styleId="Strong">
    <w:name w:val="Strong"/>
    <w:uiPriority w:val="22"/>
    <w:qFormat/>
    <w:rsid w:val="002E3DCE"/>
    <w:rPr>
      <w:b/>
      <w:bCs/>
    </w:rPr>
  </w:style>
  <w:style w:type="paragraph" w:customStyle="1" w:styleId="EditedFinal">
    <w:name w:val="Edited Final"/>
    <w:basedOn w:val="Normal"/>
    <w:link w:val="EditedFinalChar"/>
    <w:qFormat/>
    <w:rsid w:val="00B8532F"/>
    <w:pPr>
      <w:numPr>
        <w:numId w:val="15"/>
      </w:numPr>
      <w:tabs>
        <w:tab w:val="clear" w:pos="720"/>
        <w:tab w:val="right" w:pos="0"/>
        <w:tab w:val="num" w:pos="1418"/>
      </w:tabs>
      <w:spacing w:before="440" w:line="360" w:lineRule="auto"/>
      <w:ind w:left="0" w:right="29" w:firstLine="0"/>
    </w:pPr>
    <w:rPr>
      <w:szCs w:val="28"/>
      <w:lang w:val="en-GB"/>
    </w:rPr>
  </w:style>
  <w:style w:type="character" w:customStyle="1" w:styleId="Heading2Char">
    <w:name w:val="Heading 2 Char"/>
    <w:link w:val="Heading2"/>
    <w:rsid w:val="0020155E"/>
    <w:rPr>
      <w:b/>
      <w:bCs/>
      <w:kern w:val="2"/>
    </w:rPr>
  </w:style>
  <w:style w:type="character" w:customStyle="1" w:styleId="EditedFinalChar">
    <w:name w:val="Edited Final Char"/>
    <w:link w:val="EditedFinal"/>
    <w:rsid w:val="00B8532F"/>
    <w:rPr>
      <w:kern w:val="2"/>
      <w:sz w:val="28"/>
      <w:szCs w:val="28"/>
      <w:lang w:val="en-GB"/>
    </w:rPr>
  </w:style>
  <w:style w:type="character" w:customStyle="1" w:styleId="Heading3Char">
    <w:name w:val="Heading 3 Char"/>
    <w:link w:val="Heading3"/>
    <w:rsid w:val="0020155E"/>
    <w:rPr>
      <w:b/>
      <w:bCs/>
      <w:kern w:val="2"/>
    </w:rPr>
  </w:style>
  <w:style w:type="character" w:customStyle="1" w:styleId="Heading4Char">
    <w:name w:val="Heading 4 Char"/>
    <w:link w:val="Heading4"/>
    <w:rsid w:val="0020155E"/>
    <w:rPr>
      <w:b/>
      <w:kern w:val="2"/>
      <w:sz w:val="21"/>
    </w:rPr>
  </w:style>
  <w:style w:type="paragraph" w:customStyle="1" w:styleId="1Quotation">
    <w:name w:val="1 Quotation"/>
    <w:basedOn w:val="ListParagraph"/>
    <w:link w:val="1QuotationChar"/>
    <w:qFormat/>
    <w:rsid w:val="007F5E6D"/>
    <w:pPr>
      <w:snapToGrid w:val="0"/>
      <w:spacing w:before="240"/>
      <w:ind w:left="1440" w:right="748" w:firstLine="0"/>
    </w:pPr>
    <w:rPr>
      <w:sz w:val="24"/>
      <w:szCs w:val="24"/>
    </w:rPr>
  </w:style>
  <w:style w:type="paragraph" w:customStyle="1" w:styleId="HCstandard-Quotation">
    <w:name w:val="HC standard - Quotation"/>
    <w:basedOn w:val="Normal"/>
    <w:link w:val="HCstandard-QuotationChar"/>
    <w:qFormat/>
    <w:rsid w:val="00D4278A"/>
    <w:pPr>
      <w:tabs>
        <w:tab w:val="right" w:pos="0"/>
      </w:tabs>
      <w:spacing w:before="240"/>
      <w:ind w:left="1440" w:right="749" w:firstLine="0"/>
    </w:pPr>
    <w:rPr>
      <w:sz w:val="24"/>
      <w:szCs w:val="24"/>
    </w:rPr>
  </w:style>
  <w:style w:type="character" w:customStyle="1" w:styleId="ListParagraphChar">
    <w:name w:val="List Paragraph Char"/>
    <w:link w:val="ListParagraph"/>
    <w:uiPriority w:val="34"/>
    <w:rsid w:val="007F5E6D"/>
    <w:rPr>
      <w:kern w:val="2"/>
      <w:sz w:val="28"/>
    </w:rPr>
  </w:style>
  <w:style w:type="character" w:customStyle="1" w:styleId="1QuotationChar">
    <w:name w:val="1 Quotation Char"/>
    <w:basedOn w:val="ListParagraphChar"/>
    <w:link w:val="1Quotation"/>
    <w:rsid w:val="007F5E6D"/>
    <w:rPr>
      <w:kern w:val="2"/>
      <w:sz w:val="28"/>
    </w:rPr>
  </w:style>
  <w:style w:type="table" w:styleId="TableGrid">
    <w:name w:val="Table Grid"/>
    <w:basedOn w:val="TableNormal"/>
    <w:uiPriority w:val="39"/>
    <w:qFormat/>
    <w:rsid w:val="00B12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Cstandard-QuotationChar">
    <w:name w:val="HC standard - Quotation Char"/>
    <w:link w:val="HCstandard-Quotation"/>
    <w:rsid w:val="00D4278A"/>
    <w:rPr>
      <w:kern w:val="2"/>
      <w:sz w:val="24"/>
      <w:szCs w:val="24"/>
    </w:rPr>
  </w:style>
  <w:style w:type="paragraph" w:customStyle="1" w:styleId="HC-Hanging">
    <w:name w:val="HC - Hanging"/>
    <w:basedOn w:val="Normal"/>
    <w:link w:val="HC-HangingChar"/>
    <w:qFormat/>
    <w:rsid w:val="00390978"/>
    <w:pPr>
      <w:numPr>
        <w:ilvl w:val="1"/>
        <w:numId w:val="17"/>
      </w:numPr>
      <w:tabs>
        <w:tab w:val="left" w:pos="1440"/>
      </w:tabs>
      <w:spacing w:before="120" w:line="440" w:lineRule="exact"/>
    </w:pPr>
    <w:rPr>
      <w:szCs w:val="28"/>
    </w:rPr>
  </w:style>
  <w:style w:type="paragraph" w:customStyle="1" w:styleId="loose">
    <w:name w:val="loose"/>
    <w:basedOn w:val="Normal"/>
    <w:rsid w:val="004A064A"/>
    <w:pPr>
      <w:spacing w:before="100" w:beforeAutospacing="1" w:after="100" w:afterAutospacing="1"/>
      <w:ind w:left="0" w:firstLine="0"/>
      <w:jc w:val="left"/>
    </w:pPr>
    <w:rPr>
      <w:rFonts w:eastAsia="Times New Roman"/>
      <w:kern w:val="0"/>
      <w:sz w:val="24"/>
      <w:szCs w:val="24"/>
    </w:rPr>
  </w:style>
  <w:style w:type="character" w:customStyle="1" w:styleId="HC-HangingChar">
    <w:name w:val="HC - Hanging Char"/>
    <w:link w:val="HC-Hanging"/>
    <w:rsid w:val="00390978"/>
    <w:rPr>
      <w:kern w:val="2"/>
      <w:sz w:val="28"/>
      <w:szCs w:val="28"/>
    </w:rPr>
  </w:style>
  <w:style w:type="character" w:customStyle="1" w:styleId="bold">
    <w:name w:val="bold"/>
    <w:rsid w:val="004A064A"/>
  </w:style>
  <w:style w:type="character" w:styleId="Hyperlink">
    <w:name w:val="Hyperlink"/>
    <w:uiPriority w:val="99"/>
    <w:unhideWhenUsed/>
    <w:rsid w:val="004A064A"/>
    <w:rPr>
      <w:color w:val="0000FF"/>
      <w:u w:val="single"/>
    </w:rPr>
  </w:style>
  <w:style w:type="paragraph" w:customStyle="1" w:styleId="H1">
    <w:name w:val="H1"/>
    <w:basedOn w:val="EditedFinal"/>
    <w:qFormat/>
    <w:rsid w:val="00E16198"/>
    <w:pPr>
      <w:numPr>
        <w:numId w:val="0"/>
      </w:numPr>
      <w:spacing w:before="0" w:after="360" w:line="240" w:lineRule="auto"/>
    </w:pPr>
    <w:rPr>
      <w:i/>
    </w:rPr>
  </w:style>
  <w:style w:type="character" w:styleId="PlaceholderText">
    <w:name w:val="Placeholder Text"/>
    <w:uiPriority w:val="99"/>
    <w:semiHidden/>
    <w:rsid w:val="0038064B"/>
    <w:rPr>
      <w:color w:val="808080"/>
    </w:rPr>
  </w:style>
  <w:style w:type="numbering" w:customStyle="1" w:styleId="Numbered">
    <w:name w:val="Numbered"/>
    <w:rsid w:val="00B70555"/>
    <w:pPr>
      <w:numPr>
        <w:numId w:val="16"/>
      </w:numPr>
    </w:pPr>
  </w:style>
  <w:style w:type="character" w:styleId="Emphasis">
    <w:name w:val="Emphasis"/>
    <w:basedOn w:val="DefaultParagraphFont"/>
    <w:uiPriority w:val="20"/>
    <w:qFormat/>
    <w:rsid w:val="00C50CFD"/>
    <w:rPr>
      <w:i/>
      <w:iCs/>
    </w:rPr>
  </w:style>
  <w:style w:type="character" w:customStyle="1" w:styleId="bold1">
    <w:name w:val="bold1"/>
    <w:basedOn w:val="DefaultParagraphFont"/>
    <w:rsid w:val="00746CA4"/>
    <w:rPr>
      <w:b/>
      <w:bCs/>
    </w:rPr>
  </w:style>
  <w:style w:type="character" w:customStyle="1" w:styleId="italic1">
    <w:name w:val="italic1"/>
    <w:basedOn w:val="DefaultParagraphFont"/>
    <w:rsid w:val="00746CA4"/>
    <w:rPr>
      <w:i/>
      <w:iCs/>
    </w:rPr>
  </w:style>
  <w:style w:type="character" w:customStyle="1" w:styleId="underline1">
    <w:name w:val="underline1"/>
    <w:basedOn w:val="DefaultParagraphFont"/>
    <w:rsid w:val="007D368C"/>
    <w:rPr>
      <w:u w:val="single"/>
    </w:rPr>
  </w:style>
  <w:style w:type="paragraph" w:styleId="EndnoteText">
    <w:name w:val="endnote text"/>
    <w:basedOn w:val="Normal"/>
    <w:link w:val="EndnoteTextChar"/>
    <w:uiPriority w:val="99"/>
    <w:semiHidden/>
    <w:unhideWhenUsed/>
    <w:rsid w:val="00AB6BA7"/>
    <w:rPr>
      <w:sz w:val="20"/>
    </w:rPr>
  </w:style>
  <w:style w:type="character" w:customStyle="1" w:styleId="EndnoteTextChar">
    <w:name w:val="Endnote Text Char"/>
    <w:basedOn w:val="DefaultParagraphFont"/>
    <w:link w:val="EndnoteText"/>
    <w:uiPriority w:val="99"/>
    <w:semiHidden/>
    <w:rsid w:val="00AB6BA7"/>
    <w:rPr>
      <w:kern w:val="2"/>
    </w:rPr>
  </w:style>
  <w:style w:type="character" w:styleId="EndnoteReference">
    <w:name w:val="endnote reference"/>
    <w:basedOn w:val="DefaultParagraphFont"/>
    <w:uiPriority w:val="99"/>
    <w:semiHidden/>
    <w:unhideWhenUsed/>
    <w:rsid w:val="00AB6BA7"/>
    <w:rPr>
      <w:vertAlign w:val="superscript"/>
    </w:rPr>
  </w:style>
  <w:style w:type="paragraph" w:customStyle="1" w:styleId="1QuotationEnd">
    <w:name w:val="1 Quotation End"/>
    <w:basedOn w:val="1Quotation"/>
    <w:qFormat/>
    <w:rsid w:val="00E16198"/>
    <w:pPr>
      <w:spacing w:after="520"/>
      <w:ind w:right="749"/>
    </w:pPr>
  </w:style>
  <w:style w:type="paragraph" w:customStyle="1" w:styleId="FinalEnd">
    <w:name w:val="Final End"/>
    <w:basedOn w:val="Final"/>
    <w:qFormat/>
    <w:rsid w:val="00E16198"/>
    <w:pPr>
      <w:spacing w:after="0"/>
    </w:pPr>
  </w:style>
  <w:style w:type="paragraph" w:customStyle="1" w:styleId="Body">
    <w:name w:val="Body"/>
    <w:rsid w:val="00273BC5"/>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customStyle="1" w:styleId="HC-Title">
    <w:name w:val="HC - Title"/>
    <w:basedOn w:val="EditedFinal"/>
    <w:link w:val="HC-TitleChar"/>
    <w:qFormat/>
    <w:rsid w:val="00E44043"/>
    <w:pPr>
      <w:keepNext/>
      <w:numPr>
        <w:numId w:val="0"/>
      </w:numPr>
      <w:tabs>
        <w:tab w:val="left" w:pos="1440"/>
      </w:tabs>
      <w:spacing w:after="360" w:line="240" w:lineRule="auto"/>
    </w:pPr>
    <w:rPr>
      <w:b/>
      <w:i/>
    </w:rPr>
  </w:style>
  <w:style w:type="character" w:customStyle="1" w:styleId="HC-TitleChar">
    <w:name w:val="HC - Title Char"/>
    <w:basedOn w:val="EditedFinalChar"/>
    <w:link w:val="HC-Title"/>
    <w:rsid w:val="00E44043"/>
    <w:rPr>
      <w:b/>
      <w:i/>
      <w:kern w:val="2"/>
      <w:sz w:val="28"/>
      <w:szCs w:val="28"/>
      <w:lang w:val="en-GB"/>
    </w:rPr>
  </w:style>
  <w:style w:type="character" w:customStyle="1" w:styleId="FootnoteTextChar1">
    <w:name w:val="Footnote Text Char1"/>
    <w:basedOn w:val="DefaultParagraphFont"/>
    <w:link w:val="FootnoteText"/>
    <w:uiPriority w:val="99"/>
    <w:rsid w:val="002B20B3"/>
    <w:rPr>
      <w:kern w:val="2"/>
    </w:rPr>
  </w:style>
  <w:style w:type="character" w:customStyle="1" w:styleId="ssit2">
    <w:name w:val="ss_it2"/>
    <w:basedOn w:val="DefaultParagraphFont"/>
    <w:rsid w:val="00064002"/>
    <w:rPr>
      <w:i/>
      <w:iCs/>
    </w:rPr>
  </w:style>
  <w:style w:type="paragraph" w:customStyle="1" w:styleId="Footnote">
    <w:name w:val="Footnote"/>
    <w:basedOn w:val="FootnoteText"/>
    <w:qFormat/>
    <w:rsid w:val="005029B8"/>
    <w:pPr>
      <w:keepNext/>
      <w:tabs>
        <w:tab w:val="left" w:pos="360"/>
      </w:tabs>
      <w:spacing w:after="100"/>
    </w:pPr>
    <w:rPr>
      <w:szCs w:val="24"/>
      <w:lang w:val="en-GB"/>
    </w:rPr>
  </w:style>
  <w:style w:type="paragraph" w:customStyle="1" w:styleId="FWNL1">
    <w:name w:val="FWN_L1"/>
    <w:basedOn w:val="Normal"/>
    <w:rsid w:val="00732646"/>
    <w:pPr>
      <w:numPr>
        <w:numId w:val="24"/>
      </w:numPr>
      <w:spacing w:after="240"/>
      <w:ind w:left="0" w:firstLine="0"/>
    </w:pPr>
    <w:rPr>
      <w:rFonts w:eastAsia="Times New Roman"/>
      <w:kern w:val="0"/>
      <w:sz w:val="24"/>
      <w:lang w:val="en-GB" w:eastAsia="en-US"/>
    </w:rPr>
  </w:style>
  <w:style w:type="paragraph" w:customStyle="1" w:styleId="FWNL2">
    <w:name w:val="FWN_L2"/>
    <w:basedOn w:val="FWNL1"/>
    <w:rsid w:val="00732646"/>
    <w:pPr>
      <w:numPr>
        <w:ilvl w:val="1"/>
      </w:numPr>
    </w:pPr>
  </w:style>
  <w:style w:type="paragraph" w:customStyle="1" w:styleId="FWNL3">
    <w:name w:val="FWN_L3"/>
    <w:basedOn w:val="FWNL2"/>
    <w:rsid w:val="00732646"/>
    <w:pPr>
      <w:numPr>
        <w:ilvl w:val="2"/>
      </w:numPr>
    </w:pPr>
  </w:style>
  <w:style w:type="paragraph" w:customStyle="1" w:styleId="FWNL4">
    <w:name w:val="FWN_L4"/>
    <w:basedOn w:val="FWNL3"/>
    <w:rsid w:val="00732646"/>
    <w:pPr>
      <w:numPr>
        <w:ilvl w:val="3"/>
      </w:numPr>
    </w:pPr>
  </w:style>
  <w:style w:type="paragraph" w:customStyle="1" w:styleId="FWNL5">
    <w:name w:val="FWN_L5"/>
    <w:basedOn w:val="FWNL4"/>
    <w:rsid w:val="00732646"/>
    <w:pPr>
      <w:numPr>
        <w:ilvl w:val="4"/>
      </w:numPr>
    </w:pPr>
  </w:style>
  <w:style w:type="paragraph" w:customStyle="1" w:styleId="FWNL6">
    <w:name w:val="FWN_L6"/>
    <w:basedOn w:val="FWNL5"/>
    <w:rsid w:val="00732646"/>
    <w:pPr>
      <w:numPr>
        <w:ilvl w:val="5"/>
      </w:numPr>
    </w:pPr>
  </w:style>
  <w:style w:type="paragraph" w:customStyle="1" w:styleId="FWNL7">
    <w:name w:val="FWN_L7"/>
    <w:basedOn w:val="FWNL6"/>
    <w:rsid w:val="00732646"/>
    <w:pPr>
      <w:numPr>
        <w:ilvl w:val="6"/>
      </w:numPr>
    </w:pPr>
  </w:style>
  <w:style w:type="paragraph" w:styleId="CommentText">
    <w:name w:val="annotation text"/>
    <w:basedOn w:val="Normal"/>
    <w:link w:val="CommentTextChar"/>
    <w:uiPriority w:val="99"/>
    <w:semiHidden/>
    <w:unhideWhenUsed/>
    <w:rsid w:val="00B67E6B"/>
    <w:rPr>
      <w:sz w:val="20"/>
    </w:rPr>
  </w:style>
  <w:style w:type="character" w:customStyle="1" w:styleId="CommentTextChar">
    <w:name w:val="Comment Text Char"/>
    <w:basedOn w:val="DefaultParagraphFont"/>
    <w:link w:val="CommentText"/>
    <w:uiPriority w:val="99"/>
    <w:semiHidden/>
    <w:rsid w:val="00B67E6B"/>
    <w:rPr>
      <w:kern w:val="2"/>
    </w:rPr>
  </w:style>
  <w:style w:type="paragraph" w:styleId="CommentSubject">
    <w:name w:val="annotation subject"/>
    <w:basedOn w:val="CommentText"/>
    <w:next w:val="CommentText"/>
    <w:link w:val="CommentSubjectChar"/>
    <w:uiPriority w:val="99"/>
    <w:semiHidden/>
    <w:unhideWhenUsed/>
    <w:rsid w:val="00B67E6B"/>
    <w:pPr>
      <w:widowControl w:val="0"/>
      <w:ind w:left="0" w:firstLine="0"/>
      <w:jc w:val="left"/>
    </w:pPr>
    <w:rPr>
      <w:rFonts w:eastAsiaTheme="minorEastAsia" w:cstheme="minorBidi"/>
      <w:b/>
      <w:bCs/>
      <w:kern w:val="0"/>
      <w:lang w:val="en-HK" w:eastAsia="zh-TW"/>
    </w:rPr>
  </w:style>
  <w:style w:type="character" w:customStyle="1" w:styleId="CommentSubjectChar">
    <w:name w:val="Comment Subject Char"/>
    <w:basedOn w:val="CommentTextChar"/>
    <w:link w:val="CommentSubject"/>
    <w:uiPriority w:val="99"/>
    <w:semiHidden/>
    <w:rsid w:val="00B67E6B"/>
    <w:rPr>
      <w:rFonts w:eastAsiaTheme="minorEastAsia" w:cstheme="minorBidi"/>
      <w:b/>
      <w:bCs/>
      <w:kern w:val="2"/>
      <w:lang w:val="en-HK" w:eastAsia="zh-TW"/>
    </w:rPr>
  </w:style>
  <w:style w:type="table" w:customStyle="1" w:styleId="TableGrid0">
    <w:name w:val="TableGrid"/>
    <w:rsid w:val="00B87124"/>
    <w:rPr>
      <w:rFonts w:asciiTheme="minorHAnsi" w:hAnsiTheme="minorHAnsi" w:cstheme="minorBidi"/>
      <w:sz w:val="22"/>
      <w:szCs w:val="22"/>
    </w:rPr>
    <w:tblPr>
      <w:tblCellMar>
        <w:top w:w="0" w:type="dxa"/>
        <w:left w:w="0" w:type="dxa"/>
        <w:bottom w:w="0" w:type="dxa"/>
        <w:right w:w="0" w:type="dxa"/>
      </w:tblCellMar>
    </w:tblPr>
  </w:style>
  <w:style w:type="character" w:customStyle="1" w:styleId="nowrap">
    <w:name w:val="nowrap"/>
    <w:basedOn w:val="DefaultParagraphFont"/>
    <w:rsid w:val="00D559F5"/>
  </w:style>
  <w:style w:type="character" w:customStyle="1" w:styleId="hklmref">
    <w:name w:val="hklm_ref"/>
    <w:basedOn w:val="DefaultParagraphFont"/>
    <w:rsid w:val="005564C4"/>
  </w:style>
  <w:style w:type="paragraph" w:customStyle="1" w:styleId="ListI">
    <w:name w:val="List I"/>
    <w:basedOn w:val="ListParagraph"/>
    <w:link w:val="ListIChar"/>
    <w:qFormat/>
    <w:rsid w:val="00E47A0C"/>
    <w:pPr>
      <w:widowControl w:val="0"/>
      <w:spacing w:after="240"/>
      <w:ind w:left="0" w:firstLine="0"/>
      <w:jc w:val="left"/>
    </w:pPr>
    <w:rPr>
      <w:rFonts w:asciiTheme="minorHAnsi" w:eastAsiaTheme="minorEastAsia" w:hAnsiTheme="minorHAnsi" w:cstheme="minorBidi"/>
      <w:kern w:val="0"/>
      <w:sz w:val="24"/>
      <w:szCs w:val="24"/>
      <w:lang w:eastAsia="en-US"/>
    </w:rPr>
  </w:style>
  <w:style w:type="character" w:customStyle="1" w:styleId="ListIChar">
    <w:name w:val="List I Char"/>
    <w:basedOn w:val="DefaultParagraphFont"/>
    <w:link w:val="ListI"/>
    <w:rsid w:val="00E47A0C"/>
    <w:rPr>
      <w:rFonts w:asciiTheme="minorHAnsi" w:eastAsiaTheme="minorEastAsia"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0778">
      <w:bodyDiv w:val="1"/>
      <w:marLeft w:val="0"/>
      <w:marRight w:val="0"/>
      <w:marTop w:val="0"/>
      <w:marBottom w:val="0"/>
      <w:divBdr>
        <w:top w:val="none" w:sz="0" w:space="0" w:color="auto"/>
        <w:left w:val="none" w:sz="0" w:space="0" w:color="auto"/>
        <w:bottom w:val="none" w:sz="0" w:space="0" w:color="auto"/>
        <w:right w:val="none" w:sz="0" w:space="0" w:color="auto"/>
      </w:divBdr>
    </w:div>
    <w:div w:id="79452627">
      <w:bodyDiv w:val="1"/>
      <w:marLeft w:val="0"/>
      <w:marRight w:val="0"/>
      <w:marTop w:val="0"/>
      <w:marBottom w:val="0"/>
      <w:divBdr>
        <w:top w:val="none" w:sz="0" w:space="0" w:color="auto"/>
        <w:left w:val="none" w:sz="0" w:space="0" w:color="auto"/>
        <w:bottom w:val="none" w:sz="0" w:space="0" w:color="auto"/>
        <w:right w:val="none" w:sz="0" w:space="0" w:color="auto"/>
      </w:divBdr>
      <w:divsChild>
        <w:div w:id="775371419">
          <w:marLeft w:val="75"/>
          <w:marRight w:val="75"/>
          <w:marTop w:val="0"/>
          <w:marBottom w:val="0"/>
          <w:divBdr>
            <w:top w:val="none" w:sz="0" w:space="0" w:color="auto"/>
            <w:left w:val="none" w:sz="0" w:space="0" w:color="auto"/>
            <w:bottom w:val="none" w:sz="0" w:space="0" w:color="auto"/>
            <w:right w:val="none" w:sz="0" w:space="0" w:color="auto"/>
          </w:divBdr>
          <w:divsChild>
            <w:div w:id="37320200">
              <w:marLeft w:val="735"/>
              <w:marRight w:val="0"/>
              <w:marTop w:val="0"/>
              <w:marBottom w:val="0"/>
              <w:divBdr>
                <w:top w:val="none" w:sz="0" w:space="0" w:color="auto"/>
                <w:left w:val="none" w:sz="0" w:space="0" w:color="auto"/>
                <w:bottom w:val="none" w:sz="0" w:space="0" w:color="auto"/>
                <w:right w:val="none" w:sz="0" w:space="0" w:color="auto"/>
              </w:divBdr>
              <w:divsChild>
                <w:div w:id="1049764725">
                  <w:marLeft w:val="0"/>
                  <w:marRight w:val="0"/>
                  <w:marTop w:val="0"/>
                  <w:marBottom w:val="105"/>
                  <w:divBdr>
                    <w:top w:val="none" w:sz="0" w:space="0" w:color="auto"/>
                    <w:left w:val="none" w:sz="0" w:space="0" w:color="auto"/>
                    <w:bottom w:val="none" w:sz="0" w:space="0" w:color="auto"/>
                    <w:right w:val="none" w:sz="0" w:space="0" w:color="auto"/>
                  </w:divBdr>
                  <w:divsChild>
                    <w:div w:id="657685928">
                      <w:marLeft w:val="0"/>
                      <w:marRight w:val="0"/>
                      <w:marTop w:val="105"/>
                      <w:marBottom w:val="0"/>
                      <w:divBdr>
                        <w:top w:val="none" w:sz="0" w:space="0" w:color="auto"/>
                        <w:left w:val="none" w:sz="0" w:space="0" w:color="auto"/>
                        <w:bottom w:val="none" w:sz="0" w:space="0" w:color="auto"/>
                        <w:right w:val="none" w:sz="0" w:space="0" w:color="auto"/>
                      </w:divBdr>
                    </w:div>
                  </w:divsChild>
                </w:div>
                <w:div w:id="1798452457">
                  <w:marLeft w:val="0"/>
                  <w:marRight w:val="0"/>
                  <w:marTop w:val="0"/>
                  <w:marBottom w:val="105"/>
                  <w:divBdr>
                    <w:top w:val="none" w:sz="0" w:space="0" w:color="auto"/>
                    <w:left w:val="none" w:sz="0" w:space="0" w:color="auto"/>
                    <w:bottom w:val="none" w:sz="0" w:space="0" w:color="auto"/>
                    <w:right w:val="none" w:sz="0" w:space="0" w:color="auto"/>
                  </w:divBdr>
                  <w:divsChild>
                    <w:div w:id="151927468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133914028">
      <w:bodyDiv w:val="1"/>
      <w:marLeft w:val="0"/>
      <w:marRight w:val="0"/>
      <w:marTop w:val="0"/>
      <w:marBottom w:val="0"/>
      <w:divBdr>
        <w:top w:val="none" w:sz="0" w:space="0" w:color="auto"/>
        <w:left w:val="none" w:sz="0" w:space="0" w:color="auto"/>
        <w:bottom w:val="none" w:sz="0" w:space="0" w:color="auto"/>
        <w:right w:val="none" w:sz="0" w:space="0" w:color="auto"/>
      </w:divBdr>
    </w:div>
    <w:div w:id="372533926">
      <w:bodyDiv w:val="1"/>
      <w:marLeft w:val="0"/>
      <w:marRight w:val="0"/>
      <w:marTop w:val="0"/>
      <w:marBottom w:val="0"/>
      <w:divBdr>
        <w:top w:val="none" w:sz="0" w:space="0" w:color="auto"/>
        <w:left w:val="none" w:sz="0" w:space="0" w:color="auto"/>
        <w:bottom w:val="none" w:sz="0" w:space="0" w:color="auto"/>
        <w:right w:val="none" w:sz="0" w:space="0" w:color="auto"/>
      </w:divBdr>
    </w:div>
    <w:div w:id="387846356">
      <w:bodyDiv w:val="1"/>
      <w:marLeft w:val="0"/>
      <w:marRight w:val="0"/>
      <w:marTop w:val="0"/>
      <w:marBottom w:val="0"/>
      <w:divBdr>
        <w:top w:val="none" w:sz="0" w:space="0" w:color="auto"/>
        <w:left w:val="none" w:sz="0" w:space="0" w:color="auto"/>
        <w:bottom w:val="none" w:sz="0" w:space="0" w:color="auto"/>
        <w:right w:val="none" w:sz="0" w:space="0" w:color="auto"/>
      </w:divBdr>
    </w:div>
    <w:div w:id="403113063">
      <w:bodyDiv w:val="1"/>
      <w:marLeft w:val="0"/>
      <w:marRight w:val="0"/>
      <w:marTop w:val="0"/>
      <w:marBottom w:val="0"/>
      <w:divBdr>
        <w:top w:val="none" w:sz="0" w:space="0" w:color="auto"/>
        <w:left w:val="none" w:sz="0" w:space="0" w:color="auto"/>
        <w:bottom w:val="none" w:sz="0" w:space="0" w:color="auto"/>
        <w:right w:val="none" w:sz="0" w:space="0" w:color="auto"/>
      </w:divBdr>
      <w:divsChild>
        <w:div w:id="2123069062">
          <w:marLeft w:val="225"/>
          <w:marRight w:val="225"/>
          <w:marTop w:val="150"/>
          <w:marBottom w:val="450"/>
          <w:divBdr>
            <w:top w:val="none" w:sz="0" w:space="0" w:color="auto"/>
            <w:left w:val="none" w:sz="0" w:space="0" w:color="auto"/>
            <w:bottom w:val="none" w:sz="0" w:space="0" w:color="auto"/>
            <w:right w:val="none" w:sz="0" w:space="0" w:color="auto"/>
          </w:divBdr>
          <w:divsChild>
            <w:div w:id="40174682">
              <w:marLeft w:val="30"/>
              <w:marRight w:val="0"/>
              <w:marTop w:val="0"/>
              <w:marBottom w:val="0"/>
              <w:divBdr>
                <w:top w:val="none" w:sz="0" w:space="0" w:color="auto"/>
                <w:left w:val="single" w:sz="6" w:space="0" w:color="CCCCCC"/>
                <w:bottom w:val="single" w:sz="6" w:space="0" w:color="CCCCCC"/>
                <w:right w:val="single" w:sz="6" w:space="0" w:color="CCCCCC"/>
              </w:divBdr>
              <w:divsChild>
                <w:div w:id="1753775483">
                  <w:marLeft w:val="0"/>
                  <w:marRight w:val="0"/>
                  <w:marTop w:val="0"/>
                  <w:marBottom w:val="0"/>
                  <w:divBdr>
                    <w:top w:val="none" w:sz="0" w:space="0" w:color="auto"/>
                    <w:left w:val="none" w:sz="0" w:space="0" w:color="auto"/>
                    <w:bottom w:val="none" w:sz="0" w:space="0" w:color="auto"/>
                    <w:right w:val="none" w:sz="0" w:space="0" w:color="auto"/>
                  </w:divBdr>
                  <w:divsChild>
                    <w:div w:id="611522277">
                      <w:marLeft w:val="0"/>
                      <w:marRight w:val="0"/>
                      <w:marTop w:val="150"/>
                      <w:marBottom w:val="0"/>
                      <w:divBdr>
                        <w:top w:val="none" w:sz="0" w:space="0" w:color="auto"/>
                        <w:left w:val="none" w:sz="0" w:space="0" w:color="auto"/>
                        <w:bottom w:val="none" w:sz="0" w:space="0" w:color="auto"/>
                        <w:right w:val="none" w:sz="0" w:space="0" w:color="auto"/>
                      </w:divBdr>
                      <w:divsChild>
                        <w:div w:id="468401637">
                          <w:marLeft w:val="0"/>
                          <w:marRight w:val="0"/>
                          <w:marTop w:val="0"/>
                          <w:marBottom w:val="0"/>
                          <w:divBdr>
                            <w:top w:val="none" w:sz="0" w:space="0" w:color="auto"/>
                            <w:left w:val="none" w:sz="0" w:space="0" w:color="auto"/>
                            <w:bottom w:val="none" w:sz="0" w:space="0" w:color="auto"/>
                            <w:right w:val="none" w:sz="0" w:space="0" w:color="auto"/>
                          </w:divBdr>
                          <w:divsChild>
                            <w:div w:id="428284020">
                              <w:marLeft w:val="0"/>
                              <w:marRight w:val="0"/>
                              <w:marTop w:val="0"/>
                              <w:marBottom w:val="0"/>
                              <w:divBdr>
                                <w:top w:val="single" w:sz="6" w:space="0" w:color="F0F0F0"/>
                                <w:left w:val="single" w:sz="6" w:space="15" w:color="F0F0F0"/>
                                <w:bottom w:val="single" w:sz="6" w:space="15" w:color="F0F0F0"/>
                                <w:right w:val="single" w:sz="6" w:space="15" w:color="F0F0F0"/>
                              </w:divBdr>
                              <w:divsChild>
                                <w:div w:id="897517472">
                                  <w:marLeft w:val="0"/>
                                  <w:marRight w:val="0"/>
                                  <w:marTop w:val="0"/>
                                  <w:marBottom w:val="0"/>
                                  <w:divBdr>
                                    <w:top w:val="none" w:sz="0" w:space="0" w:color="auto"/>
                                    <w:left w:val="none" w:sz="0" w:space="0" w:color="auto"/>
                                    <w:bottom w:val="none" w:sz="0" w:space="0" w:color="auto"/>
                                    <w:right w:val="none" w:sz="0" w:space="0" w:color="auto"/>
                                  </w:divBdr>
                                  <w:divsChild>
                                    <w:div w:id="2282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420168">
      <w:bodyDiv w:val="1"/>
      <w:marLeft w:val="0"/>
      <w:marRight w:val="0"/>
      <w:marTop w:val="0"/>
      <w:marBottom w:val="0"/>
      <w:divBdr>
        <w:top w:val="none" w:sz="0" w:space="0" w:color="auto"/>
        <w:left w:val="none" w:sz="0" w:space="0" w:color="auto"/>
        <w:bottom w:val="none" w:sz="0" w:space="0" w:color="auto"/>
        <w:right w:val="none" w:sz="0" w:space="0" w:color="auto"/>
      </w:divBdr>
      <w:divsChild>
        <w:div w:id="1245795905">
          <w:marLeft w:val="75"/>
          <w:marRight w:val="75"/>
          <w:marTop w:val="0"/>
          <w:marBottom w:val="0"/>
          <w:divBdr>
            <w:top w:val="none" w:sz="0" w:space="0" w:color="auto"/>
            <w:left w:val="none" w:sz="0" w:space="0" w:color="auto"/>
            <w:bottom w:val="none" w:sz="0" w:space="0" w:color="auto"/>
            <w:right w:val="none" w:sz="0" w:space="0" w:color="auto"/>
          </w:divBdr>
          <w:divsChild>
            <w:div w:id="1252276997">
              <w:marLeft w:val="0"/>
              <w:marRight w:val="0"/>
              <w:marTop w:val="0"/>
              <w:marBottom w:val="105"/>
              <w:divBdr>
                <w:top w:val="none" w:sz="0" w:space="0" w:color="auto"/>
                <w:left w:val="none" w:sz="0" w:space="0" w:color="auto"/>
                <w:bottom w:val="none" w:sz="0" w:space="0" w:color="auto"/>
                <w:right w:val="none" w:sz="0" w:space="0" w:color="auto"/>
              </w:divBdr>
              <w:divsChild>
                <w:div w:id="1836651617">
                  <w:marLeft w:val="0"/>
                  <w:marRight w:val="0"/>
                  <w:marTop w:val="105"/>
                  <w:marBottom w:val="0"/>
                  <w:divBdr>
                    <w:top w:val="none" w:sz="0" w:space="0" w:color="auto"/>
                    <w:left w:val="none" w:sz="0" w:space="0" w:color="auto"/>
                    <w:bottom w:val="none" w:sz="0" w:space="0" w:color="auto"/>
                    <w:right w:val="none" w:sz="0" w:space="0" w:color="auto"/>
                  </w:divBdr>
                  <w:divsChild>
                    <w:div w:id="655762681">
                      <w:marLeft w:val="0"/>
                      <w:marRight w:val="0"/>
                      <w:marTop w:val="0"/>
                      <w:marBottom w:val="105"/>
                      <w:divBdr>
                        <w:top w:val="none" w:sz="0" w:space="0" w:color="auto"/>
                        <w:left w:val="none" w:sz="0" w:space="0" w:color="auto"/>
                        <w:bottom w:val="none" w:sz="0" w:space="0" w:color="auto"/>
                        <w:right w:val="none" w:sz="0" w:space="0" w:color="auto"/>
                      </w:divBdr>
                      <w:divsChild>
                        <w:div w:id="1932278542">
                          <w:marLeft w:val="0"/>
                          <w:marRight w:val="0"/>
                          <w:marTop w:val="105"/>
                          <w:marBottom w:val="0"/>
                          <w:divBdr>
                            <w:top w:val="none" w:sz="0" w:space="0" w:color="auto"/>
                            <w:left w:val="none" w:sz="0" w:space="0" w:color="auto"/>
                            <w:bottom w:val="none" w:sz="0" w:space="0" w:color="auto"/>
                            <w:right w:val="none" w:sz="0" w:space="0" w:color="auto"/>
                          </w:divBdr>
                          <w:divsChild>
                            <w:div w:id="1011102002">
                              <w:marLeft w:val="0"/>
                              <w:marRight w:val="0"/>
                              <w:marTop w:val="0"/>
                              <w:marBottom w:val="105"/>
                              <w:divBdr>
                                <w:top w:val="none" w:sz="0" w:space="0" w:color="auto"/>
                                <w:left w:val="none" w:sz="0" w:space="0" w:color="auto"/>
                                <w:bottom w:val="none" w:sz="0" w:space="0" w:color="auto"/>
                                <w:right w:val="none" w:sz="0" w:space="0" w:color="auto"/>
                              </w:divBdr>
                              <w:divsChild>
                                <w:div w:id="1556550218">
                                  <w:marLeft w:val="0"/>
                                  <w:marRight w:val="0"/>
                                  <w:marTop w:val="105"/>
                                  <w:marBottom w:val="0"/>
                                  <w:divBdr>
                                    <w:top w:val="none" w:sz="0" w:space="0" w:color="auto"/>
                                    <w:left w:val="none" w:sz="0" w:space="0" w:color="auto"/>
                                    <w:bottom w:val="none" w:sz="0" w:space="0" w:color="auto"/>
                                    <w:right w:val="none" w:sz="0" w:space="0" w:color="auto"/>
                                  </w:divBdr>
                                </w:div>
                              </w:divsChild>
                            </w:div>
                            <w:div w:id="2057964993">
                              <w:marLeft w:val="0"/>
                              <w:marRight w:val="0"/>
                              <w:marTop w:val="0"/>
                              <w:marBottom w:val="0"/>
                              <w:divBdr>
                                <w:top w:val="none" w:sz="0" w:space="0" w:color="auto"/>
                                <w:left w:val="none" w:sz="0" w:space="0" w:color="auto"/>
                                <w:bottom w:val="none" w:sz="0" w:space="0" w:color="auto"/>
                                <w:right w:val="none" w:sz="0" w:space="0" w:color="auto"/>
                              </w:divBdr>
                              <w:divsChild>
                                <w:div w:id="865214993">
                                  <w:marLeft w:val="0"/>
                                  <w:marRight w:val="0"/>
                                  <w:marTop w:val="105"/>
                                  <w:marBottom w:val="0"/>
                                  <w:divBdr>
                                    <w:top w:val="none" w:sz="0" w:space="0" w:color="auto"/>
                                    <w:left w:val="none" w:sz="0" w:space="0" w:color="auto"/>
                                    <w:bottom w:val="none" w:sz="0" w:space="0" w:color="auto"/>
                                    <w:right w:val="none" w:sz="0" w:space="0" w:color="auto"/>
                                  </w:divBdr>
                                  <w:divsChild>
                                    <w:div w:id="1398630561">
                                      <w:marLeft w:val="0"/>
                                      <w:marRight w:val="0"/>
                                      <w:marTop w:val="0"/>
                                      <w:marBottom w:val="0"/>
                                      <w:divBdr>
                                        <w:top w:val="none" w:sz="0" w:space="0" w:color="auto"/>
                                        <w:left w:val="none" w:sz="0" w:space="0" w:color="auto"/>
                                        <w:bottom w:val="none" w:sz="0" w:space="0" w:color="auto"/>
                                        <w:right w:val="none" w:sz="0" w:space="0" w:color="auto"/>
                                      </w:divBdr>
                                    </w:div>
                                    <w:div w:id="253129780">
                                      <w:marLeft w:val="0"/>
                                      <w:marRight w:val="0"/>
                                      <w:marTop w:val="0"/>
                                      <w:marBottom w:val="0"/>
                                      <w:divBdr>
                                        <w:top w:val="none" w:sz="0" w:space="0" w:color="auto"/>
                                        <w:left w:val="none" w:sz="0" w:space="0" w:color="auto"/>
                                        <w:bottom w:val="none" w:sz="0" w:space="0" w:color="auto"/>
                                        <w:right w:val="none" w:sz="0" w:space="0" w:color="auto"/>
                                      </w:divBdr>
                                    </w:div>
                                    <w:div w:id="5810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213">
                              <w:marLeft w:val="0"/>
                              <w:marRight w:val="0"/>
                              <w:marTop w:val="105"/>
                              <w:marBottom w:val="105"/>
                              <w:divBdr>
                                <w:top w:val="none" w:sz="0" w:space="0" w:color="auto"/>
                                <w:left w:val="none" w:sz="0" w:space="0" w:color="auto"/>
                                <w:bottom w:val="none" w:sz="0" w:space="0" w:color="auto"/>
                                <w:right w:val="none" w:sz="0" w:space="0" w:color="auto"/>
                              </w:divBdr>
                              <w:divsChild>
                                <w:div w:id="695422347">
                                  <w:marLeft w:val="0"/>
                                  <w:marRight w:val="105"/>
                                  <w:marTop w:val="0"/>
                                  <w:marBottom w:val="0"/>
                                  <w:divBdr>
                                    <w:top w:val="none" w:sz="0" w:space="0" w:color="auto"/>
                                    <w:left w:val="none" w:sz="0" w:space="0" w:color="auto"/>
                                    <w:bottom w:val="none" w:sz="0" w:space="0" w:color="auto"/>
                                    <w:right w:val="none" w:sz="0" w:space="0" w:color="auto"/>
                                  </w:divBdr>
                                </w:div>
                              </w:divsChild>
                            </w:div>
                            <w:div w:id="1802529947">
                              <w:marLeft w:val="0"/>
                              <w:marRight w:val="0"/>
                              <w:marTop w:val="0"/>
                              <w:marBottom w:val="105"/>
                              <w:divBdr>
                                <w:top w:val="none" w:sz="0" w:space="0" w:color="auto"/>
                                <w:left w:val="none" w:sz="0" w:space="0" w:color="auto"/>
                                <w:bottom w:val="none" w:sz="0" w:space="0" w:color="auto"/>
                                <w:right w:val="none" w:sz="0" w:space="0" w:color="auto"/>
                              </w:divBdr>
                              <w:divsChild>
                                <w:div w:id="768429187">
                                  <w:marLeft w:val="0"/>
                                  <w:marRight w:val="0"/>
                                  <w:marTop w:val="105"/>
                                  <w:marBottom w:val="0"/>
                                  <w:divBdr>
                                    <w:top w:val="none" w:sz="0" w:space="0" w:color="auto"/>
                                    <w:left w:val="none" w:sz="0" w:space="0" w:color="auto"/>
                                    <w:bottom w:val="none" w:sz="0" w:space="0" w:color="auto"/>
                                    <w:right w:val="none" w:sz="0" w:space="0" w:color="auto"/>
                                  </w:divBdr>
                                </w:div>
                              </w:divsChild>
                            </w:div>
                            <w:div w:id="1178154739">
                              <w:marLeft w:val="0"/>
                              <w:marRight w:val="0"/>
                              <w:marTop w:val="0"/>
                              <w:marBottom w:val="105"/>
                              <w:divBdr>
                                <w:top w:val="none" w:sz="0" w:space="0" w:color="auto"/>
                                <w:left w:val="none" w:sz="0" w:space="0" w:color="auto"/>
                                <w:bottom w:val="none" w:sz="0" w:space="0" w:color="auto"/>
                                <w:right w:val="none" w:sz="0" w:space="0" w:color="auto"/>
                              </w:divBdr>
                              <w:divsChild>
                                <w:div w:id="52594978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293072">
      <w:bodyDiv w:val="1"/>
      <w:marLeft w:val="0"/>
      <w:marRight w:val="0"/>
      <w:marTop w:val="0"/>
      <w:marBottom w:val="0"/>
      <w:divBdr>
        <w:top w:val="none" w:sz="0" w:space="0" w:color="auto"/>
        <w:left w:val="none" w:sz="0" w:space="0" w:color="auto"/>
        <w:bottom w:val="none" w:sz="0" w:space="0" w:color="auto"/>
        <w:right w:val="none" w:sz="0" w:space="0" w:color="auto"/>
      </w:divBdr>
    </w:div>
    <w:div w:id="644815965">
      <w:bodyDiv w:val="1"/>
      <w:marLeft w:val="0"/>
      <w:marRight w:val="0"/>
      <w:marTop w:val="0"/>
      <w:marBottom w:val="0"/>
      <w:divBdr>
        <w:top w:val="none" w:sz="0" w:space="0" w:color="auto"/>
        <w:left w:val="none" w:sz="0" w:space="0" w:color="auto"/>
        <w:bottom w:val="none" w:sz="0" w:space="0" w:color="auto"/>
        <w:right w:val="none" w:sz="0" w:space="0" w:color="auto"/>
      </w:divBdr>
      <w:divsChild>
        <w:div w:id="1430589682">
          <w:marLeft w:val="0"/>
          <w:marRight w:val="0"/>
          <w:marTop w:val="105"/>
          <w:marBottom w:val="105"/>
          <w:divBdr>
            <w:top w:val="none" w:sz="0" w:space="0" w:color="auto"/>
            <w:left w:val="none" w:sz="0" w:space="0" w:color="auto"/>
            <w:bottom w:val="none" w:sz="0" w:space="0" w:color="auto"/>
            <w:right w:val="none" w:sz="0" w:space="0" w:color="auto"/>
          </w:divBdr>
          <w:divsChild>
            <w:div w:id="1078357666">
              <w:marLeft w:val="0"/>
              <w:marRight w:val="105"/>
              <w:marTop w:val="0"/>
              <w:marBottom w:val="0"/>
              <w:divBdr>
                <w:top w:val="none" w:sz="0" w:space="0" w:color="auto"/>
                <w:left w:val="none" w:sz="0" w:space="0" w:color="auto"/>
                <w:bottom w:val="none" w:sz="0" w:space="0" w:color="auto"/>
                <w:right w:val="none" w:sz="0" w:space="0" w:color="auto"/>
              </w:divBdr>
            </w:div>
          </w:divsChild>
        </w:div>
        <w:div w:id="1510412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778512">
      <w:bodyDiv w:val="1"/>
      <w:marLeft w:val="0"/>
      <w:marRight w:val="0"/>
      <w:marTop w:val="0"/>
      <w:marBottom w:val="0"/>
      <w:divBdr>
        <w:top w:val="none" w:sz="0" w:space="0" w:color="auto"/>
        <w:left w:val="none" w:sz="0" w:space="0" w:color="auto"/>
        <w:bottom w:val="none" w:sz="0" w:space="0" w:color="auto"/>
        <w:right w:val="none" w:sz="0" w:space="0" w:color="auto"/>
      </w:divBdr>
      <w:divsChild>
        <w:div w:id="1073744007">
          <w:marLeft w:val="225"/>
          <w:marRight w:val="225"/>
          <w:marTop w:val="150"/>
          <w:marBottom w:val="450"/>
          <w:divBdr>
            <w:top w:val="none" w:sz="0" w:space="0" w:color="auto"/>
            <w:left w:val="none" w:sz="0" w:space="0" w:color="auto"/>
            <w:bottom w:val="none" w:sz="0" w:space="0" w:color="auto"/>
            <w:right w:val="none" w:sz="0" w:space="0" w:color="auto"/>
          </w:divBdr>
          <w:divsChild>
            <w:div w:id="838807670">
              <w:marLeft w:val="30"/>
              <w:marRight w:val="0"/>
              <w:marTop w:val="0"/>
              <w:marBottom w:val="0"/>
              <w:divBdr>
                <w:top w:val="none" w:sz="0" w:space="0" w:color="auto"/>
                <w:left w:val="single" w:sz="6" w:space="0" w:color="CCCCCC"/>
                <w:bottom w:val="single" w:sz="6" w:space="0" w:color="CCCCCC"/>
                <w:right w:val="single" w:sz="6" w:space="0" w:color="CCCCCC"/>
              </w:divBdr>
              <w:divsChild>
                <w:div w:id="2053574848">
                  <w:marLeft w:val="0"/>
                  <w:marRight w:val="0"/>
                  <w:marTop w:val="0"/>
                  <w:marBottom w:val="0"/>
                  <w:divBdr>
                    <w:top w:val="none" w:sz="0" w:space="0" w:color="auto"/>
                    <w:left w:val="none" w:sz="0" w:space="0" w:color="auto"/>
                    <w:bottom w:val="none" w:sz="0" w:space="0" w:color="auto"/>
                    <w:right w:val="none" w:sz="0" w:space="0" w:color="auto"/>
                  </w:divBdr>
                  <w:divsChild>
                    <w:div w:id="1997225247">
                      <w:marLeft w:val="0"/>
                      <w:marRight w:val="0"/>
                      <w:marTop w:val="150"/>
                      <w:marBottom w:val="0"/>
                      <w:divBdr>
                        <w:top w:val="none" w:sz="0" w:space="0" w:color="auto"/>
                        <w:left w:val="none" w:sz="0" w:space="0" w:color="auto"/>
                        <w:bottom w:val="none" w:sz="0" w:space="0" w:color="auto"/>
                        <w:right w:val="none" w:sz="0" w:space="0" w:color="auto"/>
                      </w:divBdr>
                      <w:divsChild>
                        <w:div w:id="1098914567">
                          <w:marLeft w:val="0"/>
                          <w:marRight w:val="0"/>
                          <w:marTop w:val="0"/>
                          <w:marBottom w:val="0"/>
                          <w:divBdr>
                            <w:top w:val="none" w:sz="0" w:space="0" w:color="auto"/>
                            <w:left w:val="none" w:sz="0" w:space="0" w:color="auto"/>
                            <w:bottom w:val="none" w:sz="0" w:space="0" w:color="auto"/>
                            <w:right w:val="none" w:sz="0" w:space="0" w:color="auto"/>
                          </w:divBdr>
                          <w:divsChild>
                            <w:div w:id="605768130">
                              <w:marLeft w:val="0"/>
                              <w:marRight w:val="0"/>
                              <w:marTop w:val="0"/>
                              <w:marBottom w:val="0"/>
                              <w:divBdr>
                                <w:top w:val="single" w:sz="6" w:space="0" w:color="F0F0F0"/>
                                <w:left w:val="single" w:sz="6" w:space="15" w:color="F0F0F0"/>
                                <w:bottom w:val="single" w:sz="6" w:space="15" w:color="F0F0F0"/>
                                <w:right w:val="single" w:sz="6" w:space="15" w:color="F0F0F0"/>
                              </w:divBdr>
                              <w:divsChild>
                                <w:div w:id="773981412">
                                  <w:marLeft w:val="0"/>
                                  <w:marRight w:val="0"/>
                                  <w:marTop w:val="0"/>
                                  <w:marBottom w:val="0"/>
                                  <w:divBdr>
                                    <w:top w:val="none" w:sz="0" w:space="0" w:color="auto"/>
                                    <w:left w:val="none" w:sz="0" w:space="0" w:color="auto"/>
                                    <w:bottom w:val="none" w:sz="0" w:space="0" w:color="auto"/>
                                    <w:right w:val="none" w:sz="0" w:space="0" w:color="auto"/>
                                  </w:divBdr>
                                  <w:divsChild>
                                    <w:div w:id="2656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43179">
      <w:bodyDiv w:val="1"/>
      <w:marLeft w:val="0"/>
      <w:marRight w:val="0"/>
      <w:marTop w:val="0"/>
      <w:marBottom w:val="0"/>
      <w:divBdr>
        <w:top w:val="none" w:sz="0" w:space="0" w:color="auto"/>
        <w:left w:val="none" w:sz="0" w:space="0" w:color="auto"/>
        <w:bottom w:val="none" w:sz="0" w:space="0" w:color="auto"/>
        <w:right w:val="none" w:sz="0" w:space="0" w:color="auto"/>
      </w:divBdr>
      <w:divsChild>
        <w:div w:id="1191800541">
          <w:marLeft w:val="225"/>
          <w:marRight w:val="225"/>
          <w:marTop w:val="150"/>
          <w:marBottom w:val="450"/>
          <w:divBdr>
            <w:top w:val="none" w:sz="0" w:space="0" w:color="auto"/>
            <w:left w:val="none" w:sz="0" w:space="0" w:color="auto"/>
            <w:bottom w:val="none" w:sz="0" w:space="0" w:color="auto"/>
            <w:right w:val="none" w:sz="0" w:space="0" w:color="auto"/>
          </w:divBdr>
          <w:divsChild>
            <w:div w:id="1989629192">
              <w:marLeft w:val="30"/>
              <w:marRight w:val="0"/>
              <w:marTop w:val="0"/>
              <w:marBottom w:val="0"/>
              <w:divBdr>
                <w:top w:val="none" w:sz="0" w:space="0" w:color="auto"/>
                <w:left w:val="single" w:sz="6" w:space="0" w:color="CCCCCC"/>
                <w:bottom w:val="single" w:sz="6" w:space="0" w:color="CCCCCC"/>
                <w:right w:val="single" w:sz="6" w:space="0" w:color="CCCCCC"/>
              </w:divBdr>
              <w:divsChild>
                <w:div w:id="1835947497">
                  <w:marLeft w:val="0"/>
                  <w:marRight w:val="0"/>
                  <w:marTop w:val="0"/>
                  <w:marBottom w:val="0"/>
                  <w:divBdr>
                    <w:top w:val="none" w:sz="0" w:space="0" w:color="auto"/>
                    <w:left w:val="none" w:sz="0" w:space="0" w:color="auto"/>
                    <w:bottom w:val="none" w:sz="0" w:space="0" w:color="auto"/>
                    <w:right w:val="none" w:sz="0" w:space="0" w:color="auto"/>
                  </w:divBdr>
                  <w:divsChild>
                    <w:div w:id="1081486312">
                      <w:marLeft w:val="0"/>
                      <w:marRight w:val="0"/>
                      <w:marTop w:val="150"/>
                      <w:marBottom w:val="0"/>
                      <w:divBdr>
                        <w:top w:val="none" w:sz="0" w:space="0" w:color="auto"/>
                        <w:left w:val="none" w:sz="0" w:space="0" w:color="auto"/>
                        <w:bottom w:val="none" w:sz="0" w:space="0" w:color="auto"/>
                        <w:right w:val="none" w:sz="0" w:space="0" w:color="auto"/>
                      </w:divBdr>
                      <w:divsChild>
                        <w:div w:id="1348872120">
                          <w:marLeft w:val="0"/>
                          <w:marRight w:val="0"/>
                          <w:marTop w:val="0"/>
                          <w:marBottom w:val="0"/>
                          <w:divBdr>
                            <w:top w:val="none" w:sz="0" w:space="0" w:color="auto"/>
                            <w:left w:val="none" w:sz="0" w:space="0" w:color="auto"/>
                            <w:bottom w:val="none" w:sz="0" w:space="0" w:color="auto"/>
                            <w:right w:val="none" w:sz="0" w:space="0" w:color="auto"/>
                          </w:divBdr>
                          <w:divsChild>
                            <w:div w:id="1675650791">
                              <w:marLeft w:val="0"/>
                              <w:marRight w:val="0"/>
                              <w:marTop w:val="0"/>
                              <w:marBottom w:val="0"/>
                              <w:divBdr>
                                <w:top w:val="single" w:sz="6" w:space="0" w:color="F0F0F0"/>
                                <w:left w:val="single" w:sz="6" w:space="15" w:color="F0F0F0"/>
                                <w:bottom w:val="single" w:sz="6" w:space="15" w:color="F0F0F0"/>
                                <w:right w:val="single" w:sz="6" w:space="15" w:color="F0F0F0"/>
                              </w:divBdr>
                              <w:divsChild>
                                <w:div w:id="1164662703">
                                  <w:marLeft w:val="0"/>
                                  <w:marRight w:val="0"/>
                                  <w:marTop w:val="0"/>
                                  <w:marBottom w:val="0"/>
                                  <w:divBdr>
                                    <w:top w:val="none" w:sz="0" w:space="0" w:color="auto"/>
                                    <w:left w:val="none" w:sz="0" w:space="0" w:color="auto"/>
                                    <w:bottom w:val="none" w:sz="0" w:space="0" w:color="auto"/>
                                    <w:right w:val="none" w:sz="0" w:space="0" w:color="auto"/>
                                  </w:divBdr>
                                  <w:divsChild>
                                    <w:div w:id="860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24189">
      <w:bodyDiv w:val="1"/>
      <w:marLeft w:val="0"/>
      <w:marRight w:val="0"/>
      <w:marTop w:val="0"/>
      <w:marBottom w:val="0"/>
      <w:divBdr>
        <w:top w:val="none" w:sz="0" w:space="0" w:color="auto"/>
        <w:left w:val="none" w:sz="0" w:space="0" w:color="auto"/>
        <w:bottom w:val="none" w:sz="0" w:space="0" w:color="auto"/>
        <w:right w:val="none" w:sz="0" w:space="0" w:color="auto"/>
      </w:divBdr>
    </w:div>
    <w:div w:id="901872082">
      <w:bodyDiv w:val="1"/>
      <w:marLeft w:val="0"/>
      <w:marRight w:val="0"/>
      <w:marTop w:val="0"/>
      <w:marBottom w:val="0"/>
      <w:divBdr>
        <w:top w:val="none" w:sz="0" w:space="0" w:color="auto"/>
        <w:left w:val="none" w:sz="0" w:space="0" w:color="auto"/>
        <w:bottom w:val="none" w:sz="0" w:space="0" w:color="auto"/>
        <w:right w:val="none" w:sz="0" w:space="0" w:color="auto"/>
      </w:divBdr>
    </w:div>
    <w:div w:id="926229109">
      <w:bodyDiv w:val="1"/>
      <w:marLeft w:val="0"/>
      <w:marRight w:val="0"/>
      <w:marTop w:val="0"/>
      <w:marBottom w:val="0"/>
      <w:divBdr>
        <w:top w:val="none" w:sz="0" w:space="0" w:color="auto"/>
        <w:left w:val="none" w:sz="0" w:space="0" w:color="auto"/>
        <w:bottom w:val="none" w:sz="0" w:space="0" w:color="auto"/>
        <w:right w:val="none" w:sz="0" w:space="0" w:color="auto"/>
      </w:divBdr>
      <w:divsChild>
        <w:div w:id="1284506816">
          <w:marLeft w:val="75"/>
          <w:marRight w:val="75"/>
          <w:marTop w:val="0"/>
          <w:marBottom w:val="0"/>
          <w:divBdr>
            <w:top w:val="none" w:sz="0" w:space="0" w:color="auto"/>
            <w:left w:val="none" w:sz="0" w:space="0" w:color="auto"/>
            <w:bottom w:val="none" w:sz="0" w:space="0" w:color="auto"/>
            <w:right w:val="none" w:sz="0" w:space="0" w:color="auto"/>
          </w:divBdr>
          <w:divsChild>
            <w:div w:id="149636129">
              <w:marLeft w:val="0"/>
              <w:marRight w:val="0"/>
              <w:marTop w:val="0"/>
              <w:marBottom w:val="105"/>
              <w:divBdr>
                <w:top w:val="none" w:sz="0" w:space="0" w:color="auto"/>
                <w:left w:val="none" w:sz="0" w:space="0" w:color="auto"/>
                <w:bottom w:val="none" w:sz="0" w:space="0" w:color="auto"/>
                <w:right w:val="none" w:sz="0" w:space="0" w:color="auto"/>
              </w:divBdr>
              <w:divsChild>
                <w:div w:id="1153326637">
                  <w:marLeft w:val="0"/>
                  <w:marRight w:val="0"/>
                  <w:marTop w:val="105"/>
                  <w:marBottom w:val="0"/>
                  <w:divBdr>
                    <w:top w:val="none" w:sz="0" w:space="0" w:color="auto"/>
                    <w:left w:val="none" w:sz="0" w:space="0" w:color="auto"/>
                    <w:bottom w:val="none" w:sz="0" w:space="0" w:color="auto"/>
                    <w:right w:val="none" w:sz="0" w:space="0" w:color="auto"/>
                  </w:divBdr>
                  <w:divsChild>
                    <w:div w:id="858006332">
                      <w:marLeft w:val="0"/>
                      <w:marRight w:val="0"/>
                      <w:marTop w:val="0"/>
                      <w:marBottom w:val="105"/>
                      <w:divBdr>
                        <w:top w:val="none" w:sz="0" w:space="0" w:color="auto"/>
                        <w:left w:val="none" w:sz="0" w:space="0" w:color="auto"/>
                        <w:bottom w:val="none" w:sz="0" w:space="0" w:color="auto"/>
                        <w:right w:val="none" w:sz="0" w:space="0" w:color="auto"/>
                      </w:divBdr>
                      <w:divsChild>
                        <w:div w:id="874344063">
                          <w:marLeft w:val="0"/>
                          <w:marRight w:val="0"/>
                          <w:marTop w:val="105"/>
                          <w:marBottom w:val="0"/>
                          <w:divBdr>
                            <w:top w:val="none" w:sz="0" w:space="0" w:color="auto"/>
                            <w:left w:val="none" w:sz="0" w:space="0" w:color="auto"/>
                            <w:bottom w:val="none" w:sz="0" w:space="0" w:color="auto"/>
                            <w:right w:val="none" w:sz="0" w:space="0" w:color="auto"/>
                          </w:divBdr>
                          <w:divsChild>
                            <w:div w:id="408968273">
                              <w:marLeft w:val="0"/>
                              <w:marRight w:val="0"/>
                              <w:marTop w:val="0"/>
                              <w:marBottom w:val="105"/>
                              <w:divBdr>
                                <w:top w:val="none" w:sz="0" w:space="0" w:color="auto"/>
                                <w:left w:val="none" w:sz="0" w:space="0" w:color="auto"/>
                                <w:bottom w:val="none" w:sz="0" w:space="0" w:color="auto"/>
                                <w:right w:val="none" w:sz="0" w:space="0" w:color="auto"/>
                              </w:divBdr>
                              <w:divsChild>
                                <w:div w:id="20829765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813635">
      <w:bodyDiv w:val="1"/>
      <w:marLeft w:val="0"/>
      <w:marRight w:val="0"/>
      <w:marTop w:val="0"/>
      <w:marBottom w:val="0"/>
      <w:divBdr>
        <w:top w:val="none" w:sz="0" w:space="0" w:color="auto"/>
        <w:left w:val="none" w:sz="0" w:space="0" w:color="auto"/>
        <w:bottom w:val="none" w:sz="0" w:space="0" w:color="auto"/>
        <w:right w:val="none" w:sz="0" w:space="0" w:color="auto"/>
      </w:divBdr>
    </w:div>
    <w:div w:id="1326936783">
      <w:bodyDiv w:val="1"/>
      <w:marLeft w:val="0"/>
      <w:marRight w:val="0"/>
      <w:marTop w:val="0"/>
      <w:marBottom w:val="0"/>
      <w:divBdr>
        <w:top w:val="none" w:sz="0" w:space="0" w:color="auto"/>
        <w:left w:val="none" w:sz="0" w:space="0" w:color="auto"/>
        <w:bottom w:val="none" w:sz="0" w:space="0" w:color="auto"/>
        <w:right w:val="none" w:sz="0" w:space="0" w:color="auto"/>
      </w:divBdr>
    </w:div>
    <w:div w:id="1553153209">
      <w:bodyDiv w:val="1"/>
      <w:marLeft w:val="0"/>
      <w:marRight w:val="0"/>
      <w:marTop w:val="0"/>
      <w:marBottom w:val="0"/>
      <w:divBdr>
        <w:top w:val="none" w:sz="0" w:space="0" w:color="auto"/>
        <w:left w:val="none" w:sz="0" w:space="0" w:color="auto"/>
        <w:bottom w:val="none" w:sz="0" w:space="0" w:color="auto"/>
        <w:right w:val="none" w:sz="0" w:space="0" w:color="auto"/>
      </w:divBdr>
    </w:div>
    <w:div w:id="1978491239">
      <w:bodyDiv w:val="1"/>
      <w:marLeft w:val="0"/>
      <w:marRight w:val="0"/>
      <w:marTop w:val="0"/>
      <w:marBottom w:val="0"/>
      <w:divBdr>
        <w:top w:val="none" w:sz="0" w:space="0" w:color="auto"/>
        <w:left w:val="none" w:sz="0" w:space="0" w:color="auto"/>
        <w:bottom w:val="none" w:sz="0" w:space="0" w:color="auto"/>
        <w:right w:val="none" w:sz="0" w:space="0" w:color="auto"/>
      </w:divBdr>
      <w:divsChild>
        <w:div w:id="2077823527">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2026636575">
      <w:bodyDiv w:val="1"/>
      <w:marLeft w:val="0"/>
      <w:marRight w:val="0"/>
      <w:marTop w:val="0"/>
      <w:marBottom w:val="0"/>
      <w:divBdr>
        <w:top w:val="none" w:sz="0" w:space="0" w:color="auto"/>
        <w:left w:val="none" w:sz="0" w:space="0" w:color="auto"/>
        <w:bottom w:val="none" w:sz="0" w:space="0" w:color="auto"/>
        <w:right w:val="none" w:sz="0" w:space="0" w:color="auto"/>
      </w:divBdr>
      <w:divsChild>
        <w:div w:id="1811315694">
          <w:marLeft w:val="225"/>
          <w:marRight w:val="225"/>
          <w:marTop w:val="150"/>
          <w:marBottom w:val="450"/>
          <w:divBdr>
            <w:top w:val="none" w:sz="0" w:space="0" w:color="auto"/>
            <w:left w:val="none" w:sz="0" w:space="0" w:color="auto"/>
            <w:bottom w:val="none" w:sz="0" w:space="0" w:color="auto"/>
            <w:right w:val="none" w:sz="0" w:space="0" w:color="auto"/>
          </w:divBdr>
          <w:divsChild>
            <w:div w:id="2076587581">
              <w:marLeft w:val="30"/>
              <w:marRight w:val="0"/>
              <w:marTop w:val="0"/>
              <w:marBottom w:val="0"/>
              <w:divBdr>
                <w:top w:val="none" w:sz="0" w:space="0" w:color="auto"/>
                <w:left w:val="single" w:sz="6" w:space="0" w:color="CCCCCC"/>
                <w:bottom w:val="single" w:sz="6" w:space="0" w:color="CCCCCC"/>
                <w:right w:val="single" w:sz="6" w:space="0" w:color="CCCCCC"/>
              </w:divBdr>
              <w:divsChild>
                <w:div w:id="1264992504">
                  <w:marLeft w:val="0"/>
                  <w:marRight w:val="0"/>
                  <w:marTop w:val="0"/>
                  <w:marBottom w:val="0"/>
                  <w:divBdr>
                    <w:top w:val="none" w:sz="0" w:space="0" w:color="auto"/>
                    <w:left w:val="none" w:sz="0" w:space="0" w:color="auto"/>
                    <w:bottom w:val="none" w:sz="0" w:space="0" w:color="auto"/>
                    <w:right w:val="none" w:sz="0" w:space="0" w:color="auto"/>
                  </w:divBdr>
                  <w:divsChild>
                    <w:div w:id="381637573">
                      <w:marLeft w:val="0"/>
                      <w:marRight w:val="0"/>
                      <w:marTop w:val="150"/>
                      <w:marBottom w:val="0"/>
                      <w:divBdr>
                        <w:top w:val="none" w:sz="0" w:space="0" w:color="auto"/>
                        <w:left w:val="none" w:sz="0" w:space="0" w:color="auto"/>
                        <w:bottom w:val="none" w:sz="0" w:space="0" w:color="auto"/>
                        <w:right w:val="none" w:sz="0" w:space="0" w:color="auto"/>
                      </w:divBdr>
                      <w:divsChild>
                        <w:div w:id="1933856884">
                          <w:marLeft w:val="0"/>
                          <w:marRight w:val="0"/>
                          <w:marTop w:val="0"/>
                          <w:marBottom w:val="0"/>
                          <w:divBdr>
                            <w:top w:val="none" w:sz="0" w:space="0" w:color="auto"/>
                            <w:left w:val="none" w:sz="0" w:space="0" w:color="auto"/>
                            <w:bottom w:val="none" w:sz="0" w:space="0" w:color="auto"/>
                            <w:right w:val="none" w:sz="0" w:space="0" w:color="auto"/>
                          </w:divBdr>
                          <w:divsChild>
                            <w:div w:id="1206676003">
                              <w:marLeft w:val="0"/>
                              <w:marRight w:val="0"/>
                              <w:marTop w:val="0"/>
                              <w:marBottom w:val="0"/>
                              <w:divBdr>
                                <w:top w:val="single" w:sz="6" w:space="0" w:color="F0F0F0"/>
                                <w:left w:val="single" w:sz="6" w:space="15" w:color="F0F0F0"/>
                                <w:bottom w:val="single" w:sz="6" w:space="15" w:color="F0F0F0"/>
                                <w:right w:val="single" w:sz="6" w:space="15" w:color="F0F0F0"/>
                              </w:divBdr>
                              <w:divsChild>
                                <w:div w:id="1199005574">
                                  <w:marLeft w:val="0"/>
                                  <w:marRight w:val="0"/>
                                  <w:marTop w:val="0"/>
                                  <w:marBottom w:val="0"/>
                                  <w:divBdr>
                                    <w:top w:val="none" w:sz="0" w:space="0" w:color="auto"/>
                                    <w:left w:val="none" w:sz="0" w:space="0" w:color="auto"/>
                                    <w:bottom w:val="none" w:sz="0" w:space="0" w:color="auto"/>
                                    <w:right w:val="none" w:sz="0" w:space="0" w:color="auto"/>
                                  </w:divBdr>
                                  <w:divsChild>
                                    <w:div w:id="20182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14363">
      <w:bodyDiv w:val="1"/>
      <w:marLeft w:val="0"/>
      <w:marRight w:val="0"/>
      <w:marTop w:val="0"/>
      <w:marBottom w:val="0"/>
      <w:divBdr>
        <w:top w:val="none" w:sz="0" w:space="0" w:color="auto"/>
        <w:left w:val="none" w:sz="0" w:space="0" w:color="auto"/>
        <w:bottom w:val="none" w:sz="0" w:space="0" w:color="auto"/>
        <w:right w:val="none" w:sz="0" w:space="0" w:color="auto"/>
      </w:divBdr>
    </w:div>
    <w:div w:id="2095392963">
      <w:bodyDiv w:val="1"/>
      <w:marLeft w:val="0"/>
      <w:marRight w:val="0"/>
      <w:marTop w:val="0"/>
      <w:marBottom w:val="0"/>
      <w:divBdr>
        <w:top w:val="none" w:sz="0" w:space="0" w:color="auto"/>
        <w:left w:val="none" w:sz="0" w:space="0" w:color="auto"/>
        <w:bottom w:val="none" w:sz="0" w:space="0" w:color="auto"/>
        <w:right w:val="none" w:sz="0" w:space="0" w:color="auto"/>
      </w:divBdr>
    </w:div>
    <w:div w:id="2097315757">
      <w:bodyDiv w:val="1"/>
      <w:marLeft w:val="0"/>
      <w:marRight w:val="0"/>
      <w:marTop w:val="0"/>
      <w:marBottom w:val="0"/>
      <w:divBdr>
        <w:top w:val="none" w:sz="0" w:space="0" w:color="auto"/>
        <w:left w:val="none" w:sz="0" w:space="0" w:color="auto"/>
        <w:bottom w:val="none" w:sz="0" w:space="0" w:color="auto"/>
        <w:right w:val="none" w:sz="0" w:space="0" w:color="auto"/>
      </w:divBdr>
      <w:divsChild>
        <w:div w:id="525599923">
          <w:marLeft w:val="0"/>
          <w:marRight w:val="0"/>
          <w:marTop w:val="240"/>
          <w:marBottom w:val="80"/>
          <w:divBdr>
            <w:top w:val="none" w:sz="0" w:space="0" w:color="auto"/>
            <w:left w:val="none" w:sz="0" w:space="0" w:color="auto"/>
            <w:bottom w:val="none" w:sz="0" w:space="0" w:color="auto"/>
            <w:right w:val="none" w:sz="0" w:space="0" w:color="auto"/>
          </w:divBdr>
        </w:div>
        <w:div w:id="1919824661">
          <w:marLeft w:val="480"/>
          <w:marRight w:val="0"/>
          <w:marTop w:val="0"/>
          <w:marBottom w:val="80"/>
          <w:divBdr>
            <w:top w:val="none" w:sz="0" w:space="0" w:color="auto"/>
            <w:left w:val="none" w:sz="0" w:space="0" w:color="auto"/>
            <w:bottom w:val="none" w:sz="0" w:space="0" w:color="auto"/>
            <w:right w:val="none" w:sz="0" w:space="0" w:color="auto"/>
          </w:divBdr>
          <w:divsChild>
            <w:div w:id="1591965250">
              <w:marLeft w:val="0"/>
              <w:marRight w:val="0"/>
              <w:marTop w:val="0"/>
              <w:marBottom w:val="0"/>
              <w:divBdr>
                <w:top w:val="none" w:sz="0" w:space="0" w:color="auto"/>
                <w:left w:val="none" w:sz="0" w:space="0" w:color="auto"/>
                <w:bottom w:val="none" w:sz="0" w:space="0" w:color="auto"/>
                <w:right w:val="none" w:sz="0" w:space="0" w:color="auto"/>
              </w:divBdr>
            </w:div>
          </w:divsChild>
        </w:div>
        <w:div w:id="1494300866">
          <w:marLeft w:val="480"/>
          <w:marRight w:val="0"/>
          <w:marTop w:val="0"/>
          <w:marBottom w:val="0"/>
          <w:divBdr>
            <w:top w:val="none" w:sz="0" w:space="0" w:color="auto"/>
            <w:left w:val="none" w:sz="0" w:space="0" w:color="auto"/>
            <w:bottom w:val="none" w:sz="0" w:space="0" w:color="auto"/>
            <w:right w:val="none" w:sz="0" w:space="0" w:color="auto"/>
          </w:divBdr>
          <w:divsChild>
            <w:div w:id="1448430458">
              <w:marLeft w:val="0"/>
              <w:marRight w:val="0"/>
              <w:marTop w:val="0"/>
              <w:marBottom w:val="80"/>
              <w:divBdr>
                <w:top w:val="none" w:sz="0" w:space="0" w:color="auto"/>
                <w:left w:val="none" w:sz="0" w:space="0" w:color="auto"/>
                <w:bottom w:val="none" w:sz="0" w:space="0" w:color="auto"/>
                <w:right w:val="none" w:sz="0" w:space="0" w:color="auto"/>
              </w:divBdr>
            </w:div>
            <w:div w:id="178206499">
              <w:marLeft w:val="480"/>
              <w:marRight w:val="0"/>
              <w:marTop w:val="0"/>
              <w:marBottom w:val="80"/>
              <w:divBdr>
                <w:top w:val="none" w:sz="0" w:space="0" w:color="auto"/>
                <w:left w:val="none" w:sz="0" w:space="0" w:color="auto"/>
                <w:bottom w:val="none" w:sz="0" w:space="0" w:color="auto"/>
                <w:right w:val="none" w:sz="0" w:space="0" w:color="auto"/>
              </w:divBdr>
              <w:divsChild>
                <w:div w:id="412776844">
                  <w:marLeft w:val="0"/>
                  <w:marRight w:val="0"/>
                  <w:marTop w:val="0"/>
                  <w:marBottom w:val="0"/>
                  <w:divBdr>
                    <w:top w:val="none" w:sz="0" w:space="0" w:color="auto"/>
                    <w:left w:val="none" w:sz="0" w:space="0" w:color="auto"/>
                    <w:bottom w:val="none" w:sz="0" w:space="0" w:color="auto"/>
                    <w:right w:val="none" w:sz="0" w:space="0" w:color="auto"/>
                  </w:divBdr>
                </w:div>
              </w:divsChild>
            </w:div>
            <w:div w:id="1837527314">
              <w:marLeft w:val="480"/>
              <w:marRight w:val="0"/>
              <w:marTop w:val="0"/>
              <w:marBottom w:val="0"/>
              <w:divBdr>
                <w:top w:val="none" w:sz="0" w:space="0" w:color="auto"/>
                <w:left w:val="none" w:sz="0" w:space="0" w:color="auto"/>
                <w:bottom w:val="none" w:sz="0" w:space="0" w:color="auto"/>
                <w:right w:val="none" w:sz="0" w:space="0" w:color="auto"/>
              </w:divBdr>
              <w:divsChild>
                <w:div w:id="1333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KitHa%20Cheung\AppData\Roaming\Microsoft\Templates\CACC%20283-2007.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BDB78AA4754C8588D9A7B33433913E"/>
        <w:category>
          <w:name w:val="General"/>
          <w:gallery w:val="placeholder"/>
        </w:category>
        <w:types>
          <w:type w:val="bbPlcHdr"/>
        </w:types>
        <w:behaviors>
          <w:behavior w:val="content"/>
        </w:behaviors>
        <w:guid w:val="{69948DFE-BBC5-47C5-9DFD-30E550B15229}"/>
      </w:docPartPr>
      <w:docPartBody>
        <w:p w:rsidR="00116A9F" w:rsidRDefault="00F10734" w:rsidP="00F07078">
          <w:pPr>
            <w:pStyle w:val="12BDB78AA4754C8588D9A7B33433913E"/>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variable"/>
    <w:sig w:usb0="00000003" w:usb1="500079DB" w:usb2="00000010" w:usb3="00000000" w:csb0="00000001" w:csb1="00000000"/>
  </w:font>
  <w:font w:name="Lucida Sans">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kAnnotations="0"/>
  <w:defaultTabStop w:val="720"/>
  <w:characterSpacingControl w:val="doNotCompress"/>
  <w:compat>
    <w:useFELayout/>
    <w:compatSetting w:name="compatibilityMode" w:uri="http://schemas.microsoft.com/office/word" w:val="12"/>
  </w:compat>
  <w:rsids>
    <w:rsidRoot w:val="00C80CFA"/>
    <w:rsid w:val="00002250"/>
    <w:rsid w:val="00037319"/>
    <w:rsid w:val="00061B7D"/>
    <w:rsid w:val="000808D5"/>
    <w:rsid w:val="000D05F3"/>
    <w:rsid w:val="000E1D5D"/>
    <w:rsid w:val="000E2F87"/>
    <w:rsid w:val="001018EA"/>
    <w:rsid w:val="00116A9F"/>
    <w:rsid w:val="00225CDD"/>
    <w:rsid w:val="002319E4"/>
    <w:rsid w:val="00271EE2"/>
    <w:rsid w:val="002B5AC6"/>
    <w:rsid w:val="0032303C"/>
    <w:rsid w:val="00356F7D"/>
    <w:rsid w:val="003F4D30"/>
    <w:rsid w:val="00425404"/>
    <w:rsid w:val="00426915"/>
    <w:rsid w:val="00444F61"/>
    <w:rsid w:val="0044574B"/>
    <w:rsid w:val="004A269D"/>
    <w:rsid w:val="004D5B7F"/>
    <w:rsid w:val="004E19A2"/>
    <w:rsid w:val="00506AAD"/>
    <w:rsid w:val="00556EE0"/>
    <w:rsid w:val="00576229"/>
    <w:rsid w:val="005B070C"/>
    <w:rsid w:val="00622478"/>
    <w:rsid w:val="00647998"/>
    <w:rsid w:val="00673D9E"/>
    <w:rsid w:val="00684675"/>
    <w:rsid w:val="00696115"/>
    <w:rsid w:val="006A0316"/>
    <w:rsid w:val="006D2836"/>
    <w:rsid w:val="00723DFE"/>
    <w:rsid w:val="0079176B"/>
    <w:rsid w:val="00794BA3"/>
    <w:rsid w:val="007C7681"/>
    <w:rsid w:val="007F4195"/>
    <w:rsid w:val="008263E7"/>
    <w:rsid w:val="0088066D"/>
    <w:rsid w:val="008E6CBF"/>
    <w:rsid w:val="00906A72"/>
    <w:rsid w:val="009554A1"/>
    <w:rsid w:val="00A30EA4"/>
    <w:rsid w:val="00A74086"/>
    <w:rsid w:val="00A9451E"/>
    <w:rsid w:val="00AC5679"/>
    <w:rsid w:val="00AE3124"/>
    <w:rsid w:val="00B02FBD"/>
    <w:rsid w:val="00B101A3"/>
    <w:rsid w:val="00B35ED8"/>
    <w:rsid w:val="00B37940"/>
    <w:rsid w:val="00B43293"/>
    <w:rsid w:val="00BA3A01"/>
    <w:rsid w:val="00BD505D"/>
    <w:rsid w:val="00C13597"/>
    <w:rsid w:val="00C212F9"/>
    <w:rsid w:val="00C53522"/>
    <w:rsid w:val="00C80CFA"/>
    <w:rsid w:val="00C90829"/>
    <w:rsid w:val="00D306C2"/>
    <w:rsid w:val="00D30B54"/>
    <w:rsid w:val="00D57475"/>
    <w:rsid w:val="00D72067"/>
    <w:rsid w:val="00D84F5B"/>
    <w:rsid w:val="00D9211C"/>
    <w:rsid w:val="00DB169C"/>
    <w:rsid w:val="00E26F34"/>
    <w:rsid w:val="00E30961"/>
    <w:rsid w:val="00E56333"/>
    <w:rsid w:val="00EF593C"/>
    <w:rsid w:val="00F07078"/>
    <w:rsid w:val="00F10734"/>
    <w:rsid w:val="00F35107"/>
    <w:rsid w:val="00F70ED7"/>
    <w:rsid w:val="00FA02FE"/>
    <w:rsid w:val="00FD06DA"/>
    <w:rsid w:val="00FD3662"/>
    <w:rsid w:val="00FD75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F07078"/>
    <w:rPr>
      <w:color w:val="808080"/>
    </w:rPr>
  </w:style>
  <w:style w:type="paragraph" w:customStyle="1" w:styleId="23B33BC69715410FB37988632A14D198">
    <w:name w:val="23B33BC69715410FB37988632A14D198"/>
    <w:rsid w:val="00C80CFA"/>
  </w:style>
  <w:style w:type="paragraph" w:customStyle="1" w:styleId="12BDB78AA4754C8588D9A7B33433913E">
    <w:name w:val="12BDB78AA4754C8588D9A7B33433913E"/>
    <w:rsid w:val="00F0707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9E708-136E-4C49-8B25-9C50FF033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CACC 283-2007.dot</Template>
  <TotalTime>0</TotalTime>
  <Pages>81</Pages>
  <Words>20041</Words>
  <Characters>114235</Characters>
  <Application>Microsoft Office Word</Application>
  <DocSecurity>0</DocSecurity>
  <Lines>951</Lines>
  <Paragraphs>268</Paragraphs>
  <ScaleCrop>false</ScaleCrop>
  <HeadingPairs>
    <vt:vector size="2" baseType="variant">
      <vt:variant>
        <vt:lpstr>Title</vt:lpstr>
      </vt:variant>
      <vt:variant>
        <vt:i4>1</vt:i4>
      </vt:variant>
    </vt:vector>
  </HeadingPairs>
  <TitlesOfParts>
    <vt:vector size="1" baseType="lpstr">
      <vt:lpstr> </vt:lpstr>
    </vt:vector>
  </TitlesOfParts>
  <Company>Judiciary Hong Kong</Company>
  <LinksUpToDate>false</LinksUpToDate>
  <CharactersWithSpaces>134008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High Court</dc:creator>
  <cp:keywords/>
  <cp:lastModifiedBy>Windows User</cp:lastModifiedBy>
  <cp:revision>2</cp:revision>
  <cp:lastPrinted>2024-07-29T02:19:00Z</cp:lastPrinted>
  <dcterms:created xsi:type="dcterms:W3CDTF">2024-07-29T03:10:00Z</dcterms:created>
  <dcterms:modified xsi:type="dcterms:W3CDTF">2024-07-29T03:10:00Z</dcterms:modified>
</cp:coreProperties>
</file>