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16C" w:rsidRDefault="00690FCB" w:rsidP="007F0216">
      <w:pPr>
        <w:pStyle w:val="normal1"/>
        <w:jc w:val="right"/>
      </w:pPr>
      <w:bookmarkStart w:id="0" w:name="_GoBack"/>
      <w:r>
        <w:rPr>
          <w:rFonts w:eastAsia="宋体"/>
          <w:caps/>
          <w:lang w:val="en-US"/>
        </w:rPr>
        <w:t>CA</w:t>
      </w:r>
      <w:r w:rsidR="0000516C" w:rsidRPr="0047735B">
        <w:rPr>
          <w:rFonts w:eastAsia="宋体"/>
          <w:caps/>
          <w:lang w:val="en-US"/>
        </w:rPr>
        <w:t>C</w:t>
      </w:r>
      <w:r w:rsidR="00D01D69">
        <w:rPr>
          <w:rFonts w:eastAsia="宋体"/>
          <w:caps/>
          <w:lang w:val="en-US"/>
        </w:rPr>
        <w:t xml:space="preserve">C </w:t>
      </w:r>
      <w:r w:rsidR="00F555B2">
        <w:rPr>
          <w:rFonts w:eastAsia="宋体"/>
          <w:caps/>
          <w:lang w:val="en-US"/>
        </w:rPr>
        <w:t>106</w:t>
      </w:r>
      <w:r w:rsidR="0000516C" w:rsidRPr="0047735B">
        <w:rPr>
          <w:caps/>
        </w:rPr>
        <w:t>/</w:t>
      </w:r>
      <w:r w:rsidR="00F555B2">
        <w:rPr>
          <w:caps/>
        </w:rPr>
        <w:t>2022</w:t>
      </w:r>
      <w:bookmarkEnd w:id="0"/>
      <w:r w:rsidR="007F0216">
        <w:rPr>
          <w:caps/>
        </w:rPr>
        <w:t xml:space="preserve">, </w:t>
      </w:r>
      <w:r w:rsidR="00B205B2">
        <w:t>[202</w:t>
      </w:r>
      <w:r w:rsidR="00F555B2">
        <w:t>5</w:t>
      </w:r>
      <w:r w:rsidR="0000516C" w:rsidRPr="0047735B">
        <w:t xml:space="preserve">] HKCA </w:t>
      </w:r>
      <w:r w:rsidR="000D635A">
        <w:t>234</w:t>
      </w:r>
    </w:p>
    <w:p w:rsidR="007F0216" w:rsidRPr="0047735B" w:rsidRDefault="007F0216" w:rsidP="007F0216">
      <w:pPr>
        <w:pStyle w:val="normal1"/>
        <w:jc w:val="right"/>
      </w:pPr>
      <w:r>
        <w:t xml:space="preserve">On Appeal From </w:t>
      </w:r>
      <w:r w:rsidR="00F555B2" w:rsidRPr="00F555B2">
        <w:t>[2022] HKCFI 2595</w:t>
      </w:r>
    </w:p>
    <w:p w:rsidR="0000516C" w:rsidRPr="0047735B" w:rsidRDefault="0000516C" w:rsidP="0000516C">
      <w:pPr>
        <w:pStyle w:val="normal1"/>
        <w:tabs>
          <w:tab w:val="clear" w:pos="1411"/>
        </w:tabs>
      </w:pPr>
    </w:p>
    <w:p w:rsidR="0000516C" w:rsidRPr="0047735B" w:rsidRDefault="0000516C" w:rsidP="0000516C">
      <w:pPr>
        <w:pStyle w:val="normal2"/>
        <w:snapToGrid/>
        <w:spacing w:line="360" w:lineRule="auto"/>
        <w:rPr>
          <w:b/>
          <w:bCs/>
        </w:rPr>
      </w:pPr>
      <w:r w:rsidRPr="0047735B">
        <w:rPr>
          <w:b/>
          <w:bCs/>
        </w:rPr>
        <w:t>in the high court of the</w:t>
      </w:r>
    </w:p>
    <w:p w:rsidR="0000516C" w:rsidRPr="0047735B" w:rsidRDefault="0000516C" w:rsidP="0000516C">
      <w:pPr>
        <w:pStyle w:val="normal2"/>
        <w:snapToGrid/>
        <w:spacing w:line="360" w:lineRule="auto"/>
        <w:rPr>
          <w:b/>
          <w:bCs/>
        </w:rPr>
      </w:pPr>
      <w:r w:rsidRPr="0047735B">
        <w:rPr>
          <w:b/>
          <w:bCs/>
        </w:rPr>
        <w:t>hong kong special administrative region</w:t>
      </w:r>
    </w:p>
    <w:p w:rsidR="0000516C" w:rsidRPr="0047735B" w:rsidRDefault="0000516C" w:rsidP="0000516C">
      <w:pPr>
        <w:pStyle w:val="normal2"/>
        <w:snapToGrid/>
        <w:spacing w:line="360" w:lineRule="auto"/>
        <w:rPr>
          <w:b/>
          <w:bCs/>
        </w:rPr>
      </w:pPr>
      <w:r w:rsidRPr="0047735B">
        <w:rPr>
          <w:b/>
          <w:bCs/>
        </w:rPr>
        <w:t>court of appeal</w:t>
      </w:r>
    </w:p>
    <w:p w:rsidR="0000516C" w:rsidRPr="0047735B" w:rsidRDefault="00505CA8" w:rsidP="0000516C">
      <w:pPr>
        <w:pStyle w:val="normal3"/>
        <w:tabs>
          <w:tab w:val="clear" w:pos="4500"/>
          <w:tab w:val="clear" w:pos="9000"/>
        </w:tabs>
        <w:spacing w:line="360" w:lineRule="auto"/>
        <w:rPr>
          <w:rFonts w:eastAsia="宋体"/>
          <w:b w:val="0"/>
          <w:bCs/>
          <w:lang w:eastAsia="zh-CN"/>
        </w:rPr>
      </w:pPr>
      <w:r>
        <w:rPr>
          <w:rFonts w:eastAsia="宋体"/>
          <w:b w:val="0"/>
          <w:bCs/>
          <w:lang w:eastAsia="zh-CN"/>
        </w:rPr>
        <w:t>crimi</w:t>
      </w:r>
      <w:r w:rsidR="0093212E">
        <w:rPr>
          <w:rFonts w:eastAsia="宋体"/>
          <w:b w:val="0"/>
          <w:bCs/>
          <w:lang w:eastAsia="zh-CN"/>
        </w:rPr>
        <w:t>nal</w:t>
      </w:r>
      <w:r w:rsidR="0000516C" w:rsidRPr="0047735B">
        <w:rPr>
          <w:rFonts w:eastAsia="宋体"/>
          <w:b w:val="0"/>
          <w:bCs/>
          <w:lang w:eastAsia="zh-CN"/>
        </w:rPr>
        <w:t xml:space="preserve"> </w:t>
      </w:r>
      <w:r w:rsidR="0000516C" w:rsidRPr="0047735B">
        <w:rPr>
          <w:b w:val="0"/>
          <w:bCs/>
        </w:rPr>
        <w:t xml:space="preserve">appeal no </w:t>
      </w:r>
      <w:r w:rsidR="00F555B2">
        <w:rPr>
          <w:b w:val="0"/>
          <w:bCs/>
        </w:rPr>
        <w:t>106</w:t>
      </w:r>
      <w:r w:rsidR="0000516C" w:rsidRPr="0047735B">
        <w:rPr>
          <w:b w:val="0"/>
          <w:bCs/>
        </w:rPr>
        <w:t xml:space="preserve"> of</w:t>
      </w:r>
      <w:r w:rsidR="0093212E">
        <w:rPr>
          <w:b w:val="0"/>
          <w:bCs/>
        </w:rPr>
        <w:t xml:space="preserve"> </w:t>
      </w:r>
      <w:r w:rsidR="00F555B2">
        <w:rPr>
          <w:b w:val="0"/>
          <w:bCs/>
        </w:rPr>
        <w:t>2022</w:t>
      </w:r>
    </w:p>
    <w:p w:rsidR="0000516C" w:rsidRPr="0047735B" w:rsidRDefault="0000516C" w:rsidP="0000516C">
      <w:pPr>
        <w:pStyle w:val="normal3"/>
        <w:tabs>
          <w:tab w:val="clear" w:pos="4500"/>
          <w:tab w:val="clear" w:pos="9000"/>
        </w:tabs>
        <w:spacing w:after="0"/>
        <w:rPr>
          <w:b w:val="0"/>
          <w:bCs/>
        </w:rPr>
      </w:pPr>
      <w:r w:rsidRPr="0047735B">
        <w:rPr>
          <w:b w:val="0"/>
          <w:bCs/>
        </w:rPr>
        <w:t>(on appeal from</w:t>
      </w:r>
      <w:r w:rsidR="0047735B" w:rsidRPr="0047735B">
        <w:rPr>
          <w:b w:val="0"/>
          <w:bCs/>
        </w:rPr>
        <w:t xml:space="preserve"> </w:t>
      </w:r>
      <w:r w:rsidR="00F555B2">
        <w:rPr>
          <w:b w:val="0"/>
          <w:bCs/>
        </w:rPr>
        <w:t>HCCC</w:t>
      </w:r>
      <w:r w:rsidR="0047735B" w:rsidRPr="0047735B">
        <w:rPr>
          <w:b w:val="0"/>
          <w:bCs/>
        </w:rPr>
        <w:t xml:space="preserve"> </w:t>
      </w:r>
      <w:r w:rsidRPr="0047735B">
        <w:rPr>
          <w:rFonts w:eastAsia="宋体"/>
          <w:b w:val="0"/>
          <w:bCs/>
          <w:lang w:eastAsia="zh-CN"/>
        </w:rPr>
        <w:t>NO</w:t>
      </w:r>
      <w:r w:rsidR="0047735B" w:rsidRPr="0047735B">
        <w:rPr>
          <w:rFonts w:eastAsia="宋体"/>
          <w:b w:val="0"/>
          <w:bCs/>
          <w:lang w:eastAsia="zh-CN"/>
        </w:rPr>
        <w:t xml:space="preserve"> </w:t>
      </w:r>
      <w:r w:rsidR="00F555B2">
        <w:rPr>
          <w:rFonts w:eastAsia="宋体"/>
          <w:b w:val="0"/>
          <w:bCs/>
          <w:lang w:eastAsia="zh-CN"/>
        </w:rPr>
        <w:t>10</w:t>
      </w:r>
      <w:r w:rsidRPr="0047735B">
        <w:rPr>
          <w:rFonts w:eastAsia="宋体"/>
          <w:b w:val="0"/>
          <w:bCs/>
          <w:lang w:eastAsia="zh-CN"/>
        </w:rPr>
        <w:t xml:space="preserve"> </w:t>
      </w:r>
      <w:r w:rsidRPr="0047735B">
        <w:rPr>
          <w:b w:val="0"/>
          <w:bCs/>
        </w:rPr>
        <w:t xml:space="preserve">of </w:t>
      </w:r>
      <w:r w:rsidR="00F555B2">
        <w:rPr>
          <w:b w:val="0"/>
          <w:bCs/>
        </w:rPr>
        <w:t>2022</w:t>
      </w:r>
      <w:r w:rsidRPr="0047735B">
        <w:rPr>
          <w:b w:val="0"/>
          <w:bCs/>
        </w:rPr>
        <w:t>)</w:t>
      </w:r>
    </w:p>
    <w:tbl>
      <w:tblPr>
        <w:tblW w:w="0" w:type="auto"/>
        <w:jc w:val="center"/>
        <w:tblBorders>
          <w:bottom w:val="single" w:sz="4" w:space="0" w:color="auto"/>
        </w:tblBorders>
        <w:tblLook w:val="0000" w:firstRow="0" w:lastRow="0" w:firstColumn="0" w:lastColumn="0" w:noHBand="0" w:noVBand="0"/>
      </w:tblPr>
      <w:tblGrid>
        <w:gridCol w:w="3150"/>
      </w:tblGrid>
      <w:tr w:rsidR="0000516C" w:rsidRPr="0047735B" w:rsidTr="00160296">
        <w:trPr>
          <w:jc w:val="center"/>
        </w:trPr>
        <w:tc>
          <w:tcPr>
            <w:tcW w:w="3150" w:type="dxa"/>
          </w:tcPr>
          <w:p w:rsidR="0000516C" w:rsidRPr="0047735B" w:rsidRDefault="0000516C" w:rsidP="00160296">
            <w:pPr>
              <w:pStyle w:val="sh"/>
              <w:tabs>
                <w:tab w:val="clear" w:pos="720"/>
              </w:tabs>
              <w:snapToGrid w:val="0"/>
              <w:jc w:val="center"/>
              <w:rPr>
                <w:lang w:val="en-GB"/>
              </w:rPr>
            </w:pPr>
          </w:p>
        </w:tc>
      </w:tr>
    </w:tbl>
    <w:p w:rsidR="0000516C" w:rsidRPr="0047735B" w:rsidRDefault="0000516C" w:rsidP="001250DF">
      <w:pPr>
        <w:pStyle w:val="Draft"/>
        <w:rPr>
          <w:b/>
        </w:rPr>
      </w:pPr>
      <w:r w:rsidRPr="0047735B">
        <w:t>BETWEEN</w:t>
      </w:r>
    </w:p>
    <w:tbl>
      <w:tblPr>
        <w:tblW w:w="7308" w:type="dxa"/>
        <w:tblInd w:w="1530" w:type="dxa"/>
        <w:tblLayout w:type="fixed"/>
        <w:tblLook w:val="0000" w:firstRow="0" w:lastRow="0" w:firstColumn="0" w:lastColumn="0" w:noHBand="0" w:noVBand="0"/>
      </w:tblPr>
      <w:tblGrid>
        <w:gridCol w:w="1080"/>
        <w:gridCol w:w="3150"/>
        <w:gridCol w:w="1080"/>
        <w:gridCol w:w="1998"/>
      </w:tblGrid>
      <w:tr w:rsidR="00D01D69" w:rsidRPr="00CB7289" w:rsidTr="00160296">
        <w:trPr>
          <w:cantSplit/>
          <w:trHeight w:val="504"/>
        </w:trPr>
        <w:tc>
          <w:tcPr>
            <w:tcW w:w="5310" w:type="dxa"/>
            <w:gridSpan w:val="3"/>
          </w:tcPr>
          <w:p w:rsidR="00D01D69" w:rsidRPr="00CB7289" w:rsidRDefault="00F555B2" w:rsidP="00690FCB">
            <w:pPr>
              <w:pStyle w:val="sh"/>
              <w:tabs>
                <w:tab w:val="clear" w:pos="720"/>
                <w:tab w:val="clear" w:pos="1440"/>
                <w:tab w:val="clear" w:pos="4320"/>
              </w:tabs>
              <w:jc w:val="center"/>
              <w:rPr>
                <w:lang w:val="en-GB"/>
              </w:rPr>
            </w:pPr>
            <w:r>
              <w:rPr>
                <w:lang w:val="en-GB"/>
              </w:rPr>
              <w:t>HKSAR</w:t>
            </w:r>
          </w:p>
        </w:tc>
        <w:tc>
          <w:tcPr>
            <w:tcW w:w="1998" w:type="dxa"/>
          </w:tcPr>
          <w:p w:rsidR="00D01D69" w:rsidRPr="00CB7289" w:rsidRDefault="00D01D69" w:rsidP="00160296">
            <w:pPr>
              <w:pStyle w:val="sh"/>
              <w:tabs>
                <w:tab w:val="clear" w:pos="720"/>
                <w:tab w:val="clear" w:pos="1440"/>
              </w:tabs>
              <w:rPr>
                <w:lang w:val="en-GB"/>
              </w:rPr>
            </w:pPr>
            <w:r w:rsidRPr="00CB7289">
              <w:rPr>
                <w:lang w:val="en-GB"/>
              </w:rPr>
              <w:t>Respondent</w:t>
            </w:r>
          </w:p>
        </w:tc>
      </w:tr>
      <w:tr w:rsidR="00D01D69" w:rsidRPr="00CB7289" w:rsidTr="00160296">
        <w:trPr>
          <w:cantSplit/>
          <w:trHeight w:val="504"/>
        </w:trPr>
        <w:tc>
          <w:tcPr>
            <w:tcW w:w="5310" w:type="dxa"/>
            <w:gridSpan w:val="3"/>
          </w:tcPr>
          <w:p w:rsidR="00D01D69" w:rsidRPr="00CB7289" w:rsidRDefault="00D01D69" w:rsidP="00160296">
            <w:pPr>
              <w:pStyle w:val="sh"/>
              <w:tabs>
                <w:tab w:val="clear" w:pos="720"/>
                <w:tab w:val="clear" w:pos="1440"/>
                <w:tab w:val="clear" w:pos="4320"/>
              </w:tabs>
              <w:jc w:val="center"/>
              <w:rPr>
                <w:lang w:val="en-GB"/>
              </w:rPr>
            </w:pPr>
            <w:r w:rsidRPr="00CB7289">
              <w:rPr>
                <w:lang w:val="en-GB"/>
              </w:rPr>
              <w:t>and</w:t>
            </w:r>
          </w:p>
        </w:tc>
        <w:tc>
          <w:tcPr>
            <w:tcW w:w="1998" w:type="dxa"/>
          </w:tcPr>
          <w:p w:rsidR="00D01D69" w:rsidRPr="00CB7289" w:rsidRDefault="00D01D69" w:rsidP="00160296">
            <w:pPr>
              <w:pStyle w:val="sh"/>
              <w:tabs>
                <w:tab w:val="clear" w:pos="720"/>
                <w:tab w:val="clear" w:pos="1440"/>
              </w:tabs>
              <w:rPr>
                <w:lang w:val="en-GB"/>
              </w:rPr>
            </w:pPr>
          </w:p>
        </w:tc>
      </w:tr>
      <w:tr w:rsidR="00D01D69" w:rsidRPr="00CB7289" w:rsidTr="00160296">
        <w:trPr>
          <w:cantSplit/>
          <w:trHeight w:val="504"/>
        </w:trPr>
        <w:tc>
          <w:tcPr>
            <w:tcW w:w="5310" w:type="dxa"/>
            <w:gridSpan w:val="3"/>
          </w:tcPr>
          <w:p w:rsidR="00D01D69" w:rsidRPr="00CB7289" w:rsidRDefault="00F555B2" w:rsidP="00160296">
            <w:pPr>
              <w:pStyle w:val="sh"/>
              <w:tabs>
                <w:tab w:val="clear" w:pos="720"/>
                <w:tab w:val="clear" w:pos="1440"/>
                <w:tab w:val="clear" w:pos="4320"/>
              </w:tabs>
              <w:jc w:val="center"/>
              <w:rPr>
                <w:lang w:val="en-GB"/>
              </w:rPr>
            </w:pPr>
            <w:r w:rsidRPr="00F555B2">
              <w:rPr>
                <w:rFonts w:hint="eastAsia"/>
                <w:lang w:val="en-GB"/>
              </w:rPr>
              <w:t>Huang Ruifang (</w:t>
            </w:r>
            <w:r w:rsidRPr="00F555B2">
              <w:rPr>
                <w:rFonts w:hint="eastAsia"/>
                <w:lang w:val="en-GB"/>
              </w:rPr>
              <w:t>黃瑞芳</w:t>
            </w:r>
            <w:r w:rsidRPr="00F555B2">
              <w:rPr>
                <w:rFonts w:hint="eastAsia"/>
                <w:lang w:val="en-GB"/>
              </w:rPr>
              <w:t>)</w:t>
            </w:r>
          </w:p>
        </w:tc>
        <w:tc>
          <w:tcPr>
            <w:tcW w:w="1998" w:type="dxa"/>
          </w:tcPr>
          <w:p w:rsidR="00D01D69" w:rsidRPr="00CB7289" w:rsidRDefault="00D01D69" w:rsidP="00160296">
            <w:pPr>
              <w:pStyle w:val="sh"/>
              <w:tabs>
                <w:tab w:val="clear" w:pos="720"/>
                <w:tab w:val="clear" w:pos="1440"/>
              </w:tabs>
              <w:rPr>
                <w:lang w:val="en-GB"/>
              </w:rPr>
            </w:pPr>
            <w:r w:rsidRPr="00CB7289">
              <w:rPr>
                <w:lang w:val="en-GB"/>
              </w:rPr>
              <w:t>Applicant</w:t>
            </w:r>
          </w:p>
        </w:tc>
      </w:tr>
      <w:tr w:rsidR="0047735B" w:rsidRPr="0047735B" w:rsidTr="00160296">
        <w:tblPrEx>
          <w:tblBorders>
            <w:bottom w:val="single" w:sz="4" w:space="0" w:color="auto"/>
          </w:tblBorders>
        </w:tblPrEx>
        <w:trPr>
          <w:gridBefore w:val="1"/>
          <w:gridAfter w:val="2"/>
          <w:wBefore w:w="1080" w:type="dxa"/>
          <w:wAfter w:w="3078" w:type="dxa"/>
        </w:trPr>
        <w:tc>
          <w:tcPr>
            <w:tcW w:w="3150" w:type="dxa"/>
          </w:tcPr>
          <w:p w:rsidR="0047735B" w:rsidRPr="0047735B" w:rsidRDefault="0047735B" w:rsidP="00160296">
            <w:pPr>
              <w:pStyle w:val="sh"/>
              <w:tabs>
                <w:tab w:val="clear" w:pos="720"/>
              </w:tabs>
              <w:snapToGrid w:val="0"/>
              <w:jc w:val="center"/>
              <w:rPr>
                <w:lang w:val="en-GB"/>
              </w:rPr>
            </w:pPr>
          </w:p>
        </w:tc>
      </w:tr>
    </w:tbl>
    <w:p w:rsidR="00D01D69" w:rsidRPr="00CB7289" w:rsidRDefault="00D01D69" w:rsidP="00D01D69">
      <w:pPr>
        <w:spacing w:before="360" w:after="120"/>
        <w:jc w:val="left"/>
        <w:rPr>
          <w:rFonts w:eastAsia="宋体"/>
          <w:b w:val="0"/>
          <w:bCs/>
          <w:sz w:val="28"/>
        </w:rPr>
      </w:pPr>
      <w:r w:rsidRPr="00CB7289">
        <w:rPr>
          <w:rFonts w:eastAsia="宋体"/>
          <w:b w:val="0"/>
          <w:bCs/>
          <w:sz w:val="28"/>
        </w:rPr>
        <w:t xml:space="preserve">Before: Hon Macrae </w:t>
      </w:r>
      <w:r w:rsidR="00DA30B4">
        <w:rPr>
          <w:rFonts w:eastAsia="宋体"/>
          <w:b w:val="0"/>
          <w:bCs/>
          <w:sz w:val="28"/>
        </w:rPr>
        <w:t>Acting CJHC</w:t>
      </w:r>
      <w:r w:rsidR="00F555B2">
        <w:rPr>
          <w:rFonts w:eastAsia="宋体"/>
          <w:b w:val="0"/>
          <w:bCs/>
          <w:sz w:val="28"/>
        </w:rPr>
        <w:t>, Zervos and M Poon JJA</w:t>
      </w:r>
      <w:r w:rsidRPr="00CB7289">
        <w:rPr>
          <w:rFonts w:eastAsia="宋体"/>
          <w:b w:val="0"/>
          <w:bCs/>
          <w:sz w:val="28"/>
        </w:rPr>
        <w:t xml:space="preserve"> in Court</w:t>
      </w:r>
    </w:p>
    <w:p w:rsidR="006E72BD" w:rsidRDefault="0000516C" w:rsidP="0000516C">
      <w:pPr>
        <w:spacing w:after="120"/>
        <w:jc w:val="left"/>
        <w:rPr>
          <w:b w:val="0"/>
          <w:bCs/>
          <w:sz w:val="28"/>
        </w:rPr>
      </w:pPr>
      <w:r w:rsidRPr="0047735B">
        <w:rPr>
          <w:b w:val="0"/>
          <w:bCs/>
          <w:sz w:val="28"/>
        </w:rPr>
        <w:t xml:space="preserve">Date of Hearing: </w:t>
      </w:r>
      <w:r w:rsidR="00F555B2">
        <w:rPr>
          <w:b w:val="0"/>
          <w:bCs/>
          <w:sz w:val="28"/>
        </w:rPr>
        <w:t>20 December 2024</w:t>
      </w:r>
    </w:p>
    <w:p w:rsidR="00F555B2" w:rsidRPr="0047735B" w:rsidRDefault="0000516C" w:rsidP="0000516C">
      <w:pPr>
        <w:spacing w:after="120"/>
        <w:jc w:val="left"/>
        <w:rPr>
          <w:rFonts w:eastAsia="宋体"/>
          <w:b w:val="0"/>
          <w:bCs/>
          <w:sz w:val="28"/>
        </w:rPr>
      </w:pPr>
      <w:r w:rsidRPr="0047735B">
        <w:rPr>
          <w:rFonts w:eastAsia="宋体"/>
          <w:b w:val="0"/>
          <w:bCs/>
          <w:sz w:val="28"/>
        </w:rPr>
        <w:t xml:space="preserve">Date of Judgment: </w:t>
      </w:r>
      <w:r w:rsidR="00C23283">
        <w:rPr>
          <w:rFonts w:eastAsia="宋体"/>
          <w:b w:val="0"/>
          <w:bCs/>
          <w:sz w:val="28"/>
        </w:rPr>
        <w:t>5</w:t>
      </w:r>
      <w:r w:rsidR="009C4C43">
        <w:rPr>
          <w:rFonts w:eastAsia="宋体"/>
          <w:b w:val="0"/>
          <w:bCs/>
          <w:sz w:val="28"/>
        </w:rPr>
        <w:t xml:space="preserve"> </w:t>
      </w:r>
      <w:r w:rsidR="00D56561">
        <w:rPr>
          <w:rFonts w:eastAsia="宋体"/>
          <w:b w:val="0"/>
          <w:bCs/>
          <w:sz w:val="28"/>
        </w:rPr>
        <w:t>March</w:t>
      </w:r>
      <w:r w:rsidR="00F555B2">
        <w:rPr>
          <w:rFonts w:eastAsia="宋体"/>
          <w:b w:val="0"/>
          <w:bCs/>
          <w:sz w:val="28"/>
        </w:rPr>
        <w:t xml:space="preserve"> 2025</w:t>
      </w:r>
    </w:p>
    <w:p w:rsidR="0000516C" w:rsidRPr="0047735B" w:rsidRDefault="0000516C" w:rsidP="0000516C">
      <w:pPr>
        <w:spacing w:after="120"/>
        <w:jc w:val="left"/>
        <w:rPr>
          <w:rFonts w:eastAsia="宋体"/>
          <w:b w:val="0"/>
          <w:bCs/>
          <w:sz w:val="28"/>
        </w:rPr>
      </w:pPr>
    </w:p>
    <w:tbl>
      <w:tblPr>
        <w:tblW w:w="0" w:type="auto"/>
        <w:jc w:val="center"/>
        <w:tblBorders>
          <w:top w:val="single" w:sz="4" w:space="0" w:color="auto"/>
          <w:bottom w:val="single" w:sz="4" w:space="0" w:color="auto"/>
        </w:tblBorders>
        <w:tblLook w:val="0000" w:firstRow="0" w:lastRow="0" w:firstColumn="0" w:lastColumn="0" w:noHBand="0" w:noVBand="0"/>
      </w:tblPr>
      <w:tblGrid>
        <w:gridCol w:w="3122"/>
      </w:tblGrid>
      <w:tr w:rsidR="005F3076" w:rsidRPr="0047735B" w:rsidTr="0046009A">
        <w:trPr>
          <w:trHeight w:val="436"/>
          <w:jc w:val="center"/>
        </w:trPr>
        <w:tc>
          <w:tcPr>
            <w:tcW w:w="3122" w:type="dxa"/>
            <w:vAlign w:val="center"/>
          </w:tcPr>
          <w:p w:rsidR="005F3076" w:rsidRPr="0047735B" w:rsidRDefault="005F3076" w:rsidP="00160296">
            <w:pPr>
              <w:pStyle w:val="sh"/>
              <w:tabs>
                <w:tab w:val="clear" w:pos="720"/>
                <w:tab w:val="clear" w:pos="1440"/>
                <w:tab w:val="clear" w:pos="4320"/>
              </w:tabs>
              <w:snapToGrid w:val="0"/>
              <w:spacing w:before="200" w:after="200"/>
              <w:jc w:val="center"/>
              <w:rPr>
                <w:lang w:val="en-GB"/>
              </w:rPr>
            </w:pPr>
            <w:r w:rsidRPr="0047735B">
              <w:rPr>
                <w:lang w:val="en-GB"/>
              </w:rPr>
              <w:t>J U D G M E N T</w:t>
            </w:r>
          </w:p>
        </w:tc>
      </w:tr>
    </w:tbl>
    <w:p w:rsidR="009024E9" w:rsidRPr="0047735B" w:rsidRDefault="002B39A2" w:rsidP="0000516C">
      <w:pPr>
        <w:pStyle w:val="T-Draft"/>
        <w:keepNext/>
        <w:numPr>
          <w:ilvl w:val="0"/>
          <w:numId w:val="0"/>
        </w:numPr>
        <w:spacing w:before="240"/>
      </w:pPr>
      <w:r w:rsidRPr="0047735B">
        <w:t xml:space="preserve">Hon </w:t>
      </w:r>
      <w:r w:rsidR="00D01D69">
        <w:t xml:space="preserve">Macrae </w:t>
      </w:r>
      <w:r w:rsidR="00DA30B4">
        <w:t>Acting CJHC</w:t>
      </w:r>
      <w:r w:rsidR="007F0216">
        <w:t xml:space="preserve"> </w:t>
      </w:r>
      <w:r w:rsidR="00D01D69">
        <w:t>(giving the Judgment of the Court)</w:t>
      </w:r>
      <w:r w:rsidR="009024E9" w:rsidRPr="0047735B">
        <w:t>:</w:t>
      </w:r>
    </w:p>
    <w:p w:rsidR="00534911" w:rsidRDefault="00AC2D2C" w:rsidP="00AC2D2C">
      <w:pPr>
        <w:pStyle w:val="T-Draft"/>
        <w:rPr>
          <w:rFonts w:eastAsia="PMingLiU"/>
          <w:lang w:eastAsia="zh-TW"/>
        </w:rPr>
      </w:pPr>
      <w:r w:rsidRPr="00160296">
        <w:rPr>
          <w:rFonts w:eastAsia="PMingLiU"/>
          <w:lang w:eastAsia="zh-TW"/>
        </w:rPr>
        <w:t>The</w:t>
      </w:r>
      <w:r w:rsidR="00BE79B3">
        <w:rPr>
          <w:rFonts w:eastAsia="PMingLiU"/>
          <w:lang w:eastAsia="zh-TW"/>
        </w:rPr>
        <w:t xml:space="preserve">re is a </w:t>
      </w:r>
      <w:r w:rsidR="00534911">
        <w:rPr>
          <w:rFonts w:eastAsia="PMingLiU"/>
          <w:lang w:eastAsia="zh-TW"/>
        </w:rPr>
        <w:t>long</w:t>
      </w:r>
      <w:r w:rsidR="00D56561">
        <w:rPr>
          <w:rFonts w:eastAsia="PMingLiU"/>
          <w:lang w:eastAsia="zh-TW"/>
        </w:rPr>
        <w:t xml:space="preserve"> </w:t>
      </w:r>
      <w:r w:rsidR="004F0093">
        <w:rPr>
          <w:rFonts w:eastAsia="PMingLiU"/>
          <w:lang w:eastAsia="zh-TW"/>
        </w:rPr>
        <w:t xml:space="preserve">and intricate </w:t>
      </w:r>
      <w:r w:rsidR="00BE79B3">
        <w:rPr>
          <w:rFonts w:eastAsia="PMingLiU"/>
          <w:lang w:eastAsia="zh-TW"/>
        </w:rPr>
        <w:t xml:space="preserve">history to this matter.  The applicant was originally charged some 8 years ago </w:t>
      </w:r>
      <w:r w:rsidR="00274CBF">
        <w:rPr>
          <w:rFonts w:eastAsia="PMingLiU"/>
          <w:lang w:eastAsia="zh-TW"/>
        </w:rPr>
        <w:t xml:space="preserve">on 8 April 2017 </w:t>
      </w:r>
      <w:r w:rsidR="00BE79B3">
        <w:rPr>
          <w:rFonts w:eastAsia="PMingLiU"/>
          <w:lang w:eastAsia="zh-TW"/>
        </w:rPr>
        <w:t>with</w:t>
      </w:r>
      <w:r w:rsidRPr="00160296">
        <w:rPr>
          <w:rFonts w:eastAsia="PMingLiU"/>
          <w:lang w:eastAsia="zh-TW"/>
        </w:rPr>
        <w:t xml:space="preserve"> a single </w:t>
      </w:r>
      <w:r w:rsidR="00274CBF">
        <w:rPr>
          <w:rFonts w:eastAsia="PMingLiU"/>
          <w:lang w:eastAsia="zh-TW"/>
        </w:rPr>
        <w:t>offence</w:t>
      </w:r>
      <w:r w:rsidRPr="00160296">
        <w:rPr>
          <w:rFonts w:eastAsia="PMingLiU"/>
          <w:lang w:eastAsia="zh-TW"/>
        </w:rPr>
        <w:t xml:space="preserve"> of trafficking in a dangerous drug, namely 6,960 millilitres of a liquid</w:t>
      </w:r>
      <w:r w:rsidR="00DA30B4">
        <w:rPr>
          <w:rFonts w:eastAsia="PMingLiU"/>
          <w:lang w:eastAsia="zh-TW"/>
        </w:rPr>
        <w:t>,</w:t>
      </w:r>
      <w:r w:rsidRPr="00160296">
        <w:rPr>
          <w:rFonts w:eastAsia="PMingLiU"/>
          <w:lang w:eastAsia="zh-TW"/>
        </w:rPr>
        <w:t xml:space="preserve"> containing 4,470 </w:t>
      </w:r>
      <w:r>
        <w:rPr>
          <w:rFonts w:eastAsia="PMingLiU"/>
          <w:lang w:eastAsia="zh-TW"/>
        </w:rPr>
        <w:t>‍</w:t>
      </w:r>
      <w:r w:rsidRPr="00160296">
        <w:rPr>
          <w:rFonts w:eastAsia="PMingLiU"/>
          <w:lang w:eastAsia="zh-TW"/>
        </w:rPr>
        <w:t xml:space="preserve">grammes of cocaine, contrary to section 4(1)(a) and (3) of the Dangerous Drugs Ordinance, Cap 134.  She </w:t>
      </w:r>
      <w:r w:rsidR="00274CBF">
        <w:rPr>
          <w:rFonts w:eastAsia="PMingLiU"/>
          <w:lang w:eastAsia="zh-TW"/>
        </w:rPr>
        <w:t>was committed to the High Court by a magistrate on</w:t>
      </w:r>
      <w:r w:rsidR="006D2C5A">
        <w:rPr>
          <w:rFonts w:eastAsia="PMingLiU"/>
          <w:lang w:eastAsia="zh-TW"/>
        </w:rPr>
        <w:t xml:space="preserve"> 18 December 2017</w:t>
      </w:r>
      <w:r w:rsidR="00274CBF">
        <w:rPr>
          <w:rFonts w:eastAsia="PMingLiU"/>
          <w:lang w:eastAsia="zh-TW"/>
        </w:rPr>
        <w:t xml:space="preserve"> and subsequently convicted </w:t>
      </w:r>
      <w:r w:rsidR="000E0DAE">
        <w:rPr>
          <w:rFonts w:eastAsia="PMingLiU"/>
          <w:lang w:eastAsia="zh-TW"/>
        </w:rPr>
        <w:t xml:space="preserve">after trial </w:t>
      </w:r>
      <w:r w:rsidR="00274CBF">
        <w:rPr>
          <w:rFonts w:eastAsia="PMingLiU"/>
          <w:lang w:eastAsia="zh-TW"/>
        </w:rPr>
        <w:t xml:space="preserve">before Deputy Judge Lugar-Mawson and a jury on </w:t>
      </w:r>
      <w:r w:rsidR="00274CBF">
        <w:rPr>
          <w:rFonts w:eastAsia="PMingLiU"/>
          <w:lang w:eastAsia="zh-TW"/>
        </w:rPr>
        <w:lastRenderedPageBreak/>
        <w:t xml:space="preserve">6 </w:t>
      </w:r>
      <w:r w:rsidR="0077435A">
        <w:rPr>
          <w:rFonts w:eastAsia="PMingLiU"/>
          <w:lang w:eastAsia="zh-TW"/>
        </w:rPr>
        <w:t>‍</w:t>
      </w:r>
      <w:r w:rsidR="00274CBF">
        <w:rPr>
          <w:rFonts w:eastAsia="PMingLiU"/>
          <w:lang w:eastAsia="zh-TW"/>
        </w:rPr>
        <w:t xml:space="preserve">November </w:t>
      </w:r>
      <w:r w:rsidR="0077435A">
        <w:rPr>
          <w:rFonts w:eastAsia="PMingLiU"/>
          <w:lang w:eastAsia="zh-TW"/>
        </w:rPr>
        <w:t>‍</w:t>
      </w:r>
      <w:r w:rsidR="00274CBF">
        <w:rPr>
          <w:rFonts w:eastAsia="PMingLiU"/>
          <w:lang w:eastAsia="zh-TW"/>
        </w:rPr>
        <w:t xml:space="preserve">2018.  </w:t>
      </w:r>
      <w:r w:rsidR="006D2C5A">
        <w:rPr>
          <w:rFonts w:eastAsia="PMingLiU"/>
          <w:lang w:eastAsia="zh-TW"/>
        </w:rPr>
        <w:t xml:space="preserve">She </w:t>
      </w:r>
      <w:r w:rsidR="00650CF2">
        <w:rPr>
          <w:rFonts w:eastAsia="PMingLiU"/>
          <w:lang w:eastAsia="zh-TW"/>
        </w:rPr>
        <w:t>received a sentence of</w:t>
      </w:r>
      <w:r w:rsidR="006D2C5A">
        <w:rPr>
          <w:rFonts w:eastAsia="PMingLiU"/>
          <w:lang w:eastAsia="zh-TW"/>
        </w:rPr>
        <w:t xml:space="preserve"> 28 years and 4 months’ imprisonment.  </w:t>
      </w:r>
    </w:p>
    <w:p w:rsidR="006D2C5A" w:rsidRDefault="00534911" w:rsidP="00AC2D2C">
      <w:pPr>
        <w:pStyle w:val="T-Draft"/>
        <w:rPr>
          <w:rFonts w:eastAsia="PMingLiU"/>
          <w:lang w:eastAsia="zh-TW"/>
        </w:rPr>
      </w:pPr>
      <w:r>
        <w:rPr>
          <w:rFonts w:eastAsia="PMingLiU"/>
          <w:lang w:eastAsia="zh-TW"/>
        </w:rPr>
        <w:t>Thereafter, the applicant</w:t>
      </w:r>
      <w:r w:rsidR="00274CBF">
        <w:rPr>
          <w:rFonts w:eastAsia="PMingLiU"/>
          <w:lang w:eastAsia="zh-TW"/>
        </w:rPr>
        <w:t xml:space="preserve"> </w:t>
      </w:r>
      <w:r>
        <w:rPr>
          <w:rFonts w:eastAsia="PMingLiU"/>
          <w:lang w:eastAsia="zh-TW"/>
        </w:rPr>
        <w:t>sought leave to appeal</w:t>
      </w:r>
      <w:r w:rsidR="00274CBF">
        <w:rPr>
          <w:rFonts w:eastAsia="PMingLiU"/>
          <w:lang w:eastAsia="zh-TW"/>
        </w:rPr>
        <w:t xml:space="preserve"> </w:t>
      </w:r>
      <w:r w:rsidR="00A7177C">
        <w:rPr>
          <w:rFonts w:eastAsia="PMingLiU"/>
          <w:lang w:eastAsia="zh-TW"/>
        </w:rPr>
        <w:t xml:space="preserve">against </w:t>
      </w:r>
      <w:r w:rsidR="00274CBF">
        <w:rPr>
          <w:rFonts w:eastAsia="PMingLiU"/>
          <w:lang w:eastAsia="zh-TW"/>
        </w:rPr>
        <w:t>her</w:t>
      </w:r>
      <w:r w:rsidR="002D29A8">
        <w:rPr>
          <w:rFonts w:eastAsia="PMingLiU"/>
          <w:lang w:eastAsia="zh-TW"/>
        </w:rPr>
        <w:t xml:space="preserve"> con</w:t>
      </w:r>
      <w:r>
        <w:rPr>
          <w:rFonts w:eastAsia="PMingLiU"/>
          <w:lang w:eastAsia="zh-TW"/>
        </w:rPr>
        <w:t>viction</w:t>
      </w:r>
      <w:r w:rsidR="00271022">
        <w:rPr>
          <w:rFonts w:eastAsia="PMingLiU"/>
          <w:lang w:eastAsia="zh-TW"/>
        </w:rPr>
        <w:t>, which was allowed by this Court (as presently constituted) on 11 February 2022</w:t>
      </w:r>
      <w:r w:rsidR="00271022">
        <w:rPr>
          <w:rStyle w:val="FootnoteReference"/>
          <w:rFonts w:eastAsia="PMingLiU"/>
          <w:lang w:eastAsia="zh-TW"/>
        </w:rPr>
        <w:footnoteReference w:id="1"/>
      </w:r>
      <w:r w:rsidR="002D29A8">
        <w:rPr>
          <w:rFonts w:eastAsia="PMingLiU"/>
          <w:lang w:eastAsia="zh-TW"/>
        </w:rPr>
        <w:t xml:space="preserve">. </w:t>
      </w:r>
      <w:r w:rsidR="00715F09">
        <w:rPr>
          <w:rFonts w:eastAsia="PMingLiU"/>
          <w:lang w:eastAsia="zh-TW"/>
        </w:rPr>
        <w:t xml:space="preserve"> The </w:t>
      </w:r>
      <w:r w:rsidR="00650CF2">
        <w:rPr>
          <w:rFonts w:eastAsia="PMingLiU"/>
          <w:lang w:eastAsia="zh-TW"/>
        </w:rPr>
        <w:t xml:space="preserve">reasons for </w:t>
      </w:r>
      <w:r>
        <w:rPr>
          <w:rFonts w:eastAsia="PMingLiU"/>
          <w:lang w:eastAsia="zh-TW"/>
        </w:rPr>
        <w:t>what appear to be the excessive</w:t>
      </w:r>
      <w:r w:rsidR="00DA30B4">
        <w:rPr>
          <w:rFonts w:eastAsia="PMingLiU"/>
          <w:lang w:eastAsia="zh-TW"/>
        </w:rPr>
        <w:t xml:space="preserve"> delay in processing her</w:t>
      </w:r>
      <w:r w:rsidR="00715F09">
        <w:rPr>
          <w:rFonts w:eastAsia="PMingLiU"/>
          <w:lang w:eastAsia="zh-TW"/>
        </w:rPr>
        <w:t xml:space="preserve"> </w:t>
      </w:r>
      <w:r w:rsidR="00C23283">
        <w:rPr>
          <w:rFonts w:eastAsia="PMingLiU"/>
          <w:lang w:eastAsia="zh-TW"/>
        </w:rPr>
        <w:t>first</w:t>
      </w:r>
      <w:r w:rsidR="006D2C5A">
        <w:rPr>
          <w:rFonts w:eastAsia="PMingLiU"/>
          <w:lang w:eastAsia="zh-TW"/>
        </w:rPr>
        <w:t xml:space="preserve"> </w:t>
      </w:r>
      <w:r w:rsidR="00715F09">
        <w:rPr>
          <w:rFonts w:eastAsia="PMingLiU"/>
          <w:lang w:eastAsia="zh-TW"/>
        </w:rPr>
        <w:t xml:space="preserve">appeal </w:t>
      </w:r>
      <w:r w:rsidR="00650CF2">
        <w:rPr>
          <w:rFonts w:eastAsia="PMingLiU"/>
          <w:lang w:eastAsia="zh-TW"/>
        </w:rPr>
        <w:t>were</w:t>
      </w:r>
      <w:r w:rsidR="00715F09">
        <w:rPr>
          <w:rFonts w:eastAsia="PMingLiU"/>
          <w:lang w:eastAsia="zh-TW"/>
        </w:rPr>
        <w:t xml:space="preserve"> set out </w:t>
      </w:r>
      <w:r w:rsidR="006D2C5A">
        <w:rPr>
          <w:rFonts w:eastAsia="PMingLiU"/>
          <w:lang w:eastAsia="zh-TW"/>
        </w:rPr>
        <w:t xml:space="preserve">and explained </w:t>
      </w:r>
      <w:r w:rsidR="00650CF2">
        <w:rPr>
          <w:rFonts w:eastAsia="PMingLiU"/>
          <w:lang w:eastAsia="zh-TW"/>
        </w:rPr>
        <w:t>by</w:t>
      </w:r>
      <w:r w:rsidR="00715F09">
        <w:rPr>
          <w:rFonts w:eastAsia="PMingLiU"/>
          <w:lang w:eastAsia="zh-TW"/>
        </w:rPr>
        <w:t xml:space="preserve"> Zervos JA, </w:t>
      </w:r>
      <w:r w:rsidR="006D2C5A">
        <w:rPr>
          <w:rFonts w:eastAsia="PMingLiU"/>
          <w:lang w:eastAsia="zh-TW"/>
        </w:rPr>
        <w:t xml:space="preserve">sitting as a Single Judge, </w:t>
      </w:r>
      <w:r w:rsidR="00271022">
        <w:rPr>
          <w:rFonts w:eastAsia="PMingLiU"/>
          <w:lang w:eastAsia="zh-TW"/>
        </w:rPr>
        <w:t xml:space="preserve">in his </w:t>
      </w:r>
      <w:r w:rsidR="00650CF2">
        <w:rPr>
          <w:rFonts w:eastAsia="PMingLiU"/>
          <w:lang w:eastAsia="zh-TW"/>
        </w:rPr>
        <w:t>judgment</w:t>
      </w:r>
      <w:r w:rsidR="00271022">
        <w:rPr>
          <w:rFonts w:eastAsia="PMingLiU"/>
          <w:lang w:eastAsia="zh-TW"/>
        </w:rPr>
        <w:t xml:space="preserve"> on the leave application on</w:t>
      </w:r>
      <w:r w:rsidR="00715F09">
        <w:rPr>
          <w:rFonts w:eastAsia="PMingLiU"/>
          <w:lang w:eastAsia="zh-TW"/>
        </w:rPr>
        <w:t xml:space="preserve"> 12 </w:t>
      </w:r>
      <w:r w:rsidR="0077435A">
        <w:rPr>
          <w:rFonts w:eastAsia="PMingLiU"/>
          <w:lang w:eastAsia="zh-TW"/>
        </w:rPr>
        <w:t>‍</w:t>
      </w:r>
      <w:r w:rsidR="00715F09">
        <w:rPr>
          <w:rFonts w:eastAsia="PMingLiU"/>
          <w:lang w:eastAsia="zh-TW"/>
        </w:rPr>
        <w:t>January 2021</w:t>
      </w:r>
      <w:r w:rsidR="00715F09">
        <w:rPr>
          <w:rStyle w:val="FootnoteReference"/>
          <w:rFonts w:eastAsia="PMingLiU"/>
          <w:lang w:eastAsia="zh-TW"/>
        </w:rPr>
        <w:footnoteReference w:id="2"/>
      </w:r>
      <w:r w:rsidR="00715F09">
        <w:rPr>
          <w:rFonts w:eastAsia="PMingLiU"/>
          <w:lang w:eastAsia="zh-TW"/>
        </w:rPr>
        <w:t xml:space="preserve">.  </w:t>
      </w:r>
    </w:p>
    <w:p w:rsidR="007068C8" w:rsidRDefault="002D29A8" w:rsidP="007D069D">
      <w:pPr>
        <w:pStyle w:val="T-Draft"/>
        <w:rPr>
          <w:rFonts w:eastAsia="PMingLiU"/>
          <w:lang w:eastAsia="zh-TW"/>
        </w:rPr>
      </w:pPr>
      <w:r>
        <w:rPr>
          <w:rFonts w:eastAsia="PMingLiU"/>
          <w:lang w:eastAsia="zh-TW"/>
        </w:rPr>
        <w:t xml:space="preserve">A retrial was </w:t>
      </w:r>
      <w:r w:rsidR="00534911">
        <w:rPr>
          <w:rFonts w:eastAsia="PMingLiU"/>
          <w:lang w:eastAsia="zh-TW"/>
        </w:rPr>
        <w:t xml:space="preserve">duly </w:t>
      </w:r>
      <w:r>
        <w:rPr>
          <w:rFonts w:eastAsia="PMingLiU"/>
          <w:lang w:eastAsia="zh-TW"/>
        </w:rPr>
        <w:t xml:space="preserve">ordered </w:t>
      </w:r>
      <w:r w:rsidR="00271022">
        <w:rPr>
          <w:rFonts w:eastAsia="PMingLiU"/>
          <w:lang w:eastAsia="zh-TW"/>
        </w:rPr>
        <w:t>by this</w:t>
      </w:r>
      <w:r w:rsidR="006D2C5A">
        <w:rPr>
          <w:rFonts w:eastAsia="PMingLiU"/>
          <w:lang w:eastAsia="zh-TW"/>
        </w:rPr>
        <w:t xml:space="preserve"> Court </w:t>
      </w:r>
      <w:r>
        <w:rPr>
          <w:rFonts w:eastAsia="PMingLiU"/>
          <w:lang w:eastAsia="zh-TW"/>
        </w:rPr>
        <w:t xml:space="preserve">and </w:t>
      </w:r>
      <w:r w:rsidR="006D2C5A">
        <w:rPr>
          <w:rFonts w:eastAsia="PMingLiU"/>
          <w:lang w:eastAsia="zh-TW"/>
        </w:rPr>
        <w:t xml:space="preserve">the applicant </w:t>
      </w:r>
      <w:r>
        <w:rPr>
          <w:rFonts w:eastAsia="PMingLiU"/>
          <w:lang w:eastAsia="zh-TW"/>
        </w:rPr>
        <w:t xml:space="preserve">was </w:t>
      </w:r>
      <w:r w:rsidR="007068C8">
        <w:rPr>
          <w:rFonts w:eastAsia="PMingLiU"/>
          <w:lang w:eastAsia="zh-TW"/>
        </w:rPr>
        <w:t xml:space="preserve">subsequently </w:t>
      </w:r>
      <w:r w:rsidR="006D2C5A">
        <w:rPr>
          <w:rFonts w:eastAsia="PMingLiU"/>
          <w:lang w:eastAsia="zh-TW"/>
        </w:rPr>
        <w:t xml:space="preserve">retried on a fresh indictment before Deputy Judge Martin </w:t>
      </w:r>
      <w:r w:rsidR="0077435A">
        <w:rPr>
          <w:rFonts w:eastAsia="PMingLiU"/>
          <w:lang w:eastAsia="zh-TW"/>
        </w:rPr>
        <w:t>‍</w:t>
      </w:r>
      <w:r w:rsidR="006D2C5A">
        <w:rPr>
          <w:rFonts w:eastAsia="PMingLiU"/>
          <w:lang w:eastAsia="zh-TW"/>
        </w:rPr>
        <w:t>Hui</w:t>
      </w:r>
      <w:r w:rsidR="00F67730">
        <w:rPr>
          <w:rFonts w:eastAsia="PMingLiU"/>
          <w:lang w:eastAsia="zh-TW"/>
        </w:rPr>
        <w:t>,</w:t>
      </w:r>
      <w:r w:rsidR="006D2C5A">
        <w:rPr>
          <w:rFonts w:eastAsia="PMingLiU"/>
          <w:lang w:eastAsia="zh-TW"/>
        </w:rPr>
        <w:t xml:space="preserve"> SC and a jury.  </w:t>
      </w:r>
      <w:r w:rsidR="007D069D">
        <w:rPr>
          <w:rFonts w:eastAsia="PMingLiU"/>
          <w:lang w:eastAsia="zh-TW"/>
        </w:rPr>
        <w:t>On 12 July 2022, s</w:t>
      </w:r>
      <w:r w:rsidR="00AC2D2C" w:rsidRPr="006D2C5A">
        <w:rPr>
          <w:rFonts w:eastAsia="PMingLiU"/>
          <w:lang w:eastAsia="zh-TW"/>
        </w:rPr>
        <w:t xml:space="preserve">he was </w:t>
      </w:r>
      <w:r w:rsidR="006D2C5A">
        <w:rPr>
          <w:rFonts w:eastAsia="PMingLiU"/>
          <w:lang w:eastAsia="zh-TW"/>
        </w:rPr>
        <w:t xml:space="preserve">again </w:t>
      </w:r>
      <w:r w:rsidR="00AC2D2C" w:rsidRPr="006D2C5A">
        <w:rPr>
          <w:rFonts w:eastAsia="PMingLiU"/>
          <w:lang w:eastAsia="zh-TW"/>
        </w:rPr>
        <w:t>convicted and</w:t>
      </w:r>
      <w:r w:rsidR="00956D95">
        <w:rPr>
          <w:rFonts w:eastAsia="PMingLiU"/>
          <w:lang w:eastAsia="zh-TW"/>
        </w:rPr>
        <w:t>, this time,</w:t>
      </w:r>
      <w:r w:rsidR="00AC2D2C" w:rsidRPr="006D2C5A">
        <w:rPr>
          <w:rFonts w:eastAsia="PMingLiU"/>
          <w:lang w:eastAsia="zh-TW"/>
        </w:rPr>
        <w:t xml:space="preserve"> sentenced to 27 years an</w:t>
      </w:r>
      <w:r w:rsidR="006D2C5A">
        <w:rPr>
          <w:rFonts w:eastAsia="PMingLiU"/>
          <w:lang w:eastAsia="zh-TW"/>
        </w:rPr>
        <w:t>d 10 months’ imprisonment</w:t>
      </w:r>
      <w:r w:rsidR="00AC2D2C" w:rsidRPr="006D2C5A">
        <w:rPr>
          <w:rFonts w:eastAsia="PMingLiU"/>
          <w:lang w:eastAsia="zh-TW"/>
        </w:rPr>
        <w:t xml:space="preserve">.  </w:t>
      </w:r>
      <w:r w:rsidR="007D069D">
        <w:rPr>
          <w:rFonts w:eastAsia="PMingLiU"/>
          <w:lang w:eastAsia="zh-TW"/>
        </w:rPr>
        <w:t xml:space="preserve">She </w:t>
      </w:r>
      <w:r w:rsidR="00956D95">
        <w:rPr>
          <w:rFonts w:eastAsia="PMingLiU"/>
          <w:lang w:eastAsia="zh-TW"/>
        </w:rPr>
        <w:t xml:space="preserve">again </w:t>
      </w:r>
      <w:r w:rsidR="007D069D">
        <w:rPr>
          <w:rFonts w:eastAsia="PMingLiU"/>
          <w:lang w:eastAsia="zh-TW"/>
        </w:rPr>
        <w:t xml:space="preserve">appealed </w:t>
      </w:r>
      <w:r w:rsidR="00A7177C">
        <w:rPr>
          <w:rFonts w:eastAsia="PMingLiU"/>
          <w:lang w:eastAsia="zh-TW"/>
        </w:rPr>
        <w:t xml:space="preserve">against </w:t>
      </w:r>
      <w:r w:rsidR="007D069D">
        <w:rPr>
          <w:rFonts w:eastAsia="PMingLiU"/>
          <w:lang w:eastAsia="zh-TW"/>
        </w:rPr>
        <w:t>her conviction, which, on 30 August 2024, was dismissed by a majority</w:t>
      </w:r>
      <w:r w:rsidR="007D069D">
        <w:rPr>
          <w:rStyle w:val="FootnoteReference"/>
          <w:rFonts w:eastAsia="PMingLiU"/>
          <w:lang w:eastAsia="zh-TW"/>
        </w:rPr>
        <w:footnoteReference w:id="3"/>
      </w:r>
      <w:r w:rsidR="007D069D">
        <w:rPr>
          <w:rFonts w:eastAsia="PMingLiU"/>
          <w:lang w:eastAsia="zh-TW"/>
        </w:rPr>
        <w:t xml:space="preserve">.  </w:t>
      </w:r>
      <w:r w:rsidR="007068C8">
        <w:rPr>
          <w:rFonts w:eastAsia="PMingLiU"/>
          <w:lang w:eastAsia="zh-TW"/>
        </w:rPr>
        <w:t xml:space="preserve">She </w:t>
      </w:r>
      <w:r w:rsidR="00C23283">
        <w:rPr>
          <w:rFonts w:eastAsia="PMingLiU"/>
          <w:lang w:eastAsia="zh-TW"/>
        </w:rPr>
        <w:t>had not appealed</w:t>
      </w:r>
      <w:r w:rsidR="007068C8">
        <w:rPr>
          <w:rFonts w:eastAsia="PMingLiU"/>
          <w:lang w:eastAsia="zh-TW"/>
        </w:rPr>
        <w:t xml:space="preserve"> against her sentence.  </w:t>
      </w:r>
      <w:r w:rsidR="007D069D">
        <w:rPr>
          <w:rFonts w:eastAsia="PMingLiU"/>
          <w:lang w:eastAsia="zh-TW"/>
        </w:rPr>
        <w:t xml:space="preserve">However, the Court </w:t>
      </w:r>
      <w:r w:rsidR="007068C8">
        <w:rPr>
          <w:rFonts w:eastAsia="PMingLiU"/>
          <w:lang w:eastAsia="zh-TW"/>
        </w:rPr>
        <w:t>observed</w:t>
      </w:r>
      <w:r w:rsidR="007D069D">
        <w:rPr>
          <w:rFonts w:eastAsia="PMingLiU"/>
          <w:lang w:eastAsia="zh-TW"/>
        </w:rPr>
        <w:t xml:space="preserve"> </w:t>
      </w:r>
      <w:r w:rsidR="00A7177C">
        <w:rPr>
          <w:rFonts w:eastAsia="PMingLiU"/>
          <w:lang w:eastAsia="zh-TW"/>
        </w:rPr>
        <w:t xml:space="preserve">at the end of its judgment </w:t>
      </w:r>
      <w:r w:rsidR="00650CF2">
        <w:rPr>
          <w:rFonts w:eastAsia="PMingLiU"/>
          <w:lang w:eastAsia="zh-TW"/>
        </w:rPr>
        <w:t xml:space="preserve">on conviction </w:t>
      </w:r>
      <w:r w:rsidR="007D069D">
        <w:rPr>
          <w:rFonts w:eastAsia="PMingLiU"/>
          <w:lang w:eastAsia="zh-TW"/>
        </w:rPr>
        <w:t xml:space="preserve">that during the protracted history of this matter, </w:t>
      </w:r>
      <w:r w:rsidR="007068C8">
        <w:rPr>
          <w:rFonts w:eastAsia="PMingLiU"/>
          <w:lang w:eastAsia="zh-TW"/>
        </w:rPr>
        <w:t xml:space="preserve">and after the date of her first conviction in 2018, </w:t>
      </w:r>
      <w:r w:rsidR="007D069D">
        <w:rPr>
          <w:rFonts w:eastAsia="PMingLiU"/>
          <w:lang w:eastAsia="zh-TW"/>
        </w:rPr>
        <w:t xml:space="preserve">a number of important sentencing </w:t>
      </w:r>
      <w:r w:rsidR="00271022">
        <w:rPr>
          <w:rFonts w:eastAsia="PMingLiU"/>
          <w:lang w:eastAsia="zh-TW"/>
        </w:rPr>
        <w:t>authorities</w:t>
      </w:r>
      <w:r w:rsidR="007D069D">
        <w:rPr>
          <w:rFonts w:eastAsia="PMingLiU"/>
          <w:lang w:eastAsia="zh-TW"/>
        </w:rPr>
        <w:t xml:space="preserve"> </w:t>
      </w:r>
      <w:r w:rsidR="000E0DAE">
        <w:rPr>
          <w:rFonts w:eastAsia="PMingLiU"/>
          <w:lang w:eastAsia="zh-TW"/>
        </w:rPr>
        <w:t>dealing with</w:t>
      </w:r>
      <w:r w:rsidR="007D069D">
        <w:rPr>
          <w:rFonts w:eastAsia="PMingLiU"/>
          <w:lang w:eastAsia="zh-TW"/>
        </w:rPr>
        <w:t xml:space="preserve"> the trafficking of dangerous drugs</w:t>
      </w:r>
      <w:r w:rsidR="000E0DAE">
        <w:rPr>
          <w:rFonts w:eastAsia="PMingLiU"/>
          <w:lang w:eastAsia="zh-TW"/>
        </w:rPr>
        <w:t xml:space="preserve">, and in particular </w:t>
      </w:r>
      <w:r w:rsidR="00C23283">
        <w:rPr>
          <w:rFonts w:eastAsia="PMingLiU"/>
          <w:lang w:eastAsia="zh-TW"/>
        </w:rPr>
        <w:t xml:space="preserve">very </w:t>
      </w:r>
      <w:r w:rsidR="000E0DAE">
        <w:rPr>
          <w:rFonts w:eastAsia="PMingLiU"/>
          <w:lang w:eastAsia="zh-TW"/>
        </w:rPr>
        <w:t>large quantities of dangerous drugs, had</w:t>
      </w:r>
      <w:r w:rsidR="00650CF2">
        <w:rPr>
          <w:rFonts w:eastAsia="PMingLiU"/>
          <w:lang w:eastAsia="zh-TW"/>
        </w:rPr>
        <w:t xml:space="preserve"> been published by this Court</w:t>
      </w:r>
      <w:r w:rsidR="00AA5B6D">
        <w:rPr>
          <w:rFonts w:eastAsia="PMingLiU"/>
          <w:lang w:eastAsia="zh-TW"/>
        </w:rPr>
        <w:t xml:space="preserve"> since the </w:t>
      </w:r>
      <w:r w:rsidR="00271022">
        <w:rPr>
          <w:rFonts w:eastAsia="PMingLiU"/>
          <w:lang w:eastAsia="zh-TW"/>
        </w:rPr>
        <w:t>decision in</w:t>
      </w:r>
      <w:r w:rsidR="00AA5B6D">
        <w:rPr>
          <w:rFonts w:eastAsia="PMingLiU"/>
          <w:lang w:eastAsia="zh-TW"/>
        </w:rPr>
        <w:t xml:space="preserve"> </w:t>
      </w:r>
      <w:r w:rsidR="00AA5B6D" w:rsidRPr="00AA5B6D">
        <w:rPr>
          <w:rFonts w:eastAsia="PMingLiU"/>
          <w:i/>
          <w:lang w:eastAsia="zh-TW"/>
        </w:rPr>
        <w:t>HKSAR v Abdallah</w:t>
      </w:r>
      <w:r w:rsidR="00AA5B6D">
        <w:rPr>
          <w:rStyle w:val="FootnoteReference"/>
          <w:rFonts w:eastAsia="PMingLiU"/>
          <w:lang w:eastAsia="zh-TW"/>
        </w:rPr>
        <w:footnoteReference w:id="4"/>
      </w:r>
      <w:r w:rsidR="00DA30B4">
        <w:rPr>
          <w:rFonts w:eastAsia="PMingLiU"/>
          <w:lang w:eastAsia="zh-TW"/>
        </w:rPr>
        <w:t>;</w:t>
      </w:r>
      <w:r w:rsidR="007D069D">
        <w:rPr>
          <w:rFonts w:eastAsia="PMingLiU"/>
          <w:lang w:eastAsia="zh-TW"/>
        </w:rPr>
        <w:t xml:space="preserve"> namely </w:t>
      </w:r>
      <w:r w:rsidR="00A7177C" w:rsidRPr="00A7177C">
        <w:rPr>
          <w:rFonts w:eastAsia="PMingLiU"/>
          <w:i/>
          <w:lang w:eastAsia="zh-TW"/>
        </w:rPr>
        <w:t>HKSAR v Herry Jane Yusuph</w:t>
      </w:r>
      <w:r w:rsidR="00A7177C">
        <w:rPr>
          <w:rStyle w:val="FootnoteReference"/>
          <w:rFonts w:eastAsia="PMingLiU"/>
          <w:lang w:eastAsia="zh-TW"/>
        </w:rPr>
        <w:footnoteReference w:id="5"/>
      </w:r>
      <w:r w:rsidR="00A7177C">
        <w:rPr>
          <w:rFonts w:eastAsia="PMingLiU"/>
          <w:lang w:eastAsia="zh-TW"/>
        </w:rPr>
        <w:t xml:space="preserve">, </w:t>
      </w:r>
      <w:r w:rsidR="007D069D" w:rsidRPr="00A7177C">
        <w:rPr>
          <w:rFonts w:eastAsia="PMingLiU"/>
          <w:i/>
          <w:lang w:eastAsia="zh-TW"/>
        </w:rPr>
        <w:t xml:space="preserve">HKSAR v Lee </w:t>
      </w:r>
      <w:r w:rsidR="0077435A">
        <w:rPr>
          <w:rFonts w:eastAsia="PMingLiU"/>
          <w:i/>
          <w:lang w:eastAsia="zh-TW"/>
        </w:rPr>
        <w:t>‍</w:t>
      </w:r>
      <w:r w:rsidR="007D069D" w:rsidRPr="00A7177C">
        <w:rPr>
          <w:rFonts w:eastAsia="PMingLiU"/>
          <w:i/>
          <w:lang w:eastAsia="zh-TW"/>
        </w:rPr>
        <w:t>Ming Ho</w:t>
      </w:r>
      <w:r w:rsidR="00A7177C">
        <w:rPr>
          <w:rStyle w:val="FootnoteReference"/>
          <w:rFonts w:eastAsia="PMingLiU"/>
          <w:lang w:eastAsia="zh-TW"/>
        </w:rPr>
        <w:footnoteReference w:id="6"/>
      </w:r>
      <w:r w:rsidR="007D069D">
        <w:rPr>
          <w:rFonts w:eastAsia="PMingLiU"/>
          <w:lang w:eastAsia="zh-TW"/>
        </w:rPr>
        <w:t xml:space="preserve">, </w:t>
      </w:r>
      <w:r w:rsidR="007D069D" w:rsidRPr="00A7177C">
        <w:rPr>
          <w:rFonts w:eastAsia="PMingLiU"/>
          <w:i/>
          <w:lang w:eastAsia="zh-TW"/>
        </w:rPr>
        <w:t>HKSAR v Raman Kapusamy</w:t>
      </w:r>
      <w:r w:rsidR="00A7177C">
        <w:rPr>
          <w:rStyle w:val="FootnoteReference"/>
          <w:rFonts w:eastAsia="PMingLiU"/>
          <w:lang w:eastAsia="zh-TW"/>
        </w:rPr>
        <w:footnoteReference w:id="7"/>
      </w:r>
      <w:r w:rsidR="007D069D">
        <w:rPr>
          <w:rFonts w:eastAsia="PMingLiU"/>
          <w:lang w:eastAsia="zh-TW"/>
        </w:rPr>
        <w:t xml:space="preserve"> and </w:t>
      </w:r>
      <w:r w:rsidR="007D069D" w:rsidRPr="00A7177C">
        <w:rPr>
          <w:rFonts w:eastAsia="PMingLiU"/>
          <w:i/>
          <w:lang w:eastAsia="zh-TW"/>
        </w:rPr>
        <w:t xml:space="preserve">HKSAR v Sum </w:t>
      </w:r>
      <w:r w:rsidR="0046009A">
        <w:rPr>
          <w:rFonts w:eastAsia="PMingLiU"/>
          <w:lang w:eastAsia="zh-TW"/>
        </w:rPr>
        <w:t>‍</w:t>
      </w:r>
      <w:r w:rsidR="007D069D" w:rsidRPr="00A7177C">
        <w:rPr>
          <w:rFonts w:eastAsia="PMingLiU"/>
          <w:i/>
          <w:lang w:eastAsia="zh-TW"/>
        </w:rPr>
        <w:t>Ka Wa</w:t>
      </w:r>
      <w:r w:rsidR="00AC2D2C" w:rsidRPr="00F555B2">
        <w:rPr>
          <w:rFonts w:eastAsia="PMingLiU"/>
          <w:vertAlign w:val="superscript"/>
          <w:lang w:eastAsia="zh-TW"/>
        </w:rPr>
        <w:footnoteReference w:id="8"/>
      </w:r>
      <w:r w:rsidR="00A7177C">
        <w:rPr>
          <w:rFonts w:eastAsia="PMingLiU"/>
          <w:lang w:eastAsia="zh-TW"/>
        </w:rPr>
        <w:t>.</w:t>
      </w:r>
      <w:r w:rsidR="007068C8">
        <w:rPr>
          <w:rFonts w:eastAsia="PMingLiU"/>
          <w:lang w:eastAsia="zh-TW"/>
        </w:rPr>
        <w:t xml:space="preserve">  </w:t>
      </w:r>
      <w:r w:rsidR="000E0DAE">
        <w:rPr>
          <w:rFonts w:eastAsia="PMingLiU"/>
          <w:lang w:eastAsia="zh-TW"/>
        </w:rPr>
        <w:t>The Court</w:t>
      </w:r>
      <w:r w:rsidR="007068C8">
        <w:rPr>
          <w:rFonts w:eastAsia="PMingLiU"/>
          <w:lang w:eastAsia="zh-TW"/>
        </w:rPr>
        <w:t xml:space="preserve"> </w:t>
      </w:r>
      <w:r w:rsidR="00650CF2">
        <w:rPr>
          <w:rFonts w:eastAsia="PMingLiU"/>
          <w:lang w:eastAsia="zh-TW"/>
        </w:rPr>
        <w:t>went on to explain</w:t>
      </w:r>
      <w:r w:rsidR="007068C8">
        <w:rPr>
          <w:rStyle w:val="FootnoteReference"/>
          <w:rFonts w:eastAsia="PMingLiU"/>
          <w:lang w:eastAsia="zh-TW"/>
        </w:rPr>
        <w:footnoteReference w:id="9"/>
      </w:r>
      <w:r w:rsidR="007068C8">
        <w:rPr>
          <w:rFonts w:eastAsia="PMingLiU"/>
          <w:lang w:eastAsia="zh-TW"/>
        </w:rPr>
        <w:t>:</w:t>
      </w:r>
    </w:p>
    <w:p w:rsidR="007068C8" w:rsidRDefault="007068C8" w:rsidP="0077435A">
      <w:pPr>
        <w:pStyle w:val="j-quotation"/>
      </w:pPr>
      <w:r>
        <w:lastRenderedPageBreak/>
        <w:t xml:space="preserve">“In </w:t>
      </w:r>
      <w:r w:rsidRPr="007068C8">
        <w:rPr>
          <w:i/>
        </w:rPr>
        <w:t>Lee Ming Ho</w:t>
      </w:r>
      <w:r>
        <w:t>, this Court</w:t>
      </w:r>
      <w:r w:rsidR="0077435A">
        <w:t xml:space="preserve"> reconsidered aspects of </w:t>
      </w:r>
      <w:r w:rsidR="0077435A">
        <w:rPr>
          <w:i/>
        </w:rPr>
        <w:t>Abdallah</w:t>
      </w:r>
      <w:r w:rsidR="0077435A" w:rsidRPr="0077435A">
        <w:t xml:space="preserve">, </w:t>
      </w:r>
      <w:r w:rsidR="0077435A">
        <w:t xml:space="preserve">decided more than 15 years ago, concerning the supplementary guidelines for aggravating factors, although the guidelines for the different quantities of dangerous drugs themselves were left intact.  We would now like to take the opportunity to reconsider the appropriateness of the </w:t>
      </w:r>
      <w:r w:rsidR="0077435A">
        <w:rPr>
          <w:i/>
        </w:rPr>
        <w:t>Abdallah</w:t>
      </w:r>
      <w:r w:rsidR="0077435A">
        <w:t xml:space="preserve"> guidelines themselves.  This case, falling as it does within the third classification in </w:t>
      </w:r>
      <w:r w:rsidR="0077435A">
        <w:rPr>
          <w:i/>
        </w:rPr>
        <w:t>Abdallah</w:t>
      </w:r>
      <w:r w:rsidR="0077435A" w:rsidRPr="0077435A">
        <w:t>,</w:t>
      </w:r>
      <w:r w:rsidR="0077435A">
        <w:t xml:space="preserve"> namely 26 to 30 years’ imprisonment for trafficking between 4,000 and 15,000 grammes of narcotic, presents us with that opportunity; particularly since the Court is now comprised of three judges rather than two and is representative of both divisions of the </w:t>
      </w:r>
      <w:r>
        <w:t xml:space="preserve">Court of </w:t>
      </w:r>
      <w:r w:rsidR="0077435A">
        <w:t>A</w:t>
      </w:r>
      <w:r>
        <w:t>ppeal.”</w:t>
      </w:r>
    </w:p>
    <w:p w:rsidR="007C084E" w:rsidRPr="007C084E" w:rsidRDefault="007068C8" w:rsidP="007C084E">
      <w:pPr>
        <w:pStyle w:val="T-Draft"/>
        <w:rPr>
          <w:lang w:eastAsia="zh-TW"/>
        </w:rPr>
      </w:pPr>
      <w:r>
        <w:rPr>
          <w:lang w:eastAsia="zh-TW"/>
        </w:rPr>
        <w:t>Accordingly, the Court said it “would like</w:t>
      </w:r>
      <w:r w:rsidR="007C084E">
        <w:rPr>
          <w:lang w:eastAsia="zh-TW"/>
        </w:rPr>
        <w:t xml:space="preserve"> to hear full argument as to the correctness of the guidelines in </w:t>
      </w:r>
      <w:r w:rsidR="007C084E" w:rsidRPr="007C084E">
        <w:rPr>
          <w:i/>
          <w:lang w:eastAsia="zh-TW"/>
        </w:rPr>
        <w:t>Abdallah</w:t>
      </w:r>
      <w:r w:rsidR="007C084E">
        <w:rPr>
          <w:lang w:eastAsia="zh-TW"/>
        </w:rPr>
        <w:t>”</w:t>
      </w:r>
      <w:r w:rsidR="00956D95">
        <w:rPr>
          <w:rStyle w:val="FootnoteReference"/>
          <w:lang w:eastAsia="zh-TW"/>
        </w:rPr>
        <w:footnoteReference w:id="10"/>
      </w:r>
      <w:r w:rsidR="007C084E">
        <w:rPr>
          <w:lang w:eastAsia="zh-TW"/>
        </w:rPr>
        <w:t xml:space="preserve">, for which it granted the applicant an appeal aid certificate in respect of sentence.  </w:t>
      </w:r>
      <w:r w:rsidR="000E0DAE">
        <w:rPr>
          <w:lang w:eastAsia="zh-TW"/>
        </w:rPr>
        <w:t>In due course</w:t>
      </w:r>
      <w:r w:rsidR="007C084E">
        <w:rPr>
          <w:lang w:eastAsia="zh-TW"/>
        </w:rPr>
        <w:t>, o</w:t>
      </w:r>
      <w:r w:rsidR="00AC2D2C" w:rsidRPr="007C084E">
        <w:rPr>
          <w:rFonts w:eastAsia="PMingLiU" w:hint="eastAsia"/>
          <w:lang w:eastAsia="zh-TW"/>
        </w:rPr>
        <w:t xml:space="preserve">n </w:t>
      </w:r>
      <w:r w:rsidR="00AC2D2C" w:rsidRPr="007C084E">
        <w:rPr>
          <w:rFonts w:eastAsia="PMingLiU"/>
          <w:lang w:eastAsia="zh-TW"/>
        </w:rPr>
        <w:t xml:space="preserve">16 September </w:t>
      </w:r>
      <w:r w:rsidR="00AC2D2C" w:rsidRPr="007C084E">
        <w:rPr>
          <w:rFonts w:eastAsia="PMingLiU" w:hint="eastAsia"/>
          <w:lang w:eastAsia="zh-TW"/>
        </w:rPr>
        <w:t xml:space="preserve">2024, the applicant filed </w:t>
      </w:r>
      <w:r w:rsidR="00AC2D2C" w:rsidRPr="007C084E">
        <w:rPr>
          <w:rFonts w:eastAsia="PMingLiU"/>
          <w:lang w:eastAsia="zh-TW"/>
        </w:rPr>
        <w:t>a</w:t>
      </w:r>
      <w:r w:rsidR="00AC2D2C" w:rsidRPr="007C084E">
        <w:rPr>
          <w:rFonts w:eastAsia="PMingLiU" w:hint="eastAsia"/>
          <w:lang w:eastAsia="zh-TW"/>
        </w:rPr>
        <w:t xml:space="preserve"> Form XI </w:t>
      </w:r>
      <w:r w:rsidR="004F0093">
        <w:rPr>
          <w:rFonts w:eastAsia="PMingLiU"/>
          <w:lang w:eastAsia="zh-TW"/>
        </w:rPr>
        <w:t>Notice ‍of Application for l</w:t>
      </w:r>
      <w:r w:rsidR="00AC2D2C" w:rsidRPr="007C084E">
        <w:rPr>
          <w:rFonts w:eastAsia="PMingLiU"/>
          <w:lang w:eastAsia="zh-TW"/>
        </w:rPr>
        <w:t xml:space="preserve">eave to </w:t>
      </w:r>
      <w:r w:rsidR="004F0093">
        <w:rPr>
          <w:rFonts w:eastAsia="PMingLiU"/>
          <w:lang w:eastAsia="zh-TW"/>
        </w:rPr>
        <w:t>a</w:t>
      </w:r>
      <w:r w:rsidR="00AC2D2C" w:rsidRPr="007C084E">
        <w:rPr>
          <w:rFonts w:eastAsia="PMingLiU"/>
          <w:lang w:eastAsia="zh-TW"/>
        </w:rPr>
        <w:t>ppeal against sentence out of time</w:t>
      </w:r>
      <w:r w:rsidR="00AC2D2C" w:rsidRPr="00F555B2">
        <w:rPr>
          <w:rFonts w:eastAsia="PMingLiU"/>
          <w:vertAlign w:val="superscript"/>
          <w:lang w:eastAsia="zh-TW"/>
        </w:rPr>
        <w:footnoteReference w:id="11"/>
      </w:r>
      <w:r w:rsidR="00AC2D2C" w:rsidRPr="007C084E">
        <w:rPr>
          <w:rFonts w:eastAsia="PMingLiU"/>
          <w:lang w:eastAsia="zh-TW"/>
        </w:rPr>
        <w:t xml:space="preserve">.  She has </w:t>
      </w:r>
      <w:r w:rsidR="00650CF2">
        <w:rPr>
          <w:rFonts w:eastAsia="PMingLiU"/>
          <w:lang w:eastAsia="zh-TW"/>
        </w:rPr>
        <w:t>again</w:t>
      </w:r>
      <w:r w:rsidR="000E0DAE">
        <w:rPr>
          <w:rFonts w:eastAsia="PMingLiU"/>
          <w:lang w:eastAsia="zh-TW"/>
        </w:rPr>
        <w:t>, for the purposes of the present application,</w:t>
      </w:r>
      <w:r w:rsidR="00650CF2">
        <w:rPr>
          <w:rFonts w:eastAsia="PMingLiU"/>
          <w:lang w:eastAsia="zh-TW"/>
        </w:rPr>
        <w:t xml:space="preserve"> </w:t>
      </w:r>
      <w:r w:rsidR="00AC2D2C" w:rsidRPr="007C084E">
        <w:rPr>
          <w:rFonts w:eastAsia="PMingLiU"/>
          <w:lang w:eastAsia="zh-TW"/>
        </w:rPr>
        <w:t xml:space="preserve">been represented by </w:t>
      </w:r>
      <w:r w:rsidR="007C084E">
        <w:rPr>
          <w:rFonts w:eastAsia="PMingLiU"/>
          <w:lang w:eastAsia="zh-TW"/>
        </w:rPr>
        <w:t xml:space="preserve">leading </w:t>
      </w:r>
      <w:r w:rsidR="00AC2D2C" w:rsidRPr="007C084E">
        <w:rPr>
          <w:rFonts w:eastAsia="PMingLiU"/>
          <w:lang w:eastAsia="zh-TW"/>
        </w:rPr>
        <w:t xml:space="preserve">counsel Mr </w:t>
      </w:r>
      <w:r w:rsidR="007C084E">
        <w:rPr>
          <w:rFonts w:eastAsia="PMingLiU"/>
          <w:lang w:eastAsia="zh-TW"/>
        </w:rPr>
        <w:t xml:space="preserve">Andrew </w:t>
      </w:r>
      <w:r w:rsidR="00AC2D2C" w:rsidRPr="007C084E">
        <w:rPr>
          <w:rFonts w:eastAsia="PMingLiU"/>
          <w:lang w:eastAsia="zh-TW"/>
        </w:rPr>
        <w:t>Bruce, SC</w:t>
      </w:r>
      <w:r w:rsidR="007C084E">
        <w:rPr>
          <w:rFonts w:eastAsia="PMingLiU"/>
          <w:lang w:eastAsia="zh-TW"/>
        </w:rPr>
        <w:t xml:space="preserve">, with him </w:t>
      </w:r>
      <w:r w:rsidR="00AC2D2C" w:rsidRPr="007C084E">
        <w:rPr>
          <w:rFonts w:eastAsia="PMingLiU"/>
          <w:lang w:eastAsia="zh-TW"/>
        </w:rPr>
        <w:t xml:space="preserve">Mr </w:t>
      </w:r>
      <w:r w:rsidR="00AC2D2C" w:rsidRPr="007C084E">
        <w:rPr>
          <w:i/>
          <w:iCs/>
        </w:rPr>
        <w:t>‍</w:t>
      </w:r>
      <w:r w:rsidR="00AC2D2C" w:rsidRPr="007C084E">
        <w:rPr>
          <w:rFonts w:eastAsia="PMingLiU"/>
          <w:lang w:eastAsia="zh-TW"/>
        </w:rPr>
        <w:t xml:space="preserve">Martin </w:t>
      </w:r>
      <w:r w:rsidR="00AC2D2C" w:rsidRPr="007C084E">
        <w:rPr>
          <w:i/>
          <w:iCs/>
        </w:rPr>
        <w:t>‍</w:t>
      </w:r>
      <w:r w:rsidR="00AC2D2C" w:rsidRPr="007C084E">
        <w:rPr>
          <w:rFonts w:eastAsia="PMingLiU"/>
          <w:lang w:eastAsia="zh-TW"/>
        </w:rPr>
        <w:t xml:space="preserve">Li, </w:t>
      </w:r>
      <w:r w:rsidR="007C084E">
        <w:rPr>
          <w:rFonts w:eastAsia="PMingLiU"/>
          <w:lang w:eastAsia="zh-TW"/>
        </w:rPr>
        <w:t xml:space="preserve">on the instructions of the </w:t>
      </w:r>
      <w:r w:rsidR="00AC2D2C" w:rsidRPr="007C084E">
        <w:rPr>
          <w:rFonts w:eastAsia="PMingLiU"/>
          <w:lang w:eastAsia="zh-TW"/>
        </w:rPr>
        <w:t>Director of Legal Aid</w:t>
      </w:r>
      <w:r w:rsidR="00C23283">
        <w:rPr>
          <w:rFonts w:eastAsia="PMingLiU"/>
          <w:lang w:eastAsia="zh-TW"/>
        </w:rPr>
        <w:t xml:space="preserve">, as well as Mr Allen Judge, who acted on a </w:t>
      </w:r>
      <w:r w:rsidR="00C23283" w:rsidRPr="00C23283">
        <w:rPr>
          <w:rFonts w:eastAsia="PMingLiU"/>
          <w:i/>
          <w:lang w:eastAsia="zh-TW"/>
        </w:rPr>
        <w:t>pro bono</w:t>
      </w:r>
      <w:r w:rsidR="00C23283">
        <w:rPr>
          <w:rFonts w:eastAsia="PMingLiU"/>
          <w:lang w:eastAsia="zh-TW"/>
        </w:rPr>
        <w:t xml:space="preserve"> basis</w:t>
      </w:r>
      <w:r w:rsidR="00AC2D2C" w:rsidRPr="007C084E">
        <w:rPr>
          <w:rFonts w:eastAsia="PMingLiU"/>
          <w:lang w:eastAsia="zh-TW"/>
        </w:rPr>
        <w:t>.</w:t>
      </w:r>
    </w:p>
    <w:p w:rsidR="00AC2D2C" w:rsidRPr="007C084E" w:rsidRDefault="007C084E" w:rsidP="007C084E">
      <w:pPr>
        <w:pStyle w:val="T-Draft"/>
        <w:rPr>
          <w:lang w:eastAsia="zh-TW"/>
        </w:rPr>
      </w:pPr>
      <w:r>
        <w:rPr>
          <w:rFonts w:eastAsia="PMingLiU"/>
          <w:lang w:eastAsia="zh-TW"/>
        </w:rPr>
        <w:t xml:space="preserve">On 20 December 2024, we heard full argument from both </w:t>
      </w:r>
      <w:r w:rsidR="00650CF2">
        <w:rPr>
          <w:rFonts w:eastAsia="PMingLiU"/>
          <w:lang w:eastAsia="zh-TW"/>
        </w:rPr>
        <w:t>parties</w:t>
      </w:r>
      <w:r>
        <w:rPr>
          <w:rFonts w:eastAsia="PMingLiU"/>
          <w:lang w:eastAsia="zh-TW"/>
        </w:rPr>
        <w:t xml:space="preserve"> as to the appropriateness of the </w:t>
      </w:r>
      <w:r w:rsidRPr="002A30BA">
        <w:rPr>
          <w:rFonts w:eastAsia="PMingLiU"/>
          <w:i/>
          <w:lang w:eastAsia="zh-TW"/>
        </w:rPr>
        <w:t>Abdallah</w:t>
      </w:r>
      <w:r>
        <w:rPr>
          <w:rFonts w:eastAsia="PMingLiU"/>
          <w:lang w:eastAsia="zh-TW"/>
        </w:rPr>
        <w:t xml:space="preserve"> guidelines</w:t>
      </w:r>
      <w:r w:rsidR="000C5E63">
        <w:rPr>
          <w:rFonts w:eastAsia="PMingLiU"/>
          <w:lang w:eastAsia="zh-TW"/>
        </w:rPr>
        <w:t xml:space="preserve">.  </w:t>
      </w:r>
      <w:r w:rsidR="000E0DAE">
        <w:rPr>
          <w:rFonts w:eastAsia="PMingLiU"/>
          <w:lang w:eastAsia="zh-TW"/>
        </w:rPr>
        <w:t xml:space="preserve">Inevitably, the scope of our consideration of the authorities broadened </w:t>
      </w:r>
      <w:r w:rsidR="00956D95">
        <w:rPr>
          <w:rFonts w:eastAsia="PMingLiU"/>
          <w:lang w:eastAsia="zh-TW"/>
        </w:rPr>
        <w:t xml:space="preserve">as the argument developed </w:t>
      </w:r>
      <w:r w:rsidR="000E0DAE">
        <w:rPr>
          <w:rFonts w:eastAsia="PMingLiU"/>
          <w:lang w:eastAsia="zh-TW"/>
        </w:rPr>
        <w:t>and</w:t>
      </w:r>
      <w:r w:rsidR="000C5E63">
        <w:rPr>
          <w:rFonts w:eastAsia="PMingLiU"/>
          <w:lang w:eastAsia="zh-TW"/>
        </w:rPr>
        <w:t xml:space="preserve"> it </w:t>
      </w:r>
      <w:r w:rsidR="00AF0700">
        <w:rPr>
          <w:rFonts w:eastAsia="PMingLiU"/>
          <w:lang w:eastAsia="zh-TW"/>
        </w:rPr>
        <w:t xml:space="preserve">thus </w:t>
      </w:r>
      <w:r w:rsidR="000C5E63">
        <w:rPr>
          <w:rFonts w:eastAsia="PMingLiU"/>
          <w:lang w:eastAsia="zh-TW"/>
        </w:rPr>
        <w:t xml:space="preserve">became necessary </w:t>
      </w:r>
      <w:r w:rsidR="00AF0700">
        <w:rPr>
          <w:rFonts w:eastAsia="PMingLiU"/>
          <w:lang w:eastAsia="zh-TW"/>
        </w:rPr>
        <w:t xml:space="preserve">also </w:t>
      </w:r>
      <w:r w:rsidR="000C5E63">
        <w:rPr>
          <w:rFonts w:eastAsia="PMingLiU"/>
          <w:lang w:eastAsia="zh-TW"/>
        </w:rPr>
        <w:t>to examine</w:t>
      </w:r>
      <w:r>
        <w:rPr>
          <w:rFonts w:eastAsia="PMingLiU"/>
          <w:lang w:eastAsia="zh-TW"/>
        </w:rPr>
        <w:t xml:space="preserve"> the guidelines</w:t>
      </w:r>
      <w:r w:rsidR="00AF0700">
        <w:rPr>
          <w:rFonts w:eastAsia="PMingLiU"/>
          <w:lang w:eastAsia="zh-TW"/>
        </w:rPr>
        <w:t xml:space="preserve"> for </w:t>
      </w:r>
      <w:r w:rsidR="00D948C1">
        <w:rPr>
          <w:rFonts w:eastAsia="PMingLiU"/>
          <w:lang w:eastAsia="zh-TW"/>
        </w:rPr>
        <w:t xml:space="preserve">heroin </w:t>
      </w:r>
      <w:r w:rsidR="00C23283">
        <w:rPr>
          <w:rFonts w:eastAsia="PMingLiU"/>
          <w:lang w:eastAsia="zh-TW"/>
        </w:rPr>
        <w:t xml:space="preserve">set out </w:t>
      </w:r>
      <w:r>
        <w:rPr>
          <w:rFonts w:eastAsia="PMingLiU"/>
          <w:lang w:eastAsia="zh-TW"/>
        </w:rPr>
        <w:t xml:space="preserve">in </w:t>
      </w:r>
      <w:r w:rsidRPr="000C5E63">
        <w:rPr>
          <w:rFonts w:eastAsia="PMingLiU"/>
          <w:i/>
          <w:lang w:eastAsia="zh-TW"/>
        </w:rPr>
        <w:t>R v Lau Tak-</w:t>
      </w:r>
      <w:r w:rsidR="0077435A">
        <w:rPr>
          <w:rFonts w:eastAsia="PMingLiU"/>
          <w:lang w:eastAsia="zh-TW"/>
        </w:rPr>
        <w:t>‍</w:t>
      </w:r>
      <w:r w:rsidRPr="000C5E63">
        <w:rPr>
          <w:rFonts w:eastAsia="PMingLiU"/>
          <w:i/>
          <w:lang w:eastAsia="zh-TW"/>
        </w:rPr>
        <w:t>ming</w:t>
      </w:r>
      <w:r w:rsidR="00AA5B6D" w:rsidRPr="00AA5B6D">
        <w:rPr>
          <w:rStyle w:val="FootnoteReference"/>
          <w:rFonts w:eastAsia="PMingLiU"/>
          <w:lang w:eastAsia="zh-TW"/>
        </w:rPr>
        <w:footnoteReference w:id="12"/>
      </w:r>
      <w:r w:rsidR="000C5E63">
        <w:rPr>
          <w:rFonts w:eastAsia="PMingLiU"/>
          <w:lang w:eastAsia="zh-TW"/>
        </w:rPr>
        <w:t>,</w:t>
      </w:r>
      <w:r>
        <w:rPr>
          <w:rFonts w:eastAsia="PMingLiU"/>
          <w:lang w:eastAsia="zh-TW"/>
        </w:rPr>
        <w:t xml:space="preserve"> which</w:t>
      </w:r>
      <w:r w:rsidR="00DA30B4">
        <w:rPr>
          <w:rFonts w:eastAsia="PMingLiU"/>
          <w:lang w:eastAsia="zh-TW"/>
        </w:rPr>
        <w:t xml:space="preserve"> </w:t>
      </w:r>
      <w:r w:rsidR="00474634">
        <w:rPr>
          <w:rFonts w:eastAsia="PMingLiU"/>
          <w:lang w:eastAsia="zh-TW"/>
        </w:rPr>
        <w:t>the Court in</w:t>
      </w:r>
      <w:r>
        <w:rPr>
          <w:rFonts w:eastAsia="PMingLiU"/>
          <w:lang w:eastAsia="zh-TW"/>
        </w:rPr>
        <w:t xml:space="preserve"> </w:t>
      </w:r>
      <w:r w:rsidR="000C5E63" w:rsidRPr="000C5E63">
        <w:rPr>
          <w:rFonts w:eastAsia="PMingLiU"/>
          <w:i/>
          <w:lang w:eastAsia="zh-TW"/>
        </w:rPr>
        <w:t>Abdallah</w:t>
      </w:r>
      <w:r w:rsidR="000C5E63">
        <w:rPr>
          <w:rFonts w:eastAsia="PMingLiU"/>
          <w:lang w:eastAsia="zh-TW"/>
        </w:rPr>
        <w:t xml:space="preserve"> had </w:t>
      </w:r>
      <w:r>
        <w:rPr>
          <w:rFonts w:eastAsia="PMingLiU"/>
          <w:lang w:eastAsia="zh-TW"/>
        </w:rPr>
        <w:t>extended</w:t>
      </w:r>
      <w:r w:rsidR="000C5E63">
        <w:rPr>
          <w:rFonts w:eastAsia="PMingLiU"/>
          <w:lang w:eastAsia="zh-TW"/>
        </w:rPr>
        <w:t xml:space="preserve">, as well as the guidelines concerning methamphetamine hydrochloride (commonly referred to as “Ice”) set out in </w:t>
      </w:r>
      <w:r w:rsidR="000C5E63" w:rsidRPr="000C5E63">
        <w:rPr>
          <w:rFonts w:eastAsia="PMingLiU"/>
          <w:i/>
          <w:lang w:eastAsia="zh-TW"/>
        </w:rPr>
        <w:t xml:space="preserve">HKSAR v </w:t>
      </w:r>
      <w:r w:rsidR="000C5E63" w:rsidRPr="000C5E63">
        <w:rPr>
          <w:rFonts w:eastAsia="PMingLiU"/>
          <w:i/>
          <w:lang w:eastAsia="zh-TW"/>
        </w:rPr>
        <w:lastRenderedPageBreak/>
        <w:t xml:space="preserve">Tam </w:t>
      </w:r>
      <w:r w:rsidR="0046009A">
        <w:rPr>
          <w:rFonts w:eastAsia="PMingLiU"/>
          <w:lang w:eastAsia="zh-TW"/>
        </w:rPr>
        <w:t>‍</w:t>
      </w:r>
      <w:r w:rsidR="000C5E63" w:rsidRPr="000C5E63">
        <w:rPr>
          <w:rFonts w:eastAsia="PMingLiU"/>
          <w:i/>
          <w:lang w:eastAsia="zh-TW"/>
        </w:rPr>
        <w:t xml:space="preserve">Yi </w:t>
      </w:r>
      <w:r w:rsidR="000D635A">
        <w:rPr>
          <w:rFonts w:eastAsia="PMingLiU"/>
          <w:lang w:eastAsia="zh-TW"/>
        </w:rPr>
        <w:t>‍</w:t>
      </w:r>
      <w:r w:rsidR="000C5E63" w:rsidRPr="000C5E63">
        <w:rPr>
          <w:rFonts w:eastAsia="PMingLiU"/>
          <w:i/>
          <w:lang w:eastAsia="zh-TW"/>
        </w:rPr>
        <w:t>Chun</w:t>
      </w:r>
      <w:r w:rsidR="002A30BA" w:rsidRPr="002A30BA">
        <w:rPr>
          <w:rStyle w:val="FootnoteReference"/>
          <w:rFonts w:eastAsia="PMingLiU"/>
          <w:lang w:eastAsia="zh-TW"/>
        </w:rPr>
        <w:footnoteReference w:id="13"/>
      </w:r>
      <w:r w:rsidR="000C5E63">
        <w:rPr>
          <w:rFonts w:eastAsia="PMingLiU"/>
          <w:lang w:eastAsia="zh-TW"/>
        </w:rPr>
        <w:t>.</w:t>
      </w:r>
      <w:r>
        <w:rPr>
          <w:rFonts w:eastAsia="PMingLiU"/>
          <w:lang w:eastAsia="zh-TW"/>
        </w:rPr>
        <w:t xml:space="preserve"> </w:t>
      </w:r>
      <w:r w:rsidR="00AC2D2C" w:rsidRPr="007C084E">
        <w:rPr>
          <w:rFonts w:eastAsia="PMingLiU"/>
          <w:lang w:eastAsia="zh-TW"/>
        </w:rPr>
        <w:t xml:space="preserve"> </w:t>
      </w:r>
      <w:r w:rsidR="00DA30B4">
        <w:rPr>
          <w:rFonts w:eastAsia="PMingLiU"/>
          <w:lang w:eastAsia="zh-TW"/>
        </w:rPr>
        <w:t xml:space="preserve">The latter guidelines </w:t>
      </w:r>
      <w:r w:rsidR="00271022">
        <w:rPr>
          <w:rFonts w:eastAsia="PMingLiU"/>
          <w:lang w:eastAsia="zh-TW"/>
        </w:rPr>
        <w:t>became</w:t>
      </w:r>
      <w:r w:rsidR="00650CF2">
        <w:rPr>
          <w:rFonts w:eastAsia="PMingLiU"/>
          <w:lang w:eastAsia="zh-TW"/>
        </w:rPr>
        <w:t xml:space="preserve"> engaged</w:t>
      </w:r>
      <w:r w:rsidR="000E0DAE">
        <w:rPr>
          <w:rFonts w:eastAsia="PMingLiU"/>
          <w:lang w:eastAsia="zh-TW"/>
        </w:rPr>
        <w:t>, since</w:t>
      </w:r>
      <w:r w:rsidR="00AF0700">
        <w:rPr>
          <w:rFonts w:eastAsia="PMingLiU"/>
          <w:lang w:eastAsia="zh-TW"/>
        </w:rPr>
        <w:t xml:space="preserve"> for quantities of 600 </w:t>
      </w:r>
      <w:r w:rsidR="00E94300">
        <w:rPr>
          <w:rFonts w:eastAsia="PMingLiU"/>
          <w:lang w:eastAsia="zh-TW"/>
        </w:rPr>
        <w:t>‍</w:t>
      </w:r>
      <w:r w:rsidR="00AF0700">
        <w:rPr>
          <w:rFonts w:eastAsia="PMingLiU"/>
          <w:lang w:eastAsia="zh-TW"/>
        </w:rPr>
        <w:t xml:space="preserve">grammes </w:t>
      </w:r>
      <w:r w:rsidR="00DA30B4">
        <w:rPr>
          <w:rFonts w:eastAsia="PMingLiU"/>
          <w:lang w:eastAsia="zh-TW"/>
        </w:rPr>
        <w:t xml:space="preserve">of “Ice” and above, </w:t>
      </w:r>
      <w:r w:rsidR="00AF0700">
        <w:rPr>
          <w:rFonts w:eastAsia="PMingLiU"/>
          <w:lang w:eastAsia="zh-TW"/>
        </w:rPr>
        <w:t xml:space="preserve">the Court </w:t>
      </w:r>
      <w:r w:rsidR="00271022">
        <w:rPr>
          <w:rFonts w:eastAsia="PMingLiU"/>
          <w:lang w:eastAsia="zh-TW"/>
        </w:rPr>
        <w:t xml:space="preserve">in </w:t>
      </w:r>
      <w:r w:rsidR="00271022" w:rsidRPr="00271022">
        <w:rPr>
          <w:rFonts w:eastAsia="PMingLiU"/>
          <w:i/>
          <w:lang w:eastAsia="zh-TW"/>
        </w:rPr>
        <w:t xml:space="preserve">Tam </w:t>
      </w:r>
      <w:r w:rsidR="006C4B2A">
        <w:rPr>
          <w:rFonts w:eastAsia="PMingLiU"/>
          <w:lang w:eastAsia="zh-TW"/>
        </w:rPr>
        <w:t>‍</w:t>
      </w:r>
      <w:r w:rsidR="00271022" w:rsidRPr="00271022">
        <w:rPr>
          <w:rFonts w:eastAsia="PMingLiU"/>
          <w:i/>
          <w:lang w:eastAsia="zh-TW"/>
        </w:rPr>
        <w:t xml:space="preserve">Yi </w:t>
      </w:r>
      <w:r w:rsidR="006C4B2A">
        <w:rPr>
          <w:rFonts w:eastAsia="PMingLiU"/>
          <w:lang w:eastAsia="zh-TW"/>
        </w:rPr>
        <w:t>‍</w:t>
      </w:r>
      <w:r w:rsidR="00271022" w:rsidRPr="00271022">
        <w:rPr>
          <w:rFonts w:eastAsia="PMingLiU"/>
          <w:i/>
          <w:lang w:eastAsia="zh-TW"/>
        </w:rPr>
        <w:t>Chun</w:t>
      </w:r>
      <w:r w:rsidR="00271022">
        <w:rPr>
          <w:rFonts w:eastAsia="PMingLiU"/>
          <w:lang w:eastAsia="zh-TW"/>
        </w:rPr>
        <w:t xml:space="preserve"> </w:t>
      </w:r>
      <w:r w:rsidR="00DA30B4">
        <w:rPr>
          <w:rFonts w:eastAsia="PMingLiU"/>
          <w:lang w:eastAsia="zh-TW"/>
        </w:rPr>
        <w:t xml:space="preserve">had </w:t>
      </w:r>
      <w:r w:rsidR="00AF0700">
        <w:rPr>
          <w:rFonts w:eastAsia="PMingLiU"/>
          <w:lang w:eastAsia="zh-TW"/>
        </w:rPr>
        <w:t xml:space="preserve">held that “the same tariffs as are prescribed in </w:t>
      </w:r>
      <w:r w:rsidR="00AF0700" w:rsidRPr="00AF0700">
        <w:rPr>
          <w:rFonts w:eastAsia="PMingLiU"/>
          <w:i/>
          <w:lang w:eastAsia="zh-TW"/>
        </w:rPr>
        <w:t>Abdallah</w:t>
      </w:r>
      <w:r w:rsidR="00AF0700">
        <w:rPr>
          <w:rFonts w:eastAsia="PMingLiU"/>
          <w:lang w:eastAsia="zh-TW"/>
        </w:rPr>
        <w:t>” were to be applied</w:t>
      </w:r>
      <w:r w:rsidR="00AF0700">
        <w:rPr>
          <w:rStyle w:val="FootnoteReference"/>
          <w:rFonts w:eastAsia="PMingLiU"/>
          <w:lang w:eastAsia="zh-TW"/>
        </w:rPr>
        <w:footnoteReference w:id="14"/>
      </w:r>
      <w:r w:rsidR="00AF0700">
        <w:rPr>
          <w:rFonts w:eastAsia="PMingLiU"/>
          <w:lang w:eastAsia="zh-TW"/>
        </w:rPr>
        <w:t>.</w:t>
      </w:r>
    </w:p>
    <w:p w:rsidR="00AC2D2C" w:rsidRPr="00F555B2" w:rsidRDefault="002A30BA" w:rsidP="00AC2D2C">
      <w:pPr>
        <w:pStyle w:val="j-heading"/>
        <w:rPr>
          <w:snapToGrid/>
          <w:lang w:eastAsia="zh-TW"/>
        </w:rPr>
      </w:pPr>
      <w:r>
        <w:rPr>
          <w:snapToGrid/>
          <w:lang w:eastAsia="zh-TW"/>
        </w:rPr>
        <w:t>The f</w:t>
      </w:r>
      <w:r w:rsidR="00AC2D2C" w:rsidRPr="00F555B2">
        <w:rPr>
          <w:snapToGrid/>
          <w:lang w:eastAsia="zh-TW"/>
        </w:rPr>
        <w:t>acts of this case</w:t>
      </w:r>
    </w:p>
    <w:p w:rsidR="00AC2D2C" w:rsidRPr="00F555B2" w:rsidRDefault="00AC2D2C" w:rsidP="00AC2D2C">
      <w:pPr>
        <w:pStyle w:val="T-Draft"/>
        <w:rPr>
          <w:i/>
          <w:lang w:eastAsia="zh-TW"/>
        </w:rPr>
      </w:pPr>
      <w:r w:rsidRPr="00F555B2">
        <w:rPr>
          <w:lang w:eastAsia="zh-TW"/>
        </w:rPr>
        <w:t xml:space="preserve">On 8 April 2017, the applicant landed at Hong Kong </w:t>
      </w:r>
      <w:r w:rsidR="00DA30B4">
        <w:rPr>
          <w:lang w:eastAsia="zh-TW"/>
        </w:rPr>
        <w:t xml:space="preserve">International </w:t>
      </w:r>
      <w:r w:rsidR="00C23283">
        <w:rPr>
          <w:lang w:eastAsia="zh-TW"/>
        </w:rPr>
        <w:t>A</w:t>
      </w:r>
      <w:r w:rsidRPr="00F555B2">
        <w:rPr>
          <w:lang w:eastAsia="zh-TW"/>
        </w:rPr>
        <w:t>irport after travelling from S</w:t>
      </w:r>
      <w:r w:rsidRPr="008C5EC9">
        <w:rPr>
          <w:rFonts w:eastAsia="PMingLiU" w:hint="eastAsia"/>
          <w:lang w:eastAsia="zh-TW"/>
        </w:rPr>
        <w:t>ã</w:t>
      </w:r>
      <w:r w:rsidRPr="00F555B2">
        <w:rPr>
          <w:lang w:eastAsia="zh-TW"/>
        </w:rPr>
        <w:t>o Paulo</w:t>
      </w:r>
      <w:r w:rsidR="002A30BA">
        <w:rPr>
          <w:lang w:eastAsia="zh-TW"/>
        </w:rPr>
        <w:t xml:space="preserve"> in</w:t>
      </w:r>
      <w:r w:rsidR="00956D95">
        <w:rPr>
          <w:lang w:eastAsia="zh-TW"/>
        </w:rPr>
        <w:t xml:space="preserve"> Brazil</w:t>
      </w:r>
      <w:r w:rsidR="00AF0700">
        <w:rPr>
          <w:lang w:eastAsia="zh-TW"/>
        </w:rPr>
        <w:t>, with a stopover in</w:t>
      </w:r>
      <w:r w:rsidRPr="00F555B2">
        <w:rPr>
          <w:lang w:eastAsia="zh-TW"/>
        </w:rPr>
        <w:t xml:space="preserve"> Johannesburg</w:t>
      </w:r>
      <w:r w:rsidR="002A30BA">
        <w:rPr>
          <w:lang w:eastAsia="zh-TW"/>
        </w:rPr>
        <w:t xml:space="preserve"> in</w:t>
      </w:r>
      <w:r w:rsidRPr="00F555B2">
        <w:rPr>
          <w:lang w:eastAsia="zh-TW"/>
        </w:rPr>
        <w:t xml:space="preserve"> South </w:t>
      </w:r>
      <w:r>
        <w:rPr>
          <w:lang w:eastAsia="zh-TW"/>
        </w:rPr>
        <w:t>‍</w:t>
      </w:r>
      <w:r w:rsidRPr="00F555B2">
        <w:rPr>
          <w:lang w:eastAsia="zh-TW"/>
        </w:rPr>
        <w:t xml:space="preserve">Africa.  She was intercepted by a </w:t>
      </w:r>
      <w:r>
        <w:rPr>
          <w:lang w:eastAsia="zh-TW"/>
        </w:rPr>
        <w:t>C</w:t>
      </w:r>
      <w:r w:rsidRPr="00F555B2">
        <w:rPr>
          <w:lang w:eastAsia="zh-TW"/>
        </w:rPr>
        <w:t xml:space="preserve">ustoms </w:t>
      </w:r>
      <w:r>
        <w:rPr>
          <w:lang w:eastAsia="zh-TW"/>
        </w:rPr>
        <w:t>‍</w:t>
      </w:r>
      <w:r w:rsidRPr="00F555B2">
        <w:rPr>
          <w:lang w:eastAsia="zh-TW"/>
        </w:rPr>
        <w:t>officer at the green channel</w:t>
      </w:r>
      <w:r w:rsidRPr="00F555B2">
        <w:rPr>
          <w:vertAlign w:val="superscript"/>
          <w:lang w:eastAsia="zh-TW"/>
        </w:rPr>
        <w:footnoteReference w:id="15"/>
      </w:r>
      <w:r w:rsidRPr="00F555B2">
        <w:rPr>
          <w:lang w:eastAsia="zh-TW"/>
        </w:rPr>
        <w:t xml:space="preserve"> and found to be carrying </w:t>
      </w:r>
      <w:r w:rsidR="00AF0700">
        <w:rPr>
          <w:lang w:eastAsia="zh-TW"/>
        </w:rPr>
        <w:t>a total of nine</w:t>
      </w:r>
      <w:r w:rsidRPr="00F555B2">
        <w:rPr>
          <w:lang w:eastAsia="zh-TW"/>
        </w:rPr>
        <w:t xml:space="preserve"> </w:t>
      </w:r>
      <w:r>
        <w:rPr>
          <w:lang w:eastAsia="zh-TW"/>
        </w:rPr>
        <w:t>‍</w:t>
      </w:r>
      <w:r w:rsidRPr="00F555B2">
        <w:rPr>
          <w:lang w:eastAsia="zh-TW"/>
        </w:rPr>
        <w:t xml:space="preserve">cans of liquid cocaine in her two suitcases.  The liquid was 6,960 </w:t>
      </w:r>
      <w:r>
        <w:rPr>
          <w:lang w:eastAsia="zh-TW"/>
        </w:rPr>
        <w:t>‍</w:t>
      </w:r>
      <w:r w:rsidRPr="00F555B2">
        <w:rPr>
          <w:lang w:eastAsia="zh-TW"/>
        </w:rPr>
        <w:t>millilitres in volume</w:t>
      </w:r>
      <w:r w:rsidR="00AF0700">
        <w:rPr>
          <w:lang w:eastAsia="zh-TW"/>
        </w:rPr>
        <w:t>, containing</w:t>
      </w:r>
      <w:r w:rsidRPr="00F555B2">
        <w:rPr>
          <w:lang w:eastAsia="zh-TW"/>
        </w:rPr>
        <w:t xml:space="preserve"> 4,770 grammes of cocaine, </w:t>
      </w:r>
      <w:r w:rsidR="002A30BA">
        <w:rPr>
          <w:lang w:eastAsia="zh-TW"/>
        </w:rPr>
        <w:t>with a</w:t>
      </w:r>
      <w:r w:rsidRPr="00F555B2">
        <w:rPr>
          <w:lang w:eastAsia="zh-TW"/>
        </w:rPr>
        <w:t xml:space="preserve"> street value </w:t>
      </w:r>
      <w:r w:rsidR="00AF0700">
        <w:rPr>
          <w:lang w:eastAsia="zh-TW"/>
        </w:rPr>
        <w:t>of</w:t>
      </w:r>
      <w:r w:rsidRPr="00F555B2">
        <w:rPr>
          <w:lang w:eastAsia="zh-TW"/>
        </w:rPr>
        <w:t xml:space="preserve"> HK$3,830,310.  Besides the dangerous drug</w:t>
      </w:r>
      <w:r w:rsidR="00C23283">
        <w:rPr>
          <w:lang w:eastAsia="zh-TW"/>
        </w:rPr>
        <w:t>s</w:t>
      </w:r>
      <w:r w:rsidRPr="00F555B2">
        <w:rPr>
          <w:lang w:eastAsia="zh-TW"/>
        </w:rPr>
        <w:t xml:space="preserve"> found, the applicant was </w:t>
      </w:r>
      <w:r w:rsidR="00AF0700">
        <w:rPr>
          <w:lang w:eastAsia="zh-TW"/>
        </w:rPr>
        <w:t xml:space="preserve">also </w:t>
      </w:r>
      <w:r w:rsidRPr="00F555B2">
        <w:rPr>
          <w:lang w:eastAsia="zh-TW"/>
        </w:rPr>
        <w:t xml:space="preserve">carrying </w:t>
      </w:r>
      <w:r w:rsidR="00AF0700">
        <w:rPr>
          <w:lang w:eastAsia="zh-TW"/>
        </w:rPr>
        <w:t>a quantity of</w:t>
      </w:r>
      <w:r w:rsidRPr="00F555B2">
        <w:rPr>
          <w:lang w:eastAsia="zh-TW"/>
        </w:rPr>
        <w:t xml:space="preserve"> dried seafood and boxes of chocolates in her </w:t>
      </w:r>
      <w:r w:rsidR="00AF0700">
        <w:rPr>
          <w:lang w:eastAsia="zh-TW"/>
        </w:rPr>
        <w:t>luggage</w:t>
      </w:r>
      <w:r w:rsidRPr="00F555B2">
        <w:rPr>
          <w:vertAlign w:val="superscript"/>
          <w:lang w:eastAsia="zh-TW"/>
        </w:rPr>
        <w:footnoteReference w:id="16"/>
      </w:r>
      <w:r w:rsidRPr="00F555B2">
        <w:rPr>
          <w:lang w:eastAsia="zh-TW"/>
        </w:rPr>
        <w:t>.</w:t>
      </w:r>
    </w:p>
    <w:p w:rsidR="00AC2D2C" w:rsidRPr="00F555B2" w:rsidRDefault="002A30BA" w:rsidP="00AC2D2C">
      <w:pPr>
        <w:pStyle w:val="T-Draft"/>
        <w:rPr>
          <w:rFonts w:eastAsia="PMingLiU"/>
          <w:i/>
          <w:lang w:eastAsia="zh-TW"/>
        </w:rPr>
      </w:pPr>
      <w:r>
        <w:rPr>
          <w:rFonts w:eastAsia="PMingLiU"/>
          <w:lang w:eastAsia="zh-TW"/>
        </w:rPr>
        <w:t>Upon the discovery of the dangerous drugs, t</w:t>
      </w:r>
      <w:r w:rsidR="00AC2D2C" w:rsidRPr="00F555B2">
        <w:rPr>
          <w:rFonts w:eastAsia="PMingLiU" w:hint="eastAsia"/>
          <w:lang w:eastAsia="zh-TW"/>
        </w:rPr>
        <w:t>he</w:t>
      </w:r>
      <w:r w:rsidR="00AC2D2C" w:rsidRPr="00F555B2">
        <w:rPr>
          <w:rFonts w:eastAsia="PMingLiU"/>
          <w:lang w:eastAsia="zh-TW"/>
        </w:rPr>
        <w:t xml:space="preserve"> applicant was </w:t>
      </w:r>
      <w:r w:rsidR="00AF0700">
        <w:rPr>
          <w:rFonts w:eastAsia="PMingLiU"/>
          <w:lang w:eastAsia="zh-TW"/>
        </w:rPr>
        <w:t xml:space="preserve">arrested and </w:t>
      </w:r>
      <w:r w:rsidR="00AC2D2C" w:rsidRPr="00F555B2">
        <w:rPr>
          <w:rFonts w:eastAsia="PMingLiU"/>
          <w:lang w:eastAsia="zh-TW"/>
        </w:rPr>
        <w:t xml:space="preserve">cautioned and </w:t>
      </w:r>
      <w:r>
        <w:rPr>
          <w:rFonts w:eastAsia="PMingLiU"/>
          <w:lang w:eastAsia="zh-TW"/>
        </w:rPr>
        <w:t xml:space="preserve">subsequently </w:t>
      </w:r>
      <w:r w:rsidR="00AC2D2C" w:rsidRPr="00F555B2">
        <w:rPr>
          <w:rFonts w:eastAsia="PMingLiU"/>
          <w:lang w:eastAsia="zh-TW"/>
        </w:rPr>
        <w:t xml:space="preserve">attended a video-recorded interview.  </w:t>
      </w:r>
      <w:r>
        <w:rPr>
          <w:rFonts w:eastAsia="PMingLiU"/>
          <w:lang w:eastAsia="zh-TW"/>
        </w:rPr>
        <w:t xml:space="preserve">In essence, </w:t>
      </w:r>
      <w:r w:rsidR="00AF0700">
        <w:rPr>
          <w:rFonts w:eastAsia="PMingLiU"/>
          <w:lang w:eastAsia="zh-TW"/>
        </w:rPr>
        <w:t xml:space="preserve">at interview, </w:t>
      </w:r>
      <w:r>
        <w:rPr>
          <w:rFonts w:eastAsia="PMingLiU"/>
          <w:lang w:eastAsia="zh-TW"/>
        </w:rPr>
        <w:t>s</w:t>
      </w:r>
      <w:r w:rsidR="00AC2D2C" w:rsidRPr="00F555B2">
        <w:rPr>
          <w:rFonts w:eastAsia="PMingLiU"/>
          <w:lang w:eastAsia="zh-TW"/>
        </w:rPr>
        <w:t xml:space="preserve">he denied knowledge of the cocaine found in her possession.  She explained that she was a courier of </w:t>
      </w:r>
      <w:r w:rsidR="00956D95">
        <w:rPr>
          <w:rFonts w:eastAsia="PMingLiU"/>
          <w:lang w:eastAsia="zh-TW"/>
        </w:rPr>
        <w:t xml:space="preserve">general </w:t>
      </w:r>
      <w:r w:rsidR="00AC2D2C" w:rsidRPr="00F555B2">
        <w:rPr>
          <w:rFonts w:eastAsia="PMingLiU"/>
          <w:lang w:eastAsia="zh-TW"/>
        </w:rPr>
        <w:t>goods for other</w:t>
      </w:r>
      <w:r>
        <w:rPr>
          <w:rFonts w:eastAsia="PMingLiU"/>
          <w:lang w:eastAsia="zh-TW"/>
        </w:rPr>
        <w:t xml:space="preserve"> people</w:t>
      </w:r>
      <w:r w:rsidR="00AC2D2C" w:rsidRPr="00F555B2">
        <w:rPr>
          <w:rFonts w:eastAsia="PMingLiU"/>
          <w:lang w:eastAsia="zh-TW"/>
        </w:rPr>
        <w:t xml:space="preserve">.  </w:t>
      </w:r>
      <w:r>
        <w:rPr>
          <w:rFonts w:eastAsia="PMingLiU"/>
          <w:lang w:eastAsia="zh-TW"/>
        </w:rPr>
        <w:t>In respect of this particular trip</w:t>
      </w:r>
      <w:r w:rsidR="00AC2D2C" w:rsidRPr="00F555B2">
        <w:rPr>
          <w:rFonts w:eastAsia="PMingLiU"/>
          <w:lang w:eastAsia="zh-TW"/>
        </w:rPr>
        <w:t xml:space="preserve">, she was carrying dried seafood for a person </w:t>
      </w:r>
      <w:r w:rsidR="00662121">
        <w:rPr>
          <w:rFonts w:eastAsia="PMingLiU"/>
          <w:lang w:eastAsia="zh-TW"/>
        </w:rPr>
        <w:t>called</w:t>
      </w:r>
      <w:r w:rsidR="00AC2D2C" w:rsidRPr="00F555B2">
        <w:rPr>
          <w:rFonts w:eastAsia="PMingLiU"/>
          <w:lang w:eastAsia="zh-TW"/>
        </w:rPr>
        <w:t xml:space="preserve"> “Ching Tse”, who</w:t>
      </w:r>
      <w:r w:rsidR="00956D95">
        <w:rPr>
          <w:rFonts w:eastAsia="PMingLiU"/>
          <w:lang w:eastAsia="zh-TW"/>
        </w:rPr>
        <w:t xml:space="preserve"> was a trusted friend</w:t>
      </w:r>
      <w:r w:rsidR="00AC2D2C" w:rsidRPr="00F555B2">
        <w:rPr>
          <w:rFonts w:eastAsia="PMingLiU"/>
          <w:lang w:eastAsia="zh-TW"/>
        </w:rPr>
        <w:t xml:space="preserve">.  </w:t>
      </w:r>
      <w:r w:rsidR="00662121">
        <w:rPr>
          <w:rFonts w:eastAsia="PMingLiU"/>
          <w:lang w:eastAsia="zh-TW"/>
        </w:rPr>
        <w:t>She also carried the</w:t>
      </w:r>
      <w:r w:rsidR="00AC2D2C" w:rsidRPr="00F555B2">
        <w:rPr>
          <w:rFonts w:eastAsia="PMingLiU"/>
          <w:lang w:eastAsia="zh-TW"/>
        </w:rPr>
        <w:t xml:space="preserve"> nine cans of </w:t>
      </w:r>
      <w:r w:rsidR="00662121">
        <w:rPr>
          <w:rFonts w:eastAsia="PMingLiU"/>
          <w:lang w:eastAsia="zh-TW"/>
        </w:rPr>
        <w:t>what w</w:t>
      </w:r>
      <w:r w:rsidR="00D26890">
        <w:rPr>
          <w:rFonts w:eastAsia="PMingLiU"/>
          <w:lang w:eastAsia="zh-TW"/>
        </w:rPr>
        <w:t>ere</w:t>
      </w:r>
      <w:r w:rsidR="00662121">
        <w:rPr>
          <w:rFonts w:eastAsia="PMingLiU"/>
          <w:lang w:eastAsia="zh-TW"/>
        </w:rPr>
        <w:t xml:space="preserve"> found to contain </w:t>
      </w:r>
      <w:r w:rsidR="00AC2D2C" w:rsidRPr="00F555B2">
        <w:rPr>
          <w:rFonts w:eastAsia="PMingLiU"/>
          <w:lang w:eastAsia="zh-TW"/>
        </w:rPr>
        <w:t xml:space="preserve">liquid cocaine because Ching Tse </w:t>
      </w:r>
      <w:r>
        <w:rPr>
          <w:rFonts w:eastAsia="PMingLiU"/>
          <w:lang w:eastAsia="zh-TW"/>
        </w:rPr>
        <w:t xml:space="preserve">had </w:t>
      </w:r>
      <w:r w:rsidR="00AC2D2C" w:rsidRPr="00F555B2">
        <w:rPr>
          <w:rFonts w:eastAsia="PMingLiU"/>
          <w:lang w:eastAsia="zh-TW"/>
        </w:rPr>
        <w:t xml:space="preserve">told her </w:t>
      </w:r>
      <w:r>
        <w:rPr>
          <w:rFonts w:eastAsia="PMingLiU"/>
          <w:lang w:eastAsia="zh-TW"/>
        </w:rPr>
        <w:t xml:space="preserve">that they </w:t>
      </w:r>
      <w:r w:rsidR="00D26890">
        <w:rPr>
          <w:rFonts w:eastAsia="PMingLiU"/>
          <w:lang w:eastAsia="zh-TW"/>
        </w:rPr>
        <w:t xml:space="preserve">were </w:t>
      </w:r>
      <w:r w:rsidR="0080605F">
        <w:rPr>
          <w:rFonts w:eastAsia="PMingLiU"/>
          <w:lang w:eastAsia="zh-TW"/>
        </w:rPr>
        <w:t>A</w:t>
      </w:r>
      <w:r w:rsidR="00AC2D2C" w:rsidRPr="00F555B2">
        <w:rPr>
          <w:rFonts w:eastAsia="PMingLiU"/>
          <w:lang w:eastAsia="zh-TW"/>
        </w:rPr>
        <w:t xml:space="preserve">cai juice and were gifts for </w:t>
      </w:r>
      <w:r>
        <w:rPr>
          <w:rFonts w:eastAsia="PMingLiU"/>
          <w:lang w:eastAsia="zh-TW"/>
        </w:rPr>
        <w:t>her</w:t>
      </w:r>
      <w:r w:rsidR="00AC2D2C" w:rsidRPr="00F555B2">
        <w:rPr>
          <w:rFonts w:eastAsia="PMingLiU"/>
          <w:lang w:eastAsia="zh-TW"/>
        </w:rPr>
        <w:t xml:space="preserve"> nephews.  The applicant </w:t>
      </w:r>
      <w:r>
        <w:rPr>
          <w:rFonts w:eastAsia="PMingLiU"/>
          <w:lang w:eastAsia="zh-TW"/>
        </w:rPr>
        <w:t xml:space="preserve">said she </w:t>
      </w:r>
      <w:r w:rsidR="00AC2D2C" w:rsidRPr="00F555B2">
        <w:rPr>
          <w:rFonts w:eastAsia="PMingLiU"/>
          <w:lang w:eastAsia="zh-TW"/>
        </w:rPr>
        <w:t xml:space="preserve">had checked the sealed cans and </w:t>
      </w:r>
      <w:r w:rsidR="00AC2D2C" w:rsidRPr="00F555B2">
        <w:rPr>
          <w:rFonts w:eastAsia="PMingLiU"/>
          <w:lang w:eastAsia="zh-TW"/>
        </w:rPr>
        <w:lastRenderedPageBreak/>
        <w:t>found nothing suspicious</w:t>
      </w:r>
      <w:r w:rsidR="00662121">
        <w:rPr>
          <w:rFonts w:eastAsia="PMingLiU"/>
          <w:lang w:eastAsia="zh-TW"/>
        </w:rPr>
        <w:t xml:space="preserve"> about them</w:t>
      </w:r>
      <w:r w:rsidR="00AC2D2C" w:rsidRPr="00F555B2">
        <w:rPr>
          <w:rFonts w:eastAsia="PMingLiU"/>
          <w:lang w:eastAsia="zh-TW"/>
        </w:rPr>
        <w:t xml:space="preserve">.  It </w:t>
      </w:r>
      <w:r>
        <w:rPr>
          <w:rFonts w:eastAsia="PMingLiU"/>
          <w:lang w:eastAsia="zh-TW"/>
        </w:rPr>
        <w:t>never occurred to her that the</w:t>
      </w:r>
      <w:r w:rsidR="00D948C1">
        <w:rPr>
          <w:rFonts w:eastAsia="PMingLiU"/>
          <w:lang w:eastAsia="zh-TW"/>
        </w:rPr>
        <w:t>y</w:t>
      </w:r>
      <w:r w:rsidR="00AC2D2C" w:rsidRPr="00F555B2">
        <w:rPr>
          <w:rFonts w:eastAsia="PMingLiU"/>
          <w:lang w:eastAsia="zh-TW"/>
        </w:rPr>
        <w:t xml:space="preserve"> </w:t>
      </w:r>
      <w:r w:rsidR="00474634">
        <w:rPr>
          <w:rFonts w:eastAsia="PMingLiU"/>
          <w:lang w:eastAsia="zh-TW"/>
        </w:rPr>
        <w:t>would</w:t>
      </w:r>
      <w:r w:rsidR="00AC2D2C" w:rsidRPr="00F555B2">
        <w:rPr>
          <w:rFonts w:eastAsia="PMingLiU"/>
          <w:lang w:eastAsia="zh-TW"/>
        </w:rPr>
        <w:t xml:space="preserve"> contain</w:t>
      </w:r>
      <w:r w:rsidR="00474634">
        <w:rPr>
          <w:rFonts w:eastAsia="PMingLiU"/>
          <w:lang w:eastAsia="zh-TW"/>
        </w:rPr>
        <w:t xml:space="preserve"> dangerous drugs</w:t>
      </w:r>
      <w:r w:rsidR="00AC2D2C" w:rsidRPr="00F555B2">
        <w:rPr>
          <w:rFonts w:eastAsia="PMingLiU"/>
          <w:vertAlign w:val="superscript"/>
          <w:lang w:eastAsia="zh-TW"/>
        </w:rPr>
        <w:footnoteReference w:id="17"/>
      </w:r>
      <w:r w:rsidR="00AC2D2C" w:rsidRPr="00F555B2">
        <w:rPr>
          <w:rFonts w:eastAsia="PMingLiU"/>
          <w:lang w:eastAsia="zh-TW"/>
        </w:rPr>
        <w:t xml:space="preserve">.  </w:t>
      </w:r>
    </w:p>
    <w:p w:rsidR="00AC2D2C" w:rsidRPr="00F555B2" w:rsidRDefault="002A30BA" w:rsidP="00AC2D2C">
      <w:pPr>
        <w:pStyle w:val="T-Draft"/>
        <w:rPr>
          <w:rFonts w:eastAsia="PMingLiU"/>
          <w:i/>
          <w:lang w:eastAsia="zh-TW"/>
        </w:rPr>
      </w:pPr>
      <w:r>
        <w:rPr>
          <w:rFonts w:eastAsia="PMingLiU"/>
          <w:lang w:eastAsia="zh-TW"/>
        </w:rPr>
        <w:t>At the retrial</w:t>
      </w:r>
      <w:r w:rsidR="00AC2D2C" w:rsidRPr="00F555B2">
        <w:rPr>
          <w:rFonts w:eastAsia="PMingLiU"/>
          <w:lang w:eastAsia="zh-TW"/>
        </w:rPr>
        <w:t>, the applicant elected not to give evidence.</w:t>
      </w:r>
      <w:r w:rsidR="00AC2D2C">
        <w:rPr>
          <w:rFonts w:eastAsia="PMingLiU"/>
          <w:lang w:eastAsia="zh-TW"/>
        </w:rPr>
        <w:t xml:space="preserve"> </w:t>
      </w:r>
      <w:r w:rsidR="00AC2D2C" w:rsidRPr="00F555B2">
        <w:rPr>
          <w:rFonts w:eastAsia="PMingLiU"/>
          <w:lang w:eastAsia="zh-TW"/>
        </w:rPr>
        <w:t xml:space="preserve"> She relied on </w:t>
      </w:r>
      <w:r>
        <w:rPr>
          <w:rFonts w:eastAsia="PMingLiU"/>
          <w:lang w:eastAsia="zh-TW"/>
        </w:rPr>
        <w:t>what she had said</w:t>
      </w:r>
      <w:r w:rsidR="00AC2D2C" w:rsidRPr="00F555B2">
        <w:rPr>
          <w:rFonts w:eastAsia="PMingLiU"/>
          <w:lang w:eastAsia="zh-TW"/>
        </w:rPr>
        <w:t xml:space="preserve"> in interview </w:t>
      </w:r>
      <w:r>
        <w:rPr>
          <w:rFonts w:eastAsia="PMingLiU"/>
          <w:lang w:eastAsia="zh-TW"/>
        </w:rPr>
        <w:t>as</w:t>
      </w:r>
      <w:r w:rsidR="00AC2D2C" w:rsidRPr="00F555B2">
        <w:rPr>
          <w:rFonts w:eastAsia="PMingLiU"/>
          <w:lang w:eastAsia="zh-TW"/>
        </w:rPr>
        <w:t xml:space="preserve"> her version of the events</w:t>
      </w:r>
      <w:r w:rsidR="0080605F">
        <w:rPr>
          <w:rFonts w:eastAsia="PMingLiU"/>
          <w:lang w:eastAsia="zh-TW"/>
        </w:rPr>
        <w:t xml:space="preserve"> leading up to her arrest</w:t>
      </w:r>
      <w:r w:rsidR="00AC2D2C" w:rsidRPr="00F555B2">
        <w:rPr>
          <w:rFonts w:eastAsia="PMingLiU"/>
          <w:lang w:eastAsia="zh-TW"/>
        </w:rPr>
        <w:t xml:space="preserve">.  By </w:t>
      </w:r>
      <w:r>
        <w:rPr>
          <w:rFonts w:eastAsia="PMingLiU"/>
          <w:lang w:eastAsia="zh-TW"/>
        </w:rPr>
        <w:t>their verdict,</w:t>
      </w:r>
      <w:r w:rsidR="00AC2D2C" w:rsidRPr="00F555B2">
        <w:rPr>
          <w:rFonts w:eastAsia="PMingLiU"/>
          <w:lang w:eastAsia="zh-TW"/>
        </w:rPr>
        <w:t xml:space="preserve"> the jury </w:t>
      </w:r>
      <w:r>
        <w:rPr>
          <w:rFonts w:eastAsia="PMingLiU"/>
          <w:lang w:eastAsia="zh-TW"/>
        </w:rPr>
        <w:t>must have been</w:t>
      </w:r>
      <w:r w:rsidR="00AC2D2C" w:rsidRPr="00F555B2">
        <w:rPr>
          <w:rFonts w:eastAsia="PMingLiU"/>
          <w:lang w:eastAsia="zh-TW"/>
        </w:rPr>
        <w:t xml:space="preserve"> satisfied </w:t>
      </w:r>
      <w:r>
        <w:rPr>
          <w:rFonts w:eastAsia="PMingLiU"/>
          <w:lang w:eastAsia="zh-TW"/>
        </w:rPr>
        <w:t>so that they were sure</w:t>
      </w:r>
      <w:r w:rsidR="00AC2D2C" w:rsidRPr="00F555B2">
        <w:rPr>
          <w:rFonts w:eastAsia="PMingLiU"/>
          <w:lang w:eastAsia="zh-TW"/>
        </w:rPr>
        <w:t xml:space="preserve"> that the applicant knew </w:t>
      </w:r>
      <w:r w:rsidR="0080605F">
        <w:rPr>
          <w:rFonts w:eastAsia="PMingLiU"/>
          <w:lang w:eastAsia="zh-TW"/>
        </w:rPr>
        <w:t xml:space="preserve">at the time she entered Hong Kong </w:t>
      </w:r>
      <w:r w:rsidR="00AC2D2C" w:rsidRPr="00F555B2">
        <w:rPr>
          <w:rFonts w:eastAsia="PMingLiU"/>
          <w:lang w:eastAsia="zh-TW"/>
        </w:rPr>
        <w:t>she was importing and trafficking in liquid cocaine</w:t>
      </w:r>
      <w:r w:rsidR="00AC2D2C" w:rsidRPr="00F555B2">
        <w:rPr>
          <w:rFonts w:eastAsia="PMingLiU"/>
          <w:vertAlign w:val="superscript"/>
          <w:lang w:eastAsia="zh-TW"/>
        </w:rPr>
        <w:footnoteReference w:id="18"/>
      </w:r>
      <w:r w:rsidR="00AC2D2C" w:rsidRPr="00F555B2">
        <w:rPr>
          <w:rFonts w:eastAsia="PMingLiU"/>
          <w:lang w:eastAsia="zh-TW"/>
        </w:rPr>
        <w:t xml:space="preserve">. </w:t>
      </w:r>
    </w:p>
    <w:p w:rsidR="00AC2D2C" w:rsidRPr="00F555B2" w:rsidRDefault="00AC2D2C" w:rsidP="00AC2D2C">
      <w:pPr>
        <w:pStyle w:val="j-heading"/>
        <w:rPr>
          <w:snapToGrid/>
          <w:lang w:eastAsia="zh-TW"/>
        </w:rPr>
      </w:pPr>
      <w:r w:rsidRPr="00F555B2">
        <w:rPr>
          <w:snapToGrid/>
          <w:lang w:eastAsia="zh-TW"/>
        </w:rPr>
        <w:t>Mitigation</w:t>
      </w:r>
    </w:p>
    <w:p w:rsidR="00AC2D2C" w:rsidRPr="00F555B2" w:rsidRDefault="00AC2D2C" w:rsidP="00AC2D2C">
      <w:pPr>
        <w:pStyle w:val="T-Draft"/>
        <w:rPr>
          <w:rFonts w:eastAsia="PMingLiU"/>
          <w:i/>
          <w:lang w:eastAsia="zh-TW"/>
        </w:rPr>
      </w:pPr>
      <w:r w:rsidRPr="00F555B2">
        <w:rPr>
          <w:rFonts w:eastAsia="PMingLiU"/>
          <w:lang w:eastAsia="zh-TW"/>
        </w:rPr>
        <w:t xml:space="preserve">At the time of </w:t>
      </w:r>
      <w:r w:rsidR="00D3398E">
        <w:rPr>
          <w:rFonts w:eastAsia="PMingLiU"/>
          <w:lang w:eastAsia="zh-TW"/>
        </w:rPr>
        <w:t xml:space="preserve">her </w:t>
      </w:r>
      <w:r w:rsidRPr="00F555B2">
        <w:rPr>
          <w:rFonts w:eastAsia="PMingLiU"/>
          <w:lang w:eastAsia="zh-TW"/>
        </w:rPr>
        <w:t>sentence</w:t>
      </w:r>
      <w:r w:rsidR="00D3398E">
        <w:rPr>
          <w:rFonts w:eastAsia="PMingLiU"/>
          <w:lang w:eastAsia="zh-TW"/>
        </w:rPr>
        <w:t xml:space="preserve"> at the retrial</w:t>
      </w:r>
      <w:r w:rsidRPr="00F555B2">
        <w:rPr>
          <w:rFonts w:eastAsia="PMingLiU"/>
          <w:lang w:eastAsia="zh-TW"/>
        </w:rPr>
        <w:t xml:space="preserve">, the applicant was a 54-year-old divorced woman.  She </w:t>
      </w:r>
      <w:r w:rsidR="00D3398E">
        <w:rPr>
          <w:rFonts w:eastAsia="PMingLiU"/>
          <w:lang w:eastAsia="zh-TW"/>
        </w:rPr>
        <w:t>had been</w:t>
      </w:r>
      <w:r w:rsidRPr="00F555B2">
        <w:rPr>
          <w:rFonts w:eastAsia="PMingLiU"/>
          <w:lang w:eastAsia="zh-TW"/>
        </w:rPr>
        <w:t xml:space="preserve"> born in mainland China and later became a permanent resident </w:t>
      </w:r>
      <w:r w:rsidR="00D3398E">
        <w:rPr>
          <w:rFonts w:eastAsia="PMingLiU"/>
          <w:lang w:eastAsia="zh-TW"/>
        </w:rPr>
        <w:t>of</w:t>
      </w:r>
      <w:r w:rsidRPr="00F555B2">
        <w:rPr>
          <w:rFonts w:eastAsia="PMingLiU"/>
          <w:lang w:eastAsia="zh-TW"/>
        </w:rPr>
        <w:t xml:space="preserve"> Brazil.  </w:t>
      </w:r>
      <w:r w:rsidR="00474634">
        <w:rPr>
          <w:rFonts w:eastAsia="PMingLiU"/>
          <w:lang w:eastAsia="zh-TW"/>
        </w:rPr>
        <w:t>Prior to</w:t>
      </w:r>
      <w:r w:rsidRPr="00F555B2">
        <w:rPr>
          <w:rFonts w:eastAsia="PMingLiU"/>
          <w:lang w:eastAsia="zh-TW"/>
        </w:rPr>
        <w:t xml:space="preserve"> 2016, the applicant </w:t>
      </w:r>
      <w:r w:rsidR="00D3398E">
        <w:rPr>
          <w:rFonts w:eastAsia="PMingLiU"/>
          <w:lang w:eastAsia="zh-TW"/>
        </w:rPr>
        <w:t xml:space="preserve">had </w:t>
      </w:r>
      <w:r w:rsidRPr="00F555B2">
        <w:rPr>
          <w:rFonts w:eastAsia="PMingLiU"/>
          <w:lang w:eastAsia="zh-TW"/>
        </w:rPr>
        <w:t xml:space="preserve">operated a shop trading </w:t>
      </w:r>
      <w:r w:rsidR="00D3398E">
        <w:rPr>
          <w:rFonts w:eastAsia="PMingLiU"/>
          <w:lang w:eastAsia="zh-TW"/>
        </w:rPr>
        <w:t xml:space="preserve">in </w:t>
      </w:r>
      <w:r w:rsidRPr="00F555B2">
        <w:rPr>
          <w:rFonts w:eastAsia="PMingLiU"/>
          <w:lang w:eastAsia="zh-TW"/>
        </w:rPr>
        <w:t>handmade jewellery</w:t>
      </w:r>
      <w:r w:rsidR="00D3398E">
        <w:rPr>
          <w:rFonts w:eastAsia="PMingLiU"/>
          <w:lang w:eastAsia="zh-TW"/>
        </w:rPr>
        <w:t xml:space="preserve">, for which she </w:t>
      </w:r>
      <w:r w:rsidR="00D948C1">
        <w:rPr>
          <w:rFonts w:eastAsia="PMingLiU"/>
          <w:lang w:eastAsia="zh-TW"/>
        </w:rPr>
        <w:t>would earn</w:t>
      </w:r>
      <w:r w:rsidR="00D3398E">
        <w:rPr>
          <w:rFonts w:eastAsia="PMingLiU"/>
          <w:lang w:eastAsia="zh-TW"/>
        </w:rPr>
        <w:t xml:space="preserve"> about </w:t>
      </w:r>
      <w:r w:rsidRPr="00F555B2">
        <w:rPr>
          <w:rFonts w:eastAsia="PMingLiU"/>
          <w:lang w:eastAsia="zh-TW"/>
        </w:rPr>
        <w:t xml:space="preserve">8,000 Brazilian Real </w:t>
      </w:r>
      <w:r w:rsidR="00D948C1">
        <w:rPr>
          <w:rFonts w:eastAsia="PMingLiU"/>
          <w:lang w:eastAsia="zh-TW"/>
        </w:rPr>
        <w:t>a</w:t>
      </w:r>
      <w:r w:rsidRPr="00F555B2">
        <w:rPr>
          <w:rFonts w:eastAsia="PMingLiU"/>
          <w:lang w:eastAsia="zh-TW"/>
        </w:rPr>
        <w:t xml:space="preserve"> month.  </w:t>
      </w:r>
      <w:r w:rsidR="00D3398E">
        <w:rPr>
          <w:rFonts w:eastAsia="PMingLiU"/>
          <w:lang w:eastAsia="zh-TW"/>
        </w:rPr>
        <w:t>After the death of her father in 2</w:t>
      </w:r>
      <w:r w:rsidRPr="00F555B2">
        <w:rPr>
          <w:rFonts w:eastAsia="PMingLiU"/>
          <w:lang w:eastAsia="zh-TW"/>
        </w:rPr>
        <w:t>016</w:t>
      </w:r>
      <w:r w:rsidR="00D3398E">
        <w:rPr>
          <w:rFonts w:eastAsia="PMingLiU"/>
          <w:lang w:eastAsia="zh-TW"/>
        </w:rPr>
        <w:t>,</w:t>
      </w:r>
      <w:r w:rsidRPr="00F555B2">
        <w:rPr>
          <w:rFonts w:eastAsia="PMingLiU"/>
          <w:lang w:eastAsia="zh-TW"/>
        </w:rPr>
        <w:t xml:space="preserve"> the applicant</w:t>
      </w:r>
      <w:r w:rsidR="00D3398E">
        <w:rPr>
          <w:rFonts w:eastAsia="PMingLiU"/>
          <w:lang w:eastAsia="zh-TW"/>
        </w:rPr>
        <w:t xml:space="preserve"> </w:t>
      </w:r>
      <w:r w:rsidR="00662121">
        <w:rPr>
          <w:rFonts w:eastAsia="PMingLiU"/>
          <w:lang w:eastAsia="zh-TW"/>
        </w:rPr>
        <w:t>need</w:t>
      </w:r>
      <w:r w:rsidR="00D26890">
        <w:rPr>
          <w:rFonts w:eastAsia="PMingLiU"/>
          <w:lang w:eastAsia="zh-TW"/>
        </w:rPr>
        <w:t>ed</w:t>
      </w:r>
      <w:r w:rsidRPr="00F555B2">
        <w:rPr>
          <w:rFonts w:eastAsia="PMingLiU"/>
          <w:lang w:eastAsia="zh-TW"/>
        </w:rPr>
        <w:t xml:space="preserve"> to travel to </w:t>
      </w:r>
      <w:r w:rsidR="00662121">
        <w:rPr>
          <w:rFonts w:eastAsia="PMingLiU"/>
          <w:lang w:eastAsia="zh-TW"/>
        </w:rPr>
        <w:t xml:space="preserve">mainland </w:t>
      </w:r>
      <w:r w:rsidR="004F0093">
        <w:rPr>
          <w:rFonts w:eastAsia="PMingLiU"/>
          <w:lang w:eastAsia="zh-TW"/>
        </w:rPr>
        <w:t xml:space="preserve">China </w:t>
      </w:r>
      <w:r w:rsidR="00662121">
        <w:rPr>
          <w:rFonts w:eastAsia="PMingLiU"/>
          <w:lang w:eastAsia="zh-TW"/>
        </w:rPr>
        <w:t>from time to time</w:t>
      </w:r>
      <w:r w:rsidRPr="00F555B2">
        <w:rPr>
          <w:rFonts w:eastAsia="PMingLiU"/>
          <w:lang w:eastAsia="zh-TW"/>
        </w:rPr>
        <w:t xml:space="preserve"> to look after her </w:t>
      </w:r>
      <w:r w:rsidR="00D26890">
        <w:rPr>
          <w:rFonts w:eastAsia="PMingLiU"/>
          <w:lang w:eastAsia="zh-TW"/>
        </w:rPr>
        <w:t>aged</w:t>
      </w:r>
      <w:r w:rsidR="00662121">
        <w:rPr>
          <w:rFonts w:eastAsia="PMingLiU"/>
          <w:lang w:eastAsia="zh-TW"/>
        </w:rPr>
        <w:t xml:space="preserve"> mother</w:t>
      </w:r>
      <w:r w:rsidRPr="00F555B2">
        <w:rPr>
          <w:rFonts w:eastAsia="PMingLiU"/>
          <w:lang w:eastAsia="zh-TW"/>
        </w:rPr>
        <w:t>.  As a result, the applicant</w:t>
      </w:r>
      <w:r w:rsidR="00D3398E">
        <w:rPr>
          <w:rFonts w:eastAsia="PMingLiU"/>
          <w:lang w:eastAsia="zh-TW"/>
        </w:rPr>
        <w:t xml:space="preserve"> </w:t>
      </w:r>
      <w:r w:rsidR="00662121">
        <w:rPr>
          <w:rFonts w:eastAsia="PMingLiU"/>
          <w:lang w:eastAsia="zh-TW"/>
        </w:rPr>
        <w:t>closed her shop and thereafter t</w:t>
      </w:r>
      <w:r w:rsidR="00D26890">
        <w:rPr>
          <w:rFonts w:eastAsia="PMingLiU"/>
          <w:lang w:eastAsia="zh-TW"/>
        </w:rPr>
        <w:t>ook</w:t>
      </w:r>
      <w:r w:rsidR="00662121">
        <w:rPr>
          <w:rFonts w:eastAsia="PMingLiU"/>
          <w:lang w:eastAsia="zh-TW"/>
        </w:rPr>
        <w:t xml:space="preserve"> up </w:t>
      </w:r>
      <w:r w:rsidR="00D3398E">
        <w:rPr>
          <w:rFonts w:eastAsia="PMingLiU"/>
          <w:lang w:eastAsia="zh-TW"/>
        </w:rPr>
        <w:t xml:space="preserve">odd </w:t>
      </w:r>
      <w:r w:rsidR="00662121">
        <w:rPr>
          <w:rFonts w:eastAsia="PMingLiU"/>
          <w:lang w:eastAsia="zh-TW"/>
        </w:rPr>
        <w:t>jobs</w:t>
      </w:r>
      <w:r w:rsidRPr="00F555B2">
        <w:rPr>
          <w:rFonts w:eastAsia="PMingLiU"/>
          <w:vertAlign w:val="superscript"/>
          <w:lang w:eastAsia="zh-TW"/>
        </w:rPr>
        <w:footnoteReference w:id="19"/>
      </w:r>
      <w:r w:rsidRPr="00F555B2">
        <w:rPr>
          <w:rFonts w:eastAsia="PMingLiU"/>
          <w:lang w:eastAsia="zh-TW"/>
        </w:rPr>
        <w:t xml:space="preserve">.  </w:t>
      </w:r>
    </w:p>
    <w:p w:rsidR="00AC2D2C" w:rsidRPr="00F555B2" w:rsidRDefault="0080605F" w:rsidP="00AC2D2C">
      <w:pPr>
        <w:pStyle w:val="T-Draft"/>
        <w:rPr>
          <w:rFonts w:eastAsia="PMingLiU"/>
          <w:i/>
          <w:lang w:eastAsia="zh-TW"/>
        </w:rPr>
      </w:pPr>
      <w:r>
        <w:rPr>
          <w:rFonts w:eastAsia="PMingLiU"/>
          <w:lang w:eastAsia="zh-TW"/>
        </w:rPr>
        <w:t xml:space="preserve">Defence counsel </w:t>
      </w:r>
      <w:r w:rsidR="00D3398E">
        <w:rPr>
          <w:rFonts w:eastAsia="PMingLiU"/>
          <w:lang w:eastAsia="zh-TW"/>
        </w:rPr>
        <w:t>at the retrial</w:t>
      </w:r>
      <w:r w:rsidR="00AC2D2C" w:rsidRPr="00F555B2">
        <w:rPr>
          <w:rFonts w:eastAsia="PMingLiU"/>
          <w:lang w:eastAsia="zh-TW"/>
        </w:rPr>
        <w:t xml:space="preserve"> </w:t>
      </w:r>
      <w:r w:rsidR="00D3398E">
        <w:rPr>
          <w:rFonts w:eastAsia="PMingLiU"/>
          <w:lang w:eastAsia="zh-TW"/>
        </w:rPr>
        <w:t>submitted</w:t>
      </w:r>
      <w:r>
        <w:rPr>
          <w:rFonts w:eastAsia="PMingLiU"/>
          <w:lang w:eastAsia="zh-TW"/>
        </w:rPr>
        <w:t>,</w:t>
      </w:r>
      <w:r w:rsidR="00D3398E">
        <w:rPr>
          <w:rFonts w:eastAsia="PMingLiU"/>
          <w:lang w:eastAsia="zh-TW"/>
        </w:rPr>
        <w:t xml:space="preserve"> in mitigation</w:t>
      </w:r>
      <w:r>
        <w:rPr>
          <w:rFonts w:eastAsia="PMingLiU"/>
          <w:lang w:eastAsia="zh-TW"/>
        </w:rPr>
        <w:t>,</w:t>
      </w:r>
      <w:r w:rsidR="00D3398E">
        <w:rPr>
          <w:rFonts w:eastAsia="PMingLiU"/>
          <w:lang w:eastAsia="zh-TW"/>
        </w:rPr>
        <w:t xml:space="preserve"> that</w:t>
      </w:r>
      <w:r w:rsidR="00AC2D2C" w:rsidRPr="00F555B2">
        <w:rPr>
          <w:rFonts w:eastAsia="PMingLiU"/>
          <w:lang w:eastAsia="zh-TW"/>
        </w:rPr>
        <w:t xml:space="preserve"> since her arrest in 2017, the prolonged legal proceedings had </w:t>
      </w:r>
      <w:r w:rsidR="00662121">
        <w:rPr>
          <w:rFonts w:eastAsia="PMingLiU"/>
          <w:lang w:eastAsia="zh-TW"/>
        </w:rPr>
        <w:t>resulted in</w:t>
      </w:r>
      <w:r w:rsidR="00AC2D2C" w:rsidRPr="00F555B2">
        <w:rPr>
          <w:rFonts w:eastAsia="PMingLiU"/>
          <w:lang w:eastAsia="zh-TW"/>
        </w:rPr>
        <w:t xml:space="preserve"> immense stress and hardship</w:t>
      </w:r>
      <w:r w:rsidR="00662121">
        <w:rPr>
          <w:rFonts w:eastAsia="PMingLiU"/>
          <w:lang w:eastAsia="zh-TW"/>
        </w:rPr>
        <w:t xml:space="preserve"> for the applicant</w:t>
      </w:r>
      <w:r w:rsidR="00AC2D2C" w:rsidRPr="00F555B2">
        <w:rPr>
          <w:rFonts w:eastAsia="PMingLiU"/>
          <w:lang w:eastAsia="zh-TW"/>
        </w:rPr>
        <w:t>,</w:t>
      </w:r>
      <w:r w:rsidR="00D26890">
        <w:rPr>
          <w:rFonts w:eastAsia="PMingLiU"/>
          <w:lang w:eastAsia="zh-TW"/>
        </w:rPr>
        <w:t xml:space="preserve"> which </w:t>
      </w:r>
      <w:r w:rsidR="00D948C1">
        <w:rPr>
          <w:rFonts w:eastAsia="PMingLiU"/>
          <w:lang w:eastAsia="zh-TW"/>
        </w:rPr>
        <w:t>had been</w:t>
      </w:r>
      <w:r w:rsidR="00D3398E">
        <w:rPr>
          <w:rFonts w:eastAsia="PMingLiU"/>
          <w:lang w:eastAsia="zh-TW"/>
        </w:rPr>
        <w:t xml:space="preserve"> accentuated by her mother’s </w:t>
      </w:r>
      <w:r w:rsidR="00662121">
        <w:rPr>
          <w:rFonts w:eastAsia="PMingLiU"/>
          <w:lang w:eastAsia="zh-TW"/>
        </w:rPr>
        <w:t>declining</w:t>
      </w:r>
      <w:r w:rsidR="00D3398E">
        <w:rPr>
          <w:rFonts w:eastAsia="PMingLiU"/>
          <w:lang w:eastAsia="zh-TW"/>
        </w:rPr>
        <w:t xml:space="preserve"> health</w:t>
      </w:r>
      <w:r w:rsidR="00AC2D2C" w:rsidRPr="00F555B2">
        <w:rPr>
          <w:rFonts w:eastAsia="PMingLiU"/>
          <w:lang w:eastAsia="zh-TW"/>
        </w:rPr>
        <w:t xml:space="preserve">.  </w:t>
      </w:r>
    </w:p>
    <w:p w:rsidR="00AC2D2C" w:rsidRPr="00F555B2" w:rsidRDefault="00AC2D2C" w:rsidP="00AC2D2C">
      <w:pPr>
        <w:pStyle w:val="j-heading"/>
        <w:rPr>
          <w:snapToGrid/>
          <w:lang w:eastAsia="zh-TW"/>
        </w:rPr>
      </w:pPr>
      <w:r w:rsidRPr="00F555B2">
        <w:rPr>
          <w:snapToGrid/>
          <w:lang w:eastAsia="zh-TW"/>
        </w:rPr>
        <w:lastRenderedPageBreak/>
        <w:t>Reasons for sentence</w:t>
      </w:r>
    </w:p>
    <w:p w:rsidR="00AC2D2C" w:rsidRPr="00D3398E" w:rsidRDefault="00AC2D2C" w:rsidP="00D3398E">
      <w:pPr>
        <w:pStyle w:val="T-Draft"/>
        <w:rPr>
          <w:rFonts w:eastAsia="PMingLiU"/>
          <w:lang w:eastAsia="zh-TW"/>
        </w:rPr>
      </w:pPr>
      <w:r w:rsidRPr="00F555B2">
        <w:rPr>
          <w:rFonts w:eastAsia="PMingLiU"/>
          <w:lang w:eastAsia="zh-TW"/>
        </w:rPr>
        <w:t xml:space="preserve">The judge applied the </w:t>
      </w:r>
      <w:r w:rsidR="00D3398E">
        <w:rPr>
          <w:rFonts w:eastAsia="PMingLiU"/>
          <w:lang w:eastAsia="zh-TW"/>
        </w:rPr>
        <w:t>guidelines</w:t>
      </w:r>
      <w:r w:rsidRPr="00F555B2">
        <w:rPr>
          <w:rFonts w:eastAsia="PMingLiU"/>
          <w:lang w:eastAsia="zh-TW"/>
        </w:rPr>
        <w:t xml:space="preserve"> for cocaine</w:t>
      </w:r>
      <w:r w:rsidR="00D3398E">
        <w:rPr>
          <w:rFonts w:eastAsia="PMingLiU"/>
          <w:lang w:eastAsia="zh-TW"/>
        </w:rPr>
        <w:t xml:space="preserve"> as set out in</w:t>
      </w:r>
      <w:r w:rsidRPr="00F555B2">
        <w:rPr>
          <w:rFonts w:eastAsia="PMingLiU"/>
          <w:lang w:eastAsia="zh-TW"/>
        </w:rPr>
        <w:t xml:space="preserve"> </w:t>
      </w:r>
      <w:r w:rsidRPr="00F555B2">
        <w:rPr>
          <w:rFonts w:eastAsia="PMingLiU"/>
          <w:i/>
          <w:lang w:eastAsia="zh-TW"/>
        </w:rPr>
        <w:t>Abdallah</w:t>
      </w:r>
      <w:r w:rsidRPr="00662121">
        <w:rPr>
          <w:rFonts w:eastAsia="PMingLiU"/>
          <w:vertAlign w:val="superscript"/>
          <w:lang w:eastAsia="zh-TW"/>
        </w:rPr>
        <w:footnoteReference w:id="20"/>
      </w:r>
      <w:r w:rsidRPr="00F555B2">
        <w:rPr>
          <w:rFonts w:eastAsia="PMingLiU"/>
          <w:lang w:eastAsia="zh-TW"/>
        </w:rPr>
        <w:t xml:space="preserve">.  </w:t>
      </w:r>
      <w:r w:rsidR="00D3398E">
        <w:rPr>
          <w:rFonts w:eastAsia="PMingLiU"/>
          <w:lang w:eastAsia="zh-TW"/>
        </w:rPr>
        <w:t>Since</w:t>
      </w:r>
      <w:r w:rsidRPr="00F555B2">
        <w:rPr>
          <w:rFonts w:eastAsia="PMingLiU"/>
          <w:lang w:eastAsia="zh-TW"/>
        </w:rPr>
        <w:t xml:space="preserve"> the sentenc</w:t>
      </w:r>
      <w:r w:rsidR="00D3398E">
        <w:rPr>
          <w:rFonts w:eastAsia="PMingLiU"/>
          <w:lang w:eastAsia="zh-TW"/>
        </w:rPr>
        <w:t>ing</w:t>
      </w:r>
      <w:r w:rsidRPr="00F555B2">
        <w:rPr>
          <w:rFonts w:eastAsia="PMingLiU"/>
          <w:lang w:eastAsia="zh-TW"/>
        </w:rPr>
        <w:t xml:space="preserve"> bracket for </w:t>
      </w:r>
      <w:r w:rsidR="00662121">
        <w:rPr>
          <w:rFonts w:eastAsia="PMingLiU"/>
          <w:lang w:eastAsia="zh-TW"/>
        </w:rPr>
        <w:t xml:space="preserve">trafficking in </w:t>
      </w:r>
      <w:r w:rsidRPr="00F555B2">
        <w:rPr>
          <w:rFonts w:eastAsia="PMingLiU"/>
          <w:lang w:eastAsia="zh-TW"/>
        </w:rPr>
        <w:t xml:space="preserve">4,000 </w:t>
      </w:r>
      <w:r w:rsidR="00662121">
        <w:rPr>
          <w:rFonts w:eastAsia="PMingLiU"/>
          <w:lang w:eastAsia="zh-TW"/>
        </w:rPr>
        <w:t>to</w:t>
      </w:r>
      <w:r w:rsidRPr="00F555B2">
        <w:rPr>
          <w:rFonts w:eastAsia="PMingLiU"/>
          <w:lang w:eastAsia="zh-TW"/>
        </w:rPr>
        <w:t xml:space="preserve"> 15,000 grammes </w:t>
      </w:r>
      <w:r w:rsidR="00662121">
        <w:rPr>
          <w:rFonts w:eastAsia="PMingLiU"/>
          <w:lang w:eastAsia="zh-TW"/>
        </w:rPr>
        <w:t xml:space="preserve">of cocaine </w:t>
      </w:r>
      <w:r w:rsidRPr="00F555B2">
        <w:rPr>
          <w:rFonts w:eastAsia="PMingLiU"/>
          <w:lang w:eastAsia="zh-TW"/>
        </w:rPr>
        <w:t xml:space="preserve">was </w:t>
      </w:r>
      <w:r w:rsidR="00D3398E">
        <w:rPr>
          <w:rFonts w:eastAsia="PMingLiU"/>
          <w:lang w:eastAsia="zh-TW"/>
        </w:rPr>
        <w:t xml:space="preserve">between </w:t>
      </w:r>
      <w:r w:rsidRPr="00F555B2">
        <w:rPr>
          <w:rFonts w:eastAsia="PMingLiU"/>
          <w:lang w:eastAsia="zh-TW"/>
        </w:rPr>
        <w:t xml:space="preserve">26 </w:t>
      </w:r>
      <w:r w:rsidR="00D3398E">
        <w:rPr>
          <w:rFonts w:eastAsia="PMingLiU"/>
          <w:lang w:eastAsia="zh-TW"/>
        </w:rPr>
        <w:t>and</w:t>
      </w:r>
      <w:r w:rsidRPr="00F555B2">
        <w:rPr>
          <w:rFonts w:eastAsia="PMingLiU"/>
          <w:lang w:eastAsia="zh-TW"/>
        </w:rPr>
        <w:t xml:space="preserve"> 30 years’ imprisonment</w:t>
      </w:r>
      <w:r w:rsidR="00D3398E">
        <w:rPr>
          <w:rFonts w:eastAsia="PMingLiU"/>
          <w:lang w:eastAsia="zh-TW"/>
        </w:rPr>
        <w:t>, he derived an arithmetic</w:t>
      </w:r>
      <w:r w:rsidRPr="00F555B2">
        <w:rPr>
          <w:rFonts w:eastAsia="PMingLiU"/>
          <w:lang w:eastAsia="zh-TW"/>
        </w:rPr>
        <w:t xml:space="preserve"> starting point </w:t>
      </w:r>
      <w:r w:rsidR="00662121">
        <w:rPr>
          <w:rFonts w:eastAsia="PMingLiU"/>
          <w:lang w:eastAsia="zh-TW"/>
        </w:rPr>
        <w:t>for</w:t>
      </w:r>
      <w:r w:rsidRPr="00F555B2">
        <w:rPr>
          <w:rFonts w:eastAsia="PMingLiU"/>
          <w:lang w:eastAsia="zh-TW"/>
        </w:rPr>
        <w:t xml:space="preserve"> 4,770 grammes of cocaine </w:t>
      </w:r>
      <w:r w:rsidR="00474634">
        <w:rPr>
          <w:rFonts w:eastAsia="PMingLiU"/>
          <w:lang w:eastAsia="zh-TW"/>
        </w:rPr>
        <w:t xml:space="preserve">narcotic </w:t>
      </w:r>
      <w:r w:rsidR="00D3398E">
        <w:rPr>
          <w:rFonts w:eastAsia="PMingLiU"/>
          <w:lang w:eastAsia="zh-TW"/>
        </w:rPr>
        <w:t>of</w:t>
      </w:r>
      <w:r w:rsidRPr="00F555B2">
        <w:rPr>
          <w:rFonts w:eastAsia="PMingLiU"/>
          <w:lang w:eastAsia="zh-TW"/>
        </w:rPr>
        <w:t xml:space="preserve"> 26 </w:t>
      </w:r>
      <w:r w:rsidR="00E94300">
        <w:rPr>
          <w:rFonts w:eastAsia="PMingLiU"/>
          <w:lang w:eastAsia="zh-TW"/>
        </w:rPr>
        <w:t>‍</w:t>
      </w:r>
      <w:r w:rsidRPr="00F555B2">
        <w:rPr>
          <w:rFonts w:eastAsia="PMingLiU"/>
          <w:lang w:eastAsia="zh-TW"/>
        </w:rPr>
        <w:t>years and 4 months’ imprisonment</w:t>
      </w:r>
      <w:r w:rsidR="00D3398E">
        <w:rPr>
          <w:rFonts w:eastAsia="PMingLiU"/>
          <w:lang w:eastAsia="zh-TW"/>
        </w:rPr>
        <w:t xml:space="preserve">.  The judge regarded the importation of cocaine from </w:t>
      </w:r>
      <w:r w:rsidR="0080605F">
        <w:rPr>
          <w:rFonts w:eastAsia="PMingLiU"/>
          <w:lang w:eastAsia="zh-TW"/>
        </w:rPr>
        <w:t>abroad</w:t>
      </w:r>
      <w:r w:rsidR="00D3398E">
        <w:rPr>
          <w:rFonts w:eastAsia="PMingLiU"/>
          <w:lang w:eastAsia="zh-TW"/>
        </w:rPr>
        <w:t xml:space="preserve"> as an aggravating factor and by reference to</w:t>
      </w:r>
      <w:r w:rsidR="00D26890">
        <w:rPr>
          <w:rFonts w:eastAsia="PMingLiU"/>
          <w:lang w:eastAsia="zh-TW"/>
        </w:rPr>
        <w:t xml:space="preserve"> the case of</w:t>
      </w:r>
      <w:r w:rsidRPr="00D3398E">
        <w:rPr>
          <w:rFonts w:eastAsia="PMingLiU"/>
          <w:lang w:eastAsia="zh-TW"/>
        </w:rPr>
        <w:t xml:space="preserve"> </w:t>
      </w:r>
      <w:r w:rsidRPr="00D3398E">
        <w:rPr>
          <w:rFonts w:eastAsia="PMingLiU"/>
          <w:i/>
          <w:lang w:eastAsia="zh-TW"/>
        </w:rPr>
        <w:t xml:space="preserve">HKSAR v Fong </w:t>
      </w:r>
      <w:r w:rsidR="0077435A">
        <w:rPr>
          <w:rFonts w:eastAsia="PMingLiU"/>
          <w:lang w:eastAsia="zh-TW"/>
        </w:rPr>
        <w:t>‍</w:t>
      </w:r>
      <w:r w:rsidRPr="00D3398E">
        <w:rPr>
          <w:rFonts w:eastAsia="PMingLiU"/>
          <w:i/>
          <w:lang w:eastAsia="zh-TW"/>
        </w:rPr>
        <w:t xml:space="preserve">Yau </w:t>
      </w:r>
      <w:r w:rsidR="0077435A">
        <w:rPr>
          <w:rFonts w:eastAsia="PMingLiU"/>
          <w:lang w:eastAsia="zh-TW"/>
        </w:rPr>
        <w:t>‍</w:t>
      </w:r>
      <w:r w:rsidRPr="00D3398E">
        <w:rPr>
          <w:rFonts w:eastAsia="PMingLiU"/>
          <w:i/>
          <w:lang w:eastAsia="zh-TW"/>
        </w:rPr>
        <w:t>Heung</w:t>
      </w:r>
      <w:r w:rsidRPr="00D3398E">
        <w:rPr>
          <w:rFonts w:eastAsia="PMingLiU"/>
          <w:vertAlign w:val="superscript"/>
          <w:lang w:eastAsia="zh-TW"/>
        </w:rPr>
        <w:footnoteReference w:id="21"/>
      </w:r>
      <w:r w:rsidR="00D3398E">
        <w:rPr>
          <w:rFonts w:eastAsia="PMingLiU"/>
          <w:lang w:eastAsia="zh-TW"/>
        </w:rPr>
        <w:t xml:space="preserve">, </w:t>
      </w:r>
      <w:r w:rsidRPr="00D3398E">
        <w:rPr>
          <w:rFonts w:eastAsia="PMingLiU"/>
          <w:lang w:eastAsia="zh-TW"/>
        </w:rPr>
        <w:t>enhanced the s</w:t>
      </w:r>
      <w:r w:rsidR="00D26890">
        <w:rPr>
          <w:rFonts w:eastAsia="PMingLiU"/>
          <w:lang w:eastAsia="zh-TW"/>
        </w:rPr>
        <w:t>tarting point</w:t>
      </w:r>
      <w:r w:rsidRPr="00D3398E">
        <w:rPr>
          <w:rFonts w:eastAsia="PMingLiU"/>
          <w:lang w:eastAsia="zh-TW"/>
        </w:rPr>
        <w:t xml:space="preserve"> </w:t>
      </w:r>
      <w:r w:rsidR="007645F7">
        <w:rPr>
          <w:rFonts w:eastAsia="PMingLiU"/>
          <w:lang w:eastAsia="zh-TW"/>
        </w:rPr>
        <w:t xml:space="preserve">for this international </w:t>
      </w:r>
      <w:r w:rsidR="00287B2B">
        <w:rPr>
          <w:rFonts w:eastAsia="PMingLiU"/>
          <w:lang w:eastAsia="zh-TW"/>
        </w:rPr>
        <w:t>element</w:t>
      </w:r>
      <w:r w:rsidR="007645F7">
        <w:rPr>
          <w:rFonts w:eastAsia="PMingLiU"/>
          <w:lang w:eastAsia="zh-TW"/>
        </w:rPr>
        <w:t xml:space="preserve"> </w:t>
      </w:r>
      <w:r w:rsidRPr="00D3398E">
        <w:rPr>
          <w:rFonts w:eastAsia="PMingLiU"/>
          <w:lang w:eastAsia="zh-TW"/>
        </w:rPr>
        <w:t xml:space="preserve">by 2 years, bringing </w:t>
      </w:r>
      <w:r w:rsidR="007645F7">
        <w:rPr>
          <w:rFonts w:eastAsia="PMingLiU"/>
          <w:lang w:eastAsia="zh-TW"/>
        </w:rPr>
        <w:t>the sentence</w:t>
      </w:r>
      <w:r w:rsidRPr="00D3398E">
        <w:rPr>
          <w:rFonts w:eastAsia="PMingLiU"/>
          <w:lang w:eastAsia="zh-TW"/>
        </w:rPr>
        <w:t xml:space="preserve"> to 28 </w:t>
      </w:r>
      <w:r w:rsidR="000D635A">
        <w:rPr>
          <w:rFonts w:eastAsia="PMingLiU"/>
          <w:lang w:eastAsia="zh-TW"/>
        </w:rPr>
        <w:t>‍</w:t>
      </w:r>
      <w:r w:rsidRPr="00D3398E">
        <w:rPr>
          <w:rFonts w:eastAsia="PMingLiU"/>
          <w:lang w:eastAsia="zh-TW"/>
        </w:rPr>
        <w:t xml:space="preserve">years and 4 </w:t>
      </w:r>
      <w:r w:rsidR="00E94300">
        <w:rPr>
          <w:rFonts w:eastAsia="PMingLiU"/>
          <w:lang w:eastAsia="zh-TW"/>
        </w:rPr>
        <w:t>‍</w:t>
      </w:r>
      <w:r w:rsidRPr="00D3398E">
        <w:rPr>
          <w:rFonts w:eastAsia="PMingLiU"/>
          <w:lang w:eastAsia="zh-TW"/>
        </w:rPr>
        <w:t>months</w:t>
      </w:r>
      <w:r w:rsidR="007645F7">
        <w:rPr>
          <w:rFonts w:eastAsia="PMingLiU"/>
          <w:lang w:eastAsia="zh-TW"/>
        </w:rPr>
        <w:t>’ imprisonment</w:t>
      </w:r>
      <w:r w:rsidRPr="00D3398E">
        <w:rPr>
          <w:rFonts w:eastAsia="PMingLiU"/>
          <w:lang w:eastAsia="zh-TW"/>
        </w:rPr>
        <w:t xml:space="preserve">. </w:t>
      </w:r>
    </w:p>
    <w:p w:rsidR="00AC2D2C" w:rsidRPr="00F555B2" w:rsidRDefault="007645F7" w:rsidP="00AC2D2C">
      <w:pPr>
        <w:pStyle w:val="T-Draft"/>
        <w:rPr>
          <w:rFonts w:eastAsia="PMingLiU"/>
          <w:lang w:eastAsia="zh-TW"/>
        </w:rPr>
      </w:pPr>
      <w:r>
        <w:rPr>
          <w:rFonts w:eastAsia="PMingLiU"/>
          <w:lang w:eastAsia="zh-TW"/>
        </w:rPr>
        <w:t>T</w:t>
      </w:r>
      <w:r w:rsidR="00AC2D2C" w:rsidRPr="00F555B2">
        <w:rPr>
          <w:rFonts w:eastAsia="PMingLiU"/>
          <w:lang w:eastAsia="zh-TW"/>
        </w:rPr>
        <w:t xml:space="preserve">he judge </w:t>
      </w:r>
      <w:r>
        <w:rPr>
          <w:rFonts w:eastAsia="PMingLiU"/>
          <w:lang w:eastAsia="zh-TW"/>
        </w:rPr>
        <w:t xml:space="preserve">nevertheless </w:t>
      </w:r>
      <w:r w:rsidR="00AC2D2C" w:rsidRPr="00F555B2">
        <w:rPr>
          <w:rFonts w:eastAsia="PMingLiU"/>
          <w:lang w:eastAsia="zh-TW"/>
        </w:rPr>
        <w:t xml:space="preserve">acknowledged the </w:t>
      </w:r>
      <w:r w:rsidR="00662121">
        <w:rPr>
          <w:rFonts w:eastAsia="PMingLiU"/>
          <w:lang w:eastAsia="zh-TW"/>
        </w:rPr>
        <w:t xml:space="preserve">mental anguish and emotional strain </w:t>
      </w:r>
      <w:r w:rsidR="00D26890">
        <w:rPr>
          <w:rFonts w:eastAsia="PMingLiU"/>
          <w:lang w:eastAsia="zh-TW"/>
        </w:rPr>
        <w:t xml:space="preserve">for the applicant </w:t>
      </w:r>
      <w:r>
        <w:rPr>
          <w:rFonts w:eastAsia="PMingLiU"/>
          <w:lang w:eastAsia="zh-TW"/>
        </w:rPr>
        <w:t>of undergoing</w:t>
      </w:r>
      <w:r w:rsidR="00AC2D2C" w:rsidRPr="00F555B2">
        <w:rPr>
          <w:rFonts w:eastAsia="PMingLiU"/>
          <w:lang w:eastAsia="zh-TW"/>
        </w:rPr>
        <w:t xml:space="preserve"> two trials</w:t>
      </w:r>
      <w:r>
        <w:rPr>
          <w:rFonts w:eastAsia="PMingLiU"/>
          <w:lang w:eastAsia="zh-TW"/>
        </w:rPr>
        <w:t xml:space="preserve">, with a significant period of delay </w:t>
      </w:r>
      <w:r w:rsidR="0080605F">
        <w:rPr>
          <w:rFonts w:eastAsia="PMingLiU"/>
          <w:lang w:eastAsia="zh-TW"/>
        </w:rPr>
        <w:t xml:space="preserve">in processing the first appeal, </w:t>
      </w:r>
      <w:r>
        <w:rPr>
          <w:rFonts w:eastAsia="PMingLiU"/>
          <w:lang w:eastAsia="zh-TW"/>
        </w:rPr>
        <w:t xml:space="preserve">which could not be said to be the </w:t>
      </w:r>
      <w:r w:rsidR="00A662CC">
        <w:rPr>
          <w:rFonts w:eastAsia="PMingLiU"/>
          <w:lang w:eastAsia="zh-TW"/>
        </w:rPr>
        <w:t>direct</w:t>
      </w:r>
      <w:r>
        <w:rPr>
          <w:rFonts w:eastAsia="PMingLiU"/>
          <w:lang w:eastAsia="zh-TW"/>
        </w:rPr>
        <w:t xml:space="preserve"> </w:t>
      </w:r>
      <w:r w:rsidR="00A662CC">
        <w:rPr>
          <w:rFonts w:eastAsia="PMingLiU"/>
          <w:lang w:eastAsia="zh-TW"/>
        </w:rPr>
        <w:t xml:space="preserve">fault </w:t>
      </w:r>
      <w:r>
        <w:rPr>
          <w:rFonts w:eastAsia="PMingLiU"/>
          <w:lang w:eastAsia="zh-TW"/>
        </w:rPr>
        <w:t>of the applicant</w:t>
      </w:r>
      <w:r w:rsidR="0080605F">
        <w:rPr>
          <w:rFonts w:eastAsia="PMingLiU"/>
          <w:lang w:eastAsia="zh-TW"/>
        </w:rPr>
        <w:t>,</w:t>
      </w:r>
      <w:r>
        <w:rPr>
          <w:rFonts w:eastAsia="PMingLiU"/>
          <w:lang w:eastAsia="zh-TW"/>
        </w:rPr>
        <w:t xml:space="preserve"> and, after considering</w:t>
      </w:r>
      <w:r w:rsidR="00AC2D2C" w:rsidRPr="00F555B2">
        <w:rPr>
          <w:rFonts w:eastAsia="PMingLiU"/>
          <w:lang w:eastAsia="zh-TW"/>
        </w:rPr>
        <w:t xml:space="preserve"> </w:t>
      </w:r>
      <w:r w:rsidR="00A662CC">
        <w:rPr>
          <w:rFonts w:eastAsia="PMingLiU"/>
          <w:lang w:eastAsia="zh-TW"/>
        </w:rPr>
        <w:t>her</w:t>
      </w:r>
      <w:r w:rsidR="00AC2D2C" w:rsidRPr="00F555B2">
        <w:rPr>
          <w:rFonts w:eastAsia="PMingLiU"/>
          <w:lang w:eastAsia="zh-TW"/>
        </w:rPr>
        <w:t xml:space="preserve"> personal circumstances, </w:t>
      </w:r>
      <w:r>
        <w:rPr>
          <w:rFonts w:eastAsia="PMingLiU"/>
          <w:lang w:eastAsia="zh-TW"/>
        </w:rPr>
        <w:t xml:space="preserve">he </w:t>
      </w:r>
      <w:r w:rsidR="00A662CC">
        <w:rPr>
          <w:rFonts w:eastAsia="PMingLiU"/>
          <w:lang w:eastAsia="zh-TW"/>
        </w:rPr>
        <w:t>reduced</w:t>
      </w:r>
      <w:r>
        <w:rPr>
          <w:rFonts w:eastAsia="PMingLiU"/>
          <w:lang w:eastAsia="zh-TW"/>
        </w:rPr>
        <w:t xml:space="preserve"> the enhanced starting point </w:t>
      </w:r>
      <w:r w:rsidR="00A662CC">
        <w:rPr>
          <w:rFonts w:eastAsia="PMingLiU"/>
          <w:lang w:eastAsia="zh-TW"/>
        </w:rPr>
        <w:t>by</w:t>
      </w:r>
      <w:r w:rsidR="00AC2D2C" w:rsidRPr="00F555B2">
        <w:rPr>
          <w:rFonts w:eastAsia="PMingLiU"/>
          <w:lang w:eastAsia="zh-TW"/>
        </w:rPr>
        <w:t xml:space="preserve"> 6 </w:t>
      </w:r>
      <w:r w:rsidR="000D635A">
        <w:rPr>
          <w:rFonts w:eastAsia="PMingLiU"/>
          <w:lang w:eastAsia="zh-TW"/>
        </w:rPr>
        <w:t>‍</w:t>
      </w:r>
      <w:r w:rsidR="00AC2D2C" w:rsidRPr="00F555B2">
        <w:rPr>
          <w:rFonts w:eastAsia="PMingLiU"/>
          <w:lang w:eastAsia="zh-TW"/>
        </w:rPr>
        <w:t xml:space="preserve">months, </w:t>
      </w:r>
      <w:r>
        <w:rPr>
          <w:rFonts w:eastAsia="PMingLiU"/>
          <w:lang w:eastAsia="zh-TW"/>
        </w:rPr>
        <w:t>resulting in a</w:t>
      </w:r>
      <w:r w:rsidR="00AC2D2C" w:rsidRPr="00F555B2">
        <w:rPr>
          <w:rFonts w:eastAsia="PMingLiU"/>
          <w:lang w:eastAsia="zh-TW"/>
        </w:rPr>
        <w:t xml:space="preserve"> final sentence</w:t>
      </w:r>
      <w:r w:rsidR="00AA5B6D">
        <w:rPr>
          <w:rFonts w:eastAsia="PMingLiU"/>
          <w:lang w:eastAsia="zh-TW"/>
        </w:rPr>
        <w:t xml:space="preserve"> of</w:t>
      </w:r>
      <w:r w:rsidR="00AC2D2C" w:rsidRPr="00F555B2">
        <w:rPr>
          <w:rFonts w:eastAsia="PMingLiU"/>
          <w:lang w:eastAsia="zh-TW"/>
        </w:rPr>
        <w:t xml:space="preserve"> 27 years and 10 months’ imprisonment.   </w:t>
      </w:r>
    </w:p>
    <w:p w:rsidR="00AC2D2C" w:rsidRPr="00F555B2" w:rsidRDefault="00AC2D2C" w:rsidP="00AC2D2C">
      <w:pPr>
        <w:pStyle w:val="j-heading"/>
        <w:rPr>
          <w:snapToGrid/>
          <w:lang w:eastAsia="zh-TW"/>
        </w:rPr>
      </w:pPr>
      <w:r w:rsidRPr="00F555B2">
        <w:rPr>
          <w:snapToGrid/>
          <w:lang w:eastAsia="zh-TW"/>
        </w:rPr>
        <w:t>The grounds of appeal</w:t>
      </w:r>
      <w:r w:rsidR="00BF5CA0">
        <w:rPr>
          <w:snapToGrid/>
          <w:lang w:eastAsia="zh-TW"/>
        </w:rPr>
        <w:t xml:space="preserve"> against sentence</w:t>
      </w:r>
    </w:p>
    <w:p w:rsidR="00AC2D2C" w:rsidRDefault="0080605F" w:rsidP="008D4696">
      <w:pPr>
        <w:pStyle w:val="T-Draft"/>
        <w:rPr>
          <w:rFonts w:eastAsia="PMingLiU"/>
          <w:lang w:eastAsia="zh-TW"/>
        </w:rPr>
      </w:pPr>
      <w:r>
        <w:rPr>
          <w:rFonts w:eastAsia="PMingLiU"/>
          <w:lang w:eastAsia="zh-TW"/>
        </w:rPr>
        <w:t>Mr Bruce</w:t>
      </w:r>
      <w:r w:rsidR="00DA30B4">
        <w:rPr>
          <w:rFonts w:eastAsia="PMingLiU"/>
          <w:lang w:eastAsia="zh-TW"/>
        </w:rPr>
        <w:t xml:space="preserve">, </w:t>
      </w:r>
      <w:r w:rsidR="00860DA7">
        <w:rPr>
          <w:rFonts w:eastAsia="PMingLiU"/>
          <w:lang w:eastAsia="zh-TW"/>
        </w:rPr>
        <w:t>on behalf of the applicant</w:t>
      </w:r>
      <w:r w:rsidR="00AC2D2C" w:rsidRPr="00F555B2">
        <w:rPr>
          <w:rFonts w:eastAsia="PMingLiU"/>
          <w:lang w:eastAsia="zh-TW"/>
        </w:rPr>
        <w:t xml:space="preserve">, advanced </w:t>
      </w:r>
      <w:r w:rsidR="001F4C2F">
        <w:rPr>
          <w:rFonts w:eastAsia="PMingLiU"/>
          <w:lang w:eastAsia="zh-TW"/>
        </w:rPr>
        <w:t>essentially</w:t>
      </w:r>
      <w:r w:rsidR="00AC2D2C" w:rsidRPr="00F555B2">
        <w:rPr>
          <w:rFonts w:eastAsia="PMingLiU"/>
          <w:lang w:eastAsia="zh-TW"/>
        </w:rPr>
        <w:t xml:space="preserve"> </w:t>
      </w:r>
      <w:r w:rsidR="00AC2D2C">
        <w:rPr>
          <w:rFonts w:eastAsia="PMingLiU"/>
          <w:lang w:eastAsia="zh-TW"/>
        </w:rPr>
        <w:t>two</w:t>
      </w:r>
      <w:r w:rsidR="00AC2D2C" w:rsidRPr="00F555B2">
        <w:rPr>
          <w:rFonts w:eastAsia="PMingLiU"/>
          <w:lang w:eastAsia="zh-TW"/>
        </w:rPr>
        <w:t xml:space="preserve"> grounds of appeal against sentence</w:t>
      </w:r>
      <w:r w:rsidR="008D4696">
        <w:rPr>
          <w:rFonts w:eastAsia="PMingLiU"/>
          <w:lang w:eastAsia="zh-TW"/>
        </w:rPr>
        <w:t xml:space="preserve">.  Firstly, it was </w:t>
      </w:r>
      <w:r w:rsidR="00A662CC">
        <w:rPr>
          <w:rFonts w:eastAsia="PMingLiU"/>
          <w:lang w:eastAsia="zh-TW"/>
        </w:rPr>
        <w:t>submitted</w:t>
      </w:r>
      <w:r w:rsidR="008D4696">
        <w:rPr>
          <w:rFonts w:eastAsia="PMingLiU"/>
          <w:lang w:eastAsia="zh-TW"/>
        </w:rPr>
        <w:t xml:space="preserve"> that the quantity-based approach to sentence in reliance on </w:t>
      </w:r>
      <w:r w:rsidR="008D4696" w:rsidRPr="0077435A">
        <w:rPr>
          <w:rFonts w:eastAsia="PMingLiU"/>
          <w:i/>
          <w:lang w:eastAsia="zh-TW"/>
        </w:rPr>
        <w:t>Abdallah</w:t>
      </w:r>
      <w:r w:rsidR="008D4696">
        <w:rPr>
          <w:rFonts w:eastAsia="PMingLiU"/>
          <w:lang w:eastAsia="zh-TW"/>
        </w:rPr>
        <w:t xml:space="preserve"> had unjustly resulted in a crushing sentence, in circumstances where </w:t>
      </w:r>
      <w:r w:rsidR="008D4696" w:rsidRPr="0077435A">
        <w:rPr>
          <w:rFonts w:eastAsia="PMingLiU"/>
          <w:i/>
          <w:lang w:eastAsia="zh-TW"/>
        </w:rPr>
        <w:t>Abdallah</w:t>
      </w:r>
      <w:r w:rsidR="008D4696">
        <w:rPr>
          <w:rFonts w:eastAsia="PMingLiU"/>
          <w:lang w:eastAsia="zh-TW"/>
        </w:rPr>
        <w:t xml:space="preserve"> </w:t>
      </w:r>
      <w:r w:rsidR="001F4C2F" w:rsidRPr="008D4696">
        <w:rPr>
          <w:rFonts w:eastAsia="PMingLiU"/>
          <w:lang w:eastAsia="zh-TW"/>
        </w:rPr>
        <w:t xml:space="preserve">was no </w:t>
      </w:r>
      <w:r w:rsidR="000D635A">
        <w:rPr>
          <w:rFonts w:eastAsia="PMingLiU"/>
          <w:lang w:eastAsia="zh-TW"/>
        </w:rPr>
        <w:t>‍</w:t>
      </w:r>
      <w:r w:rsidR="001F4C2F" w:rsidRPr="008D4696">
        <w:rPr>
          <w:rFonts w:eastAsia="PMingLiU"/>
          <w:lang w:eastAsia="zh-TW"/>
        </w:rPr>
        <w:t>longer consistent</w:t>
      </w:r>
      <w:r w:rsidR="00AC2D2C" w:rsidRPr="008D4696">
        <w:rPr>
          <w:rFonts w:eastAsia="PMingLiU"/>
          <w:lang w:eastAsia="zh-TW"/>
        </w:rPr>
        <w:t xml:space="preserve"> with </w:t>
      </w:r>
      <w:r w:rsidR="008D4696">
        <w:rPr>
          <w:rFonts w:eastAsia="PMingLiU"/>
          <w:lang w:eastAsia="zh-TW"/>
        </w:rPr>
        <w:t xml:space="preserve">this Court’s </w:t>
      </w:r>
      <w:r w:rsidR="00AC2D2C" w:rsidRPr="008D4696">
        <w:rPr>
          <w:rFonts w:eastAsia="PMingLiU"/>
          <w:lang w:eastAsia="zh-TW"/>
        </w:rPr>
        <w:t>subsequent decisions</w:t>
      </w:r>
      <w:r w:rsidR="001F4C2F" w:rsidRPr="008D4696">
        <w:rPr>
          <w:rFonts w:eastAsia="PMingLiU"/>
          <w:lang w:eastAsia="zh-TW"/>
        </w:rPr>
        <w:t xml:space="preserve"> in </w:t>
      </w:r>
      <w:r w:rsidR="00AC2D2C" w:rsidRPr="008D4696">
        <w:rPr>
          <w:rFonts w:eastAsia="PMingLiU"/>
          <w:i/>
          <w:lang w:eastAsia="zh-TW"/>
        </w:rPr>
        <w:t xml:space="preserve">Herry </w:t>
      </w:r>
      <w:r w:rsidR="006C4B2A">
        <w:rPr>
          <w:rFonts w:eastAsia="PMingLiU"/>
          <w:lang w:eastAsia="zh-TW"/>
        </w:rPr>
        <w:t>‍</w:t>
      </w:r>
      <w:r w:rsidR="00AC2D2C" w:rsidRPr="008D4696">
        <w:rPr>
          <w:rFonts w:eastAsia="PMingLiU"/>
          <w:i/>
          <w:lang w:eastAsia="zh-TW"/>
        </w:rPr>
        <w:t xml:space="preserve">Jane </w:t>
      </w:r>
      <w:r w:rsidR="006C4B2A">
        <w:rPr>
          <w:rFonts w:eastAsia="PMingLiU"/>
          <w:lang w:eastAsia="zh-TW"/>
        </w:rPr>
        <w:t>‍</w:t>
      </w:r>
      <w:r w:rsidR="00AC2D2C" w:rsidRPr="008D4696">
        <w:rPr>
          <w:rFonts w:eastAsia="PMingLiU"/>
          <w:i/>
          <w:lang w:eastAsia="zh-TW"/>
        </w:rPr>
        <w:t>Yusuph</w:t>
      </w:r>
      <w:r w:rsidR="00AC2D2C" w:rsidRPr="008D4696">
        <w:rPr>
          <w:rFonts w:eastAsia="PMingLiU"/>
          <w:lang w:eastAsia="zh-TW"/>
        </w:rPr>
        <w:t xml:space="preserve">, </w:t>
      </w:r>
      <w:r w:rsidR="001F4C2F" w:rsidRPr="008D4696">
        <w:rPr>
          <w:rFonts w:eastAsia="PMingLiU"/>
          <w:i/>
          <w:lang w:eastAsia="zh-TW"/>
        </w:rPr>
        <w:t>L</w:t>
      </w:r>
      <w:r w:rsidR="00AC2D2C" w:rsidRPr="008D4696">
        <w:rPr>
          <w:rFonts w:eastAsia="PMingLiU"/>
          <w:i/>
          <w:lang w:eastAsia="zh-TW"/>
        </w:rPr>
        <w:t>ee Ming Ho</w:t>
      </w:r>
      <w:r w:rsidR="00AC2D2C" w:rsidRPr="008D4696">
        <w:rPr>
          <w:rFonts w:eastAsia="PMingLiU"/>
          <w:lang w:eastAsia="zh-TW"/>
        </w:rPr>
        <w:t xml:space="preserve">, </w:t>
      </w:r>
      <w:r w:rsidR="00AC2D2C" w:rsidRPr="008D4696">
        <w:rPr>
          <w:rFonts w:eastAsia="PMingLiU"/>
          <w:i/>
          <w:lang w:eastAsia="zh-TW"/>
        </w:rPr>
        <w:t>Raman Kapusamy</w:t>
      </w:r>
      <w:r w:rsidR="00AC2D2C" w:rsidRPr="008D4696">
        <w:rPr>
          <w:rFonts w:eastAsia="PMingLiU"/>
          <w:lang w:eastAsia="zh-TW"/>
        </w:rPr>
        <w:t xml:space="preserve">, and </w:t>
      </w:r>
      <w:r w:rsidR="00AC2D2C" w:rsidRPr="008D4696">
        <w:rPr>
          <w:rFonts w:eastAsia="PMingLiU"/>
          <w:i/>
          <w:lang w:eastAsia="zh-TW"/>
        </w:rPr>
        <w:t>Sum Ka Wa</w:t>
      </w:r>
      <w:r w:rsidR="00AC2D2C" w:rsidRPr="008D4696">
        <w:rPr>
          <w:rFonts w:eastAsia="PMingLiU"/>
          <w:lang w:eastAsia="zh-TW"/>
        </w:rPr>
        <w:t>.</w:t>
      </w:r>
      <w:r w:rsidR="008D4696">
        <w:rPr>
          <w:rFonts w:eastAsia="PMingLiU"/>
          <w:lang w:eastAsia="zh-TW"/>
        </w:rPr>
        <w:t xml:space="preserve">  </w:t>
      </w:r>
      <w:r w:rsidR="008D4696">
        <w:rPr>
          <w:rFonts w:eastAsia="PMingLiU"/>
          <w:lang w:eastAsia="zh-TW"/>
        </w:rPr>
        <w:lastRenderedPageBreak/>
        <w:t xml:space="preserve">Secondly, it was </w:t>
      </w:r>
      <w:r w:rsidR="00A662CC">
        <w:rPr>
          <w:rFonts w:eastAsia="PMingLiU"/>
          <w:lang w:eastAsia="zh-TW"/>
        </w:rPr>
        <w:t>argued</w:t>
      </w:r>
      <w:r w:rsidR="008D4696">
        <w:rPr>
          <w:rFonts w:eastAsia="PMingLiU"/>
          <w:lang w:eastAsia="zh-TW"/>
        </w:rPr>
        <w:t xml:space="preserve"> that the</w:t>
      </w:r>
      <w:r w:rsidR="00AC2D2C" w:rsidRPr="008D4696">
        <w:rPr>
          <w:rFonts w:eastAsia="PMingLiU"/>
          <w:lang w:eastAsia="zh-TW"/>
        </w:rPr>
        <w:t xml:space="preserve"> </w:t>
      </w:r>
      <w:r w:rsidR="00A662CC">
        <w:rPr>
          <w:rFonts w:eastAsia="PMingLiU"/>
          <w:lang w:eastAsia="zh-TW"/>
        </w:rPr>
        <w:t xml:space="preserve">judge’s </w:t>
      </w:r>
      <w:r w:rsidR="00AC2D2C" w:rsidRPr="008D4696">
        <w:rPr>
          <w:rFonts w:eastAsia="PMingLiU"/>
          <w:lang w:eastAsia="zh-TW"/>
        </w:rPr>
        <w:t xml:space="preserve">reduction in sentence </w:t>
      </w:r>
      <w:r w:rsidR="008D4696">
        <w:rPr>
          <w:rFonts w:eastAsia="PMingLiU"/>
          <w:lang w:eastAsia="zh-TW"/>
        </w:rPr>
        <w:t>for</w:t>
      </w:r>
      <w:r w:rsidR="00AC2D2C" w:rsidRPr="008D4696">
        <w:rPr>
          <w:rFonts w:eastAsia="PMingLiU"/>
          <w:lang w:eastAsia="zh-TW"/>
        </w:rPr>
        <w:t xml:space="preserve"> delay and </w:t>
      </w:r>
      <w:r w:rsidR="008D4696">
        <w:rPr>
          <w:rFonts w:eastAsia="PMingLiU"/>
          <w:lang w:eastAsia="zh-TW"/>
        </w:rPr>
        <w:t xml:space="preserve">the </w:t>
      </w:r>
      <w:r w:rsidR="00AC2D2C" w:rsidRPr="008D4696">
        <w:rPr>
          <w:rFonts w:eastAsia="PMingLiU"/>
          <w:lang w:eastAsia="zh-TW"/>
        </w:rPr>
        <w:t xml:space="preserve">stress </w:t>
      </w:r>
      <w:r w:rsidR="00A662CC">
        <w:rPr>
          <w:rFonts w:eastAsia="PMingLiU"/>
          <w:lang w:eastAsia="zh-TW"/>
        </w:rPr>
        <w:t>of having to undergo</w:t>
      </w:r>
      <w:r w:rsidR="008D4696">
        <w:rPr>
          <w:rFonts w:eastAsia="PMingLiU"/>
          <w:lang w:eastAsia="zh-TW"/>
        </w:rPr>
        <w:t xml:space="preserve"> two trials and </w:t>
      </w:r>
      <w:r>
        <w:rPr>
          <w:rFonts w:eastAsia="PMingLiU"/>
          <w:lang w:eastAsia="zh-TW"/>
        </w:rPr>
        <w:t>an appeal</w:t>
      </w:r>
      <w:r w:rsidR="008D4696">
        <w:rPr>
          <w:rFonts w:eastAsia="PMingLiU"/>
          <w:lang w:eastAsia="zh-TW"/>
        </w:rPr>
        <w:t xml:space="preserve"> over a 7-year period </w:t>
      </w:r>
      <w:r w:rsidR="001F4C2F" w:rsidRPr="008D4696">
        <w:rPr>
          <w:rFonts w:eastAsia="PMingLiU"/>
          <w:lang w:eastAsia="zh-TW"/>
        </w:rPr>
        <w:t>was inadequate</w:t>
      </w:r>
      <w:r w:rsidR="00AC2D2C" w:rsidRPr="008D4696">
        <w:rPr>
          <w:rFonts w:eastAsia="PMingLiU"/>
          <w:lang w:eastAsia="zh-TW"/>
        </w:rPr>
        <w:t xml:space="preserve">. </w:t>
      </w:r>
    </w:p>
    <w:p w:rsidR="00AC2D2C" w:rsidRPr="00057071" w:rsidRDefault="00857E5F" w:rsidP="00057071">
      <w:pPr>
        <w:pStyle w:val="T-Draft"/>
        <w:rPr>
          <w:rFonts w:eastAsia="PMingLiU"/>
          <w:lang w:eastAsia="zh-TW"/>
        </w:rPr>
      </w:pPr>
      <w:r>
        <w:rPr>
          <w:rFonts w:eastAsia="PMingLiU"/>
          <w:lang w:eastAsia="zh-TW"/>
        </w:rPr>
        <w:t xml:space="preserve">In his written argument, Mr Bruce </w:t>
      </w:r>
      <w:r w:rsidR="00287B2B">
        <w:rPr>
          <w:rFonts w:eastAsia="PMingLiU"/>
          <w:lang w:eastAsia="zh-TW"/>
        </w:rPr>
        <w:t>criticised</w:t>
      </w:r>
      <w:r>
        <w:rPr>
          <w:rFonts w:eastAsia="PMingLiU"/>
          <w:lang w:eastAsia="zh-TW"/>
        </w:rPr>
        <w:t xml:space="preserve"> the quantity-</w:t>
      </w:r>
      <w:r w:rsidR="000D635A">
        <w:rPr>
          <w:rFonts w:eastAsia="PMingLiU"/>
          <w:lang w:eastAsia="zh-TW"/>
        </w:rPr>
        <w:t>‍</w:t>
      </w:r>
      <w:r>
        <w:rPr>
          <w:rFonts w:eastAsia="PMingLiU"/>
          <w:lang w:eastAsia="zh-TW"/>
        </w:rPr>
        <w:t xml:space="preserve">based approach of the Hong Kong courts going back to its earliest articulation in </w:t>
      </w:r>
      <w:r w:rsidRPr="00857E5F">
        <w:rPr>
          <w:rFonts w:eastAsia="PMingLiU"/>
          <w:i/>
          <w:lang w:eastAsia="zh-TW"/>
        </w:rPr>
        <w:t>R v Chan Chi-ming</w:t>
      </w:r>
      <w:r w:rsidR="00E348DB" w:rsidRPr="00E348DB">
        <w:rPr>
          <w:rStyle w:val="FootnoteReference"/>
          <w:rFonts w:eastAsia="PMingLiU"/>
          <w:lang w:eastAsia="zh-TW"/>
        </w:rPr>
        <w:footnoteReference w:id="22"/>
      </w:r>
      <w:r>
        <w:rPr>
          <w:rFonts w:eastAsia="PMingLiU"/>
          <w:lang w:eastAsia="zh-TW"/>
        </w:rPr>
        <w:t xml:space="preserve"> in 1979, which had </w:t>
      </w:r>
      <w:r w:rsidR="00A662CC">
        <w:rPr>
          <w:rFonts w:eastAsia="PMingLiU"/>
          <w:lang w:eastAsia="zh-TW"/>
        </w:rPr>
        <w:t xml:space="preserve">subsequently </w:t>
      </w:r>
      <w:r w:rsidR="0088708A">
        <w:rPr>
          <w:rFonts w:eastAsia="PMingLiU"/>
          <w:lang w:eastAsia="zh-TW"/>
        </w:rPr>
        <w:t>been built upon by</w:t>
      </w:r>
      <w:r>
        <w:rPr>
          <w:rFonts w:eastAsia="PMingLiU"/>
          <w:lang w:eastAsia="zh-TW"/>
        </w:rPr>
        <w:t xml:space="preserve"> the </w:t>
      </w:r>
      <w:r w:rsidR="00A662CC">
        <w:rPr>
          <w:rFonts w:eastAsia="PMingLiU"/>
          <w:lang w:eastAsia="zh-TW"/>
        </w:rPr>
        <w:t>decisions of</w:t>
      </w:r>
      <w:r>
        <w:rPr>
          <w:rFonts w:eastAsia="PMingLiU"/>
          <w:lang w:eastAsia="zh-TW"/>
        </w:rPr>
        <w:t xml:space="preserve"> </w:t>
      </w:r>
      <w:r w:rsidRPr="00857E5F">
        <w:rPr>
          <w:rFonts w:eastAsia="PMingLiU"/>
          <w:i/>
          <w:lang w:eastAsia="zh-TW"/>
        </w:rPr>
        <w:t>Lau Tak-ming</w:t>
      </w:r>
      <w:r>
        <w:rPr>
          <w:rFonts w:eastAsia="PMingLiU"/>
          <w:lang w:eastAsia="zh-TW"/>
        </w:rPr>
        <w:t xml:space="preserve"> and </w:t>
      </w:r>
      <w:r w:rsidRPr="00857E5F">
        <w:rPr>
          <w:rFonts w:eastAsia="PMingLiU"/>
          <w:i/>
          <w:lang w:eastAsia="zh-TW"/>
        </w:rPr>
        <w:t>Abdallah</w:t>
      </w:r>
      <w:r>
        <w:rPr>
          <w:rFonts w:eastAsia="PMingLiU"/>
          <w:lang w:eastAsia="zh-TW"/>
        </w:rPr>
        <w:t>.  In the process, sentences had become increasing</w:t>
      </w:r>
      <w:r w:rsidR="00D26890">
        <w:rPr>
          <w:rFonts w:eastAsia="PMingLiU"/>
          <w:lang w:eastAsia="zh-TW"/>
        </w:rPr>
        <w:t>ly heavier with little room remaining</w:t>
      </w:r>
      <w:r>
        <w:rPr>
          <w:rFonts w:eastAsia="PMingLiU"/>
          <w:lang w:eastAsia="zh-TW"/>
        </w:rPr>
        <w:t xml:space="preserve"> for really serious cases of trafficking, a problem which the Court in </w:t>
      </w:r>
      <w:r w:rsidRPr="00057071">
        <w:rPr>
          <w:rFonts w:eastAsia="PMingLiU"/>
          <w:i/>
          <w:lang w:eastAsia="zh-TW"/>
        </w:rPr>
        <w:t>Abdallah</w:t>
      </w:r>
      <w:r>
        <w:rPr>
          <w:rFonts w:eastAsia="PMingLiU"/>
          <w:lang w:eastAsia="zh-TW"/>
        </w:rPr>
        <w:t xml:space="preserve"> itself appeared to </w:t>
      </w:r>
      <w:r w:rsidR="0088708A">
        <w:rPr>
          <w:rFonts w:eastAsia="PMingLiU"/>
          <w:lang w:eastAsia="zh-TW"/>
        </w:rPr>
        <w:t>recognise</w:t>
      </w:r>
      <w:r>
        <w:rPr>
          <w:rFonts w:eastAsia="PMingLiU"/>
          <w:lang w:eastAsia="zh-TW"/>
        </w:rPr>
        <w:t>.</w:t>
      </w:r>
      <w:r w:rsidR="00057071">
        <w:rPr>
          <w:rFonts w:eastAsia="PMingLiU"/>
          <w:lang w:eastAsia="zh-TW"/>
        </w:rPr>
        <w:t xml:space="preserve">  The Court in</w:t>
      </w:r>
      <w:r w:rsidR="00AC2D2C" w:rsidRPr="00F555B2">
        <w:t xml:space="preserve"> </w:t>
      </w:r>
      <w:r w:rsidR="00AC2D2C" w:rsidRPr="00057071">
        <w:rPr>
          <w:i/>
        </w:rPr>
        <w:t>Lee Ming Ho</w:t>
      </w:r>
      <w:r w:rsidR="00AC2D2C" w:rsidRPr="00057071">
        <w:rPr>
          <w:iCs/>
        </w:rPr>
        <w:t xml:space="preserve"> </w:t>
      </w:r>
      <w:r w:rsidRPr="00057071">
        <w:rPr>
          <w:iCs/>
        </w:rPr>
        <w:t xml:space="preserve">had </w:t>
      </w:r>
      <w:r w:rsidR="00A662CC">
        <w:rPr>
          <w:iCs/>
        </w:rPr>
        <w:t xml:space="preserve">rightly </w:t>
      </w:r>
      <w:r w:rsidR="00AC2D2C" w:rsidRPr="00057071">
        <w:rPr>
          <w:iCs/>
        </w:rPr>
        <w:t xml:space="preserve">noted that the </w:t>
      </w:r>
      <w:r w:rsidR="00AC2D2C" w:rsidRPr="00057071">
        <w:rPr>
          <w:i/>
        </w:rPr>
        <w:t>Abdallah</w:t>
      </w:r>
      <w:r w:rsidR="00AC2D2C" w:rsidRPr="00057071">
        <w:rPr>
          <w:iCs/>
        </w:rPr>
        <w:t xml:space="preserve"> guidelines were </w:t>
      </w:r>
      <w:r w:rsidRPr="00057071">
        <w:rPr>
          <w:iCs/>
        </w:rPr>
        <w:t xml:space="preserve">already </w:t>
      </w:r>
      <w:r w:rsidR="00AC2D2C" w:rsidRPr="00057071">
        <w:rPr>
          <w:iCs/>
        </w:rPr>
        <w:t xml:space="preserve">very severe, leaving little room for manoeuvre </w:t>
      </w:r>
      <w:r w:rsidR="00BF5CA0">
        <w:rPr>
          <w:iCs/>
        </w:rPr>
        <w:t>in</w:t>
      </w:r>
      <w:r w:rsidR="00AC2D2C" w:rsidRPr="00057071">
        <w:rPr>
          <w:iCs/>
        </w:rPr>
        <w:t xml:space="preserve"> sentencing </w:t>
      </w:r>
      <w:r w:rsidR="00A662CC">
        <w:rPr>
          <w:iCs/>
        </w:rPr>
        <w:t xml:space="preserve">where </w:t>
      </w:r>
      <w:r w:rsidR="00AC2D2C" w:rsidRPr="00057071">
        <w:rPr>
          <w:iCs/>
        </w:rPr>
        <w:t xml:space="preserve">very large quantities of dangerous drugs </w:t>
      </w:r>
      <w:r w:rsidR="00A662CC">
        <w:rPr>
          <w:iCs/>
        </w:rPr>
        <w:t>were concerned</w:t>
      </w:r>
      <w:r w:rsidR="002D1DC9">
        <w:rPr>
          <w:iCs/>
        </w:rPr>
        <w:t>,</w:t>
      </w:r>
      <w:r w:rsidR="00A662CC">
        <w:rPr>
          <w:iCs/>
        </w:rPr>
        <w:t xml:space="preserve"> </w:t>
      </w:r>
      <w:r w:rsidR="00AC2D2C" w:rsidRPr="00057071">
        <w:rPr>
          <w:iCs/>
        </w:rPr>
        <w:t xml:space="preserve">or </w:t>
      </w:r>
      <w:r w:rsidRPr="00057071">
        <w:rPr>
          <w:iCs/>
        </w:rPr>
        <w:t xml:space="preserve">for </w:t>
      </w:r>
      <w:r w:rsidR="00A662CC">
        <w:rPr>
          <w:iCs/>
        </w:rPr>
        <w:t>distinguishing</w:t>
      </w:r>
      <w:r w:rsidR="00AC2D2C" w:rsidRPr="00057071">
        <w:rPr>
          <w:iCs/>
        </w:rPr>
        <w:t xml:space="preserve"> between mere couriers or storekeepers and those who played a more serious role in </w:t>
      </w:r>
      <w:r w:rsidR="00B16341">
        <w:rPr>
          <w:iCs/>
        </w:rPr>
        <w:t xml:space="preserve">the </w:t>
      </w:r>
      <w:r w:rsidR="00474634">
        <w:rPr>
          <w:iCs/>
        </w:rPr>
        <w:t xml:space="preserve">organisation and </w:t>
      </w:r>
      <w:r w:rsidR="00AC2D2C" w:rsidRPr="00057071">
        <w:rPr>
          <w:iCs/>
        </w:rPr>
        <w:t>trafficking</w:t>
      </w:r>
      <w:r w:rsidR="00B16341">
        <w:rPr>
          <w:iCs/>
        </w:rPr>
        <w:t xml:space="preserve"> of dangerous drugs</w:t>
      </w:r>
      <w:r w:rsidR="00AC2D2C" w:rsidRPr="00F555B2">
        <w:rPr>
          <w:iCs/>
          <w:vertAlign w:val="superscript"/>
        </w:rPr>
        <w:footnoteReference w:id="23"/>
      </w:r>
      <w:r w:rsidR="00AC2D2C" w:rsidRPr="00057071">
        <w:rPr>
          <w:iCs/>
        </w:rPr>
        <w:t xml:space="preserve">. </w:t>
      </w:r>
      <w:r w:rsidR="00057071">
        <w:rPr>
          <w:iCs/>
        </w:rPr>
        <w:t xml:space="preserve"> However,</w:t>
      </w:r>
      <w:r w:rsidR="00AC2D2C" w:rsidRPr="00057071">
        <w:rPr>
          <w:iCs/>
        </w:rPr>
        <w:t xml:space="preserve"> </w:t>
      </w:r>
      <w:r w:rsidR="00057071">
        <w:rPr>
          <w:rFonts w:eastAsia="PMingLiU"/>
          <w:lang w:eastAsia="zh-TW"/>
        </w:rPr>
        <w:t>t</w:t>
      </w:r>
      <w:r w:rsidR="00AC2D2C" w:rsidRPr="00F555B2">
        <w:t>he ranges of sentence set out in </w:t>
      </w:r>
      <w:r w:rsidR="00AC2D2C" w:rsidRPr="00057071">
        <w:rPr>
          <w:i/>
          <w:iCs/>
        </w:rPr>
        <w:t>Abdallah</w:t>
      </w:r>
      <w:r w:rsidR="00AC2D2C" w:rsidRPr="00F555B2">
        <w:t> </w:t>
      </w:r>
      <w:r w:rsidR="00057071">
        <w:t>for</w:t>
      </w:r>
      <w:r w:rsidR="00AC2D2C" w:rsidRPr="00F555B2">
        <w:t xml:space="preserve"> quantities </w:t>
      </w:r>
      <w:r w:rsidR="00057071">
        <w:t>above</w:t>
      </w:r>
      <w:r w:rsidR="00AC2D2C" w:rsidRPr="00F555B2">
        <w:t xml:space="preserve"> 600 grammes of heroin or cocaine </w:t>
      </w:r>
      <w:r w:rsidR="00A662CC">
        <w:t>had been</w:t>
      </w:r>
      <w:r w:rsidR="00057071">
        <w:t xml:space="preserve"> </w:t>
      </w:r>
      <w:r w:rsidR="00AC2D2C" w:rsidRPr="00F555B2">
        <w:t xml:space="preserve">left </w:t>
      </w:r>
      <w:r w:rsidR="00B16341">
        <w:t>undisturbed</w:t>
      </w:r>
      <w:r w:rsidR="00AC2D2C" w:rsidRPr="00F555B2">
        <w:t xml:space="preserve"> in these recent decisions. </w:t>
      </w:r>
    </w:p>
    <w:p w:rsidR="00AC2D2C" w:rsidRPr="00D70CBC" w:rsidRDefault="001F511C" w:rsidP="00AC2D2C">
      <w:pPr>
        <w:pStyle w:val="T-Draft"/>
      </w:pPr>
      <w:r>
        <w:t xml:space="preserve">Mr Bruce nevertheless made clear </w:t>
      </w:r>
      <w:r w:rsidR="00A662CC">
        <w:t xml:space="preserve">in oral argument </w:t>
      </w:r>
      <w:r>
        <w:t xml:space="preserve">that </w:t>
      </w:r>
      <w:r w:rsidR="00AC2D2C" w:rsidRPr="00D70CBC">
        <w:t xml:space="preserve">what </w:t>
      </w:r>
      <w:r>
        <w:t>he</w:t>
      </w:r>
      <w:r w:rsidR="00AC2D2C" w:rsidRPr="00D70CBC">
        <w:t xml:space="preserve"> sought to challenge was not the </w:t>
      </w:r>
      <w:r w:rsidR="00BF5CA0">
        <w:t>notion</w:t>
      </w:r>
      <w:r w:rsidR="00AC2D2C" w:rsidRPr="00D70CBC">
        <w:t xml:space="preserve"> of </w:t>
      </w:r>
      <w:r w:rsidR="00A662CC">
        <w:t xml:space="preserve">sentencing guidelines </w:t>
      </w:r>
      <w:r w:rsidR="00BF5CA0">
        <w:t>itself</w:t>
      </w:r>
      <w:r w:rsidR="00AC2D2C" w:rsidRPr="00D70CBC">
        <w:t>.  Rat</w:t>
      </w:r>
      <w:r>
        <w:t xml:space="preserve">her, </w:t>
      </w:r>
      <w:r w:rsidR="00A662CC">
        <w:t xml:space="preserve">he contended that </w:t>
      </w:r>
      <w:r w:rsidR="00AC2D2C" w:rsidRPr="00D70CBC">
        <w:t xml:space="preserve">the guideline bands </w:t>
      </w:r>
      <w:r w:rsidR="00A662CC">
        <w:t xml:space="preserve">within them </w:t>
      </w:r>
      <w:r w:rsidR="00AC2D2C" w:rsidRPr="00D70CBC">
        <w:t>were flawed</w:t>
      </w:r>
      <w:r w:rsidR="00CB3197">
        <w:t xml:space="preserve"> and had led to excessive and un</w:t>
      </w:r>
      <w:r w:rsidR="00474634">
        <w:t>fair</w:t>
      </w:r>
      <w:r w:rsidR="00CB3197">
        <w:t xml:space="preserve"> sentences</w:t>
      </w:r>
      <w:r w:rsidR="00AC2D2C" w:rsidRPr="00D70CBC">
        <w:t xml:space="preserve">.  </w:t>
      </w:r>
      <w:r w:rsidR="00A662CC">
        <w:t xml:space="preserve">He </w:t>
      </w:r>
      <w:r w:rsidR="00B16341">
        <w:t>p</w:t>
      </w:r>
      <w:r w:rsidR="00474634">
        <w:t>laced</w:t>
      </w:r>
      <w:r w:rsidR="00B16341">
        <w:t xml:space="preserve"> </w:t>
      </w:r>
      <w:r w:rsidR="00CB3197">
        <w:t xml:space="preserve">two proposals </w:t>
      </w:r>
      <w:r w:rsidR="00B16341">
        <w:t>before the Court for its consideration: the first was</w:t>
      </w:r>
      <w:r w:rsidR="00307DBF">
        <w:t xml:space="preserve"> to revise </w:t>
      </w:r>
      <w:r w:rsidR="00307DBF" w:rsidRPr="00CB3197">
        <w:rPr>
          <w:i/>
        </w:rPr>
        <w:t>all</w:t>
      </w:r>
      <w:r w:rsidR="00307DBF">
        <w:t xml:space="preserve"> guidelines downwards; the second</w:t>
      </w:r>
      <w:r w:rsidR="00B16341">
        <w:t xml:space="preserve"> was</w:t>
      </w:r>
      <w:r w:rsidR="00307DBF">
        <w:t xml:space="preserve"> to give judges greater discretion to reflect </w:t>
      </w:r>
      <w:r w:rsidR="00CB3197">
        <w:t xml:space="preserve">a defendant’s </w:t>
      </w:r>
      <w:r w:rsidR="00B16341">
        <w:t xml:space="preserve">personal </w:t>
      </w:r>
      <w:r w:rsidR="00307DBF">
        <w:t>mitigating circumstances</w:t>
      </w:r>
      <w:r w:rsidR="00CB3197">
        <w:t xml:space="preserve"> in sentence</w:t>
      </w:r>
      <w:r w:rsidR="00AC2D2C">
        <w:t>.</w:t>
      </w:r>
    </w:p>
    <w:p w:rsidR="00AC2D2C" w:rsidRPr="00F555B2" w:rsidRDefault="00CB3197" w:rsidP="00AC2D2C">
      <w:pPr>
        <w:pStyle w:val="j-heading"/>
      </w:pPr>
      <w:r>
        <w:lastRenderedPageBreak/>
        <w:t>Proposal</w:t>
      </w:r>
      <w:r w:rsidR="00AC2D2C" w:rsidRPr="00F555B2">
        <w:t xml:space="preserve"> 1: downward </w:t>
      </w:r>
      <w:r w:rsidR="00663D03">
        <w:t>r</w:t>
      </w:r>
      <w:r w:rsidR="00AC2D2C" w:rsidRPr="00F555B2">
        <w:t>evision</w:t>
      </w:r>
    </w:p>
    <w:p w:rsidR="00AC2D2C" w:rsidRPr="00F555B2" w:rsidRDefault="00AC2D2C" w:rsidP="00AC2D2C">
      <w:pPr>
        <w:pStyle w:val="T-Draft"/>
      </w:pPr>
      <w:r w:rsidRPr="00F555B2">
        <w:t xml:space="preserve">It </w:t>
      </w:r>
      <w:r w:rsidR="005927E0">
        <w:t>wa</w:t>
      </w:r>
      <w:r w:rsidRPr="00F555B2">
        <w:t xml:space="preserve">s submitted that the current starting points </w:t>
      </w:r>
      <w:r w:rsidR="00CB3197">
        <w:t xml:space="preserve">after trial </w:t>
      </w:r>
      <w:r w:rsidRPr="00F555B2">
        <w:t xml:space="preserve">set out in </w:t>
      </w:r>
      <w:r w:rsidRPr="00F555B2">
        <w:rPr>
          <w:i/>
          <w:iCs/>
        </w:rPr>
        <w:t>Abdallah</w:t>
      </w:r>
      <w:r w:rsidRPr="00BF5CA0">
        <w:rPr>
          <w:iCs/>
        </w:rPr>
        <w:t xml:space="preserve"> </w:t>
      </w:r>
      <w:r w:rsidR="00BF5CA0" w:rsidRPr="00BF5CA0">
        <w:rPr>
          <w:iCs/>
        </w:rPr>
        <w:t>were</w:t>
      </w:r>
      <w:r w:rsidRPr="00F555B2">
        <w:t xml:space="preserve"> manifestly excessive</w:t>
      </w:r>
      <w:r w:rsidR="00CB3197">
        <w:t xml:space="preserve">, </w:t>
      </w:r>
      <w:r w:rsidR="00474634">
        <w:t>and</w:t>
      </w:r>
      <w:r w:rsidR="00CB3197">
        <w:t xml:space="preserve"> </w:t>
      </w:r>
      <w:r w:rsidR="00B16341">
        <w:t xml:space="preserve">did not allow </w:t>
      </w:r>
      <w:r w:rsidR="00287B2B">
        <w:t xml:space="preserve">sufficient </w:t>
      </w:r>
      <w:r w:rsidR="00B16341">
        <w:t>room for</w:t>
      </w:r>
      <w:r w:rsidRPr="00F555B2">
        <w:rPr>
          <w:iCs/>
        </w:rPr>
        <w:t xml:space="preserve"> sentencing </w:t>
      </w:r>
      <w:r w:rsidR="00B16341">
        <w:rPr>
          <w:iCs/>
        </w:rPr>
        <w:t>exceptionally</w:t>
      </w:r>
      <w:r w:rsidRPr="00F555B2">
        <w:rPr>
          <w:iCs/>
        </w:rPr>
        <w:t xml:space="preserve"> large quantities of dangerous drugs, especially given the </w:t>
      </w:r>
      <w:r w:rsidR="00474634">
        <w:rPr>
          <w:iCs/>
        </w:rPr>
        <w:t xml:space="preserve">effective </w:t>
      </w:r>
      <w:r w:rsidRPr="00F555B2">
        <w:rPr>
          <w:iCs/>
        </w:rPr>
        <w:t>35-year c</w:t>
      </w:r>
      <w:r w:rsidR="00287B2B">
        <w:rPr>
          <w:iCs/>
        </w:rPr>
        <w:t>eiling</w:t>
      </w:r>
      <w:r w:rsidRPr="00F555B2">
        <w:rPr>
          <w:iCs/>
        </w:rPr>
        <w:t xml:space="preserve"> as the practical sentencing limit.  </w:t>
      </w:r>
      <w:r w:rsidR="00CB3197">
        <w:rPr>
          <w:iCs/>
        </w:rPr>
        <w:t>Moreover,</w:t>
      </w:r>
      <w:r w:rsidRPr="00F555B2">
        <w:rPr>
          <w:iCs/>
        </w:rPr>
        <w:t xml:space="preserve"> it </w:t>
      </w:r>
      <w:r w:rsidR="005927E0">
        <w:rPr>
          <w:iCs/>
        </w:rPr>
        <w:t>was suggested</w:t>
      </w:r>
      <w:r w:rsidRPr="00F555B2">
        <w:rPr>
          <w:iCs/>
        </w:rPr>
        <w:t xml:space="preserve"> that offenders sentenced </w:t>
      </w:r>
      <w:r w:rsidR="00CB3197">
        <w:rPr>
          <w:iCs/>
        </w:rPr>
        <w:t>in respect of</w:t>
      </w:r>
      <w:r w:rsidRPr="00F555B2">
        <w:rPr>
          <w:iCs/>
        </w:rPr>
        <w:t xml:space="preserve"> smaller </w:t>
      </w:r>
      <w:r w:rsidR="00CB3197">
        <w:rPr>
          <w:iCs/>
        </w:rPr>
        <w:t>quantities</w:t>
      </w:r>
      <w:r w:rsidRPr="00F555B2">
        <w:rPr>
          <w:iCs/>
        </w:rPr>
        <w:t xml:space="preserve"> </w:t>
      </w:r>
      <w:r w:rsidR="00BF5CA0">
        <w:rPr>
          <w:iCs/>
        </w:rPr>
        <w:t>we</w:t>
      </w:r>
      <w:r w:rsidRPr="00F555B2">
        <w:rPr>
          <w:iCs/>
        </w:rPr>
        <w:t xml:space="preserve">re </w:t>
      </w:r>
      <w:r w:rsidR="00CB3197">
        <w:rPr>
          <w:iCs/>
        </w:rPr>
        <w:t xml:space="preserve">being </w:t>
      </w:r>
      <w:r w:rsidRPr="00F555B2">
        <w:rPr>
          <w:iCs/>
        </w:rPr>
        <w:t xml:space="preserve">disproportionally penalised.  </w:t>
      </w:r>
      <w:r w:rsidR="005927E0">
        <w:rPr>
          <w:iCs/>
        </w:rPr>
        <w:t>By means of a</w:t>
      </w:r>
      <w:r w:rsidRPr="00F555B2">
        <w:rPr>
          <w:iCs/>
        </w:rPr>
        <w:t xml:space="preserve"> </w:t>
      </w:r>
      <w:r w:rsidR="00CB3197">
        <w:rPr>
          <w:iCs/>
        </w:rPr>
        <w:t>graph</w:t>
      </w:r>
      <w:r w:rsidRPr="00F555B2">
        <w:rPr>
          <w:iCs/>
        </w:rPr>
        <w:t xml:space="preserve">, </w:t>
      </w:r>
      <w:r w:rsidR="005927E0">
        <w:rPr>
          <w:iCs/>
        </w:rPr>
        <w:t xml:space="preserve">Mr Bruce </w:t>
      </w:r>
      <w:r w:rsidR="002D1DC9">
        <w:rPr>
          <w:iCs/>
        </w:rPr>
        <w:t>sought to demonst</w:t>
      </w:r>
      <w:r w:rsidR="00287B2B">
        <w:rPr>
          <w:iCs/>
        </w:rPr>
        <w:t>ra</w:t>
      </w:r>
      <w:r w:rsidR="002D1DC9">
        <w:rPr>
          <w:iCs/>
        </w:rPr>
        <w:t>te</w:t>
      </w:r>
      <w:r w:rsidRPr="00F555B2">
        <w:rPr>
          <w:iCs/>
        </w:rPr>
        <w:t xml:space="preserve"> that where a defendant traffic</w:t>
      </w:r>
      <w:r w:rsidR="005927E0">
        <w:rPr>
          <w:iCs/>
        </w:rPr>
        <w:t>ked</w:t>
      </w:r>
      <w:r w:rsidRPr="00F555B2">
        <w:rPr>
          <w:iCs/>
        </w:rPr>
        <w:t xml:space="preserve"> </w:t>
      </w:r>
      <w:r w:rsidR="00252110">
        <w:rPr>
          <w:iCs/>
        </w:rPr>
        <w:t>up to</w:t>
      </w:r>
      <w:r w:rsidRPr="00F555B2">
        <w:rPr>
          <w:iCs/>
        </w:rPr>
        <w:t xml:space="preserve"> 10</w:t>
      </w:r>
      <w:r w:rsidR="00E94300">
        <w:rPr>
          <w:iCs/>
        </w:rPr>
        <w:t xml:space="preserve"> </w:t>
      </w:r>
      <w:r w:rsidR="00E94300">
        <w:rPr>
          <w:rFonts w:eastAsia="PMingLiU"/>
          <w:lang w:eastAsia="zh-TW"/>
        </w:rPr>
        <w:t>‍</w:t>
      </w:r>
      <w:r w:rsidRPr="00F555B2">
        <w:rPr>
          <w:iCs/>
        </w:rPr>
        <w:t>g</w:t>
      </w:r>
      <w:r w:rsidR="00E94300">
        <w:rPr>
          <w:iCs/>
        </w:rPr>
        <w:t>rammes</w:t>
      </w:r>
      <w:r w:rsidRPr="00F555B2">
        <w:rPr>
          <w:iCs/>
        </w:rPr>
        <w:t xml:space="preserve"> of </w:t>
      </w:r>
      <w:r w:rsidR="00287B2B">
        <w:rPr>
          <w:iCs/>
        </w:rPr>
        <w:t>heroin or cocaine</w:t>
      </w:r>
      <w:r w:rsidRPr="00F555B2">
        <w:rPr>
          <w:iCs/>
        </w:rPr>
        <w:t xml:space="preserve">, each additional gramme of the drug </w:t>
      </w:r>
      <w:r w:rsidR="00EA50D5">
        <w:rPr>
          <w:iCs/>
        </w:rPr>
        <w:t>produced an increase</w:t>
      </w:r>
      <w:r w:rsidRPr="00F555B2">
        <w:rPr>
          <w:iCs/>
        </w:rPr>
        <w:t xml:space="preserve"> of 3.6 months</w:t>
      </w:r>
      <w:r w:rsidR="00CB3197">
        <w:rPr>
          <w:iCs/>
        </w:rPr>
        <w:t>’ imprisonment</w:t>
      </w:r>
      <w:r w:rsidRPr="00F555B2">
        <w:rPr>
          <w:iCs/>
        </w:rPr>
        <w:t xml:space="preserve">; whereas </w:t>
      </w:r>
      <w:r w:rsidR="00EA50D5">
        <w:rPr>
          <w:iCs/>
        </w:rPr>
        <w:t>for</w:t>
      </w:r>
      <w:r w:rsidRPr="00F555B2">
        <w:rPr>
          <w:iCs/>
        </w:rPr>
        <w:t xml:space="preserve"> a defendant traffic</w:t>
      </w:r>
      <w:r w:rsidR="00EA50D5">
        <w:rPr>
          <w:iCs/>
        </w:rPr>
        <w:t>king</w:t>
      </w:r>
      <w:r w:rsidRPr="00F555B2">
        <w:rPr>
          <w:iCs/>
        </w:rPr>
        <w:t xml:space="preserve"> between 4</w:t>
      </w:r>
      <w:r w:rsidR="00B16341">
        <w:rPr>
          <w:iCs/>
        </w:rPr>
        <w:t>,000</w:t>
      </w:r>
      <w:r w:rsidR="00BD1898">
        <w:rPr>
          <w:iCs/>
        </w:rPr>
        <w:t xml:space="preserve"> and </w:t>
      </w:r>
      <w:r w:rsidRPr="00F555B2">
        <w:rPr>
          <w:iCs/>
        </w:rPr>
        <w:t>15</w:t>
      </w:r>
      <w:r w:rsidR="00B16341">
        <w:rPr>
          <w:iCs/>
        </w:rPr>
        <w:t xml:space="preserve">,000 </w:t>
      </w:r>
      <w:r w:rsidRPr="00F555B2">
        <w:rPr>
          <w:iCs/>
        </w:rPr>
        <w:t>g</w:t>
      </w:r>
      <w:r w:rsidR="00BD1898">
        <w:rPr>
          <w:iCs/>
        </w:rPr>
        <w:t>rammes</w:t>
      </w:r>
      <w:r w:rsidRPr="00F555B2">
        <w:rPr>
          <w:iCs/>
        </w:rPr>
        <w:t xml:space="preserve"> of the drug, each additional gramme </w:t>
      </w:r>
      <w:r w:rsidR="00EA50D5">
        <w:rPr>
          <w:iCs/>
        </w:rPr>
        <w:t>would produce an increase</w:t>
      </w:r>
      <w:r w:rsidRPr="00F555B2">
        <w:rPr>
          <w:iCs/>
        </w:rPr>
        <w:t xml:space="preserve"> of </w:t>
      </w:r>
      <w:r w:rsidR="00EA50D5">
        <w:rPr>
          <w:iCs/>
        </w:rPr>
        <w:t>a mere</w:t>
      </w:r>
      <w:r w:rsidRPr="00F555B2">
        <w:rPr>
          <w:iCs/>
        </w:rPr>
        <w:t xml:space="preserve"> 0.004 months</w:t>
      </w:r>
      <w:r w:rsidR="007F1992">
        <w:rPr>
          <w:iCs/>
        </w:rPr>
        <w:t>’ imprisonment</w:t>
      </w:r>
      <w:r w:rsidRPr="00F555B2">
        <w:rPr>
          <w:iCs/>
        </w:rPr>
        <w:t xml:space="preserve"> (</w:t>
      </w:r>
      <w:r w:rsidR="00EA50D5">
        <w:rPr>
          <w:iCs/>
        </w:rPr>
        <w:t>or about</w:t>
      </w:r>
      <w:r w:rsidRPr="00F555B2">
        <w:rPr>
          <w:iCs/>
        </w:rPr>
        <w:t xml:space="preserve"> 3 </w:t>
      </w:r>
      <w:r>
        <w:rPr>
          <w:rFonts w:eastAsia="PMingLiU"/>
          <w:lang w:eastAsia="zh-TW"/>
        </w:rPr>
        <w:t>‍</w:t>
      </w:r>
      <w:r w:rsidRPr="00F555B2">
        <w:rPr>
          <w:iCs/>
        </w:rPr>
        <w:t xml:space="preserve">hours).  </w:t>
      </w:r>
      <w:r w:rsidR="00EA50D5">
        <w:rPr>
          <w:iCs/>
        </w:rPr>
        <w:t>It was submitted that the</w:t>
      </w:r>
      <w:r w:rsidRPr="00F555B2">
        <w:rPr>
          <w:iCs/>
        </w:rPr>
        <w:t xml:space="preserve"> </w:t>
      </w:r>
      <w:r w:rsidR="00EA50D5">
        <w:rPr>
          <w:iCs/>
        </w:rPr>
        <w:t xml:space="preserve">initial </w:t>
      </w:r>
      <w:r w:rsidRPr="00F555B2">
        <w:rPr>
          <w:iCs/>
        </w:rPr>
        <w:t xml:space="preserve">sentencing curve </w:t>
      </w:r>
      <w:r w:rsidR="00EA50D5">
        <w:rPr>
          <w:iCs/>
        </w:rPr>
        <w:t>was</w:t>
      </w:r>
      <w:r w:rsidRPr="00F555B2">
        <w:rPr>
          <w:iCs/>
        </w:rPr>
        <w:t xml:space="preserve"> too steep </w:t>
      </w:r>
      <w:r w:rsidR="007F1992">
        <w:rPr>
          <w:iCs/>
        </w:rPr>
        <w:t xml:space="preserve">as a result of which it </w:t>
      </w:r>
      <w:r w:rsidRPr="00F555B2">
        <w:rPr>
          <w:iCs/>
        </w:rPr>
        <w:t>taper</w:t>
      </w:r>
      <w:r w:rsidR="00EA50D5">
        <w:rPr>
          <w:iCs/>
        </w:rPr>
        <w:t>ed</w:t>
      </w:r>
      <w:r w:rsidRPr="00F555B2">
        <w:rPr>
          <w:iCs/>
        </w:rPr>
        <w:t xml:space="preserve"> off too sharply, </w:t>
      </w:r>
      <w:r w:rsidR="007F1992">
        <w:rPr>
          <w:iCs/>
        </w:rPr>
        <w:t xml:space="preserve">instead of </w:t>
      </w:r>
      <w:r w:rsidR="00B16341">
        <w:rPr>
          <w:iCs/>
        </w:rPr>
        <w:t xml:space="preserve">producing </w:t>
      </w:r>
      <w:r w:rsidR="002D1DC9">
        <w:rPr>
          <w:iCs/>
        </w:rPr>
        <w:t>the</w:t>
      </w:r>
      <w:r w:rsidR="007F1992">
        <w:rPr>
          <w:iCs/>
        </w:rPr>
        <w:t xml:space="preserve"> “gradual”</w:t>
      </w:r>
      <w:r w:rsidRPr="00F555B2">
        <w:rPr>
          <w:iCs/>
        </w:rPr>
        <w:t xml:space="preserve"> curve envisaged by </w:t>
      </w:r>
      <w:r w:rsidR="007F1992">
        <w:rPr>
          <w:iCs/>
        </w:rPr>
        <w:t>the Court</w:t>
      </w:r>
      <w:r w:rsidRPr="00F555B2">
        <w:rPr>
          <w:iCs/>
        </w:rPr>
        <w:t xml:space="preserve"> in </w:t>
      </w:r>
      <w:r w:rsidRPr="00F555B2">
        <w:rPr>
          <w:i/>
        </w:rPr>
        <w:t xml:space="preserve">R v Cheng </w:t>
      </w:r>
      <w:r>
        <w:rPr>
          <w:rFonts w:eastAsia="PMingLiU"/>
          <w:lang w:eastAsia="zh-TW"/>
        </w:rPr>
        <w:t>‍</w:t>
      </w:r>
      <w:r w:rsidRPr="00F555B2">
        <w:rPr>
          <w:i/>
        </w:rPr>
        <w:t>Yeung</w:t>
      </w:r>
      <w:r w:rsidRPr="00F555B2">
        <w:rPr>
          <w:iCs/>
          <w:vertAlign w:val="superscript"/>
        </w:rPr>
        <w:footnoteReference w:id="24"/>
      </w:r>
      <w:r w:rsidR="007F1992">
        <w:rPr>
          <w:iCs/>
        </w:rPr>
        <w:t xml:space="preserve"> for quantities above 1</w:t>
      </w:r>
      <w:r w:rsidR="00B16341">
        <w:rPr>
          <w:iCs/>
        </w:rPr>
        <w:t xml:space="preserve">,000 grammes </w:t>
      </w:r>
      <w:r w:rsidR="007F1992">
        <w:rPr>
          <w:iCs/>
        </w:rPr>
        <w:t>of narcotic.</w:t>
      </w:r>
      <w:r w:rsidRPr="00F555B2">
        <w:rPr>
          <w:iCs/>
        </w:rPr>
        <w:t xml:space="preserve">  Such </w:t>
      </w:r>
      <w:r w:rsidR="00EA50D5">
        <w:rPr>
          <w:iCs/>
        </w:rPr>
        <w:t xml:space="preserve">a </w:t>
      </w:r>
      <w:r w:rsidRPr="00F555B2">
        <w:rPr>
          <w:iCs/>
        </w:rPr>
        <w:t xml:space="preserve">steep </w:t>
      </w:r>
      <w:r w:rsidR="00EA50D5">
        <w:rPr>
          <w:iCs/>
        </w:rPr>
        <w:t>climb followed by a</w:t>
      </w:r>
      <w:r w:rsidR="00287B2B">
        <w:rPr>
          <w:iCs/>
        </w:rPr>
        <w:t>n abrupt</w:t>
      </w:r>
      <w:r w:rsidRPr="00F555B2">
        <w:rPr>
          <w:iCs/>
        </w:rPr>
        <w:t xml:space="preserve"> plateauing </w:t>
      </w:r>
      <w:r w:rsidR="007F1992">
        <w:rPr>
          <w:iCs/>
        </w:rPr>
        <w:t xml:space="preserve">effect </w:t>
      </w:r>
      <w:r w:rsidR="00EA50D5">
        <w:rPr>
          <w:iCs/>
        </w:rPr>
        <w:t>we</w:t>
      </w:r>
      <w:r w:rsidRPr="00F555B2">
        <w:rPr>
          <w:iCs/>
        </w:rPr>
        <w:t>re the direct result of the current high starting points</w:t>
      </w:r>
      <w:r w:rsidR="00EA50D5">
        <w:rPr>
          <w:iCs/>
        </w:rPr>
        <w:t xml:space="preserve"> </w:t>
      </w:r>
      <w:r w:rsidR="007F1992">
        <w:rPr>
          <w:iCs/>
        </w:rPr>
        <w:t xml:space="preserve">employed by the courts </w:t>
      </w:r>
      <w:r w:rsidR="00EA50D5">
        <w:rPr>
          <w:iCs/>
        </w:rPr>
        <w:t>and had led</w:t>
      </w:r>
      <w:r w:rsidRPr="00F555B2">
        <w:rPr>
          <w:iCs/>
        </w:rPr>
        <w:t xml:space="preserve"> to </w:t>
      </w:r>
      <w:r w:rsidR="00EA50D5">
        <w:rPr>
          <w:iCs/>
        </w:rPr>
        <w:t xml:space="preserve">an </w:t>
      </w:r>
      <w:r w:rsidR="00287B2B">
        <w:rPr>
          <w:iCs/>
        </w:rPr>
        <w:t>incongruity</w:t>
      </w:r>
      <w:r w:rsidR="00EA50D5">
        <w:rPr>
          <w:iCs/>
        </w:rPr>
        <w:t xml:space="preserve"> </w:t>
      </w:r>
      <w:r w:rsidR="00B16341">
        <w:rPr>
          <w:iCs/>
        </w:rPr>
        <w:t>whereby</w:t>
      </w:r>
      <w:r w:rsidRPr="00F555B2">
        <w:rPr>
          <w:iCs/>
        </w:rPr>
        <w:t xml:space="preserve"> the smaller </w:t>
      </w:r>
      <w:r w:rsidR="00EA50D5">
        <w:rPr>
          <w:iCs/>
        </w:rPr>
        <w:t xml:space="preserve">the </w:t>
      </w:r>
      <w:r w:rsidR="00B16341">
        <w:rPr>
          <w:iCs/>
        </w:rPr>
        <w:t>quantity</w:t>
      </w:r>
      <w:r w:rsidRPr="00F555B2">
        <w:rPr>
          <w:iCs/>
        </w:rPr>
        <w:t xml:space="preserve">, the </w:t>
      </w:r>
      <w:r w:rsidR="00B16341">
        <w:rPr>
          <w:iCs/>
        </w:rPr>
        <w:t>harsher the sentence</w:t>
      </w:r>
      <w:r w:rsidRPr="00F555B2">
        <w:rPr>
          <w:iCs/>
        </w:rPr>
        <w:t xml:space="preserve">.  </w:t>
      </w:r>
    </w:p>
    <w:p w:rsidR="00AC2D2C" w:rsidRPr="00F555B2" w:rsidRDefault="007F1992" w:rsidP="00AC2D2C">
      <w:pPr>
        <w:pStyle w:val="T-Draft"/>
      </w:pPr>
      <w:r>
        <w:rPr>
          <w:iCs/>
        </w:rPr>
        <w:t>T</w:t>
      </w:r>
      <w:r w:rsidR="00EA50D5">
        <w:rPr>
          <w:iCs/>
        </w:rPr>
        <w:t>he effect of the steep</w:t>
      </w:r>
      <w:r w:rsidR="00AC2D2C" w:rsidRPr="00F555B2">
        <w:rPr>
          <w:iCs/>
        </w:rPr>
        <w:t xml:space="preserve"> curve and </w:t>
      </w:r>
      <w:r>
        <w:rPr>
          <w:iCs/>
        </w:rPr>
        <w:t xml:space="preserve">the </w:t>
      </w:r>
      <w:r w:rsidR="00287B2B">
        <w:rPr>
          <w:iCs/>
        </w:rPr>
        <w:t>abrupt</w:t>
      </w:r>
      <w:r w:rsidR="00AC2D2C" w:rsidRPr="00F555B2">
        <w:rPr>
          <w:iCs/>
        </w:rPr>
        <w:t xml:space="preserve"> plateauing </w:t>
      </w:r>
      <w:r>
        <w:rPr>
          <w:iCs/>
        </w:rPr>
        <w:t xml:space="preserve">effect </w:t>
      </w:r>
      <w:r w:rsidR="00AC2D2C" w:rsidRPr="00F555B2">
        <w:rPr>
          <w:iCs/>
        </w:rPr>
        <w:t>ha</w:t>
      </w:r>
      <w:r w:rsidR="00EA50D5">
        <w:rPr>
          <w:iCs/>
        </w:rPr>
        <w:t>d also</w:t>
      </w:r>
      <w:r w:rsidR="00AC2D2C" w:rsidRPr="00F555B2">
        <w:rPr>
          <w:iCs/>
        </w:rPr>
        <w:t xml:space="preserve"> resulted in</w:t>
      </w:r>
      <w:r w:rsidR="00EA50D5">
        <w:rPr>
          <w:iCs/>
        </w:rPr>
        <w:t xml:space="preserve"> what were described as </w:t>
      </w:r>
      <w:r w:rsidR="00AC2D2C" w:rsidRPr="00F555B2">
        <w:rPr>
          <w:iCs/>
        </w:rPr>
        <w:t>a</w:t>
      </w:r>
      <w:r>
        <w:rPr>
          <w:iCs/>
        </w:rPr>
        <w:t xml:space="preserve"> “</w:t>
      </w:r>
      <w:r w:rsidR="00AC2D2C" w:rsidRPr="00F555B2">
        <w:rPr>
          <w:iCs/>
        </w:rPr>
        <w:t>crowding</w:t>
      </w:r>
      <w:r w:rsidR="00EA50D5">
        <w:rPr>
          <w:iCs/>
        </w:rPr>
        <w:t>”</w:t>
      </w:r>
      <w:r w:rsidR="00AC2D2C" w:rsidRPr="00F555B2">
        <w:rPr>
          <w:iCs/>
        </w:rPr>
        <w:t xml:space="preserve"> of sentences</w:t>
      </w:r>
      <w:r w:rsidR="00474634">
        <w:rPr>
          <w:iCs/>
        </w:rPr>
        <w:t xml:space="preserve"> at the top of the range</w:t>
      </w:r>
      <w:r w:rsidR="00AC2D2C" w:rsidRPr="00F555B2">
        <w:rPr>
          <w:iCs/>
        </w:rPr>
        <w:t xml:space="preserve">.  </w:t>
      </w:r>
      <w:r w:rsidR="000E0DAE">
        <w:rPr>
          <w:iCs/>
        </w:rPr>
        <w:t>As an example</w:t>
      </w:r>
      <w:r w:rsidR="00EA50D5">
        <w:rPr>
          <w:iCs/>
        </w:rPr>
        <w:t>,</w:t>
      </w:r>
      <w:r w:rsidR="00AC2D2C" w:rsidRPr="00F555B2">
        <w:rPr>
          <w:iCs/>
        </w:rPr>
        <w:t xml:space="preserve"> </w:t>
      </w:r>
      <w:r>
        <w:rPr>
          <w:iCs/>
        </w:rPr>
        <w:t>Mr Bruce pointed to the case of</w:t>
      </w:r>
      <w:r w:rsidR="00AC2D2C" w:rsidRPr="00F555B2">
        <w:rPr>
          <w:iCs/>
        </w:rPr>
        <w:t xml:space="preserve"> </w:t>
      </w:r>
      <w:r w:rsidR="00AC2D2C" w:rsidRPr="00F555B2">
        <w:rPr>
          <w:i/>
          <w:iCs/>
        </w:rPr>
        <w:t>HKSAR v Hau Chun</w:t>
      </w:r>
      <w:r w:rsidR="00AC2D2C">
        <w:rPr>
          <w:i/>
          <w:iCs/>
        </w:rPr>
        <w:t xml:space="preserve"> H</w:t>
      </w:r>
      <w:r w:rsidR="00AC2D2C" w:rsidRPr="00F555B2">
        <w:rPr>
          <w:i/>
          <w:iCs/>
        </w:rPr>
        <w:t>in</w:t>
      </w:r>
      <w:r w:rsidR="00AC2D2C" w:rsidRPr="00F555B2">
        <w:rPr>
          <w:iCs/>
          <w:vertAlign w:val="superscript"/>
        </w:rPr>
        <w:footnoteReference w:id="25"/>
      </w:r>
      <w:r w:rsidR="00AC2D2C" w:rsidRPr="00F555B2">
        <w:rPr>
          <w:iCs/>
        </w:rPr>
        <w:t xml:space="preserve">, </w:t>
      </w:r>
      <w:r w:rsidR="00EA50D5">
        <w:rPr>
          <w:iCs/>
        </w:rPr>
        <w:t xml:space="preserve">where </w:t>
      </w:r>
      <w:r w:rsidR="00AC2D2C">
        <w:rPr>
          <w:iCs/>
        </w:rPr>
        <w:t>a 19-</w:t>
      </w:r>
      <w:r w:rsidR="00AC2D2C" w:rsidRPr="00F555B2">
        <w:rPr>
          <w:iCs/>
        </w:rPr>
        <w:t xml:space="preserve">year-old courier </w:t>
      </w:r>
      <w:r w:rsidR="00EA50D5">
        <w:rPr>
          <w:iCs/>
        </w:rPr>
        <w:t xml:space="preserve">had </w:t>
      </w:r>
      <w:r w:rsidR="00AC2D2C" w:rsidRPr="00F555B2">
        <w:rPr>
          <w:iCs/>
        </w:rPr>
        <w:t>trafficked</w:t>
      </w:r>
      <w:r w:rsidR="00EA50D5">
        <w:rPr>
          <w:iCs/>
        </w:rPr>
        <w:t xml:space="preserve"> </w:t>
      </w:r>
      <w:r w:rsidR="00AC2D2C" w:rsidRPr="00F555B2">
        <w:rPr>
          <w:iCs/>
        </w:rPr>
        <w:t>14</w:t>
      </w:r>
      <w:r w:rsidR="007775EA">
        <w:rPr>
          <w:iCs/>
        </w:rPr>
        <w:t>,500 grammes</w:t>
      </w:r>
      <w:r w:rsidR="00AC2D2C" w:rsidRPr="00F555B2">
        <w:rPr>
          <w:iCs/>
        </w:rPr>
        <w:t xml:space="preserve"> of cocaine </w:t>
      </w:r>
      <w:r w:rsidR="00A3653A">
        <w:rPr>
          <w:iCs/>
        </w:rPr>
        <w:t xml:space="preserve">across the border </w:t>
      </w:r>
      <w:r w:rsidR="00AC2D2C" w:rsidRPr="00F555B2">
        <w:rPr>
          <w:iCs/>
        </w:rPr>
        <w:t xml:space="preserve">in his luggage, </w:t>
      </w:r>
      <w:r w:rsidR="00494CC8">
        <w:rPr>
          <w:iCs/>
        </w:rPr>
        <w:t xml:space="preserve">for which </w:t>
      </w:r>
      <w:r w:rsidR="00AC2D2C" w:rsidRPr="00F555B2">
        <w:rPr>
          <w:iCs/>
        </w:rPr>
        <w:t xml:space="preserve">a </w:t>
      </w:r>
      <w:r w:rsidR="00AC2D2C" w:rsidRPr="00F555B2">
        <w:rPr>
          <w:iCs/>
        </w:rPr>
        <w:lastRenderedPageBreak/>
        <w:t>starting point of 30 years</w:t>
      </w:r>
      <w:r w:rsidR="00EA50D5">
        <w:rPr>
          <w:iCs/>
        </w:rPr>
        <w:t>’ imprisonment</w:t>
      </w:r>
      <w:r w:rsidR="00AC2D2C" w:rsidRPr="00F555B2">
        <w:rPr>
          <w:iCs/>
        </w:rPr>
        <w:t xml:space="preserve"> was adopted.  </w:t>
      </w:r>
      <w:r w:rsidR="00EA50D5">
        <w:rPr>
          <w:iCs/>
        </w:rPr>
        <w:t>Yet, i</w:t>
      </w:r>
      <w:r w:rsidR="00AC2D2C" w:rsidRPr="00F555B2">
        <w:rPr>
          <w:iCs/>
        </w:rPr>
        <w:t xml:space="preserve">n </w:t>
      </w:r>
      <w:r w:rsidR="00AC2D2C" w:rsidRPr="00F555B2">
        <w:rPr>
          <w:i/>
        </w:rPr>
        <w:t xml:space="preserve">Lee </w:t>
      </w:r>
      <w:r w:rsidR="000D635A">
        <w:rPr>
          <w:rFonts w:eastAsia="PMingLiU"/>
          <w:lang w:eastAsia="zh-TW"/>
        </w:rPr>
        <w:t>‍</w:t>
      </w:r>
      <w:r w:rsidR="00AC2D2C" w:rsidRPr="00F555B2">
        <w:rPr>
          <w:i/>
        </w:rPr>
        <w:t xml:space="preserve">Ming </w:t>
      </w:r>
      <w:r w:rsidR="000D635A">
        <w:rPr>
          <w:rFonts w:eastAsia="PMingLiU"/>
          <w:lang w:eastAsia="zh-TW"/>
        </w:rPr>
        <w:t>‍</w:t>
      </w:r>
      <w:r w:rsidR="00AC2D2C" w:rsidRPr="00F555B2">
        <w:rPr>
          <w:i/>
        </w:rPr>
        <w:t>Ho</w:t>
      </w:r>
      <w:r w:rsidR="00AC2D2C" w:rsidRPr="00F555B2">
        <w:t xml:space="preserve">, </w:t>
      </w:r>
      <w:r w:rsidR="00EA50D5">
        <w:t xml:space="preserve">where </w:t>
      </w:r>
      <w:r w:rsidR="00AC2D2C" w:rsidRPr="00F555B2">
        <w:t xml:space="preserve">the </w:t>
      </w:r>
      <w:r w:rsidR="004D2DC9">
        <w:t>applicant</w:t>
      </w:r>
      <w:r w:rsidR="00AC2D2C" w:rsidRPr="00F555B2">
        <w:t xml:space="preserve"> </w:t>
      </w:r>
      <w:r w:rsidR="00EA50D5">
        <w:t xml:space="preserve">had </w:t>
      </w:r>
      <w:r w:rsidR="004D2DC9">
        <w:t xml:space="preserve">organised the arrival </w:t>
      </w:r>
      <w:r w:rsidR="002D1DC9">
        <w:t xml:space="preserve">in Hong Kong </w:t>
      </w:r>
      <w:r w:rsidR="004D2DC9">
        <w:t>of</w:t>
      </w:r>
      <w:r w:rsidR="00EA50D5">
        <w:t xml:space="preserve"> </w:t>
      </w:r>
      <w:r w:rsidR="00AC2D2C" w:rsidRPr="00F555B2">
        <w:t>34</w:t>
      </w:r>
      <w:r w:rsidR="00DD20C8">
        <w:t>,</w:t>
      </w:r>
      <w:r w:rsidR="00AC2D2C" w:rsidRPr="00F555B2">
        <w:t>232</w:t>
      </w:r>
      <w:r w:rsidR="00AC2D2C">
        <w:t xml:space="preserve"> grammes</w:t>
      </w:r>
      <w:r w:rsidR="00B16341">
        <w:t xml:space="preserve"> of </w:t>
      </w:r>
      <w:r w:rsidR="00DD20C8">
        <w:t>“</w:t>
      </w:r>
      <w:r w:rsidR="00B16341">
        <w:t>Ice</w:t>
      </w:r>
      <w:r w:rsidR="00DD20C8">
        <w:t>”</w:t>
      </w:r>
      <w:r w:rsidR="00AC2D2C" w:rsidRPr="00F555B2">
        <w:t xml:space="preserve"> </w:t>
      </w:r>
      <w:r w:rsidR="004D2DC9">
        <w:t>by</w:t>
      </w:r>
      <w:r w:rsidR="00B16341">
        <w:t xml:space="preserve"> </w:t>
      </w:r>
      <w:r w:rsidR="00AC2D2C" w:rsidRPr="00F555B2">
        <w:t xml:space="preserve">speedboat from </w:t>
      </w:r>
      <w:r w:rsidR="00494CC8">
        <w:t xml:space="preserve">the </w:t>
      </w:r>
      <w:r w:rsidR="00AC2D2C" w:rsidRPr="00F555B2">
        <w:t>Mainland</w:t>
      </w:r>
      <w:r w:rsidR="004D2DC9">
        <w:t xml:space="preserve">, their transfer to a light goods vehicle in Repulse Bay and an ensuing convoy of vehicles through the streets of Hong </w:t>
      </w:r>
      <w:r w:rsidR="008500F6">
        <w:rPr>
          <w:rFonts w:eastAsia="PMingLiU"/>
          <w:lang w:eastAsia="zh-TW"/>
        </w:rPr>
        <w:t>‍</w:t>
      </w:r>
      <w:r w:rsidR="004D2DC9">
        <w:t>Kong island and Kowloon</w:t>
      </w:r>
      <w:r w:rsidR="00EA50D5">
        <w:rPr>
          <w:iCs/>
        </w:rPr>
        <w:t>, t</w:t>
      </w:r>
      <w:r w:rsidR="00AC2D2C" w:rsidRPr="00F555B2">
        <w:rPr>
          <w:iCs/>
        </w:rPr>
        <w:t>he starting point</w:t>
      </w:r>
      <w:r w:rsidR="00EA50D5">
        <w:rPr>
          <w:iCs/>
        </w:rPr>
        <w:t xml:space="preserve"> adopted was</w:t>
      </w:r>
      <w:r w:rsidR="00AC2D2C" w:rsidRPr="00F555B2">
        <w:t xml:space="preserve"> 33 years</w:t>
      </w:r>
      <w:r w:rsidR="00EA50D5">
        <w:t>’ imprisonment</w:t>
      </w:r>
      <w:r w:rsidR="00AC2D2C" w:rsidRPr="00F555B2">
        <w:t xml:space="preserve">, not </w:t>
      </w:r>
      <w:r w:rsidR="00EA50D5">
        <w:t>significantly</w:t>
      </w:r>
      <w:r w:rsidR="00AC2D2C" w:rsidRPr="00F555B2">
        <w:t xml:space="preserve"> higher than </w:t>
      </w:r>
      <w:r w:rsidR="00EA50D5">
        <w:t>th</w:t>
      </w:r>
      <w:r w:rsidR="00494CC8">
        <w:t>at approved</w:t>
      </w:r>
      <w:r w:rsidR="00EA50D5">
        <w:t xml:space="preserve"> in</w:t>
      </w:r>
      <w:r w:rsidR="00AC2D2C" w:rsidRPr="00F555B2">
        <w:t xml:space="preserve"> </w:t>
      </w:r>
      <w:r w:rsidR="00AC2D2C" w:rsidRPr="00F555B2">
        <w:rPr>
          <w:i/>
          <w:iCs/>
        </w:rPr>
        <w:t>Hau Chun</w:t>
      </w:r>
      <w:r w:rsidR="00AC2D2C">
        <w:rPr>
          <w:i/>
          <w:iCs/>
        </w:rPr>
        <w:t xml:space="preserve"> H</w:t>
      </w:r>
      <w:r w:rsidR="00AC2D2C" w:rsidRPr="00F555B2">
        <w:rPr>
          <w:i/>
          <w:iCs/>
        </w:rPr>
        <w:t>in</w:t>
      </w:r>
      <w:r w:rsidR="00AC2D2C" w:rsidRPr="00F555B2">
        <w:rPr>
          <w:iCs/>
        </w:rPr>
        <w:t xml:space="preserve">.  The applicant argued that the current </w:t>
      </w:r>
      <w:r w:rsidR="00EA50D5">
        <w:rPr>
          <w:iCs/>
        </w:rPr>
        <w:t xml:space="preserve">regime of sentencing not only </w:t>
      </w:r>
      <w:r w:rsidR="000E0DAE">
        <w:rPr>
          <w:iCs/>
        </w:rPr>
        <w:t>caused sentences to be condensed</w:t>
      </w:r>
      <w:r w:rsidR="007F0412">
        <w:rPr>
          <w:iCs/>
        </w:rPr>
        <w:t xml:space="preserve"> at the top end</w:t>
      </w:r>
      <w:r w:rsidR="00307DBF">
        <w:rPr>
          <w:iCs/>
        </w:rPr>
        <w:t xml:space="preserve"> </w:t>
      </w:r>
      <w:r w:rsidR="00775648">
        <w:rPr>
          <w:iCs/>
        </w:rPr>
        <w:t xml:space="preserve">of the range </w:t>
      </w:r>
      <w:r w:rsidR="00307DBF">
        <w:rPr>
          <w:iCs/>
        </w:rPr>
        <w:t xml:space="preserve">but </w:t>
      </w:r>
      <w:r w:rsidR="00494CC8">
        <w:rPr>
          <w:iCs/>
        </w:rPr>
        <w:t>arguably encouraged</w:t>
      </w:r>
      <w:r w:rsidR="00307DBF">
        <w:rPr>
          <w:iCs/>
        </w:rPr>
        <w:t xml:space="preserve"> traffickers to deal in </w:t>
      </w:r>
      <w:r w:rsidR="00494CC8">
        <w:rPr>
          <w:iCs/>
        </w:rPr>
        <w:t xml:space="preserve">even </w:t>
      </w:r>
      <w:r w:rsidR="00307DBF">
        <w:rPr>
          <w:iCs/>
        </w:rPr>
        <w:t>larger quantities</w:t>
      </w:r>
      <w:r w:rsidR="00AC2D2C" w:rsidRPr="00F555B2">
        <w:rPr>
          <w:iCs/>
        </w:rPr>
        <w:t xml:space="preserve">. </w:t>
      </w:r>
    </w:p>
    <w:p w:rsidR="00AC2D2C" w:rsidRPr="00F555B2" w:rsidRDefault="0026421C" w:rsidP="00AC2D2C">
      <w:pPr>
        <w:pStyle w:val="T-Draft"/>
      </w:pPr>
      <w:r>
        <w:rPr>
          <w:iCs/>
        </w:rPr>
        <w:t xml:space="preserve">Mr Bruce </w:t>
      </w:r>
      <w:r w:rsidR="00494CC8">
        <w:rPr>
          <w:iCs/>
        </w:rPr>
        <w:t>invited the Court</w:t>
      </w:r>
      <w:r w:rsidR="00AC2D2C" w:rsidRPr="00F555B2">
        <w:rPr>
          <w:iCs/>
        </w:rPr>
        <w:t xml:space="preserve"> to compare the </w:t>
      </w:r>
      <w:r w:rsidR="00AC2D2C" w:rsidRPr="00F555B2">
        <w:rPr>
          <w:i/>
          <w:iCs/>
        </w:rPr>
        <w:t>Abdallah</w:t>
      </w:r>
      <w:r w:rsidR="00AC2D2C" w:rsidRPr="00F555B2">
        <w:t xml:space="preserve"> guidelines </w:t>
      </w:r>
      <w:r w:rsidR="00494CC8">
        <w:t>with</w:t>
      </w:r>
      <w:r w:rsidR="00AC2D2C" w:rsidRPr="00F555B2">
        <w:t xml:space="preserve"> </w:t>
      </w:r>
      <w:r w:rsidR="00775648">
        <w:t xml:space="preserve">what were said to be </w:t>
      </w:r>
      <w:r w:rsidR="00AC2D2C" w:rsidRPr="00F555B2">
        <w:t xml:space="preserve">the starting points </w:t>
      </w:r>
      <w:r w:rsidR="00307DBF">
        <w:t>in</w:t>
      </w:r>
      <w:r w:rsidR="00AC2D2C" w:rsidRPr="00F555B2">
        <w:t xml:space="preserve"> other serious </w:t>
      </w:r>
      <w:r w:rsidR="00494CC8">
        <w:t xml:space="preserve">criminal </w:t>
      </w:r>
      <w:r w:rsidR="00AC2D2C" w:rsidRPr="00F555B2">
        <w:t>offences, such as rape</w:t>
      </w:r>
      <w:r w:rsidR="00AC2D2C" w:rsidRPr="00F555B2">
        <w:rPr>
          <w:vertAlign w:val="superscript"/>
        </w:rPr>
        <w:footnoteReference w:id="26"/>
      </w:r>
      <w:r w:rsidR="00AC2D2C" w:rsidRPr="00F555B2">
        <w:t>, wounding or causing grievous bodily harm with intent</w:t>
      </w:r>
      <w:r w:rsidR="00AC2D2C" w:rsidRPr="00F555B2">
        <w:rPr>
          <w:vertAlign w:val="superscript"/>
        </w:rPr>
        <w:footnoteReference w:id="27"/>
      </w:r>
      <w:r w:rsidR="00AC2D2C" w:rsidRPr="00F555B2">
        <w:t>, robbery</w:t>
      </w:r>
      <w:r w:rsidR="00AC2D2C" w:rsidRPr="00F555B2">
        <w:rPr>
          <w:vertAlign w:val="superscript"/>
        </w:rPr>
        <w:footnoteReference w:id="28"/>
      </w:r>
      <w:r w:rsidR="00AC2D2C" w:rsidRPr="00F555B2">
        <w:t>, and voluntary manslaughter</w:t>
      </w:r>
      <w:r w:rsidR="00AC2D2C" w:rsidRPr="00F555B2">
        <w:rPr>
          <w:vertAlign w:val="superscript"/>
        </w:rPr>
        <w:footnoteReference w:id="29"/>
      </w:r>
      <w:r w:rsidR="00AC2D2C" w:rsidRPr="00F555B2">
        <w:t xml:space="preserve">.  It </w:t>
      </w:r>
      <w:r w:rsidR="00494CC8">
        <w:t>wa</w:t>
      </w:r>
      <w:r w:rsidR="00AC2D2C" w:rsidRPr="00F555B2">
        <w:t>s argued that there is a mismatch in the proportionality of sentencing</w:t>
      </w:r>
      <w:r w:rsidR="00494CC8">
        <w:t xml:space="preserve"> between these offences and drug trafficking and</w:t>
      </w:r>
      <w:r w:rsidR="00307DBF">
        <w:t xml:space="preserve"> that n</w:t>
      </w:r>
      <w:r w:rsidR="00AC2D2C" w:rsidRPr="00F555B2">
        <w:t xml:space="preserve">o right-minded person would </w:t>
      </w:r>
      <w:r w:rsidR="00307DBF">
        <w:t>regard it as</w:t>
      </w:r>
      <w:r w:rsidR="00AC2D2C" w:rsidRPr="00F555B2">
        <w:t xml:space="preserve"> more serious for a courier to traffic in 1.5</w:t>
      </w:r>
      <w:r w:rsidR="00AC2D2C">
        <w:t xml:space="preserve"> </w:t>
      </w:r>
      <w:r w:rsidR="000D635A">
        <w:rPr>
          <w:rFonts w:eastAsia="PMingLiU"/>
          <w:lang w:eastAsia="zh-TW"/>
        </w:rPr>
        <w:t>‍</w:t>
      </w:r>
      <w:r w:rsidR="00AC2D2C" w:rsidRPr="00F555B2">
        <w:t>k</w:t>
      </w:r>
      <w:r w:rsidR="00AC2D2C">
        <w:t>ilo</w:t>
      </w:r>
      <w:r w:rsidR="00AC2D2C" w:rsidRPr="00F555B2">
        <w:t>g</w:t>
      </w:r>
      <w:r w:rsidR="00AC2D2C">
        <w:t>rammes</w:t>
      </w:r>
      <w:r w:rsidR="00AC2D2C" w:rsidRPr="00F555B2">
        <w:t xml:space="preserve"> of heroin than to kill another person under provocation.  However, the starting point of the former</w:t>
      </w:r>
      <w:r w:rsidR="00AC2D2C" w:rsidRPr="00F555B2">
        <w:rPr>
          <w:vertAlign w:val="superscript"/>
        </w:rPr>
        <w:footnoteReference w:id="30"/>
      </w:r>
      <w:r w:rsidR="00AC2D2C" w:rsidRPr="00F555B2">
        <w:t xml:space="preserve"> </w:t>
      </w:r>
      <w:r w:rsidR="00307DBF">
        <w:t>wa</w:t>
      </w:r>
      <w:r w:rsidR="00AC2D2C" w:rsidRPr="00F555B2">
        <w:t>s more than double the range of the latter</w:t>
      </w:r>
      <w:r w:rsidR="00AC2D2C" w:rsidRPr="00F555B2">
        <w:rPr>
          <w:vertAlign w:val="superscript"/>
        </w:rPr>
        <w:footnoteReference w:id="31"/>
      </w:r>
      <w:r w:rsidR="00307DBF">
        <w:t>, at least</w:t>
      </w:r>
      <w:r w:rsidR="00AC2D2C" w:rsidRPr="00F555B2">
        <w:t xml:space="preserve"> in </w:t>
      </w:r>
      <w:r w:rsidR="005C508B">
        <w:t>the context of</w:t>
      </w:r>
      <w:r w:rsidR="00AC2D2C" w:rsidRPr="00F555B2">
        <w:t xml:space="preserve"> domestic </w:t>
      </w:r>
      <w:r w:rsidR="005C508B">
        <w:t>manslaughter</w:t>
      </w:r>
      <w:r w:rsidR="00AC2D2C" w:rsidRPr="00F555B2">
        <w:rPr>
          <w:vertAlign w:val="superscript"/>
        </w:rPr>
        <w:footnoteReference w:id="32"/>
      </w:r>
      <w:r w:rsidR="00AC2D2C" w:rsidRPr="00F555B2">
        <w:t xml:space="preserve">. </w:t>
      </w:r>
    </w:p>
    <w:p w:rsidR="00AC2D2C" w:rsidRPr="00F555B2" w:rsidRDefault="00AC2D2C" w:rsidP="00AC2D2C">
      <w:pPr>
        <w:pStyle w:val="T-Draft"/>
      </w:pPr>
      <w:r w:rsidRPr="00F555B2">
        <w:t xml:space="preserve">To compensate for the existing high starting points as well as the limited discretion </w:t>
      </w:r>
      <w:r w:rsidR="002D1DC9">
        <w:t xml:space="preserve">for courts </w:t>
      </w:r>
      <w:r w:rsidRPr="00F555B2">
        <w:t xml:space="preserve">to </w:t>
      </w:r>
      <w:r w:rsidR="00B74226">
        <w:t>have regard to</w:t>
      </w:r>
      <w:r w:rsidRPr="00F555B2">
        <w:t xml:space="preserve"> mitigating </w:t>
      </w:r>
      <w:r w:rsidR="00B74226">
        <w:t>factors</w:t>
      </w:r>
      <w:r w:rsidRPr="00F555B2">
        <w:t xml:space="preserve">, it </w:t>
      </w:r>
      <w:r w:rsidR="00307DBF">
        <w:t>wa</w:t>
      </w:r>
      <w:r w:rsidRPr="00F555B2">
        <w:t xml:space="preserve">s </w:t>
      </w:r>
      <w:r w:rsidR="00494CC8">
        <w:lastRenderedPageBreak/>
        <w:t>argued</w:t>
      </w:r>
      <w:r w:rsidRPr="00F555B2">
        <w:t xml:space="preserve"> that </w:t>
      </w:r>
      <w:r w:rsidR="00F82260">
        <w:t xml:space="preserve">some </w:t>
      </w:r>
      <w:r w:rsidR="00B74226">
        <w:t>judges</w:t>
      </w:r>
      <w:r w:rsidRPr="00F555B2">
        <w:t xml:space="preserve"> ha</w:t>
      </w:r>
      <w:r w:rsidR="00307DBF">
        <w:t>d</w:t>
      </w:r>
      <w:r w:rsidRPr="00F555B2">
        <w:t xml:space="preserve"> been driven to bend the guidelines by applying a discount at Step 6</w:t>
      </w:r>
      <w:r w:rsidR="005C508B">
        <w:t xml:space="preserve"> of the </w:t>
      </w:r>
      <w:r w:rsidR="005C508B" w:rsidRPr="005C508B">
        <w:rPr>
          <w:i/>
        </w:rPr>
        <w:t>Herry Jane Yusuph</w:t>
      </w:r>
      <w:r w:rsidR="005C508B">
        <w:t xml:space="preserve"> approach</w:t>
      </w:r>
      <w:r w:rsidRPr="00F555B2">
        <w:t>, whe</w:t>
      </w:r>
      <w:r w:rsidR="00F82260">
        <w:t>n considering</w:t>
      </w:r>
      <w:r w:rsidR="00474634">
        <w:t xml:space="preserve"> the question of</w:t>
      </w:r>
      <w:r w:rsidR="00F82260">
        <w:t xml:space="preserve"> totality</w:t>
      </w:r>
      <w:r w:rsidRPr="00F555B2">
        <w:t xml:space="preserve">.  </w:t>
      </w:r>
      <w:r w:rsidR="00494CC8">
        <w:t xml:space="preserve">He cited </w:t>
      </w:r>
      <w:r w:rsidR="00287B2B">
        <w:t>sixteen</w:t>
      </w:r>
      <w:r w:rsidR="00494CC8">
        <w:t xml:space="preserve"> cases at first instance in the High </w:t>
      </w:r>
      <w:r w:rsidR="000D635A">
        <w:rPr>
          <w:rFonts w:eastAsia="PMingLiU"/>
          <w:lang w:eastAsia="zh-TW"/>
        </w:rPr>
        <w:t>‍</w:t>
      </w:r>
      <w:r w:rsidR="00494CC8">
        <w:t>Court in order to</w:t>
      </w:r>
      <w:r w:rsidR="004A2EBB">
        <w:t xml:space="preserve"> </w:t>
      </w:r>
      <w:r w:rsidR="00494CC8">
        <w:t>demonstrate</w:t>
      </w:r>
      <w:r w:rsidRPr="00F555B2">
        <w:t xml:space="preserve"> a strong and widespread concern about the propriety </w:t>
      </w:r>
      <w:r w:rsidR="004A2EBB">
        <w:t xml:space="preserve">and rigidity </w:t>
      </w:r>
      <w:r w:rsidRPr="00F555B2">
        <w:t>of current s</w:t>
      </w:r>
      <w:r w:rsidR="004A2EBB">
        <w:t>entencing guidelines</w:t>
      </w:r>
      <w:r w:rsidR="00260085">
        <w:rPr>
          <w:rStyle w:val="FootnoteReference"/>
        </w:rPr>
        <w:footnoteReference w:id="33"/>
      </w:r>
      <w:r w:rsidR="00876312">
        <w:t>.</w:t>
      </w:r>
      <w:r w:rsidR="005C508B">
        <w:t xml:space="preserve">  It </w:t>
      </w:r>
      <w:r w:rsidR="00EF0AC7">
        <w:t>was acknowledged</w:t>
      </w:r>
      <w:r w:rsidR="005C508B">
        <w:t xml:space="preserve">, however, that this Court, in </w:t>
      </w:r>
      <w:r w:rsidR="005C508B" w:rsidRPr="005C508B">
        <w:rPr>
          <w:i/>
        </w:rPr>
        <w:t>Lee Ming Ho</w:t>
      </w:r>
      <w:r w:rsidR="005C508B">
        <w:t xml:space="preserve">, has already criticised the </w:t>
      </w:r>
      <w:r w:rsidR="00287B2B">
        <w:t>artificiality</w:t>
      </w:r>
      <w:r w:rsidR="005C508B">
        <w:t xml:space="preserve"> of using Step 6 of </w:t>
      </w:r>
      <w:r w:rsidR="005C508B" w:rsidRPr="004410C9">
        <w:rPr>
          <w:i/>
        </w:rPr>
        <w:t>Herry Jane Yusuph</w:t>
      </w:r>
      <w:r w:rsidR="00876312">
        <w:t xml:space="preserve"> </w:t>
      </w:r>
      <w:r w:rsidR="005C508B">
        <w:t>to trim sentences</w:t>
      </w:r>
      <w:r w:rsidR="00EF0AC7">
        <w:t xml:space="preserve"> in this way</w:t>
      </w:r>
      <w:r w:rsidR="00287B2B">
        <w:t>, describing it</w:t>
      </w:r>
      <w:r w:rsidR="00F82260">
        <w:t xml:space="preserve"> </w:t>
      </w:r>
      <w:r w:rsidR="005C508B">
        <w:t>as a “flawed approach”, which “should not be followed”</w:t>
      </w:r>
      <w:r w:rsidR="005C508B">
        <w:rPr>
          <w:rStyle w:val="FootnoteReference"/>
        </w:rPr>
        <w:footnoteReference w:id="34"/>
      </w:r>
      <w:r w:rsidR="005C508B">
        <w:t>.</w:t>
      </w:r>
      <w:r w:rsidR="00876312">
        <w:t xml:space="preserve"> </w:t>
      </w:r>
    </w:p>
    <w:p w:rsidR="00AC2D2C" w:rsidRPr="00F555B2" w:rsidRDefault="004A2EBB" w:rsidP="00AC2D2C">
      <w:pPr>
        <w:pStyle w:val="j-heading"/>
        <w:rPr>
          <w:snapToGrid/>
        </w:rPr>
      </w:pPr>
      <w:r>
        <w:rPr>
          <w:snapToGrid/>
        </w:rPr>
        <w:t>Proposal</w:t>
      </w:r>
      <w:r w:rsidR="00AC2D2C" w:rsidRPr="00F555B2">
        <w:rPr>
          <w:snapToGrid/>
        </w:rPr>
        <w:t xml:space="preserve"> 2: wider discretion to consider mitigating factors</w:t>
      </w:r>
    </w:p>
    <w:p w:rsidR="00AC2D2C" w:rsidRDefault="00AC2D2C" w:rsidP="0084067D">
      <w:pPr>
        <w:pStyle w:val="T-Draft"/>
      </w:pPr>
      <w:r w:rsidRPr="00F555B2">
        <w:t xml:space="preserve">The other change urged </w:t>
      </w:r>
      <w:r w:rsidR="0026421C">
        <w:t xml:space="preserve">upon the Court </w:t>
      </w:r>
      <w:r w:rsidRPr="00F555B2">
        <w:t xml:space="preserve">by the applicant </w:t>
      </w:r>
      <w:r w:rsidR="00307DBF">
        <w:t>wa</w:t>
      </w:r>
      <w:r w:rsidRPr="00F555B2">
        <w:t>s t</w:t>
      </w:r>
      <w:r w:rsidR="0026421C">
        <w:t>o give</w:t>
      </w:r>
      <w:r w:rsidR="00B74226">
        <w:t xml:space="preserve"> sentencing courts</w:t>
      </w:r>
      <w:r w:rsidRPr="00F555B2">
        <w:t>, at Step 5</w:t>
      </w:r>
      <w:r w:rsidR="00307DBF">
        <w:t xml:space="preserve"> of the </w:t>
      </w:r>
      <w:r w:rsidR="00307DBF" w:rsidRPr="0084067D">
        <w:rPr>
          <w:i/>
        </w:rPr>
        <w:t>Herry Jane Yusuph</w:t>
      </w:r>
      <w:r w:rsidR="00307DBF">
        <w:t xml:space="preserve"> approach</w:t>
      </w:r>
      <w:r w:rsidR="00FD3093">
        <w:t xml:space="preserve"> to sentence</w:t>
      </w:r>
      <w:r w:rsidRPr="00F555B2">
        <w:t>, a wider, un</w:t>
      </w:r>
      <w:r w:rsidR="00C16756">
        <w:t>restricted</w:t>
      </w:r>
      <w:r w:rsidRPr="00F555B2">
        <w:t xml:space="preserve"> discretion to take into account mitigating factors such as you</w:t>
      </w:r>
      <w:r w:rsidR="00307DBF">
        <w:t>th</w:t>
      </w:r>
      <w:r w:rsidRPr="00F555B2">
        <w:t xml:space="preserve"> or old age, economic pressures and </w:t>
      </w:r>
      <w:r w:rsidR="0026421C">
        <w:t xml:space="preserve">special </w:t>
      </w:r>
      <w:r w:rsidR="00FD3093">
        <w:t>difficulties faced by</w:t>
      </w:r>
      <w:r w:rsidRPr="00F555B2">
        <w:t xml:space="preserve"> foreign defendant</w:t>
      </w:r>
      <w:r w:rsidR="00FD3093">
        <w:t>s</w:t>
      </w:r>
      <w:r w:rsidRPr="00F555B2">
        <w:t xml:space="preserve"> </w:t>
      </w:r>
      <w:r w:rsidR="0026421C">
        <w:t>undergoing</w:t>
      </w:r>
      <w:r w:rsidRPr="00F555B2">
        <w:t xml:space="preserve"> local imprisonment.  Currently, the availability of such mitigating factors </w:t>
      </w:r>
      <w:r w:rsidR="002D1DC9">
        <w:t xml:space="preserve">had been </w:t>
      </w:r>
      <w:r w:rsidR="00252110">
        <w:t>specifically</w:t>
      </w:r>
      <w:r w:rsidR="002D1DC9">
        <w:t xml:space="preserve"> and unfairly curtailed</w:t>
      </w:r>
      <w:r w:rsidRPr="00F555B2">
        <w:t xml:space="preserve"> </w:t>
      </w:r>
      <w:r w:rsidR="0026421C">
        <w:t>by the courts in the interests of</w:t>
      </w:r>
      <w:r w:rsidR="00FD3093">
        <w:t>:</w:t>
      </w:r>
      <w:r w:rsidR="0026421C">
        <w:t xml:space="preserve"> (i) maintaining</w:t>
      </w:r>
      <w:r w:rsidR="004A2EBB">
        <w:t xml:space="preserve"> consistency </w:t>
      </w:r>
      <w:r w:rsidR="0026421C">
        <w:t>in</w:t>
      </w:r>
      <w:r w:rsidR="004A2EBB">
        <w:t xml:space="preserve"> sentencing</w:t>
      </w:r>
      <w:r w:rsidR="0026421C">
        <w:t>; (ii)</w:t>
      </w:r>
      <w:r w:rsidRPr="00F555B2">
        <w:t xml:space="preserve"> </w:t>
      </w:r>
      <w:r w:rsidR="00B74226">
        <w:t>confirming</w:t>
      </w:r>
      <w:r w:rsidR="0026421C">
        <w:t xml:space="preserve"> </w:t>
      </w:r>
      <w:r w:rsidR="004A2EBB">
        <w:t xml:space="preserve">the </w:t>
      </w:r>
      <w:r w:rsidR="002D1DC9">
        <w:t xml:space="preserve">overwhelming </w:t>
      </w:r>
      <w:r w:rsidR="004A2EBB">
        <w:t xml:space="preserve">importance of </w:t>
      </w:r>
      <w:r w:rsidRPr="00F555B2">
        <w:t>deterrence</w:t>
      </w:r>
      <w:r w:rsidR="0026421C">
        <w:t>;</w:t>
      </w:r>
      <w:r w:rsidRPr="00F555B2">
        <w:t xml:space="preserve"> and </w:t>
      </w:r>
      <w:r w:rsidR="00252110">
        <w:t>(iii) reducing the risk of</w:t>
      </w:r>
      <w:r w:rsidR="0026421C">
        <w:t xml:space="preserve"> </w:t>
      </w:r>
      <w:r w:rsidRPr="00F555B2">
        <w:t xml:space="preserve">exploitation </w:t>
      </w:r>
      <w:r w:rsidR="004A2EBB">
        <w:t xml:space="preserve">of the vulnerable </w:t>
      </w:r>
      <w:r w:rsidRPr="00F555B2">
        <w:t xml:space="preserve">by </w:t>
      </w:r>
      <w:r w:rsidR="004A2EBB">
        <w:t>th</w:t>
      </w:r>
      <w:r w:rsidR="0026421C">
        <w:t>ose who organise</w:t>
      </w:r>
      <w:r w:rsidR="002D1DC9">
        <w:t>d</w:t>
      </w:r>
      <w:r w:rsidR="0026421C">
        <w:t xml:space="preserve"> the</w:t>
      </w:r>
      <w:r w:rsidRPr="00F555B2">
        <w:t xml:space="preserve"> trafficking</w:t>
      </w:r>
      <w:r w:rsidR="0026421C">
        <w:t xml:space="preserve"> of dangerous drugs</w:t>
      </w:r>
      <w:r w:rsidRPr="00F555B2">
        <w:t xml:space="preserve">.  </w:t>
      </w:r>
      <w:r w:rsidR="0026421C">
        <w:t xml:space="preserve">Against these policy </w:t>
      </w:r>
      <w:r w:rsidR="0026421C">
        <w:lastRenderedPageBreak/>
        <w:t>arguments,</w:t>
      </w:r>
      <w:r w:rsidR="0084067D">
        <w:t xml:space="preserve"> Mr Bruce </w:t>
      </w:r>
      <w:r w:rsidR="0026421C">
        <w:t>contended</w:t>
      </w:r>
      <w:r w:rsidR="0084067D">
        <w:t xml:space="preserve">, firstly, </w:t>
      </w:r>
      <w:r w:rsidR="004A2EBB">
        <w:t xml:space="preserve">that </w:t>
      </w:r>
      <w:r w:rsidR="0084067D">
        <w:t>a failure</w:t>
      </w:r>
      <w:r w:rsidRPr="00F555B2">
        <w:t xml:space="preserve"> to </w:t>
      </w:r>
      <w:r w:rsidR="004A2EBB">
        <w:t>give credit</w:t>
      </w:r>
      <w:r w:rsidRPr="00F555B2">
        <w:t xml:space="preserve"> for personal mitigating factors </w:t>
      </w:r>
      <w:r w:rsidR="004A2EBB">
        <w:t>might</w:t>
      </w:r>
      <w:r w:rsidRPr="00F555B2">
        <w:t xml:space="preserve"> </w:t>
      </w:r>
      <w:r w:rsidR="0026421C">
        <w:t xml:space="preserve">of </w:t>
      </w:r>
      <w:r w:rsidRPr="00F555B2">
        <w:t>itself create inconsistency whe</w:t>
      </w:r>
      <w:r w:rsidR="004A2EBB">
        <w:t xml:space="preserve">re </w:t>
      </w:r>
      <w:r w:rsidR="00252110">
        <w:t>a defendant with no personal mitigation</w:t>
      </w:r>
      <w:r w:rsidRPr="00F555B2">
        <w:t xml:space="preserve"> receive</w:t>
      </w:r>
      <w:r w:rsidR="004A2EBB">
        <w:t>d</w:t>
      </w:r>
      <w:r w:rsidRPr="00F555B2">
        <w:t xml:space="preserve"> </w:t>
      </w:r>
      <w:r w:rsidR="0026421C">
        <w:t>the same</w:t>
      </w:r>
      <w:r w:rsidRPr="00F555B2">
        <w:t xml:space="preserve"> treatment</w:t>
      </w:r>
      <w:r w:rsidR="0026421C">
        <w:t xml:space="preserve"> by virtue of quantity alone</w:t>
      </w:r>
      <w:r w:rsidRPr="00F555B2">
        <w:t>.</w:t>
      </w:r>
      <w:r w:rsidR="0084067D">
        <w:t xml:space="preserve">  Secondly, </w:t>
      </w:r>
      <w:r w:rsidR="004A2EBB">
        <w:t>t</w:t>
      </w:r>
      <w:r w:rsidRPr="00F555B2">
        <w:t xml:space="preserve">he </w:t>
      </w:r>
      <w:r w:rsidR="00FD28CD">
        <w:t xml:space="preserve">deterrent effect of severe sentences in this area of criminal sentencing </w:t>
      </w:r>
      <w:r w:rsidRPr="00F555B2">
        <w:t>may well be overestimated</w:t>
      </w:r>
      <w:r w:rsidR="00B74226">
        <w:t xml:space="preserve"> </w:t>
      </w:r>
      <w:r w:rsidR="009655B7">
        <w:t>when</w:t>
      </w:r>
      <w:r w:rsidR="00B74226">
        <w:t xml:space="preserve"> </w:t>
      </w:r>
      <w:r w:rsidR="00FD3093">
        <w:t xml:space="preserve">offences of </w:t>
      </w:r>
      <w:r w:rsidR="00791DFE">
        <w:t>t</w:t>
      </w:r>
      <w:r w:rsidR="0084067D">
        <w:t xml:space="preserve">rafficking in dangerous drugs had </w:t>
      </w:r>
      <w:r w:rsidR="007D73FC">
        <w:t xml:space="preserve">continued to </w:t>
      </w:r>
      <w:r w:rsidR="0084067D">
        <w:t xml:space="preserve">proliferate despite </w:t>
      </w:r>
      <w:r w:rsidR="00FD3093">
        <w:t xml:space="preserve">the application of </w:t>
      </w:r>
      <w:r w:rsidR="00791DFE">
        <w:t>ever-increasing</w:t>
      </w:r>
      <w:r w:rsidR="0084067D">
        <w:t xml:space="preserve"> sentences</w:t>
      </w:r>
      <w:r w:rsidRPr="00F555B2">
        <w:t xml:space="preserve">.  </w:t>
      </w:r>
      <w:r w:rsidR="0084067D">
        <w:t>Thirdly, t</w:t>
      </w:r>
      <w:r w:rsidRPr="00F555B2">
        <w:t xml:space="preserve">here </w:t>
      </w:r>
      <w:r w:rsidR="0084067D">
        <w:t>wa</w:t>
      </w:r>
      <w:r w:rsidRPr="00F555B2">
        <w:t xml:space="preserve">s no </w:t>
      </w:r>
      <w:r w:rsidR="006F3646">
        <w:t>justification</w:t>
      </w:r>
      <w:r w:rsidRPr="00F555B2">
        <w:t xml:space="preserve"> </w:t>
      </w:r>
      <w:r w:rsidR="0084067D">
        <w:t xml:space="preserve">for thinking </w:t>
      </w:r>
      <w:r w:rsidRPr="00F555B2">
        <w:t xml:space="preserve">that </w:t>
      </w:r>
      <w:r w:rsidR="0084067D">
        <w:t>those who organise</w:t>
      </w:r>
      <w:r w:rsidR="00C24AD0">
        <w:t>d</w:t>
      </w:r>
      <w:r w:rsidR="0084067D">
        <w:t xml:space="preserve"> drug trafficking</w:t>
      </w:r>
      <w:r w:rsidR="00C24AD0">
        <w:t>,</w:t>
      </w:r>
      <w:r w:rsidR="0084067D">
        <w:t xml:space="preserve"> </w:t>
      </w:r>
      <w:r w:rsidR="00FD28CD">
        <w:t>in total disregard of</w:t>
      </w:r>
      <w:r w:rsidRPr="00F555B2">
        <w:t xml:space="preserve"> the interest</w:t>
      </w:r>
      <w:r w:rsidR="0084067D">
        <w:t>s</w:t>
      </w:r>
      <w:r w:rsidRPr="00F555B2">
        <w:t xml:space="preserve"> of their drug abuser consumers, would </w:t>
      </w:r>
      <w:r w:rsidR="00C24AD0">
        <w:t xml:space="preserve">somehow </w:t>
      </w:r>
      <w:r w:rsidR="00FD28CD">
        <w:t>feel constrained by</w:t>
      </w:r>
      <w:r w:rsidR="00C24AD0">
        <w:t xml:space="preserve"> conscience from exploiting what Silke </w:t>
      </w:r>
      <w:r w:rsidR="000D635A">
        <w:rPr>
          <w:rFonts w:eastAsia="PMingLiU"/>
          <w:lang w:eastAsia="zh-TW"/>
        </w:rPr>
        <w:t>‍</w:t>
      </w:r>
      <w:r w:rsidR="00C24AD0">
        <w:t xml:space="preserve">VP in </w:t>
      </w:r>
      <w:r w:rsidR="00C24AD0" w:rsidRPr="00C24AD0">
        <w:rPr>
          <w:i/>
        </w:rPr>
        <w:t xml:space="preserve">Lau </w:t>
      </w:r>
      <w:r w:rsidR="006C4B2A">
        <w:rPr>
          <w:rFonts w:eastAsia="PMingLiU"/>
          <w:lang w:eastAsia="zh-TW"/>
        </w:rPr>
        <w:t>‍</w:t>
      </w:r>
      <w:r w:rsidR="00C24AD0" w:rsidRPr="00C24AD0">
        <w:rPr>
          <w:i/>
        </w:rPr>
        <w:t>Tak-</w:t>
      </w:r>
      <w:r w:rsidR="006C4B2A">
        <w:rPr>
          <w:rFonts w:eastAsia="PMingLiU"/>
          <w:lang w:eastAsia="zh-TW"/>
        </w:rPr>
        <w:t>‍</w:t>
      </w:r>
      <w:r w:rsidR="00C24AD0" w:rsidRPr="00C24AD0">
        <w:rPr>
          <w:i/>
        </w:rPr>
        <w:t>ming</w:t>
      </w:r>
      <w:r w:rsidR="00C24AD0">
        <w:t xml:space="preserve"> described as “the blind, the maimed, the halt, the young and the aged in the carrying out of their nefarious trade”</w:t>
      </w:r>
      <w:r w:rsidR="00C24AD0">
        <w:rPr>
          <w:rStyle w:val="FootnoteReference"/>
        </w:rPr>
        <w:footnoteReference w:id="35"/>
      </w:r>
      <w:r w:rsidR="00C24AD0">
        <w:t>.</w:t>
      </w:r>
    </w:p>
    <w:p w:rsidR="0084067D" w:rsidRDefault="0084067D" w:rsidP="00650CF2">
      <w:pPr>
        <w:pStyle w:val="T-Draft"/>
      </w:pPr>
      <w:r>
        <w:t xml:space="preserve">Mr Bruce initially </w:t>
      </w:r>
      <w:r w:rsidR="00687D45">
        <w:t>recommended</w:t>
      </w:r>
      <w:r>
        <w:t xml:space="preserve"> the practice in the United</w:t>
      </w:r>
      <w:r w:rsidR="0046009A">
        <w:rPr>
          <w:rFonts w:eastAsia="PMingLiU"/>
          <w:lang w:eastAsia="zh-TW"/>
        </w:rPr>
        <w:t>‍</w:t>
      </w:r>
      <w:r>
        <w:t xml:space="preserve"> Kingdom for sentencing in cases of trafficking dangerous drugs but</w:t>
      </w:r>
      <w:r w:rsidR="00C16756">
        <w:t xml:space="preserve">, </w:t>
      </w:r>
      <w:r w:rsidR="00474634">
        <w:t>upon</w:t>
      </w:r>
      <w:r w:rsidR="00C16756">
        <w:t xml:space="preserve"> further consideration,</w:t>
      </w:r>
      <w:r w:rsidR="009655B7">
        <w:t xml:space="preserve"> </w:t>
      </w:r>
      <w:r w:rsidR="00C16756">
        <w:t>retreated from suggesting</w:t>
      </w:r>
      <w:r>
        <w:t xml:space="preserve"> that Hong Kong should go along the same ro</w:t>
      </w:r>
      <w:r w:rsidR="006F269F">
        <w:t>ute</w:t>
      </w:r>
      <w:r>
        <w:t xml:space="preserve">, given the long and entrenched history </w:t>
      </w:r>
      <w:r w:rsidR="006F269F">
        <w:t xml:space="preserve">and application </w:t>
      </w:r>
      <w:r>
        <w:t>of guidelines in th</w:t>
      </w:r>
      <w:r w:rsidR="00687D45">
        <w:t>is</w:t>
      </w:r>
      <w:r>
        <w:t xml:space="preserve"> jurisdiction</w:t>
      </w:r>
      <w:r w:rsidR="00687D45">
        <w:t>.</w:t>
      </w:r>
    </w:p>
    <w:p w:rsidR="00AC2D2C" w:rsidRPr="00F555B2" w:rsidRDefault="00AC2D2C" w:rsidP="00AC2D2C">
      <w:pPr>
        <w:pStyle w:val="j-heading"/>
      </w:pPr>
      <w:r w:rsidRPr="00F555B2">
        <w:t>T</w:t>
      </w:r>
      <w:r>
        <w:t>he respondent’s submission</w:t>
      </w:r>
      <w:r w:rsidR="00687D45">
        <w:t>s</w:t>
      </w:r>
    </w:p>
    <w:p w:rsidR="009655B7" w:rsidRDefault="006F3646" w:rsidP="00687D45">
      <w:pPr>
        <w:pStyle w:val="T-Draft"/>
      </w:pPr>
      <w:r>
        <w:t>Mr Derek Lau, with him Mr Derek Wong, began his submissions by contending</w:t>
      </w:r>
      <w:r w:rsidR="00AC2D2C" w:rsidRPr="00F555B2">
        <w:t xml:space="preserve"> that the </w:t>
      </w:r>
      <w:r w:rsidR="00AC2D2C" w:rsidRPr="00F555B2">
        <w:rPr>
          <w:i/>
        </w:rPr>
        <w:t xml:space="preserve">Abdallah </w:t>
      </w:r>
      <w:r w:rsidR="00AC2D2C" w:rsidRPr="00F555B2">
        <w:rPr>
          <w:iCs/>
        </w:rPr>
        <w:t xml:space="preserve">guidelines should be maintained. </w:t>
      </w:r>
      <w:r w:rsidR="00687D45">
        <w:t xml:space="preserve"> </w:t>
      </w:r>
      <w:r w:rsidR="00AC2D2C" w:rsidRPr="00F555B2">
        <w:t xml:space="preserve">To provide the Court with a full picture of the recent trends of arrests and seizures of </w:t>
      </w:r>
      <w:r w:rsidR="00474634">
        <w:t>dangerous drugs</w:t>
      </w:r>
      <w:r w:rsidR="00AC2D2C" w:rsidRPr="00F555B2">
        <w:t xml:space="preserve">, the respondent applied to adduce fresh evidence concerning statistics provided by law enforcement </w:t>
      </w:r>
      <w:r w:rsidR="00687D45">
        <w:t xml:space="preserve">authorities </w:t>
      </w:r>
      <w:r w:rsidR="00AC2D2C" w:rsidRPr="00F555B2">
        <w:t>on the number of trafficking cases, arrests and s</w:t>
      </w:r>
      <w:r w:rsidR="00B74226">
        <w:t xml:space="preserve">eizures of </w:t>
      </w:r>
      <w:r w:rsidR="006E6A90">
        <w:t xml:space="preserve">heroin, </w:t>
      </w:r>
      <w:r w:rsidR="00B74226">
        <w:t>cocaine and “Ice”</w:t>
      </w:r>
      <w:r w:rsidR="00474634">
        <w:t>,</w:t>
      </w:r>
      <w:r w:rsidR="00AC2D2C" w:rsidRPr="00F555B2">
        <w:t xml:space="preserve"> as well as their </w:t>
      </w:r>
      <w:r w:rsidR="00687D45">
        <w:t xml:space="preserve">relative </w:t>
      </w:r>
      <w:r w:rsidR="00AC2D2C" w:rsidRPr="00F555B2">
        <w:t>street value</w:t>
      </w:r>
      <w:r w:rsidR="00687D45">
        <w:t>s</w:t>
      </w:r>
      <w:r w:rsidR="00AC2D2C" w:rsidRPr="00F555B2">
        <w:t xml:space="preserve"> from 2009</w:t>
      </w:r>
      <w:r w:rsidR="009655B7">
        <w:t xml:space="preserve"> (when </w:t>
      </w:r>
      <w:r w:rsidR="009655B7" w:rsidRPr="009655B7">
        <w:rPr>
          <w:i/>
        </w:rPr>
        <w:lastRenderedPageBreak/>
        <w:t>Abdallah</w:t>
      </w:r>
      <w:r w:rsidR="009655B7">
        <w:t xml:space="preserve"> was decided)</w:t>
      </w:r>
      <w:r w:rsidR="00AC2D2C" w:rsidRPr="00F555B2">
        <w:t xml:space="preserve"> to 2023</w:t>
      </w:r>
      <w:r w:rsidR="009655B7">
        <w:t xml:space="preserve"> (the last full year when statistics were available)</w:t>
      </w:r>
      <w:r w:rsidR="00AC2D2C" w:rsidRPr="00F555B2">
        <w:t xml:space="preserve">.  </w:t>
      </w:r>
      <w:r w:rsidR="00C16756">
        <w:t>There was no objection to this course from Mr Bruce.</w:t>
      </w:r>
      <w:r>
        <w:t xml:space="preserve">  </w:t>
      </w:r>
    </w:p>
    <w:p w:rsidR="00AC2D2C" w:rsidRPr="00F555B2" w:rsidRDefault="00687D45" w:rsidP="00687D45">
      <w:pPr>
        <w:pStyle w:val="T-Draft"/>
      </w:pPr>
      <w:r>
        <w:t>From these statistics, it was submitted that since</w:t>
      </w:r>
      <w:r w:rsidR="00AC2D2C" w:rsidRPr="00F555B2">
        <w:t xml:space="preserve"> </w:t>
      </w:r>
      <w:r w:rsidR="00AC2D2C" w:rsidRPr="00687D45">
        <w:rPr>
          <w:i/>
        </w:rPr>
        <w:t>Abdallah</w:t>
      </w:r>
      <w:r w:rsidR="00FD28CD">
        <w:rPr>
          <w:iCs/>
        </w:rPr>
        <w:t xml:space="preserve"> was decided,</w:t>
      </w:r>
      <w:r w:rsidR="00AC2D2C" w:rsidRPr="00687D45">
        <w:rPr>
          <w:iCs/>
        </w:rPr>
        <w:t xml:space="preserve"> the</w:t>
      </w:r>
      <w:r w:rsidR="00FD28CD">
        <w:rPr>
          <w:iCs/>
        </w:rPr>
        <w:t>re had</w:t>
      </w:r>
      <w:r w:rsidR="00AC2D2C" w:rsidRPr="00687D45">
        <w:rPr>
          <w:iCs/>
        </w:rPr>
        <w:t xml:space="preserve"> been no remarkable decrease in </w:t>
      </w:r>
      <w:r>
        <w:rPr>
          <w:iCs/>
        </w:rPr>
        <w:t xml:space="preserve">the </w:t>
      </w:r>
      <w:r w:rsidR="00AC2D2C" w:rsidRPr="00687D45">
        <w:rPr>
          <w:iCs/>
        </w:rPr>
        <w:t xml:space="preserve">trafficking </w:t>
      </w:r>
      <w:r>
        <w:rPr>
          <w:iCs/>
        </w:rPr>
        <w:t>of</w:t>
      </w:r>
      <w:r w:rsidR="00AC2D2C" w:rsidRPr="00687D45">
        <w:rPr>
          <w:iCs/>
        </w:rPr>
        <w:t xml:space="preserve"> </w:t>
      </w:r>
      <w:r w:rsidR="006E6A90">
        <w:rPr>
          <w:iCs/>
        </w:rPr>
        <w:t xml:space="preserve">heroin, </w:t>
      </w:r>
      <w:r w:rsidR="00AC2D2C" w:rsidRPr="00687D45">
        <w:rPr>
          <w:iCs/>
        </w:rPr>
        <w:t xml:space="preserve">cocaine </w:t>
      </w:r>
      <w:r>
        <w:rPr>
          <w:iCs/>
        </w:rPr>
        <w:t>or</w:t>
      </w:r>
      <w:r w:rsidR="00AC2D2C" w:rsidRPr="00687D45">
        <w:rPr>
          <w:iCs/>
        </w:rPr>
        <w:t xml:space="preserve"> “Ice”.  On the contrary, the number of trafficking cases and seizures </w:t>
      </w:r>
      <w:r w:rsidR="00D52DC3">
        <w:rPr>
          <w:iCs/>
        </w:rPr>
        <w:t xml:space="preserve">of dangerous drugs </w:t>
      </w:r>
      <w:r w:rsidR="00AC2D2C" w:rsidRPr="00687D45">
        <w:rPr>
          <w:iCs/>
        </w:rPr>
        <w:t>appear</w:t>
      </w:r>
      <w:r w:rsidR="00474634">
        <w:rPr>
          <w:iCs/>
        </w:rPr>
        <w:t>ed</w:t>
      </w:r>
      <w:r w:rsidR="00AC2D2C" w:rsidRPr="00687D45">
        <w:rPr>
          <w:iCs/>
        </w:rPr>
        <w:t xml:space="preserve"> to be </w:t>
      </w:r>
      <w:r w:rsidR="00D52DC3">
        <w:rPr>
          <w:iCs/>
        </w:rPr>
        <w:t>increasing</w:t>
      </w:r>
      <w:r w:rsidR="00AC2D2C" w:rsidRPr="00687D45">
        <w:rPr>
          <w:iCs/>
        </w:rPr>
        <w:t xml:space="preserve"> </w:t>
      </w:r>
      <w:r w:rsidR="00FD28CD">
        <w:rPr>
          <w:iCs/>
        </w:rPr>
        <w:t>in recent years</w:t>
      </w:r>
      <w:r w:rsidR="00AC2D2C" w:rsidRPr="00687D45">
        <w:rPr>
          <w:iCs/>
        </w:rPr>
        <w:t xml:space="preserve">. </w:t>
      </w:r>
      <w:r>
        <w:t xml:space="preserve"> </w:t>
      </w:r>
      <w:r w:rsidR="00AC2D2C" w:rsidRPr="00687D45">
        <w:rPr>
          <w:iCs/>
        </w:rPr>
        <w:t xml:space="preserve">Over the past 15 years, </w:t>
      </w:r>
      <w:r w:rsidR="00FD28CD">
        <w:rPr>
          <w:iCs/>
        </w:rPr>
        <w:t xml:space="preserve">Mr Lau pointed out that </w:t>
      </w:r>
      <w:r w:rsidR="00AC2D2C" w:rsidRPr="00687D45">
        <w:rPr>
          <w:iCs/>
        </w:rPr>
        <w:t>cases of trafficking in narcotics in large quantit</w:t>
      </w:r>
      <w:r>
        <w:rPr>
          <w:iCs/>
        </w:rPr>
        <w:t>ies</w:t>
      </w:r>
      <w:r w:rsidR="00AC2D2C" w:rsidRPr="00687D45">
        <w:rPr>
          <w:iCs/>
        </w:rPr>
        <w:t xml:space="preserve"> </w:t>
      </w:r>
      <w:r w:rsidR="00B74226">
        <w:rPr>
          <w:iCs/>
        </w:rPr>
        <w:t xml:space="preserve">of </w:t>
      </w:r>
      <w:r w:rsidR="00AC2D2C" w:rsidRPr="00687D45">
        <w:rPr>
          <w:iCs/>
        </w:rPr>
        <w:t xml:space="preserve">over 600 </w:t>
      </w:r>
      <w:r w:rsidR="00C16756">
        <w:rPr>
          <w:iCs/>
        </w:rPr>
        <w:t xml:space="preserve">grammes </w:t>
      </w:r>
      <w:r w:rsidR="00AC2D2C" w:rsidRPr="00687D45">
        <w:rPr>
          <w:iCs/>
        </w:rPr>
        <w:t xml:space="preserve">but less than 15,000 </w:t>
      </w:r>
      <w:r w:rsidR="00DA3B92">
        <w:rPr>
          <w:rFonts w:eastAsia="PMingLiU"/>
          <w:lang w:eastAsia="zh-TW"/>
        </w:rPr>
        <w:t>‍</w:t>
      </w:r>
      <w:r w:rsidR="00AC2D2C" w:rsidRPr="00687D45">
        <w:rPr>
          <w:iCs/>
        </w:rPr>
        <w:t>grammes</w:t>
      </w:r>
      <w:r w:rsidR="00C16756">
        <w:rPr>
          <w:iCs/>
        </w:rPr>
        <w:t xml:space="preserve"> </w:t>
      </w:r>
      <w:r w:rsidR="00AC2D2C" w:rsidRPr="00687D45">
        <w:rPr>
          <w:iCs/>
        </w:rPr>
        <w:t xml:space="preserve">have generally increased for </w:t>
      </w:r>
      <w:r w:rsidR="00FD28CD">
        <w:rPr>
          <w:iCs/>
        </w:rPr>
        <w:t xml:space="preserve">both </w:t>
      </w:r>
      <w:r w:rsidR="00AC2D2C" w:rsidRPr="00687D45">
        <w:rPr>
          <w:iCs/>
        </w:rPr>
        <w:t>cocaine and “Ice”.  For heroin, the number h</w:t>
      </w:r>
      <w:r w:rsidR="00B74226">
        <w:rPr>
          <w:iCs/>
        </w:rPr>
        <w:t>as remained at the same level for cases handled by</w:t>
      </w:r>
      <w:r w:rsidR="00AC2D2C" w:rsidRPr="00687D45">
        <w:rPr>
          <w:iCs/>
        </w:rPr>
        <w:t xml:space="preserve"> Customs</w:t>
      </w:r>
      <w:r w:rsidR="00B74226">
        <w:rPr>
          <w:iCs/>
        </w:rPr>
        <w:t xml:space="preserve"> and Excise</w:t>
      </w:r>
      <w:r>
        <w:rPr>
          <w:iCs/>
        </w:rPr>
        <w:t>, but increased</w:t>
      </w:r>
      <w:r w:rsidR="00AC2D2C" w:rsidRPr="00687D45">
        <w:rPr>
          <w:iCs/>
        </w:rPr>
        <w:t xml:space="preserve"> </w:t>
      </w:r>
      <w:r>
        <w:rPr>
          <w:iCs/>
        </w:rPr>
        <w:t>for police cases</w:t>
      </w:r>
      <w:r w:rsidR="00AC2D2C" w:rsidRPr="00687D45">
        <w:rPr>
          <w:iCs/>
        </w:rPr>
        <w:t xml:space="preserve">. </w:t>
      </w:r>
      <w:r>
        <w:t xml:space="preserve"> </w:t>
      </w:r>
      <w:r w:rsidR="00AC2D2C" w:rsidRPr="00687D45">
        <w:rPr>
          <w:iCs/>
        </w:rPr>
        <w:t xml:space="preserve">Cases involving </w:t>
      </w:r>
      <w:r>
        <w:rPr>
          <w:iCs/>
        </w:rPr>
        <w:t xml:space="preserve">the </w:t>
      </w:r>
      <w:r w:rsidR="00AC2D2C" w:rsidRPr="00687D45">
        <w:rPr>
          <w:iCs/>
        </w:rPr>
        <w:t xml:space="preserve">trafficking in exceptionally large amounts of narcotics, namely over 15 </w:t>
      </w:r>
      <w:r w:rsidR="00DA3B92">
        <w:rPr>
          <w:rFonts w:eastAsia="PMingLiU"/>
          <w:lang w:eastAsia="zh-TW"/>
        </w:rPr>
        <w:t>‍</w:t>
      </w:r>
      <w:r w:rsidR="00AC2D2C" w:rsidRPr="00687D45">
        <w:rPr>
          <w:iCs/>
        </w:rPr>
        <w:t xml:space="preserve">kilogrammes, have remained at a low level for </w:t>
      </w:r>
      <w:r w:rsidR="006E6A90">
        <w:rPr>
          <w:iCs/>
        </w:rPr>
        <w:t xml:space="preserve">heroin, </w:t>
      </w:r>
      <w:r w:rsidR="00AC2D2C" w:rsidRPr="00687D45">
        <w:rPr>
          <w:iCs/>
        </w:rPr>
        <w:t xml:space="preserve">cocaine and “Ice”.  </w:t>
      </w:r>
      <w:r w:rsidR="00AC2D2C" w:rsidRPr="00F555B2">
        <w:t xml:space="preserve">However, </w:t>
      </w:r>
      <w:r w:rsidR="00C16756">
        <w:t>the trend o</w:t>
      </w:r>
      <w:r w:rsidR="00474634">
        <w:t>ver</w:t>
      </w:r>
      <w:r w:rsidR="00C16756">
        <w:t xml:space="preserve"> the last five years appear</w:t>
      </w:r>
      <w:r w:rsidR="00474634">
        <w:t>ed</w:t>
      </w:r>
      <w:r w:rsidR="00C16756">
        <w:t xml:space="preserve"> to be an upward one.</w:t>
      </w:r>
      <w:r w:rsidR="00AC2D2C" w:rsidRPr="00687D45">
        <w:rPr>
          <w:iCs/>
        </w:rPr>
        <w:t xml:space="preserve"> </w:t>
      </w:r>
    </w:p>
    <w:p w:rsidR="00AC2D2C" w:rsidRPr="00D70CBC" w:rsidRDefault="00AC2D2C" w:rsidP="00AC2D2C">
      <w:pPr>
        <w:pStyle w:val="T-Draft"/>
      </w:pPr>
      <w:r w:rsidRPr="00D70CBC">
        <w:t xml:space="preserve">The respondent submitted that the </w:t>
      </w:r>
      <w:r w:rsidRPr="00D70CBC">
        <w:rPr>
          <w:i/>
        </w:rPr>
        <w:t xml:space="preserve">Abdallah </w:t>
      </w:r>
      <w:r w:rsidRPr="00D70CBC">
        <w:rPr>
          <w:iCs/>
        </w:rPr>
        <w:t xml:space="preserve">guidelines remained necessary and appropriate to adequately reflect the criminality involved in the quantity of narcotics trafficked by an offender.  As recognised in </w:t>
      </w:r>
      <w:r w:rsidRPr="00D70CBC">
        <w:rPr>
          <w:i/>
        </w:rPr>
        <w:t>Lee Ming Ho</w:t>
      </w:r>
      <w:r w:rsidRPr="00D70CBC">
        <w:rPr>
          <w:iCs/>
        </w:rPr>
        <w:t xml:space="preserve">, quantity was still the primary </w:t>
      </w:r>
      <w:r>
        <w:rPr>
          <w:rFonts w:eastAsia="PMingLiU"/>
          <w:lang w:eastAsia="zh-TW"/>
        </w:rPr>
        <w:t>‍</w:t>
      </w:r>
      <w:r w:rsidRPr="00D70CBC">
        <w:rPr>
          <w:iCs/>
        </w:rPr>
        <w:t xml:space="preserve">sentencing </w:t>
      </w:r>
      <w:r w:rsidR="00687D45">
        <w:rPr>
          <w:iCs/>
        </w:rPr>
        <w:t xml:space="preserve">gauge </w:t>
      </w:r>
      <w:r w:rsidRPr="00D70CBC">
        <w:rPr>
          <w:iCs/>
        </w:rPr>
        <w:t>for trafficking in dangerous drugs</w:t>
      </w:r>
      <w:r w:rsidRPr="00D70CBC">
        <w:rPr>
          <w:iCs/>
          <w:vertAlign w:val="superscript"/>
        </w:rPr>
        <w:footnoteReference w:id="36"/>
      </w:r>
      <w:r w:rsidRPr="00D70CBC">
        <w:rPr>
          <w:iCs/>
        </w:rPr>
        <w:t xml:space="preserve">.  When the </w:t>
      </w:r>
      <w:r w:rsidRPr="00D70CBC">
        <w:rPr>
          <w:i/>
        </w:rPr>
        <w:t xml:space="preserve">Abdallah </w:t>
      </w:r>
      <w:r>
        <w:rPr>
          <w:rFonts w:eastAsia="PMingLiU"/>
          <w:lang w:eastAsia="zh-TW"/>
        </w:rPr>
        <w:t>‍</w:t>
      </w:r>
      <w:r w:rsidRPr="00D70CBC">
        <w:rPr>
          <w:iCs/>
        </w:rPr>
        <w:t xml:space="preserve">guidelines </w:t>
      </w:r>
      <w:r w:rsidR="00687D45">
        <w:rPr>
          <w:iCs/>
        </w:rPr>
        <w:t>we</w:t>
      </w:r>
      <w:r w:rsidRPr="00D70CBC">
        <w:rPr>
          <w:iCs/>
        </w:rPr>
        <w:t xml:space="preserve">re </w:t>
      </w:r>
      <w:r w:rsidR="007A6E8F">
        <w:rPr>
          <w:rFonts w:eastAsia="PMingLiU"/>
          <w:lang w:eastAsia="zh-TW"/>
        </w:rPr>
        <w:t>‍</w:t>
      </w:r>
      <w:r w:rsidRPr="00D70CBC">
        <w:rPr>
          <w:iCs/>
        </w:rPr>
        <w:t>properly applied in accordance with the modern approach</w:t>
      </w:r>
      <w:r w:rsidR="009655B7">
        <w:rPr>
          <w:iCs/>
        </w:rPr>
        <w:t xml:space="preserve"> to sentencing</w:t>
      </w:r>
      <w:r w:rsidRPr="00D70CBC">
        <w:rPr>
          <w:iCs/>
        </w:rPr>
        <w:t xml:space="preserve"> in </w:t>
      </w:r>
      <w:r w:rsidRPr="00D70CBC">
        <w:rPr>
          <w:i/>
        </w:rPr>
        <w:t xml:space="preserve">Herry </w:t>
      </w:r>
      <w:r w:rsidR="007A6E8F">
        <w:rPr>
          <w:rFonts w:eastAsia="PMingLiU"/>
          <w:lang w:eastAsia="zh-TW"/>
        </w:rPr>
        <w:t>‍</w:t>
      </w:r>
      <w:r w:rsidRPr="00D70CBC">
        <w:rPr>
          <w:i/>
        </w:rPr>
        <w:t xml:space="preserve">Jane </w:t>
      </w:r>
      <w:r w:rsidR="007A6E8F">
        <w:rPr>
          <w:rFonts w:eastAsia="PMingLiU"/>
          <w:lang w:eastAsia="zh-TW"/>
        </w:rPr>
        <w:t>‍</w:t>
      </w:r>
      <w:r w:rsidRPr="00D70CBC">
        <w:rPr>
          <w:i/>
        </w:rPr>
        <w:t xml:space="preserve">Yusuph </w:t>
      </w:r>
      <w:r w:rsidRPr="00D70CBC">
        <w:rPr>
          <w:iCs/>
        </w:rPr>
        <w:t xml:space="preserve">and </w:t>
      </w:r>
      <w:r w:rsidRPr="00D70CBC">
        <w:rPr>
          <w:i/>
        </w:rPr>
        <w:t>Lee Ming Ho</w:t>
      </w:r>
      <w:r w:rsidRPr="00D70CBC">
        <w:rPr>
          <w:iCs/>
        </w:rPr>
        <w:t>, there w</w:t>
      </w:r>
      <w:r w:rsidR="00687D45">
        <w:rPr>
          <w:iCs/>
        </w:rPr>
        <w:t>ould</w:t>
      </w:r>
      <w:r w:rsidRPr="00D70CBC">
        <w:rPr>
          <w:iCs/>
        </w:rPr>
        <w:t xml:space="preserve"> </w:t>
      </w:r>
      <w:r w:rsidR="00EB0A13">
        <w:rPr>
          <w:iCs/>
        </w:rPr>
        <w:t xml:space="preserve">still </w:t>
      </w:r>
      <w:r w:rsidR="000F11A1">
        <w:rPr>
          <w:iCs/>
        </w:rPr>
        <w:t xml:space="preserve">be enough </w:t>
      </w:r>
      <w:r w:rsidRPr="00D70CBC">
        <w:rPr>
          <w:iCs/>
        </w:rPr>
        <w:t xml:space="preserve">room </w:t>
      </w:r>
      <w:r w:rsidR="00687D45">
        <w:rPr>
          <w:iCs/>
        </w:rPr>
        <w:t>to allow</w:t>
      </w:r>
      <w:r w:rsidRPr="00D70CBC">
        <w:rPr>
          <w:iCs/>
        </w:rPr>
        <w:t xml:space="preserve"> sufficient flexibility for </w:t>
      </w:r>
      <w:r w:rsidR="00687D45">
        <w:rPr>
          <w:iCs/>
        </w:rPr>
        <w:t xml:space="preserve">the </w:t>
      </w:r>
      <w:r w:rsidRPr="00D70CBC">
        <w:rPr>
          <w:iCs/>
        </w:rPr>
        <w:t xml:space="preserve">courts to impose sentences that </w:t>
      </w:r>
      <w:r w:rsidR="00687D45">
        <w:rPr>
          <w:iCs/>
        </w:rPr>
        <w:t>we</w:t>
      </w:r>
      <w:r w:rsidRPr="00D70CBC">
        <w:rPr>
          <w:iCs/>
        </w:rPr>
        <w:t xml:space="preserve">re fair, just and balanced in cases involving </w:t>
      </w:r>
      <w:r w:rsidR="00EB0A13">
        <w:rPr>
          <w:iCs/>
        </w:rPr>
        <w:t xml:space="preserve">very </w:t>
      </w:r>
      <w:r w:rsidR="00FD28CD">
        <w:rPr>
          <w:iCs/>
        </w:rPr>
        <w:t xml:space="preserve">or exceptionally </w:t>
      </w:r>
      <w:r w:rsidR="00EB0A13">
        <w:rPr>
          <w:iCs/>
        </w:rPr>
        <w:t>large quantities of narcotic</w:t>
      </w:r>
      <w:r w:rsidR="00C16756">
        <w:rPr>
          <w:iCs/>
        </w:rPr>
        <w:t>s</w:t>
      </w:r>
      <w:r w:rsidRPr="00D70CBC">
        <w:rPr>
          <w:iCs/>
        </w:rPr>
        <w:t xml:space="preserve">. </w:t>
      </w:r>
    </w:p>
    <w:p w:rsidR="003E5CDD" w:rsidRPr="003E5CDD" w:rsidRDefault="00AC2D2C" w:rsidP="00AC2D2C">
      <w:pPr>
        <w:pStyle w:val="T-Draft"/>
      </w:pPr>
      <w:r w:rsidRPr="00F555B2">
        <w:rPr>
          <w:iCs/>
        </w:rPr>
        <w:lastRenderedPageBreak/>
        <w:t xml:space="preserve">Addressing the criticism of the sentencing curve </w:t>
      </w:r>
      <w:r w:rsidR="00EB0A13">
        <w:rPr>
          <w:iCs/>
        </w:rPr>
        <w:t xml:space="preserve">initially </w:t>
      </w:r>
      <w:r w:rsidRPr="00F555B2">
        <w:rPr>
          <w:iCs/>
        </w:rPr>
        <w:t xml:space="preserve">being too steep, </w:t>
      </w:r>
      <w:r w:rsidR="00F367D6">
        <w:rPr>
          <w:iCs/>
        </w:rPr>
        <w:t>Mr Lau</w:t>
      </w:r>
      <w:r w:rsidRPr="00F555B2">
        <w:rPr>
          <w:iCs/>
        </w:rPr>
        <w:t xml:space="preserve"> argued that th</w:t>
      </w:r>
      <w:r w:rsidR="00EB0A13">
        <w:rPr>
          <w:iCs/>
        </w:rPr>
        <w:t>is</w:t>
      </w:r>
      <w:r w:rsidRPr="00F555B2">
        <w:rPr>
          <w:iCs/>
        </w:rPr>
        <w:t xml:space="preserve"> </w:t>
      </w:r>
      <w:r w:rsidR="00FD28CD">
        <w:rPr>
          <w:iCs/>
        </w:rPr>
        <w:t>had been</w:t>
      </w:r>
      <w:r w:rsidRPr="00F555B2">
        <w:rPr>
          <w:iCs/>
        </w:rPr>
        <w:t xml:space="preserve"> intentional</w:t>
      </w:r>
      <w:r w:rsidR="00F367D6">
        <w:rPr>
          <w:iCs/>
        </w:rPr>
        <w:t>, for g</w:t>
      </w:r>
      <w:r w:rsidRPr="00F555B2">
        <w:rPr>
          <w:iCs/>
        </w:rPr>
        <w:t xml:space="preserve">eneral deterrence has always been the dominant sentencing principle in cases </w:t>
      </w:r>
      <w:r w:rsidR="00F367D6">
        <w:rPr>
          <w:iCs/>
        </w:rPr>
        <w:t>at this level</w:t>
      </w:r>
      <w:r w:rsidR="000F11A1">
        <w:rPr>
          <w:iCs/>
        </w:rPr>
        <w:t xml:space="preserve"> of trafficking</w:t>
      </w:r>
      <w:r w:rsidR="00F367D6">
        <w:rPr>
          <w:iCs/>
        </w:rPr>
        <w:t>.</w:t>
      </w:r>
      <w:r w:rsidRPr="00F555B2">
        <w:rPr>
          <w:iCs/>
        </w:rPr>
        <w:t xml:space="preserve">  </w:t>
      </w:r>
      <w:r w:rsidR="00F367D6">
        <w:rPr>
          <w:iCs/>
        </w:rPr>
        <w:t>He noted that</w:t>
      </w:r>
      <w:r w:rsidRPr="00F555B2">
        <w:rPr>
          <w:iCs/>
        </w:rPr>
        <w:t xml:space="preserve"> in </w:t>
      </w:r>
      <w:r w:rsidRPr="00F555B2">
        <w:rPr>
          <w:i/>
        </w:rPr>
        <w:t xml:space="preserve">Secretary for Justice v Hii </w:t>
      </w:r>
      <w:r>
        <w:rPr>
          <w:rFonts w:eastAsia="PMingLiU"/>
          <w:lang w:eastAsia="zh-TW"/>
        </w:rPr>
        <w:t>‍</w:t>
      </w:r>
      <w:r w:rsidRPr="00F555B2">
        <w:rPr>
          <w:i/>
        </w:rPr>
        <w:t xml:space="preserve">Siew </w:t>
      </w:r>
      <w:r>
        <w:rPr>
          <w:rFonts w:eastAsia="PMingLiU"/>
          <w:lang w:eastAsia="zh-TW"/>
        </w:rPr>
        <w:t>‍</w:t>
      </w:r>
      <w:r w:rsidRPr="00F555B2">
        <w:rPr>
          <w:i/>
        </w:rPr>
        <w:t>Cheng</w:t>
      </w:r>
      <w:r w:rsidRPr="00F555B2">
        <w:rPr>
          <w:iCs/>
          <w:vertAlign w:val="superscript"/>
        </w:rPr>
        <w:footnoteReference w:id="37"/>
      </w:r>
      <w:r w:rsidR="00F367D6">
        <w:rPr>
          <w:iCs/>
        </w:rPr>
        <w:t xml:space="preserve">, the Court </w:t>
      </w:r>
      <w:r w:rsidR="009655B7">
        <w:rPr>
          <w:iCs/>
        </w:rPr>
        <w:t xml:space="preserve">had </w:t>
      </w:r>
      <w:r w:rsidR="00D52DC3">
        <w:rPr>
          <w:iCs/>
        </w:rPr>
        <w:t>remarked</w:t>
      </w:r>
      <w:r w:rsidR="00D52DC3">
        <w:rPr>
          <w:rStyle w:val="FootnoteReference"/>
          <w:iCs/>
        </w:rPr>
        <w:footnoteReference w:id="38"/>
      </w:r>
      <w:r w:rsidR="003E5CDD">
        <w:rPr>
          <w:iCs/>
        </w:rPr>
        <w:t>:</w:t>
      </w:r>
    </w:p>
    <w:p w:rsidR="00AC2D2C" w:rsidRPr="00F555B2" w:rsidRDefault="003E5CDD" w:rsidP="005D2BD0">
      <w:pPr>
        <w:pStyle w:val="j-quotation"/>
      </w:pPr>
      <w:r>
        <w:t xml:space="preserve">“It has to be remembered that </w:t>
      </w:r>
      <w:r w:rsidR="00F367D6">
        <w:t>at the lower end of the senten</w:t>
      </w:r>
      <w:r>
        <w:t>cing range for drug traffickers</w:t>
      </w:r>
      <w:r w:rsidR="00F367D6">
        <w:t xml:space="preserve"> …</w:t>
      </w:r>
      <w:r>
        <w:t xml:space="preserve"> </w:t>
      </w:r>
      <w:r w:rsidR="00F367D6">
        <w:t xml:space="preserve">there is a large measure of deterrence built into the tariff.  Thus, a relatively small-scale trafficker will receive a comparatively heavy sentence when the weight </w:t>
      </w:r>
      <w:r>
        <w:t xml:space="preserve">of the drugs </w:t>
      </w:r>
      <w:r w:rsidR="00F367D6">
        <w:t>in which he has trafficked is set alongside the sentence of the trafficker in far greater amounts</w:t>
      </w:r>
      <w:r>
        <w:t>”.</w:t>
      </w:r>
      <w:r w:rsidR="00AC2D2C" w:rsidRPr="00F555B2">
        <w:t xml:space="preserve"> </w:t>
      </w:r>
    </w:p>
    <w:p w:rsidR="00AC2D2C" w:rsidRPr="00F555B2" w:rsidRDefault="00AC2D2C" w:rsidP="00AC2D2C">
      <w:pPr>
        <w:pStyle w:val="T-Draft"/>
      </w:pPr>
      <w:r w:rsidRPr="00F555B2">
        <w:rPr>
          <w:iCs/>
        </w:rPr>
        <w:t xml:space="preserve">Similarly, sentences for trafficking in very </w:t>
      </w:r>
      <w:r w:rsidR="000F11A1">
        <w:rPr>
          <w:iCs/>
        </w:rPr>
        <w:t xml:space="preserve">or exceptionally </w:t>
      </w:r>
      <w:r w:rsidRPr="00F555B2">
        <w:rPr>
          <w:iCs/>
        </w:rPr>
        <w:t xml:space="preserve">large quantities </w:t>
      </w:r>
      <w:r w:rsidR="000F11A1">
        <w:rPr>
          <w:iCs/>
        </w:rPr>
        <w:t>of dangerous drugs also required a strong deterrent element</w:t>
      </w:r>
      <w:r w:rsidRPr="00F555B2">
        <w:rPr>
          <w:iCs/>
        </w:rPr>
        <w:t xml:space="preserve">.  </w:t>
      </w:r>
      <w:r w:rsidR="003E5CDD">
        <w:rPr>
          <w:iCs/>
        </w:rPr>
        <w:t xml:space="preserve">However, </w:t>
      </w:r>
      <w:r w:rsidR="004F43AB">
        <w:rPr>
          <w:iCs/>
        </w:rPr>
        <w:t xml:space="preserve">he acknowledged that </w:t>
      </w:r>
      <w:r w:rsidR="003E5CDD">
        <w:rPr>
          <w:iCs/>
        </w:rPr>
        <w:t>g</w:t>
      </w:r>
      <w:r w:rsidR="009655B7">
        <w:rPr>
          <w:iCs/>
        </w:rPr>
        <w:t>eneral deterrence could</w:t>
      </w:r>
      <w:r w:rsidRPr="00F555B2">
        <w:rPr>
          <w:iCs/>
        </w:rPr>
        <w:t xml:space="preserve"> have </w:t>
      </w:r>
      <w:r w:rsidR="004F43AB">
        <w:rPr>
          <w:iCs/>
        </w:rPr>
        <w:t xml:space="preserve">a </w:t>
      </w:r>
      <w:r w:rsidRPr="00F555B2">
        <w:rPr>
          <w:iCs/>
        </w:rPr>
        <w:t xml:space="preserve">diminishing </w:t>
      </w:r>
      <w:r w:rsidR="003E5CDD">
        <w:rPr>
          <w:iCs/>
        </w:rPr>
        <w:t xml:space="preserve">or </w:t>
      </w:r>
      <w:r w:rsidRPr="00F555B2">
        <w:rPr>
          <w:iCs/>
        </w:rPr>
        <w:t xml:space="preserve">marginal effect </w:t>
      </w:r>
      <w:r w:rsidR="00C16756">
        <w:rPr>
          <w:iCs/>
        </w:rPr>
        <w:t xml:space="preserve">for very or exceptionally large quantities of </w:t>
      </w:r>
      <w:r w:rsidR="006E6A90">
        <w:rPr>
          <w:iCs/>
        </w:rPr>
        <w:t>dangerous drugs</w:t>
      </w:r>
      <w:r w:rsidRPr="00F555B2">
        <w:rPr>
          <w:iCs/>
        </w:rPr>
        <w:t xml:space="preserve">.  On the other hand, the plateauing </w:t>
      </w:r>
      <w:r w:rsidR="003E5CDD">
        <w:rPr>
          <w:iCs/>
        </w:rPr>
        <w:t xml:space="preserve">effect </w:t>
      </w:r>
      <w:r w:rsidR="00FF7A60">
        <w:rPr>
          <w:iCs/>
        </w:rPr>
        <w:t>operates</w:t>
      </w:r>
      <w:r w:rsidRPr="00F555B2">
        <w:rPr>
          <w:iCs/>
        </w:rPr>
        <w:t xml:space="preserve"> to </w:t>
      </w:r>
      <w:r w:rsidR="00FF7A60">
        <w:rPr>
          <w:iCs/>
        </w:rPr>
        <w:t>maintain</w:t>
      </w:r>
      <w:r w:rsidRPr="00F555B2">
        <w:rPr>
          <w:iCs/>
        </w:rPr>
        <w:t xml:space="preserve"> sufficient room for the most serious cases</w:t>
      </w:r>
      <w:r w:rsidR="00C16756">
        <w:rPr>
          <w:iCs/>
        </w:rPr>
        <w:t xml:space="preserve"> within the upper range of the guidelines</w:t>
      </w:r>
      <w:r w:rsidRPr="00F555B2">
        <w:rPr>
          <w:iCs/>
        </w:rPr>
        <w:t xml:space="preserve">.  </w:t>
      </w:r>
      <w:r w:rsidR="00FF7A60">
        <w:rPr>
          <w:iCs/>
        </w:rPr>
        <w:t>Even b</w:t>
      </w:r>
      <w:r w:rsidRPr="00F555B2">
        <w:rPr>
          <w:iCs/>
        </w:rPr>
        <w:t xml:space="preserve">efore </w:t>
      </w:r>
      <w:r w:rsidRPr="00F555B2">
        <w:rPr>
          <w:i/>
        </w:rPr>
        <w:t>Sum Ka Wa</w:t>
      </w:r>
      <w:r w:rsidRPr="00F555B2">
        <w:rPr>
          <w:iCs/>
        </w:rPr>
        <w:t>,</w:t>
      </w:r>
      <w:r w:rsidR="00FF7A60">
        <w:rPr>
          <w:iCs/>
        </w:rPr>
        <w:t xml:space="preserve"> the courts</w:t>
      </w:r>
      <w:r w:rsidRPr="00F555B2">
        <w:rPr>
          <w:iCs/>
        </w:rPr>
        <w:t xml:space="preserve"> had formed the view that there must be an approximate ceiling for sentenc</w:t>
      </w:r>
      <w:r w:rsidR="00FF7A60">
        <w:rPr>
          <w:iCs/>
        </w:rPr>
        <w:t>ing</w:t>
      </w:r>
      <w:r w:rsidRPr="00F555B2">
        <w:rPr>
          <w:iCs/>
        </w:rPr>
        <w:t xml:space="preserve"> in this field.  </w:t>
      </w:r>
      <w:r w:rsidR="003E5CDD">
        <w:rPr>
          <w:iCs/>
        </w:rPr>
        <w:t xml:space="preserve">The Court in </w:t>
      </w:r>
      <w:r w:rsidRPr="00F555B2">
        <w:rPr>
          <w:i/>
        </w:rPr>
        <w:t>Abdallah</w:t>
      </w:r>
      <w:r w:rsidRPr="00F555B2">
        <w:rPr>
          <w:iCs/>
        </w:rPr>
        <w:t xml:space="preserve"> </w:t>
      </w:r>
      <w:r w:rsidR="000F11A1">
        <w:rPr>
          <w:iCs/>
        </w:rPr>
        <w:t xml:space="preserve">had </w:t>
      </w:r>
      <w:r w:rsidRPr="00F555B2">
        <w:rPr>
          <w:iCs/>
        </w:rPr>
        <w:t xml:space="preserve">itself noted that such ceiling might well be 35 </w:t>
      </w:r>
      <w:r w:rsidR="0046009A">
        <w:rPr>
          <w:rFonts w:eastAsia="PMingLiU"/>
          <w:lang w:eastAsia="zh-TW"/>
        </w:rPr>
        <w:t>‍</w:t>
      </w:r>
      <w:r w:rsidRPr="00F555B2">
        <w:rPr>
          <w:iCs/>
        </w:rPr>
        <w:t>years</w:t>
      </w:r>
      <w:r w:rsidR="003E5CDD">
        <w:rPr>
          <w:iCs/>
        </w:rPr>
        <w:t>’ imprisonment</w:t>
      </w:r>
      <w:r w:rsidRPr="00F555B2">
        <w:rPr>
          <w:iCs/>
        </w:rPr>
        <w:t xml:space="preserve"> and acknowledged that it was a </w:t>
      </w:r>
      <w:r w:rsidR="003E5CDD">
        <w:rPr>
          <w:iCs/>
        </w:rPr>
        <w:t>“</w:t>
      </w:r>
      <w:r w:rsidRPr="00F555B2">
        <w:rPr>
          <w:iCs/>
        </w:rPr>
        <w:t>practical reality</w:t>
      </w:r>
      <w:r w:rsidR="003E5CDD">
        <w:rPr>
          <w:iCs/>
        </w:rPr>
        <w:t>”</w:t>
      </w:r>
      <w:r w:rsidRPr="00F555B2">
        <w:rPr>
          <w:iCs/>
        </w:rPr>
        <w:t xml:space="preserve"> that room must be left for the most serious cases</w:t>
      </w:r>
      <w:r w:rsidR="003E5CDD">
        <w:rPr>
          <w:rStyle w:val="FootnoteReference"/>
          <w:iCs/>
        </w:rPr>
        <w:footnoteReference w:id="39"/>
      </w:r>
      <w:r w:rsidRPr="00F555B2">
        <w:rPr>
          <w:iCs/>
        </w:rPr>
        <w:t xml:space="preserve">. </w:t>
      </w:r>
    </w:p>
    <w:p w:rsidR="00AC2D2C" w:rsidRPr="00F555B2" w:rsidRDefault="000F11A1" w:rsidP="00AC2D2C">
      <w:pPr>
        <w:pStyle w:val="T-Draft"/>
      </w:pPr>
      <w:r>
        <w:t>Mr Lau</w:t>
      </w:r>
      <w:r w:rsidR="00AC2D2C" w:rsidRPr="00F555B2">
        <w:t xml:space="preserve"> </w:t>
      </w:r>
      <w:r w:rsidR="009655B7">
        <w:t>registered his concern about</w:t>
      </w:r>
      <w:r w:rsidR="00AC2D2C" w:rsidRPr="00F555B2">
        <w:t xml:space="preserve"> any relaxation of the existin</w:t>
      </w:r>
      <w:r>
        <w:t>g guidelines.  Robust, lengthy</w:t>
      </w:r>
      <w:r w:rsidR="00AC2D2C" w:rsidRPr="00F555B2">
        <w:t xml:space="preserve"> sentences were ne</w:t>
      </w:r>
      <w:r w:rsidR="00C16756">
        <w:t>cessary</w:t>
      </w:r>
      <w:r w:rsidR="00AC2D2C" w:rsidRPr="00F555B2">
        <w:t xml:space="preserve"> to afford sufficient deterrence against the persisting drug problem in Hong </w:t>
      </w:r>
      <w:r w:rsidR="007A6E8F">
        <w:rPr>
          <w:rFonts w:eastAsia="PMingLiU"/>
          <w:lang w:eastAsia="zh-TW"/>
        </w:rPr>
        <w:t>‍</w:t>
      </w:r>
      <w:r w:rsidR="00AC2D2C" w:rsidRPr="00F555B2">
        <w:t>Kong.  If the guidelines</w:t>
      </w:r>
      <w:r>
        <w:t xml:space="preserve"> were relaxed, </w:t>
      </w:r>
      <w:r w:rsidR="00AC2D2C" w:rsidRPr="00F555B2">
        <w:t xml:space="preserve">it </w:t>
      </w:r>
      <w:r w:rsidR="009655B7">
        <w:t>might</w:t>
      </w:r>
      <w:r w:rsidR="00AC2D2C" w:rsidRPr="00F555B2">
        <w:t xml:space="preserve"> send the public an extremely misleading and dangerous message. </w:t>
      </w:r>
    </w:p>
    <w:p w:rsidR="00AC2D2C" w:rsidRPr="00F555B2" w:rsidRDefault="00AC2D2C" w:rsidP="00AC2D2C">
      <w:pPr>
        <w:pStyle w:val="T-Draft"/>
      </w:pPr>
      <w:r w:rsidRPr="00F555B2">
        <w:rPr>
          <w:iCs/>
        </w:rPr>
        <w:lastRenderedPageBreak/>
        <w:t>In this regard, the respondent submitted that meaningful comparison</w:t>
      </w:r>
      <w:r w:rsidR="00EB0A13">
        <w:rPr>
          <w:iCs/>
        </w:rPr>
        <w:t>s could not be drawn by</w:t>
      </w:r>
      <w:r w:rsidRPr="00F555B2">
        <w:rPr>
          <w:iCs/>
        </w:rPr>
        <w:t xml:space="preserve"> measur</w:t>
      </w:r>
      <w:r w:rsidR="00EB0A13">
        <w:rPr>
          <w:iCs/>
        </w:rPr>
        <w:t>ing</w:t>
      </w:r>
      <w:r w:rsidRPr="00F555B2">
        <w:rPr>
          <w:iCs/>
        </w:rPr>
        <w:t xml:space="preserve"> the sentencing guidelines for drug trafficking against the </w:t>
      </w:r>
      <w:r w:rsidR="0056243E">
        <w:rPr>
          <w:iCs/>
        </w:rPr>
        <w:t>normal</w:t>
      </w:r>
      <w:r w:rsidRPr="00F555B2">
        <w:rPr>
          <w:iCs/>
        </w:rPr>
        <w:t xml:space="preserve"> sentences for other serious offences.</w:t>
      </w:r>
      <w:r w:rsidR="00EB0A13">
        <w:rPr>
          <w:iCs/>
        </w:rPr>
        <w:t xml:space="preserve">  Drug trafficking was a particular </w:t>
      </w:r>
      <w:r w:rsidR="000F11A1">
        <w:rPr>
          <w:iCs/>
        </w:rPr>
        <w:t xml:space="preserve">vice </w:t>
      </w:r>
      <w:r w:rsidR="00EB0A13">
        <w:rPr>
          <w:iCs/>
        </w:rPr>
        <w:t xml:space="preserve">and </w:t>
      </w:r>
      <w:r w:rsidR="009655B7">
        <w:rPr>
          <w:iCs/>
        </w:rPr>
        <w:t>a daily</w:t>
      </w:r>
      <w:r w:rsidR="00EB0A13">
        <w:rPr>
          <w:iCs/>
        </w:rPr>
        <w:t xml:space="preserve"> </w:t>
      </w:r>
      <w:r w:rsidR="0056243E">
        <w:rPr>
          <w:iCs/>
        </w:rPr>
        <w:t>concern</w:t>
      </w:r>
      <w:r w:rsidR="00EB0A13">
        <w:rPr>
          <w:iCs/>
        </w:rPr>
        <w:t xml:space="preserve"> affecting the whole </w:t>
      </w:r>
      <w:r w:rsidR="000F11A1">
        <w:rPr>
          <w:iCs/>
        </w:rPr>
        <w:t xml:space="preserve">fabric </w:t>
      </w:r>
      <w:r w:rsidR="00EB0A13">
        <w:rPr>
          <w:iCs/>
        </w:rPr>
        <w:t>of society at every level</w:t>
      </w:r>
      <w:r w:rsidR="00D61252">
        <w:rPr>
          <w:iCs/>
        </w:rPr>
        <w:t>: accordingly,</w:t>
      </w:r>
      <w:r w:rsidR="00EB0A13">
        <w:rPr>
          <w:iCs/>
        </w:rPr>
        <w:t xml:space="preserve"> strong deterrent sentences were </w:t>
      </w:r>
      <w:r w:rsidR="00D61252">
        <w:rPr>
          <w:iCs/>
        </w:rPr>
        <w:t>essential</w:t>
      </w:r>
      <w:r w:rsidR="009655B7">
        <w:rPr>
          <w:iCs/>
        </w:rPr>
        <w:t xml:space="preserve"> in the community’s interests</w:t>
      </w:r>
      <w:r w:rsidR="00EB0A13">
        <w:rPr>
          <w:iCs/>
        </w:rPr>
        <w:t xml:space="preserve">. </w:t>
      </w:r>
      <w:r w:rsidRPr="00F555B2">
        <w:rPr>
          <w:iCs/>
        </w:rPr>
        <w:t xml:space="preserve">  </w:t>
      </w:r>
    </w:p>
    <w:p w:rsidR="00AC2D2C" w:rsidRPr="00F555B2" w:rsidRDefault="00AC2D2C" w:rsidP="00AC2D2C">
      <w:pPr>
        <w:pStyle w:val="T-Draft"/>
      </w:pPr>
      <w:r w:rsidRPr="00F555B2">
        <w:t xml:space="preserve">As </w:t>
      </w:r>
      <w:r w:rsidR="00D61252">
        <w:t>for the</w:t>
      </w:r>
      <w:r w:rsidRPr="00F555B2">
        <w:t xml:space="preserve"> applicant’s call for a wider, un</w:t>
      </w:r>
      <w:r w:rsidR="00C16756">
        <w:t>restricted</w:t>
      </w:r>
      <w:r w:rsidRPr="00F555B2">
        <w:t xml:space="preserve"> discretion for the sentencing judge to consider </w:t>
      </w:r>
      <w:r w:rsidR="00D61252">
        <w:t>personal</w:t>
      </w:r>
      <w:r w:rsidRPr="00F555B2">
        <w:t xml:space="preserve"> mitigating factors, the respondent </w:t>
      </w:r>
      <w:r w:rsidR="00D61252">
        <w:t>pointed out</w:t>
      </w:r>
      <w:r w:rsidRPr="00F555B2">
        <w:t xml:space="preserve"> that the </w:t>
      </w:r>
      <w:r w:rsidRPr="00F555B2">
        <w:rPr>
          <w:i/>
        </w:rPr>
        <w:t xml:space="preserve">Herry Jane Yusuph </w:t>
      </w:r>
      <w:r w:rsidRPr="00F555B2">
        <w:rPr>
          <w:iCs/>
        </w:rPr>
        <w:t xml:space="preserve">approach </w:t>
      </w:r>
      <w:r w:rsidR="00FF7A60">
        <w:rPr>
          <w:iCs/>
        </w:rPr>
        <w:t xml:space="preserve">did not </w:t>
      </w:r>
      <w:r w:rsidR="0056243E">
        <w:rPr>
          <w:iCs/>
        </w:rPr>
        <w:t>pre</w:t>
      </w:r>
      <w:r w:rsidR="000F11A1">
        <w:rPr>
          <w:iCs/>
        </w:rPr>
        <w:t>clude</w:t>
      </w:r>
      <w:r w:rsidR="00FF7A60">
        <w:rPr>
          <w:iCs/>
        </w:rPr>
        <w:t xml:space="preserve"> a</w:t>
      </w:r>
      <w:r w:rsidRPr="00F555B2">
        <w:rPr>
          <w:iCs/>
        </w:rPr>
        <w:t xml:space="preserve"> </w:t>
      </w:r>
      <w:r w:rsidR="000F11A1">
        <w:rPr>
          <w:iCs/>
        </w:rPr>
        <w:t>judge</w:t>
      </w:r>
      <w:r w:rsidRPr="00F555B2">
        <w:rPr>
          <w:iCs/>
        </w:rPr>
        <w:t xml:space="preserve"> </w:t>
      </w:r>
      <w:r w:rsidR="0056243E">
        <w:rPr>
          <w:iCs/>
        </w:rPr>
        <w:t>from</w:t>
      </w:r>
      <w:r w:rsidRPr="00F555B2">
        <w:rPr>
          <w:iCs/>
        </w:rPr>
        <w:t xml:space="preserve"> factoring in</w:t>
      </w:r>
      <w:r w:rsidR="000F11A1">
        <w:rPr>
          <w:iCs/>
        </w:rPr>
        <w:t>to the sentencing exercise</w:t>
      </w:r>
      <w:r w:rsidRPr="00F555B2">
        <w:rPr>
          <w:iCs/>
        </w:rPr>
        <w:t xml:space="preserve"> relevant </w:t>
      </w:r>
      <w:r w:rsidR="00D61252">
        <w:rPr>
          <w:iCs/>
        </w:rPr>
        <w:t>and exceptional personal</w:t>
      </w:r>
      <w:r w:rsidRPr="00F555B2">
        <w:rPr>
          <w:iCs/>
        </w:rPr>
        <w:t xml:space="preserve"> circumstances.  The Court in </w:t>
      </w:r>
      <w:r w:rsidRPr="00F555B2">
        <w:rPr>
          <w:i/>
        </w:rPr>
        <w:t>Raman Kapusamy</w:t>
      </w:r>
      <w:r w:rsidRPr="00F555B2">
        <w:rPr>
          <w:iCs/>
        </w:rPr>
        <w:t xml:space="preserve"> ha</w:t>
      </w:r>
      <w:r w:rsidR="0056243E">
        <w:rPr>
          <w:iCs/>
        </w:rPr>
        <w:t>d</w:t>
      </w:r>
      <w:r w:rsidRPr="00F555B2">
        <w:rPr>
          <w:iCs/>
        </w:rPr>
        <w:t xml:space="preserve"> stated that judges will approach such circumstances </w:t>
      </w:r>
      <w:r w:rsidR="009655B7">
        <w:rPr>
          <w:iCs/>
        </w:rPr>
        <w:t>“</w:t>
      </w:r>
      <w:r w:rsidRPr="00F555B2">
        <w:rPr>
          <w:iCs/>
        </w:rPr>
        <w:t>with re</w:t>
      </w:r>
      <w:r w:rsidR="009655B7">
        <w:rPr>
          <w:iCs/>
        </w:rPr>
        <w:t>alism, fairness and common sense”</w:t>
      </w:r>
      <w:r w:rsidRPr="00F555B2">
        <w:rPr>
          <w:vertAlign w:val="superscript"/>
        </w:rPr>
        <w:footnoteReference w:id="40"/>
      </w:r>
      <w:r w:rsidR="000F11A1">
        <w:rPr>
          <w:iCs/>
        </w:rPr>
        <w:t>; indeed,</w:t>
      </w:r>
      <w:r w:rsidR="00D61252">
        <w:rPr>
          <w:iCs/>
        </w:rPr>
        <w:t xml:space="preserve"> t</w:t>
      </w:r>
      <w:r w:rsidR="00FF7A60">
        <w:rPr>
          <w:iCs/>
        </w:rPr>
        <w:t xml:space="preserve">he </w:t>
      </w:r>
      <w:r w:rsidR="00D61252">
        <w:rPr>
          <w:iCs/>
        </w:rPr>
        <w:t xml:space="preserve">recent </w:t>
      </w:r>
      <w:r w:rsidR="003F778A">
        <w:rPr>
          <w:iCs/>
        </w:rPr>
        <w:t>decision in</w:t>
      </w:r>
      <w:r w:rsidR="00074936">
        <w:rPr>
          <w:iCs/>
        </w:rPr>
        <w:t xml:space="preserve"> </w:t>
      </w:r>
      <w:r w:rsidR="00074936" w:rsidRPr="00074936">
        <w:rPr>
          <w:i/>
          <w:iCs/>
        </w:rPr>
        <w:t>HKSAR v</w:t>
      </w:r>
      <w:r w:rsidR="003F778A">
        <w:rPr>
          <w:iCs/>
        </w:rPr>
        <w:t xml:space="preserve"> </w:t>
      </w:r>
      <w:r w:rsidR="00FF7A60" w:rsidRPr="00E15F93">
        <w:rPr>
          <w:i/>
          <w:iCs/>
        </w:rPr>
        <w:t>Michalakopoulos Theodoros</w:t>
      </w:r>
      <w:r w:rsidR="003F778A" w:rsidRPr="003F778A">
        <w:rPr>
          <w:rStyle w:val="FootnoteReference"/>
          <w:iCs/>
        </w:rPr>
        <w:footnoteReference w:id="41"/>
      </w:r>
      <w:r w:rsidR="003F778A">
        <w:rPr>
          <w:iCs/>
        </w:rPr>
        <w:t xml:space="preserve"> </w:t>
      </w:r>
      <w:r w:rsidR="00FF7A60">
        <w:rPr>
          <w:iCs/>
        </w:rPr>
        <w:t xml:space="preserve">was an example of </w:t>
      </w:r>
      <w:r w:rsidR="003F778A">
        <w:rPr>
          <w:iCs/>
        </w:rPr>
        <w:t xml:space="preserve">the Court </w:t>
      </w:r>
      <w:r w:rsidR="00171B88">
        <w:rPr>
          <w:iCs/>
        </w:rPr>
        <w:t>doing precisely that</w:t>
      </w:r>
      <w:r w:rsidR="00FF7A60">
        <w:rPr>
          <w:iCs/>
        </w:rPr>
        <w:t>.</w:t>
      </w:r>
      <w:r w:rsidRPr="00F555B2">
        <w:rPr>
          <w:iCs/>
        </w:rPr>
        <w:t xml:space="preserve"> </w:t>
      </w:r>
    </w:p>
    <w:p w:rsidR="00AC2D2C" w:rsidRPr="00F555B2" w:rsidRDefault="00AC2D2C" w:rsidP="00AC2D2C">
      <w:pPr>
        <w:pStyle w:val="T-Draft"/>
      </w:pPr>
      <w:r w:rsidRPr="00F555B2">
        <w:rPr>
          <w:iCs/>
        </w:rPr>
        <w:t xml:space="preserve">Accordingly, the respondent </w:t>
      </w:r>
      <w:r w:rsidR="00FD3093">
        <w:rPr>
          <w:iCs/>
        </w:rPr>
        <w:t>submitted there was no error</w:t>
      </w:r>
      <w:r w:rsidRPr="00F555B2">
        <w:rPr>
          <w:iCs/>
        </w:rPr>
        <w:t xml:space="preserve"> in the applicant’s sentence</w:t>
      </w:r>
      <w:r w:rsidR="00FD3093">
        <w:rPr>
          <w:iCs/>
        </w:rPr>
        <w:t xml:space="preserve"> in accordance with current authority</w:t>
      </w:r>
      <w:r w:rsidRPr="00F555B2">
        <w:rPr>
          <w:iCs/>
        </w:rPr>
        <w:t xml:space="preserve">.  The arithmetic starting point was applied because the applicant’s role was </w:t>
      </w:r>
      <w:r w:rsidR="000F11A1">
        <w:rPr>
          <w:iCs/>
        </w:rPr>
        <w:t>that of</w:t>
      </w:r>
      <w:r w:rsidRPr="00F555B2">
        <w:rPr>
          <w:iCs/>
        </w:rPr>
        <w:t xml:space="preserve"> a courier.  Although the approach </w:t>
      </w:r>
      <w:r w:rsidR="00FD3093">
        <w:rPr>
          <w:iCs/>
        </w:rPr>
        <w:t xml:space="preserve">of </w:t>
      </w:r>
      <w:r w:rsidRPr="00F555B2">
        <w:rPr>
          <w:iCs/>
        </w:rPr>
        <w:t xml:space="preserve">treating </w:t>
      </w:r>
      <w:r w:rsidR="00FD3093">
        <w:rPr>
          <w:iCs/>
        </w:rPr>
        <w:t xml:space="preserve">the </w:t>
      </w:r>
      <w:r w:rsidRPr="00F555B2">
        <w:rPr>
          <w:iCs/>
        </w:rPr>
        <w:t>international element as a</w:t>
      </w:r>
      <w:r w:rsidR="0056243E">
        <w:rPr>
          <w:iCs/>
        </w:rPr>
        <w:t xml:space="preserve"> discrete</w:t>
      </w:r>
      <w:r w:rsidRPr="00F555B2">
        <w:rPr>
          <w:iCs/>
        </w:rPr>
        <w:t xml:space="preserve"> aggravating factor, instead of </w:t>
      </w:r>
      <w:r w:rsidR="00FD3093">
        <w:rPr>
          <w:iCs/>
        </w:rPr>
        <w:t xml:space="preserve">as </w:t>
      </w:r>
      <w:r w:rsidRPr="00F555B2">
        <w:rPr>
          <w:iCs/>
        </w:rPr>
        <w:t xml:space="preserve">a matter going to </w:t>
      </w:r>
      <w:r w:rsidR="00C16756">
        <w:rPr>
          <w:iCs/>
        </w:rPr>
        <w:t xml:space="preserve">role and </w:t>
      </w:r>
      <w:r w:rsidRPr="00F555B2">
        <w:rPr>
          <w:iCs/>
        </w:rPr>
        <w:t xml:space="preserve">culpability, </w:t>
      </w:r>
      <w:r w:rsidR="00C36537">
        <w:rPr>
          <w:iCs/>
        </w:rPr>
        <w:t>had been</w:t>
      </w:r>
      <w:r w:rsidRPr="00F555B2">
        <w:rPr>
          <w:iCs/>
        </w:rPr>
        <w:t xml:space="preserve"> revised </w:t>
      </w:r>
      <w:r w:rsidR="00C16756">
        <w:rPr>
          <w:iCs/>
        </w:rPr>
        <w:t>in</w:t>
      </w:r>
      <w:r w:rsidRPr="00F555B2">
        <w:rPr>
          <w:iCs/>
        </w:rPr>
        <w:t xml:space="preserve"> the later case of </w:t>
      </w:r>
      <w:r w:rsidRPr="00F555B2">
        <w:rPr>
          <w:i/>
        </w:rPr>
        <w:t>Lee Ming Ho</w:t>
      </w:r>
      <w:r w:rsidRPr="00F555B2">
        <w:rPr>
          <w:iCs/>
        </w:rPr>
        <w:t>, there existed no risk of double counting aggravating factors in this case</w:t>
      </w:r>
      <w:r w:rsidR="0056243E">
        <w:rPr>
          <w:iCs/>
        </w:rPr>
        <w:t>, since</w:t>
      </w:r>
      <w:r w:rsidRPr="00F555B2">
        <w:rPr>
          <w:iCs/>
        </w:rPr>
        <w:t xml:space="preserve"> the judge had </w:t>
      </w:r>
      <w:r w:rsidR="00FD3093">
        <w:rPr>
          <w:iCs/>
        </w:rPr>
        <w:t xml:space="preserve">fully </w:t>
      </w:r>
      <w:r w:rsidRPr="00F555B2">
        <w:rPr>
          <w:iCs/>
        </w:rPr>
        <w:t xml:space="preserve">explained how the sentence </w:t>
      </w:r>
      <w:r w:rsidR="0056243E">
        <w:rPr>
          <w:iCs/>
        </w:rPr>
        <w:t>had been</w:t>
      </w:r>
      <w:r w:rsidRPr="00F555B2">
        <w:rPr>
          <w:iCs/>
        </w:rPr>
        <w:t xml:space="preserve"> </w:t>
      </w:r>
      <w:r w:rsidR="000F11A1">
        <w:rPr>
          <w:iCs/>
        </w:rPr>
        <w:t>arrived at</w:t>
      </w:r>
      <w:r w:rsidRPr="00F555B2">
        <w:rPr>
          <w:iCs/>
        </w:rPr>
        <w:t xml:space="preserve">.  </w:t>
      </w:r>
      <w:r w:rsidR="0056243E">
        <w:rPr>
          <w:iCs/>
        </w:rPr>
        <w:t>Furthermore,</w:t>
      </w:r>
      <w:r w:rsidRPr="00F555B2">
        <w:rPr>
          <w:iCs/>
        </w:rPr>
        <w:t xml:space="preserve"> the 2-</w:t>
      </w:r>
      <w:r>
        <w:rPr>
          <w:rFonts w:eastAsia="PMingLiU"/>
          <w:lang w:eastAsia="zh-TW"/>
        </w:rPr>
        <w:t>‍</w:t>
      </w:r>
      <w:r w:rsidRPr="00F555B2">
        <w:rPr>
          <w:iCs/>
        </w:rPr>
        <w:t xml:space="preserve">year </w:t>
      </w:r>
      <w:r>
        <w:rPr>
          <w:rFonts w:eastAsia="PMingLiU"/>
          <w:lang w:eastAsia="zh-TW"/>
        </w:rPr>
        <w:t>‍</w:t>
      </w:r>
      <w:r w:rsidRPr="00F555B2">
        <w:rPr>
          <w:iCs/>
        </w:rPr>
        <w:t xml:space="preserve">enhancement was within the proper </w:t>
      </w:r>
      <w:r w:rsidR="00C16756">
        <w:rPr>
          <w:iCs/>
        </w:rPr>
        <w:t>range</w:t>
      </w:r>
      <w:r w:rsidRPr="00F555B2">
        <w:rPr>
          <w:iCs/>
        </w:rPr>
        <w:t xml:space="preserve">.  </w:t>
      </w:r>
    </w:p>
    <w:p w:rsidR="00AC2D2C" w:rsidRPr="00E15F93" w:rsidRDefault="00AC2D2C" w:rsidP="00AC2D2C">
      <w:pPr>
        <w:pStyle w:val="T-Draft"/>
      </w:pPr>
      <w:r w:rsidRPr="00F555B2">
        <w:rPr>
          <w:iCs/>
        </w:rPr>
        <w:lastRenderedPageBreak/>
        <w:t xml:space="preserve">As for the applicant’s personal circumstances, such as her clear record, her </w:t>
      </w:r>
      <w:r w:rsidR="0056243E">
        <w:rPr>
          <w:iCs/>
        </w:rPr>
        <w:t>emotional suffering</w:t>
      </w:r>
      <w:r w:rsidRPr="00F555B2">
        <w:rPr>
          <w:iCs/>
        </w:rPr>
        <w:t xml:space="preserve"> from the prolonged proceedings and her mother’s illness, the respondent submitted that none of these </w:t>
      </w:r>
      <w:r w:rsidR="0056243E">
        <w:rPr>
          <w:iCs/>
        </w:rPr>
        <w:t xml:space="preserve">matters </w:t>
      </w:r>
      <w:r w:rsidRPr="00F555B2">
        <w:rPr>
          <w:iCs/>
        </w:rPr>
        <w:t xml:space="preserve">was </w:t>
      </w:r>
      <w:r w:rsidR="0056243E">
        <w:rPr>
          <w:iCs/>
        </w:rPr>
        <w:t xml:space="preserve">so </w:t>
      </w:r>
      <w:r w:rsidRPr="00F555B2">
        <w:rPr>
          <w:iCs/>
        </w:rPr>
        <w:t>exceptional as to constitute valid mitigati</w:t>
      </w:r>
      <w:r w:rsidR="00E83214">
        <w:rPr>
          <w:iCs/>
        </w:rPr>
        <w:t>on</w:t>
      </w:r>
      <w:r w:rsidR="00C36537">
        <w:rPr>
          <w:iCs/>
        </w:rPr>
        <w:t xml:space="preserve"> in a case of such gravity</w:t>
      </w:r>
      <w:r w:rsidRPr="00F555B2">
        <w:rPr>
          <w:iCs/>
        </w:rPr>
        <w:t xml:space="preserve">.  The judge </w:t>
      </w:r>
      <w:r w:rsidR="0056243E">
        <w:rPr>
          <w:iCs/>
        </w:rPr>
        <w:t>was not obliged</w:t>
      </w:r>
      <w:r w:rsidRPr="00F555B2">
        <w:rPr>
          <w:iCs/>
        </w:rPr>
        <w:t xml:space="preserve"> to give any reduction</w:t>
      </w:r>
      <w:r w:rsidR="0056243E">
        <w:rPr>
          <w:iCs/>
        </w:rPr>
        <w:t xml:space="preserve"> </w:t>
      </w:r>
      <w:r w:rsidR="00E83214">
        <w:rPr>
          <w:iCs/>
        </w:rPr>
        <w:t xml:space="preserve">for the history of this matter and the apparent effect it had had on the applicant </w:t>
      </w:r>
      <w:r w:rsidR="0056243E">
        <w:rPr>
          <w:iCs/>
        </w:rPr>
        <w:t>but, nevertheless, exercised his</w:t>
      </w:r>
      <w:r w:rsidRPr="00F555B2">
        <w:rPr>
          <w:iCs/>
        </w:rPr>
        <w:t xml:space="preserve"> discretion</w:t>
      </w:r>
      <w:r w:rsidR="0056243E">
        <w:rPr>
          <w:iCs/>
        </w:rPr>
        <w:t>, as he was entitled to do,</w:t>
      </w:r>
      <w:r w:rsidRPr="00F555B2">
        <w:rPr>
          <w:iCs/>
        </w:rPr>
        <w:t xml:space="preserve"> </w:t>
      </w:r>
      <w:r w:rsidR="0056243E">
        <w:rPr>
          <w:iCs/>
        </w:rPr>
        <w:t>by granting</w:t>
      </w:r>
      <w:r w:rsidRPr="00F555B2">
        <w:rPr>
          <w:iCs/>
        </w:rPr>
        <w:t xml:space="preserve"> </w:t>
      </w:r>
      <w:r w:rsidR="00E83214">
        <w:rPr>
          <w:iCs/>
        </w:rPr>
        <w:t xml:space="preserve">her </w:t>
      </w:r>
      <w:r w:rsidRPr="00F555B2">
        <w:rPr>
          <w:iCs/>
        </w:rPr>
        <w:t xml:space="preserve">a 6-month discount.  </w:t>
      </w:r>
      <w:r w:rsidR="0056243E">
        <w:rPr>
          <w:iCs/>
        </w:rPr>
        <w:t xml:space="preserve">Since this was a purely discretionary matter, the extent to which it </w:t>
      </w:r>
      <w:r w:rsidR="00F84C47">
        <w:rPr>
          <w:iCs/>
        </w:rPr>
        <w:t xml:space="preserve">should </w:t>
      </w:r>
      <w:r w:rsidR="00D52DC3">
        <w:rPr>
          <w:iCs/>
        </w:rPr>
        <w:t>have reduced</w:t>
      </w:r>
      <w:r w:rsidR="0056243E">
        <w:rPr>
          <w:iCs/>
        </w:rPr>
        <w:t xml:space="preserve"> the </w:t>
      </w:r>
      <w:r w:rsidR="00D52DC3">
        <w:rPr>
          <w:iCs/>
        </w:rPr>
        <w:t xml:space="preserve">overall </w:t>
      </w:r>
      <w:r w:rsidR="0056243E">
        <w:rPr>
          <w:iCs/>
        </w:rPr>
        <w:t>sentence could not sensibly be</w:t>
      </w:r>
      <w:r w:rsidR="00C16756">
        <w:rPr>
          <w:iCs/>
        </w:rPr>
        <w:t xml:space="preserve"> challenged on</w:t>
      </w:r>
      <w:r w:rsidR="0056243E">
        <w:rPr>
          <w:iCs/>
        </w:rPr>
        <w:t xml:space="preserve"> appeal.</w:t>
      </w:r>
      <w:r w:rsidRPr="00F555B2">
        <w:rPr>
          <w:iCs/>
        </w:rPr>
        <w:t xml:space="preserve"> </w:t>
      </w:r>
    </w:p>
    <w:p w:rsidR="00E15F93" w:rsidRPr="00F555B2" w:rsidRDefault="00E15F93" w:rsidP="00AC2D2C">
      <w:pPr>
        <w:pStyle w:val="T-Draft"/>
      </w:pPr>
      <w:r>
        <w:rPr>
          <w:iCs/>
        </w:rPr>
        <w:t>It is fair to say, however, that from this original position</w:t>
      </w:r>
      <w:r w:rsidR="005A29C2">
        <w:rPr>
          <w:iCs/>
        </w:rPr>
        <w:t xml:space="preserve"> as set out in </w:t>
      </w:r>
      <w:r w:rsidR="009C2432">
        <w:rPr>
          <w:iCs/>
        </w:rPr>
        <w:t>the respondent’s</w:t>
      </w:r>
      <w:r w:rsidR="005A29C2">
        <w:rPr>
          <w:iCs/>
        </w:rPr>
        <w:t xml:space="preserve"> written argument</w:t>
      </w:r>
      <w:r w:rsidR="00171B88">
        <w:rPr>
          <w:iCs/>
        </w:rPr>
        <w:t>s</w:t>
      </w:r>
      <w:r>
        <w:rPr>
          <w:iCs/>
        </w:rPr>
        <w:t xml:space="preserve">, Mr Lau </w:t>
      </w:r>
      <w:r w:rsidR="009C2432">
        <w:rPr>
          <w:iCs/>
        </w:rPr>
        <w:t xml:space="preserve">was prepared to acknowledge certain </w:t>
      </w:r>
      <w:r w:rsidR="007A3360">
        <w:rPr>
          <w:iCs/>
        </w:rPr>
        <w:t>oddities</w:t>
      </w:r>
      <w:r>
        <w:rPr>
          <w:iCs/>
        </w:rPr>
        <w:t xml:space="preserve"> in relation to the </w:t>
      </w:r>
      <w:r w:rsidR="009C2432">
        <w:rPr>
          <w:iCs/>
        </w:rPr>
        <w:t xml:space="preserve">existing </w:t>
      </w:r>
      <w:r>
        <w:rPr>
          <w:iCs/>
        </w:rPr>
        <w:t>guidelines</w:t>
      </w:r>
      <w:r w:rsidR="009C2432">
        <w:rPr>
          <w:iCs/>
        </w:rPr>
        <w:t xml:space="preserve">, particularly as to the trajectory of the </w:t>
      </w:r>
      <w:r w:rsidR="007A3360">
        <w:rPr>
          <w:iCs/>
        </w:rPr>
        <w:t xml:space="preserve">sentencing </w:t>
      </w:r>
      <w:r w:rsidR="009C2432">
        <w:rPr>
          <w:iCs/>
        </w:rPr>
        <w:t xml:space="preserve">curve when the guidelines in </w:t>
      </w:r>
      <w:r w:rsidR="009C2432" w:rsidRPr="009C2432">
        <w:rPr>
          <w:i/>
          <w:iCs/>
        </w:rPr>
        <w:t>Abdallah</w:t>
      </w:r>
      <w:r w:rsidR="009C2432">
        <w:rPr>
          <w:iCs/>
        </w:rPr>
        <w:t xml:space="preserve"> </w:t>
      </w:r>
      <w:r w:rsidR="00C36537">
        <w:rPr>
          <w:iCs/>
        </w:rPr>
        <w:t>we</w:t>
      </w:r>
      <w:r w:rsidR="009C2432">
        <w:rPr>
          <w:iCs/>
        </w:rPr>
        <w:t xml:space="preserve">re grafted onto those in </w:t>
      </w:r>
      <w:r w:rsidR="009C2432" w:rsidRPr="009C2432">
        <w:rPr>
          <w:i/>
          <w:iCs/>
        </w:rPr>
        <w:t>Lau Tak-ming</w:t>
      </w:r>
      <w:r w:rsidR="009C2432">
        <w:rPr>
          <w:iCs/>
        </w:rPr>
        <w:t xml:space="preserve">. </w:t>
      </w:r>
      <w:r>
        <w:rPr>
          <w:iCs/>
        </w:rPr>
        <w:t xml:space="preserve"> </w:t>
      </w:r>
      <w:r w:rsidR="009C2432">
        <w:rPr>
          <w:iCs/>
        </w:rPr>
        <w:t>In his oral argument, he</w:t>
      </w:r>
      <w:r>
        <w:rPr>
          <w:iCs/>
        </w:rPr>
        <w:t xml:space="preserve"> modified his </w:t>
      </w:r>
      <w:r w:rsidR="009C2432">
        <w:rPr>
          <w:iCs/>
        </w:rPr>
        <w:t xml:space="preserve">original </w:t>
      </w:r>
      <w:r>
        <w:rPr>
          <w:iCs/>
        </w:rPr>
        <w:t>position</w:t>
      </w:r>
      <w:r w:rsidR="009C2432">
        <w:rPr>
          <w:iCs/>
        </w:rPr>
        <w:t xml:space="preserve">, accepting that there was a need to </w:t>
      </w:r>
      <w:r w:rsidR="00F84C47">
        <w:rPr>
          <w:iCs/>
        </w:rPr>
        <w:t>“</w:t>
      </w:r>
      <w:r w:rsidR="009C2432">
        <w:rPr>
          <w:iCs/>
        </w:rPr>
        <w:t>rationalise</w:t>
      </w:r>
      <w:r w:rsidR="00F84C47">
        <w:rPr>
          <w:iCs/>
        </w:rPr>
        <w:t>”</w:t>
      </w:r>
      <w:r w:rsidR="009C2432">
        <w:rPr>
          <w:iCs/>
        </w:rPr>
        <w:t xml:space="preserve"> the guidelines</w:t>
      </w:r>
      <w:r w:rsidR="00C36537">
        <w:rPr>
          <w:iCs/>
        </w:rPr>
        <w:t>,</w:t>
      </w:r>
      <w:r w:rsidR="009C2432">
        <w:rPr>
          <w:iCs/>
        </w:rPr>
        <w:t xml:space="preserve"> </w:t>
      </w:r>
      <w:r w:rsidR="00E83214">
        <w:rPr>
          <w:iCs/>
        </w:rPr>
        <w:t xml:space="preserve">whilst </w:t>
      </w:r>
      <w:r w:rsidR="00F84C47">
        <w:rPr>
          <w:iCs/>
        </w:rPr>
        <w:t>at the same time</w:t>
      </w:r>
      <w:r w:rsidR="009C2432">
        <w:rPr>
          <w:iCs/>
        </w:rPr>
        <w:t xml:space="preserve"> ensuring that they maintained </w:t>
      </w:r>
      <w:r w:rsidR="00E83214">
        <w:rPr>
          <w:iCs/>
        </w:rPr>
        <w:t>their</w:t>
      </w:r>
      <w:r w:rsidR="009C2432">
        <w:rPr>
          <w:iCs/>
        </w:rPr>
        <w:t xml:space="preserve"> deterrent effect.</w:t>
      </w:r>
      <w:r>
        <w:rPr>
          <w:iCs/>
        </w:rPr>
        <w:t xml:space="preserve">  </w:t>
      </w:r>
      <w:r w:rsidR="00E348DB">
        <w:rPr>
          <w:iCs/>
        </w:rPr>
        <w:t>He also</w:t>
      </w:r>
      <w:r w:rsidR="007A3360">
        <w:rPr>
          <w:iCs/>
        </w:rPr>
        <w:t xml:space="preserve"> helpfully</w:t>
      </w:r>
      <w:r w:rsidR="00E348DB">
        <w:rPr>
          <w:iCs/>
        </w:rPr>
        <w:t xml:space="preserve"> raised the necessity of dealing with the guidelines in </w:t>
      </w:r>
      <w:r w:rsidR="00E348DB" w:rsidRPr="00E348DB">
        <w:rPr>
          <w:i/>
          <w:iCs/>
        </w:rPr>
        <w:t>Tam Yi Chun</w:t>
      </w:r>
      <w:r w:rsidR="00E348DB">
        <w:rPr>
          <w:iCs/>
        </w:rPr>
        <w:t xml:space="preserve">, since the Court there </w:t>
      </w:r>
      <w:r w:rsidR="009678FA">
        <w:rPr>
          <w:iCs/>
        </w:rPr>
        <w:t>had effectively grafted</w:t>
      </w:r>
      <w:r w:rsidR="00E348DB">
        <w:rPr>
          <w:iCs/>
        </w:rPr>
        <w:t xml:space="preserve"> the </w:t>
      </w:r>
      <w:r w:rsidR="00E348DB" w:rsidRPr="00E348DB">
        <w:rPr>
          <w:i/>
          <w:iCs/>
        </w:rPr>
        <w:t>Abdallah</w:t>
      </w:r>
      <w:r w:rsidR="00E348DB">
        <w:rPr>
          <w:iCs/>
        </w:rPr>
        <w:t xml:space="preserve"> guidelines onto th</w:t>
      </w:r>
      <w:r w:rsidR="00F84C47">
        <w:rPr>
          <w:iCs/>
        </w:rPr>
        <w:t>e</w:t>
      </w:r>
      <w:r w:rsidR="00171B88">
        <w:rPr>
          <w:iCs/>
        </w:rPr>
        <w:t>ir</w:t>
      </w:r>
      <w:r w:rsidR="00F84C47">
        <w:rPr>
          <w:iCs/>
        </w:rPr>
        <w:t xml:space="preserve"> </w:t>
      </w:r>
      <w:r w:rsidR="00C36537">
        <w:rPr>
          <w:iCs/>
        </w:rPr>
        <w:t xml:space="preserve">own </w:t>
      </w:r>
      <w:r w:rsidR="00F84C47">
        <w:rPr>
          <w:iCs/>
        </w:rPr>
        <w:t xml:space="preserve">newly devised </w:t>
      </w:r>
      <w:r w:rsidR="009678FA">
        <w:rPr>
          <w:iCs/>
        </w:rPr>
        <w:t>ones</w:t>
      </w:r>
      <w:r w:rsidR="00E348DB">
        <w:rPr>
          <w:iCs/>
        </w:rPr>
        <w:t xml:space="preserve">.  </w:t>
      </w:r>
      <w:r>
        <w:rPr>
          <w:iCs/>
        </w:rPr>
        <w:t xml:space="preserve">We were grateful </w:t>
      </w:r>
      <w:r w:rsidR="009C2432">
        <w:rPr>
          <w:iCs/>
        </w:rPr>
        <w:t xml:space="preserve">for </w:t>
      </w:r>
      <w:r w:rsidR="00C36537">
        <w:rPr>
          <w:iCs/>
        </w:rPr>
        <w:t>the respondent’s</w:t>
      </w:r>
      <w:r w:rsidR="004F43AB">
        <w:rPr>
          <w:iCs/>
        </w:rPr>
        <w:t xml:space="preserve"> realistic approach </w:t>
      </w:r>
      <w:r w:rsidR="00E83214">
        <w:rPr>
          <w:iCs/>
        </w:rPr>
        <w:t>to the issue</w:t>
      </w:r>
      <w:r w:rsidR="00C36537">
        <w:rPr>
          <w:iCs/>
        </w:rPr>
        <w:t>s</w:t>
      </w:r>
      <w:r w:rsidR="00E83214">
        <w:rPr>
          <w:iCs/>
        </w:rPr>
        <w:t xml:space="preserve"> before us </w:t>
      </w:r>
      <w:r w:rsidR="004F43AB">
        <w:rPr>
          <w:iCs/>
        </w:rPr>
        <w:t xml:space="preserve">and for </w:t>
      </w:r>
      <w:r w:rsidR="00C36537">
        <w:rPr>
          <w:iCs/>
        </w:rPr>
        <w:t>Mr Lau’s</w:t>
      </w:r>
      <w:r>
        <w:rPr>
          <w:iCs/>
        </w:rPr>
        <w:t xml:space="preserve"> </w:t>
      </w:r>
      <w:r w:rsidR="007A3360">
        <w:rPr>
          <w:iCs/>
        </w:rPr>
        <w:t>articulate</w:t>
      </w:r>
      <w:r w:rsidR="004F43AB">
        <w:rPr>
          <w:iCs/>
        </w:rPr>
        <w:t xml:space="preserve"> and conscientious</w:t>
      </w:r>
      <w:r w:rsidR="009C2432">
        <w:rPr>
          <w:iCs/>
        </w:rPr>
        <w:t xml:space="preserve"> submissions</w:t>
      </w:r>
      <w:r>
        <w:rPr>
          <w:iCs/>
        </w:rPr>
        <w:t>.</w:t>
      </w:r>
    </w:p>
    <w:p w:rsidR="00AC2D2C" w:rsidRPr="00AC2D2C" w:rsidRDefault="00230FB8" w:rsidP="001F3081">
      <w:pPr>
        <w:pStyle w:val="j-heading"/>
        <w:rPr>
          <w:lang w:eastAsia="zh-TW"/>
        </w:rPr>
      </w:pPr>
      <w:r>
        <w:rPr>
          <w:lang w:eastAsia="zh-TW"/>
        </w:rPr>
        <w:t>Discuss</w:t>
      </w:r>
      <w:r w:rsidR="00AC2D2C" w:rsidRPr="00AC2D2C">
        <w:rPr>
          <w:lang w:eastAsia="zh-TW"/>
        </w:rPr>
        <w:t>ion</w:t>
      </w:r>
    </w:p>
    <w:p w:rsidR="0001356E" w:rsidRDefault="0001356E" w:rsidP="00F555B2">
      <w:pPr>
        <w:pStyle w:val="T-Draft"/>
        <w:rPr>
          <w:rFonts w:eastAsia="PMingLiU"/>
          <w:lang w:eastAsia="zh-TW"/>
        </w:rPr>
      </w:pPr>
      <w:r>
        <w:rPr>
          <w:rFonts w:eastAsia="PMingLiU"/>
          <w:lang w:eastAsia="zh-TW"/>
        </w:rPr>
        <w:t xml:space="preserve">Hong Kong was </w:t>
      </w:r>
      <w:r w:rsidR="008B0588">
        <w:rPr>
          <w:rFonts w:eastAsia="PMingLiU"/>
          <w:lang w:eastAsia="zh-TW"/>
        </w:rPr>
        <w:t xml:space="preserve">one of </w:t>
      </w:r>
      <w:r>
        <w:rPr>
          <w:rFonts w:eastAsia="PMingLiU"/>
          <w:lang w:eastAsia="zh-TW"/>
        </w:rPr>
        <w:t>the first jurisdiction</w:t>
      </w:r>
      <w:r w:rsidR="008B0588">
        <w:rPr>
          <w:rFonts w:eastAsia="PMingLiU"/>
          <w:lang w:eastAsia="zh-TW"/>
        </w:rPr>
        <w:t>s</w:t>
      </w:r>
      <w:r>
        <w:rPr>
          <w:rFonts w:eastAsia="PMingLiU"/>
          <w:lang w:eastAsia="zh-TW"/>
        </w:rPr>
        <w:t xml:space="preserve"> in the common law world to devise </w:t>
      </w:r>
      <w:r w:rsidR="001040D6">
        <w:rPr>
          <w:rFonts w:eastAsia="PMingLiU"/>
          <w:lang w:eastAsia="zh-TW"/>
        </w:rPr>
        <w:t xml:space="preserve">arithmetical </w:t>
      </w:r>
      <w:r>
        <w:rPr>
          <w:rFonts w:eastAsia="PMingLiU"/>
          <w:lang w:eastAsia="zh-TW"/>
        </w:rPr>
        <w:t>guidelines for those who traffic in dangerous drugs.</w:t>
      </w:r>
      <w:r w:rsidR="00F84C47">
        <w:rPr>
          <w:rFonts w:eastAsia="PMingLiU"/>
          <w:lang w:eastAsia="zh-TW"/>
        </w:rPr>
        <w:t xml:space="preserve">  I</w:t>
      </w:r>
      <w:r w:rsidR="00E348DB">
        <w:rPr>
          <w:rFonts w:eastAsia="PMingLiU"/>
          <w:lang w:eastAsia="zh-TW"/>
        </w:rPr>
        <w:t>n</w:t>
      </w:r>
      <w:r w:rsidR="001040D6">
        <w:rPr>
          <w:rFonts w:eastAsia="PMingLiU"/>
          <w:lang w:eastAsia="zh-TW"/>
        </w:rPr>
        <w:t xml:space="preserve"> </w:t>
      </w:r>
      <w:r w:rsidR="001040D6" w:rsidRPr="009D6450">
        <w:rPr>
          <w:rFonts w:eastAsia="PMingLiU"/>
          <w:i/>
          <w:lang w:eastAsia="zh-TW"/>
        </w:rPr>
        <w:t>Chan Chi-ming</w:t>
      </w:r>
      <w:r w:rsidR="001040D6">
        <w:rPr>
          <w:rFonts w:eastAsia="PMingLiU"/>
          <w:lang w:eastAsia="zh-TW"/>
        </w:rPr>
        <w:t xml:space="preserve">, </w:t>
      </w:r>
      <w:r w:rsidR="008B0588">
        <w:rPr>
          <w:rFonts w:eastAsia="PMingLiU"/>
          <w:lang w:eastAsia="zh-TW"/>
        </w:rPr>
        <w:t xml:space="preserve">the earliest guideline case to be </w:t>
      </w:r>
      <w:r w:rsidR="008B0588">
        <w:rPr>
          <w:rFonts w:eastAsia="PMingLiU"/>
          <w:lang w:eastAsia="zh-TW"/>
        </w:rPr>
        <w:lastRenderedPageBreak/>
        <w:t>de</w:t>
      </w:r>
      <w:r w:rsidR="002A3EEE">
        <w:rPr>
          <w:rFonts w:eastAsia="PMingLiU"/>
          <w:lang w:eastAsia="zh-TW"/>
        </w:rPr>
        <w:t>cided</w:t>
      </w:r>
      <w:r w:rsidR="008B0588">
        <w:rPr>
          <w:rFonts w:eastAsia="PMingLiU"/>
          <w:lang w:eastAsia="zh-TW"/>
        </w:rPr>
        <w:t xml:space="preserve"> in this jurisdiction, </w:t>
      </w:r>
      <w:r w:rsidR="001040D6">
        <w:rPr>
          <w:rFonts w:eastAsia="PMingLiU"/>
          <w:lang w:eastAsia="zh-TW"/>
        </w:rPr>
        <w:t>the Court identified</w:t>
      </w:r>
      <w:r w:rsidR="009D6450">
        <w:rPr>
          <w:rFonts w:eastAsia="PMingLiU"/>
          <w:lang w:eastAsia="zh-TW"/>
        </w:rPr>
        <w:t xml:space="preserve"> the quantity of the drug possessed by an accused as “the most important single factor in determining the proper sentence”</w:t>
      </w:r>
      <w:r w:rsidR="009D6450">
        <w:rPr>
          <w:rStyle w:val="FootnoteReference"/>
          <w:rFonts w:eastAsia="PMingLiU"/>
          <w:lang w:eastAsia="zh-TW"/>
        </w:rPr>
        <w:footnoteReference w:id="42"/>
      </w:r>
      <w:r w:rsidR="009D6450">
        <w:rPr>
          <w:rFonts w:eastAsia="PMingLiU"/>
          <w:lang w:eastAsia="zh-TW"/>
        </w:rPr>
        <w:t>.</w:t>
      </w:r>
      <w:r w:rsidR="008B0588">
        <w:rPr>
          <w:rFonts w:eastAsia="PMingLiU"/>
          <w:lang w:eastAsia="zh-TW"/>
        </w:rPr>
        <w:t xml:space="preserve">  Forty-five years on, in</w:t>
      </w:r>
      <w:r w:rsidR="001A3AF3">
        <w:rPr>
          <w:rFonts w:eastAsia="PMingLiU"/>
          <w:lang w:eastAsia="zh-TW"/>
        </w:rPr>
        <w:t xml:space="preserve"> the recent decision of</w:t>
      </w:r>
      <w:r w:rsidR="008B0588">
        <w:rPr>
          <w:rFonts w:eastAsia="PMingLiU"/>
          <w:lang w:eastAsia="zh-TW"/>
        </w:rPr>
        <w:t xml:space="preserve"> </w:t>
      </w:r>
      <w:r w:rsidR="008B0588" w:rsidRPr="008B0588">
        <w:rPr>
          <w:rFonts w:eastAsia="PMingLiU"/>
          <w:i/>
          <w:lang w:eastAsia="zh-TW"/>
        </w:rPr>
        <w:t xml:space="preserve">Lee </w:t>
      </w:r>
      <w:r w:rsidR="007D4CAF">
        <w:rPr>
          <w:rFonts w:eastAsia="PMingLiU"/>
          <w:i/>
          <w:lang w:eastAsia="zh-TW"/>
        </w:rPr>
        <w:t>‍</w:t>
      </w:r>
      <w:r w:rsidR="008B0588" w:rsidRPr="008B0588">
        <w:rPr>
          <w:rFonts w:eastAsia="PMingLiU"/>
          <w:i/>
          <w:lang w:eastAsia="zh-TW"/>
        </w:rPr>
        <w:t>Ming Ho</w:t>
      </w:r>
      <w:r w:rsidR="008B0588">
        <w:rPr>
          <w:rFonts w:eastAsia="PMingLiU"/>
          <w:lang w:eastAsia="zh-TW"/>
        </w:rPr>
        <w:t xml:space="preserve">, the Court has </w:t>
      </w:r>
      <w:r w:rsidR="00575D8C">
        <w:rPr>
          <w:rFonts w:eastAsia="PMingLiU"/>
          <w:lang w:eastAsia="zh-TW"/>
        </w:rPr>
        <w:t xml:space="preserve">once again </w:t>
      </w:r>
      <w:r w:rsidR="008B0588">
        <w:rPr>
          <w:rFonts w:eastAsia="PMingLiU"/>
          <w:lang w:eastAsia="zh-TW"/>
        </w:rPr>
        <w:t>reiterated</w:t>
      </w:r>
      <w:r w:rsidR="00575D8C">
        <w:rPr>
          <w:rFonts w:eastAsia="PMingLiU"/>
          <w:lang w:eastAsia="zh-TW"/>
        </w:rPr>
        <w:t xml:space="preserve"> the principle</w:t>
      </w:r>
      <w:r w:rsidR="008B0588">
        <w:rPr>
          <w:rFonts w:eastAsia="PMingLiU"/>
          <w:lang w:eastAsia="zh-TW"/>
        </w:rPr>
        <w:t xml:space="preserve"> that “quantity must remain the primary determinant in sentencing for trafficking in dangerous drugs”</w:t>
      </w:r>
      <w:r w:rsidR="008B0588">
        <w:rPr>
          <w:rStyle w:val="FootnoteReference"/>
          <w:rFonts w:eastAsia="PMingLiU"/>
          <w:lang w:eastAsia="zh-TW"/>
        </w:rPr>
        <w:footnoteReference w:id="43"/>
      </w:r>
      <w:r w:rsidR="008B0588">
        <w:rPr>
          <w:rFonts w:eastAsia="PMingLiU"/>
          <w:lang w:eastAsia="zh-TW"/>
        </w:rPr>
        <w:t>.</w:t>
      </w:r>
    </w:p>
    <w:p w:rsidR="008B0588" w:rsidRDefault="00575D8C" w:rsidP="00F555B2">
      <w:pPr>
        <w:pStyle w:val="T-Draft"/>
        <w:rPr>
          <w:rFonts w:eastAsia="PMingLiU"/>
          <w:lang w:eastAsia="zh-TW"/>
        </w:rPr>
      </w:pPr>
      <w:r>
        <w:rPr>
          <w:rFonts w:eastAsia="PMingLiU"/>
          <w:lang w:eastAsia="zh-TW"/>
        </w:rPr>
        <w:t>Between 1979 and 2024</w:t>
      </w:r>
      <w:r w:rsidR="008B0588">
        <w:rPr>
          <w:rFonts w:eastAsia="PMingLiU"/>
          <w:lang w:eastAsia="zh-TW"/>
        </w:rPr>
        <w:t xml:space="preserve">, </w:t>
      </w:r>
      <w:r w:rsidR="00FB022C">
        <w:rPr>
          <w:rFonts w:eastAsia="PMingLiU"/>
          <w:lang w:eastAsia="zh-TW"/>
        </w:rPr>
        <w:t xml:space="preserve">further guideline cases have been </w:t>
      </w:r>
      <w:r w:rsidR="00230FB8">
        <w:rPr>
          <w:rFonts w:eastAsia="PMingLiU"/>
          <w:lang w:eastAsia="zh-TW"/>
        </w:rPr>
        <w:t>issued</w:t>
      </w:r>
      <w:r w:rsidR="002A3EEE">
        <w:rPr>
          <w:rFonts w:eastAsia="PMingLiU"/>
          <w:lang w:eastAsia="zh-TW"/>
        </w:rPr>
        <w:t xml:space="preserve"> by the Court</w:t>
      </w:r>
      <w:r w:rsidR="00FB022C">
        <w:rPr>
          <w:rFonts w:eastAsia="PMingLiU"/>
          <w:lang w:eastAsia="zh-TW"/>
        </w:rPr>
        <w:t xml:space="preserve">, which have refined, </w:t>
      </w:r>
      <w:r w:rsidR="00F84C47">
        <w:rPr>
          <w:rFonts w:eastAsia="PMingLiU"/>
          <w:lang w:eastAsia="zh-TW"/>
        </w:rPr>
        <w:t xml:space="preserve">extended or </w:t>
      </w:r>
      <w:r w:rsidR="00FB022C">
        <w:rPr>
          <w:rFonts w:eastAsia="PMingLiU"/>
          <w:lang w:eastAsia="zh-TW"/>
        </w:rPr>
        <w:t>replac</w:t>
      </w:r>
      <w:r w:rsidR="00831298">
        <w:rPr>
          <w:rFonts w:eastAsia="PMingLiU"/>
          <w:lang w:eastAsia="zh-TW"/>
        </w:rPr>
        <w:t xml:space="preserve">ed earlier </w:t>
      </w:r>
      <w:r w:rsidR="00230FB8">
        <w:rPr>
          <w:rFonts w:eastAsia="PMingLiU"/>
          <w:lang w:eastAsia="zh-TW"/>
        </w:rPr>
        <w:t>authorities</w:t>
      </w:r>
      <w:r w:rsidR="00FB022C">
        <w:rPr>
          <w:rFonts w:eastAsia="PMingLiU"/>
          <w:lang w:eastAsia="zh-TW"/>
        </w:rPr>
        <w:t>.  This has be</w:t>
      </w:r>
      <w:r w:rsidR="001A3AF3">
        <w:rPr>
          <w:rFonts w:eastAsia="PMingLiU"/>
          <w:lang w:eastAsia="zh-TW"/>
        </w:rPr>
        <w:t>come necessary</w:t>
      </w:r>
      <w:r w:rsidR="00FB022C">
        <w:rPr>
          <w:rFonts w:eastAsia="PMingLiU"/>
          <w:lang w:eastAsia="zh-TW"/>
        </w:rPr>
        <w:t xml:space="preserve"> because </w:t>
      </w:r>
      <w:r w:rsidR="00643D22">
        <w:rPr>
          <w:rFonts w:eastAsia="PMingLiU"/>
          <w:lang w:eastAsia="zh-TW"/>
        </w:rPr>
        <w:t xml:space="preserve">the </w:t>
      </w:r>
      <w:r w:rsidR="00FB022C">
        <w:rPr>
          <w:rFonts w:eastAsia="PMingLiU"/>
          <w:lang w:eastAsia="zh-TW"/>
        </w:rPr>
        <w:t xml:space="preserve">patterns </w:t>
      </w:r>
      <w:r w:rsidR="00643D22">
        <w:rPr>
          <w:rFonts w:eastAsia="PMingLiU"/>
          <w:lang w:eastAsia="zh-TW"/>
        </w:rPr>
        <w:t xml:space="preserve">and prevalence of drug usage, </w:t>
      </w:r>
      <w:r>
        <w:rPr>
          <w:rFonts w:eastAsia="PMingLiU"/>
          <w:lang w:eastAsia="zh-TW"/>
        </w:rPr>
        <w:t xml:space="preserve">the types of drugs used and their potency, </w:t>
      </w:r>
      <w:r w:rsidR="00643D22">
        <w:rPr>
          <w:rFonts w:eastAsia="PMingLiU"/>
          <w:lang w:eastAsia="zh-TW"/>
        </w:rPr>
        <w:t xml:space="preserve">as well as the </w:t>
      </w:r>
      <w:r w:rsidR="00831298">
        <w:rPr>
          <w:rFonts w:eastAsia="PMingLiU"/>
          <w:lang w:eastAsia="zh-TW"/>
        </w:rPr>
        <w:t xml:space="preserve">scale and </w:t>
      </w:r>
      <w:r w:rsidR="00643D22">
        <w:rPr>
          <w:rFonts w:eastAsia="PMingLiU"/>
          <w:lang w:eastAsia="zh-TW"/>
        </w:rPr>
        <w:t xml:space="preserve">ingenuity </w:t>
      </w:r>
      <w:r w:rsidR="00FB022C">
        <w:rPr>
          <w:rFonts w:eastAsia="PMingLiU"/>
          <w:lang w:eastAsia="zh-TW"/>
        </w:rPr>
        <w:t>of offending</w:t>
      </w:r>
      <w:r w:rsidR="00643D22">
        <w:rPr>
          <w:rFonts w:eastAsia="PMingLiU"/>
          <w:lang w:eastAsia="zh-TW"/>
        </w:rPr>
        <w:t>,</w:t>
      </w:r>
      <w:r w:rsidR="00FB022C">
        <w:rPr>
          <w:rFonts w:eastAsia="PMingLiU"/>
          <w:lang w:eastAsia="zh-TW"/>
        </w:rPr>
        <w:t xml:space="preserve"> </w:t>
      </w:r>
      <w:r w:rsidR="001A3AF3">
        <w:rPr>
          <w:rFonts w:eastAsia="PMingLiU"/>
          <w:lang w:eastAsia="zh-TW"/>
        </w:rPr>
        <w:t xml:space="preserve">have </w:t>
      </w:r>
      <w:r w:rsidR="00FB022C">
        <w:rPr>
          <w:rFonts w:eastAsia="PMingLiU"/>
          <w:lang w:eastAsia="zh-TW"/>
        </w:rPr>
        <w:t>change</w:t>
      </w:r>
      <w:r w:rsidR="001A3AF3">
        <w:rPr>
          <w:rFonts w:eastAsia="PMingLiU"/>
          <w:lang w:eastAsia="zh-TW"/>
        </w:rPr>
        <w:t>d, and will continue to change</w:t>
      </w:r>
      <w:r w:rsidR="00F84C47">
        <w:rPr>
          <w:rFonts w:eastAsia="PMingLiU"/>
          <w:lang w:eastAsia="zh-TW"/>
        </w:rPr>
        <w:t xml:space="preserve"> </w:t>
      </w:r>
      <w:r w:rsidR="009678FA">
        <w:rPr>
          <w:rFonts w:eastAsia="PMingLiU"/>
          <w:lang w:eastAsia="zh-TW"/>
        </w:rPr>
        <w:t>in the future</w:t>
      </w:r>
      <w:r w:rsidR="00FB022C">
        <w:rPr>
          <w:rFonts w:eastAsia="PMingLiU"/>
          <w:lang w:eastAsia="zh-TW"/>
        </w:rPr>
        <w:t xml:space="preserve">.  </w:t>
      </w:r>
      <w:r w:rsidR="00171B88">
        <w:rPr>
          <w:rFonts w:eastAsia="PMingLiU"/>
          <w:lang w:eastAsia="zh-TW"/>
        </w:rPr>
        <w:t>S</w:t>
      </w:r>
      <w:r w:rsidR="00230FB8">
        <w:rPr>
          <w:rFonts w:eastAsia="PMingLiU"/>
          <w:lang w:eastAsia="zh-TW"/>
        </w:rPr>
        <w:t>uch changes will necessarily</w:t>
      </w:r>
      <w:r w:rsidR="002A3EEE">
        <w:rPr>
          <w:rFonts w:eastAsia="PMingLiU"/>
          <w:lang w:eastAsia="zh-TW"/>
        </w:rPr>
        <w:t xml:space="preserve"> require the Court to reassess its sentencing </w:t>
      </w:r>
      <w:r w:rsidR="00E348DB">
        <w:rPr>
          <w:rFonts w:eastAsia="PMingLiU"/>
          <w:lang w:eastAsia="zh-TW"/>
        </w:rPr>
        <w:t xml:space="preserve">policy and </w:t>
      </w:r>
      <w:r w:rsidR="002A3EEE">
        <w:rPr>
          <w:rFonts w:eastAsia="PMingLiU"/>
          <w:lang w:eastAsia="zh-TW"/>
        </w:rPr>
        <w:t>approach</w:t>
      </w:r>
      <w:r w:rsidR="00D52DC3">
        <w:rPr>
          <w:rFonts w:eastAsia="PMingLiU"/>
          <w:lang w:eastAsia="zh-TW"/>
        </w:rPr>
        <w:t xml:space="preserve"> from time to time</w:t>
      </w:r>
      <w:r w:rsidR="002A3EEE">
        <w:rPr>
          <w:rFonts w:eastAsia="PMingLiU"/>
          <w:lang w:eastAsia="zh-TW"/>
        </w:rPr>
        <w:t xml:space="preserve">.  </w:t>
      </w:r>
      <w:r w:rsidR="00FB022C">
        <w:rPr>
          <w:rFonts w:eastAsia="PMingLiU"/>
          <w:lang w:eastAsia="zh-TW"/>
        </w:rPr>
        <w:t xml:space="preserve">As the Court in </w:t>
      </w:r>
      <w:r w:rsidR="00FB022C" w:rsidRPr="00FB022C">
        <w:rPr>
          <w:rFonts w:eastAsia="PMingLiU"/>
          <w:i/>
          <w:lang w:eastAsia="zh-TW"/>
        </w:rPr>
        <w:t>Lee Ming Ho</w:t>
      </w:r>
      <w:r w:rsidR="00FB022C">
        <w:rPr>
          <w:rFonts w:eastAsia="PMingLiU"/>
          <w:lang w:eastAsia="zh-TW"/>
        </w:rPr>
        <w:t xml:space="preserve"> explained</w:t>
      </w:r>
      <w:r w:rsidR="002219A9">
        <w:rPr>
          <w:rStyle w:val="FootnoteReference"/>
          <w:rFonts w:eastAsia="PMingLiU"/>
          <w:lang w:eastAsia="zh-TW"/>
        </w:rPr>
        <w:footnoteReference w:id="44"/>
      </w:r>
      <w:r w:rsidR="00FB022C">
        <w:rPr>
          <w:rFonts w:eastAsia="PMingLiU"/>
          <w:lang w:eastAsia="zh-TW"/>
        </w:rPr>
        <w:t>:</w:t>
      </w:r>
    </w:p>
    <w:p w:rsidR="00FB022C" w:rsidRDefault="007D4CAF" w:rsidP="007D4CAF">
      <w:pPr>
        <w:pStyle w:val="j-quotation"/>
      </w:pPr>
      <w:r>
        <w:t xml:space="preserve">“A reassessment </w:t>
      </w:r>
      <w:r w:rsidRPr="007D4CAF">
        <w:t>and realignment of an approach to sentencing policy is not new and should not be viewed as unorthodox or heretical: the circumstances, patterns and habits of offending behaviour change over the decades, while the polic</w:t>
      </w:r>
      <w:r w:rsidR="00D52DC3">
        <w:t>ies</w:t>
      </w:r>
      <w:r w:rsidRPr="007D4CAF">
        <w:t xml:space="preserve"> designed to deal with particular types of offence are often shaped by prevalence and experience, the shifting attitudes of society to the offence or the offender and by greater general and scientific knowledge as well as understanding of the offence itself.</w:t>
      </w:r>
      <w:r>
        <w:t xml:space="preserve"> </w:t>
      </w:r>
      <w:r w:rsidRPr="007D4CAF">
        <w:t xml:space="preserve"> Such developments, and the changes they bring to sentencing policy, are more evolutionary than</w:t>
      </w:r>
      <w:r w:rsidR="00FB022C">
        <w:t xml:space="preserve"> revolutionary.”</w:t>
      </w:r>
    </w:p>
    <w:p w:rsidR="00643D22" w:rsidRDefault="00643D22" w:rsidP="00643D22">
      <w:pPr>
        <w:pStyle w:val="T-Draft"/>
        <w:rPr>
          <w:lang w:eastAsia="zh-TW"/>
        </w:rPr>
      </w:pPr>
      <w:r>
        <w:rPr>
          <w:lang w:eastAsia="zh-TW"/>
        </w:rPr>
        <w:t>The present case concerns 6,960 millilitres of a liquid containing 4,770 grammes of cocaine.  Forty</w:t>
      </w:r>
      <w:r w:rsidR="00575D8C">
        <w:rPr>
          <w:lang w:eastAsia="zh-TW"/>
        </w:rPr>
        <w:t>-five</w:t>
      </w:r>
      <w:r>
        <w:rPr>
          <w:lang w:eastAsia="zh-TW"/>
        </w:rPr>
        <w:t xml:space="preserve"> years ago,</w:t>
      </w:r>
      <w:r w:rsidR="00C629B4">
        <w:rPr>
          <w:lang w:eastAsia="zh-TW"/>
        </w:rPr>
        <w:t xml:space="preserve"> the trafficking of</w:t>
      </w:r>
      <w:r>
        <w:rPr>
          <w:lang w:eastAsia="zh-TW"/>
        </w:rPr>
        <w:t xml:space="preserve"> cocaine </w:t>
      </w:r>
      <w:r w:rsidR="00831298">
        <w:rPr>
          <w:lang w:eastAsia="zh-TW"/>
        </w:rPr>
        <w:t xml:space="preserve">(let alone </w:t>
      </w:r>
      <w:r w:rsidR="001A3AF3">
        <w:rPr>
          <w:lang w:eastAsia="zh-TW"/>
        </w:rPr>
        <w:t xml:space="preserve">in </w:t>
      </w:r>
      <w:r w:rsidR="00831298">
        <w:rPr>
          <w:lang w:eastAsia="zh-TW"/>
        </w:rPr>
        <w:t xml:space="preserve">liquid </w:t>
      </w:r>
      <w:r w:rsidR="001A3AF3">
        <w:rPr>
          <w:lang w:eastAsia="zh-TW"/>
        </w:rPr>
        <w:t>form</w:t>
      </w:r>
      <w:r w:rsidR="00831298">
        <w:rPr>
          <w:lang w:eastAsia="zh-TW"/>
        </w:rPr>
        <w:t xml:space="preserve">) </w:t>
      </w:r>
      <w:r>
        <w:rPr>
          <w:lang w:eastAsia="zh-TW"/>
        </w:rPr>
        <w:t xml:space="preserve">was unknown in Hong </w:t>
      </w:r>
      <w:r w:rsidR="006C4B2A">
        <w:rPr>
          <w:rFonts w:eastAsia="PMingLiU"/>
          <w:lang w:eastAsia="zh-TW"/>
        </w:rPr>
        <w:t>‍</w:t>
      </w:r>
      <w:r>
        <w:rPr>
          <w:lang w:eastAsia="zh-TW"/>
        </w:rPr>
        <w:t>Kong</w:t>
      </w:r>
      <w:r w:rsidR="001A3AF3">
        <w:rPr>
          <w:lang w:eastAsia="zh-TW"/>
        </w:rPr>
        <w:t>.  Indeed,</w:t>
      </w:r>
      <w:r w:rsidR="003C44BF">
        <w:rPr>
          <w:lang w:eastAsia="zh-TW"/>
        </w:rPr>
        <w:t xml:space="preserve"> </w:t>
      </w:r>
      <w:r w:rsidR="00C629B4">
        <w:rPr>
          <w:lang w:eastAsia="zh-TW"/>
        </w:rPr>
        <w:t>in</w:t>
      </w:r>
      <w:r w:rsidR="00171B88">
        <w:rPr>
          <w:lang w:eastAsia="zh-TW"/>
        </w:rPr>
        <w:t xml:space="preserve"> 1986 in</w:t>
      </w:r>
      <w:r w:rsidR="00C629B4">
        <w:rPr>
          <w:lang w:eastAsia="zh-TW"/>
        </w:rPr>
        <w:t xml:space="preserve"> </w:t>
      </w:r>
      <w:r w:rsidR="00C629B4" w:rsidRPr="00C629B4">
        <w:rPr>
          <w:i/>
          <w:lang w:eastAsia="zh-TW"/>
        </w:rPr>
        <w:t xml:space="preserve">Attorney General v Leung </w:t>
      </w:r>
      <w:r w:rsidR="007D4CAF">
        <w:rPr>
          <w:i/>
          <w:lang w:eastAsia="zh-TW"/>
        </w:rPr>
        <w:t>‍</w:t>
      </w:r>
      <w:r w:rsidR="00C629B4" w:rsidRPr="00C629B4">
        <w:rPr>
          <w:i/>
          <w:lang w:eastAsia="zh-TW"/>
        </w:rPr>
        <w:t>Pang-</w:t>
      </w:r>
      <w:r w:rsidR="007D4CAF">
        <w:rPr>
          <w:i/>
          <w:lang w:eastAsia="zh-TW"/>
        </w:rPr>
        <w:t>‍</w:t>
      </w:r>
      <w:r w:rsidR="00C629B4" w:rsidRPr="00C629B4">
        <w:rPr>
          <w:i/>
          <w:lang w:eastAsia="zh-TW"/>
        </w:rPr>
        <w:t>chiu</w:t>
      </w:r>
      <w:r w:rsidR="00C629B4">
        <w:rPr>
          <w:rStyle w:val="FootnoteReference"/>
          <w:lang w:eastAsia="zh-TW"/>
        </w:rPr>
        <w:footnoteReference w:id="45"/>
      </w:r>
      <w:r w:rsidR="001A3AF3">
        <w:rPr>
          <w:lang w:eastAsia="zh-TW"/>
        </w:rPr>
        <w:t xml:space="preserve">, </w:t>
      </w:r>
      <w:r w:rsidR="001A3AF3">
        <w:rPr>
          <w:lang w:eastAsia="zh-TW"/>
        </w:rPr>
        <w:lastRenderedPageBreak/>
        <w:t xml:space="preserve">it </w:t>
      </w:r>
      <w:r w:rsidR="002A3EEE">
        <w:rPr>
          <w:lang w:eastAsia="zh-TW"/>
        </w:rPr>
        <w:t>had been</w:t>
      </w:r>
      <w:r w:rsidR="001A3AF3">
        <w:rPr>
          <w:lang w:eastAsia="zh-TW"/>
        </w:rPr>
        <w:t xml:space="preserve"> submitted </w:t>
      </w:r>
      <w:r w:rsidR="00575D8C">
        <w:rPr>
          <w:lang w:eastAsia="zh-TW"/>
        </w:rPr>
        <w:t>on behalf of</w:t>
      </w:r>
      <w:r w:rsidR="002A3EEE">
        <w:rPr>
          <w:lang w:eastAsia="zh-TW"/>
        </w:rPr>
        <w:t xml:space="preserve"> the appellant </w:t>
      </w:r>
      <w:r w:rsidR="00C629B4">
        <w:rPr>
          <w:lang w:eastAsia="zh-TW"/>
        </w:rPr>
        <w:t xml:space="preserve">that </w:t>
      </w:r>
      <w:r w:rsidR="00230FB8">
        <w:rPr>
          <w:lang w:eastAsia="zh-TW"/>
        </w:rPr>
        <w:t xml:space="preserve">a deterrent element in sentence was not necessary </w:t>
      </w:r>
      <w:r w:rsidR="00C629B4">
        <w:rPr>
          <w:lang w:eastAsia="zh-TW"/>
        </w:rPr>
        <w:t xml:space="preserve">when dealing with such a </w:t>
      </w:r>
      <w:r w:rsidR="00831298">
        <w:rPr>
          <w:lang w:eastAsia="zh-TW"/>
        </w:rPr>
        <w:t xml:space="preserve">novel </w:t>
      </w:r>
      <w:r w:rsidR="00C629B4">
        <w:rPr>
          <w:lang w:eastAsia="zh-TW"/>
        </w:rPr>
        <w:t xml:space="preserve">drug.  Of </w:t>
      </w:r>
      <w:r w:rsidR="00831298">
        <w:rPr>
          <w:lang w:eastAsia="zh-TW"/>
        </w:rPr>
        <w:t>th</w:t>
      </w:r>
      <w:r w:rsidR="001A3AF3">
        <w:rPr>
          <w:lang w:eastAsia="zh-TW"/>
        </w:rPr>
        <w:t>is</w:t>
      </w:r>
      <w:r w:rsidR="00C629B4">
        <w:rPr>
          <w:lang w:eastAsia="zh-TW"/>
        </w:rPr>
        <w:t xml:space="preserve"> submission, the Court said:</w:t>
      </w:r>
    </w:p>
    <w:p w:rsidR="007D4CAF" w:rsidRDefault="00C629B4" w:rsidP="007D4CAF">
      <w:pPr>
        <w:pStyle w:val="j-quotation"/>
      </w:pPr>
      <w:r>
        <w:t>“</w:t>
      </w:r>
      <w:r w:rsidR="00230FB8">
        <w:t>(Counsel)</w:t>
      </w:r>
      <w:r>
        <w:t xml:space="preserve"> has urged</w:t>
      </w:r>
      <w:r w:rsidR="007D4CAF">
        <w:t xml:space="preserve"> us not to follow the English lead.  There is here, he says, no ‘upward spiral’ of abuse which caused such anxiety to the English Court of Appeal in </w:t>
      </w:r>
      <w:r w:rsidR="007D4CAF" w:rsidRPr="0096623F">
        <w:rPr>
          <w:i/>
        </w:rPr>
        <w:t>Martinez</w:t>
      </w:r>
      <w:r w:rsidR="00831298" w:rsidRPr="00831298">
        <w:rPr>
          <w:rStyle w:val="FootnoteReference"/>
        </w:rPr>
        <w:footnoteReference w:id="46"/>
      </w:r>
      <w:r w:rsidR="007D4CAF" w:rsidRPr="00831298">
        <w:t xml:space="preserve"> </w:t>
      </w:r>
      <w:r w:rsidR="007D4CAF">
        <w:t>and which was indicated by the increasing number of seizures.  Here cocaine is comparatively unknown.  Indeed this is, so far as Counsel are aware, the first prosecution that has been brought.  It is therefore not necessary to impose a deterrent sentence at this stage.</w:t>
      </w:r>
    </w:p>
    <w:p w:rsidR="00C629B4" w:rsidRDefault="007D4CAF" w:rsidP="007D4CAF">
      <w:pPr>
        <w:pStyle w:val="j-quotation"/>
      </w:pPr>
      <w:r>
        <w:t xml:space="preserve">With every respect we are unable to accept that submission in the present circumstances.  It is better to eradicate a bad habit before rather than after it has taken a firm hold.  Cocaine has made a start in this territory, appropriate sentences are necessary to nip the process in the bud.  We would suggest for the present the adoption of guidelines similar to those recommended, in </w:t>
      </w:r>
      <w:r w:rsidR="00C629B4" w:rsidRPr="00C629B4">
        <w:rPr>
          <w:i/>
        </w:rPr>
        <w:t xml:space="preserve">The </w:t>
      </w:r>
      <w:r>
        <w:rPr>
          <w:i/>
          <w:lang w:eastAsia="zh-TW"/>
        </w:rPr>
        <w:t>‍</w:t>
      </w:r>
      <w:r w:rsidR="00C629B4" w:rsidRPr="00C629B4">
        <w:rPr>
          <w:i/>
        </w:rPr>
        <w:t>Queen v Chan Chi-ming</w:t>
      </w:r>
      <w:r w:rsidR="00C629B4">
        <w:t xml:space="preserve"> [1979] HKLR 491.”</w:t>
      </w:r>
    </w:p>
    <w:p w:rsidR="005A27FD" w:rsidRDefault="001A3AF3" w:rsidP="004523BE">
      <w:pPr>
        <w:pStyle w:val="T-Draft"/>
        <w:rPr>
          <w:lang w:eastAsia="zh-TW"/>
        </w:rPr>
      </w:pPr>
      <w:r>
        <w:rPr>
          <w:lang w:eastAsia="zh-TW"/>
        </w:rPr>
        <w:t xml:space="preserve">It is instructive to note </w:t>
      </w:r>
      <w:r w:rsidR="00230FB8">
        <w:rPr>
          <w:lang w:eastAsia="zh-TW"/>
        </w:rPr>
        <w:t xml:space="preserve">in this regard </w:t>
      </w:r>
      <w:r>
        <w:rPr>
          <w:lang w:eastAsia="zh-TW"/>
        </w:rPr>
        <w:t xml:space="preserve">that </w:t>
      </w:r>
      <w:r w:rsidR="004667CD">
        <w:rPr>
          <w:lang w:eastAsia="zh-TW"/>
        </w:rPr>
        <w:t>according to</w:t>
      </w:r>
      <w:r>
        <w:rPr>
          <w:lang w:eastAsia="zh-TW"/>
        </w:rPr>
        <w:t xml:space="preserve"> t</w:t>
      </w:r>
      <w:r w:rsidR="000A3DA0">
        <w:rPr>
          <w:lang w:eastAsia="zh-TW"/>
        </w:rPr>
        <w:t>he statistics helpfully pla</w:t>
      </w:r>
      <w:r w:rsidR="00F84C47">
        <w:rPr>
          <w:lang w:eastAsia="zh-TW"/>
        </w:rPr>
        <w:t>ced before us by the respondent</w:t>
      </w:r>
      <w:r w:rsidR="00230FB8">
        <w:rPr>
          <w:lang w:eastAsia="zh-TW"/>
        </w:rPr>
        <w:t xml:space="preserve"> </w:t>
      </w:r>
      <w:r>
        <w:rPr>
          <w:lang w:eastAsia="zh-TW"/>
        </w:rPr>
        <w:t>for the year</w:t>
      </w:r>
      <w:r w:rsidR="000A3DA0">
        <w:rPr>
          <w:lang w:eastAsia="zh-TW"/>
        </w:rPr>
        <w:t xml:space="preserve"> 2023, which was the last </w:t>
      </w:r>
      <w:r w:rsidR="008C045F">
        <w:rPr>
          <w:lang w:eastAsia="zh-TW"/>
        </w:rPr>
        <w:t xml:space="preserve">full </w:t>
      </w:r>
      <w:r w:rsidR="000A3DA0">
        <w:rPr>
          <w:lang w:eastAsia="zh-TW"/>
        </w:rPr>
        <w:t xml:space="preserve">year for which figures were provided, </w:t>
      </w:r>
      <w:r w:rsidR="008C045F">
        <w:rPr>
          <w:lang w:eastAsia="zh-TW"/>
        </w:rPr>
        <w:t>a total quantity</w:t>
      </w:r>
      <w:r w:rsidR="00171B88">
        <w:rPr>
          <w:lang w:eastAsia="zh-TW"/>
        </w:rPr>
        <w:t xml:space="preserve"> of</w:t>
      </w:r>
      <w:r w:rsidR="008C045F">
        <w:rPr>
          <w:lang w:eastAsia="zh-TW"/>
        </w:rPr>
        <w:t xml:space="preserve"> </w:t>
      </w:r>
      <w:r w:rsidR="000A3DA0">
        <w:rPr>
          <w:lang w:eastAsia="zh-TW"/>
        </w:rPr>
        <w:t xml:space="preserve">1,598,710 grammes of cocaine were seized by </w:t>
      </w:r>
      <w:r w:rsidR="009678FA">
        <w:rPr>
          <w:lang w:eastAsia="zh-TW"/>
        </w:rPr>
        <w:t>the police</w:t>
      </w:r>
      <w:r w:rsidR="000A3DA0">
        <w:rPr>
          <w:lang w:eastAsia="zh-TW"/>
        </w:rPr>
        <w:t xml:space="preserve"> </w:t>
      </w:r>
      <w:r w:rsidR="00831298">
        <w:rPr>
          <w:lang w:eastAsia="zh-TW"/>
        </w:rPr>
        <w:t>in Hong Kong</w:t>
      </w:r>
      <w:r w:rsidR="000A3DA0">
        <w:rPr>
          <w:lang w:eastAsia="zh-TW"/>
        </w:rPr>
        <w:t xml:space="preserve">, as against 291,370 grammes of heroin.  Correspondingly, </w:t>
      </w:r>
      <w:r w:rsidR="00575D8C">
        <w:rPr>
          <w:lang w:eastAsia="zh-TW"/>
        </w:rPr>
        <w:t xml:space="preserve">in the same year, </w:t>
      </w:r>
      <w:r w:rsidR="000A3DA0">
        <w:rPr>
          <w:lang w:eastAsia="zh-TW"/>
        </w:rPr>
        <w:t xml:space="preserve">Customs </w:t>
      </w:r>
      <w:r w:rsidR="009678FA">
        <w:rPr>
          <w:lang w:eastAsia="zh-TW"/>
        </w:rPr>
        <w:t>and</w:t>
      </w:r>
      <w:r w:rsidR="000A3DA0">
        <w:rPr>
          <w:lang w:eastAsia="zh-TW"/>
        </w:rPr>
        <w:t xml:space="preserve"> </w:t>
      </w:r>
      <w:r w:rsidR="007D4CAF">
        <w:rPr>
          <w:i/>
          <w:lang w:eastAsia="zh-TW"/>
        </w:rPr>
        <w:t>‍</w:t>
      </w:r>
      <w:r w:rsidR="000A3DA0">
        <w:rPr>
          <w:lang w:eastAsia="zh-TW"/>
        </w:rPr>
        <w:t>Excise</w:t>
      </w:r>
      <w:r w:rsidR="00F84C47">
        <w:rPr>
          <w:lang w:eastAsia="zh-TW"/>
        </w:rPr>
        <w:t xml:space="preserve"> </w:t>
      </w:r>
      <w:r w:rsidR="000A3DA0">
        <w:rPr>
          <w:lang w:eastAsia="zh-TW"/>
        </w:rPr>
        <w:t xml:space="preserve">seized 2,003,114.96 </w:t>
      </w:r>
      <w:r w:rsidR="004A52CE">
        <w:rPr>
          <w:i/>
          <w:iCs/>
        </w:rPr>
        <w:t>‍</w:t>
      </w:r>
      <w:r w:rsidR="000A3DA0">
        <w:rPr>
          <w:lang w:eastAsia="zh-TW"/>
        </w:rPr>
        <w:t xml:space="preserve">grammes of cocaine, as against 331,734.74 grammes of heroin.  Clearly, there has been a </w:t>
      </w:r>
      <w:r w:rsidR="004523BE">
        <w:rPr>
          <w:lang w:eastAsia="zh-TW"/>
        </w:rPr>
        <w:t>significant</w:t>
      </w:r>
      <w:r w:rsidR="000A3DA0">
        <w:rPr>
          <w:lang w:eastAsia="zh-TW"/>
        </w:rPr>
        <w:t xml:space="preserve"> </w:t>
      </w:r>
      <w:r w:rsidR="00171B88">
        <w:rPr>
          <w:lang w:eastAsia="zh-TW"/>
        </w:rPr>
        <w:t>shift</w:t>
      </w:r>
      <w:r w:rsidR="00CB7931">
        <w:rPr>
          <w:lang w:eastAsia="zh-TW"/>
        </w:rPr>
        <w:t xml:space="preserve"> in drug habits over the p</w:t>
      </w:r>
      <w:r w:rsidR="000A3DA0">
        <w:rPr>
          <w:lang w:eastAsia="zh-TW"/>
        </w:rPr>
        <w:t>ast four decades</w:t>
      </w:r>
      <w:r w:rsidR="00EB4102">
        <w:rPr>
          <w:lang w:eastAsia="zh-TW"/>
        </w:rPr>
        <w:t>.</w:t>
      </w:r>
    </w:p>
    <w:p w:rsidR="003C44BF" w:rsidRDefault="004523BE" w:rsidP="00F84C47">
      <w:pPr>
        <w:pStyle w:val="T-Draft"/>
        <w:rPr>
          <w:lang w:eastAsia="zh-TW"/>
        </w:rPr>
      </w:pPr>
      <w:r>
        <w:rPr>
          <w:lang w:eastAsia="zh-TW"/>
        </w:rPr>
        <w:t>Meanwhile, t</w:t>
      </w:r>
      <w:r w:rsidR="00EB4102">
        <w:rPr>
          <w:lang w:eastAsia="zh-TW"/>
        </w:rPr>
        <w:t xml:space="preserve">he quantity of </w:t>
      </w:r>
      <w:r w:rsidR="009678FA">
        <w:rPr>
          <w:lang w:eastAsia="zh-TW"/>
        </w:rPr>
        <w:t>“Ice”</w:t>
      </w:r>
      <w:r w:rsidR="00EB4102">
        <w:rPr>
          <w:lang w:eastAsia="zh-TW"/>
        </w:rPr>
        <w:t xml:space="preserve"> seized in 2023 by </w:t>
      </w:r>
      <w:r w:rsidR="009678FA">
        <w:rPr>
          <w:lang w:eastAsia="zh-TW"/>
        </w:rPr>
        <w:t>the police</w:t>
      </w:r>
      <w:r w:rsidR="00EB4102">
        <w:rPr>
          <w:lang w:eastAsia="zh-TW"/>
        </w:rPr>
        <w:t xml:space="preserve"> was 530,403 grammes; and by Customs </w:t>
      </w:r>
      <w:r w:rsidR="009678FA">
        <w:rPr>
          <w:lang w:eastAsia="zh-TW"/>
        </w:rPr>
        <w:t>and</w:t>
      </w:r>
      <w:r w:rsidR="00EB4102">
        <w:rPr>
          <w:lang w:eastAsia="zh-TW"/>
        </w:rPr>
        <w:t xml:space="preserve"> Excise officer</w:t>
      </w:r>
      <w:r w:rsidR="007047EB">
        <w:rPr>
          <w:lang w:eastAsia="zh-TW"/>
        </w:rPr>
        <w:t>s</w:t>
      </w:r>
      <w:r w:rsidR="00EB4102">
        <w:rPr>
          <w:lang w:eastAsia="zh-TW"/>
        </w:rPr>
        <w:t xml:space="preserve">, </w:t>
      </w:r>
      <w:r w:rsidR="007047EB">
        <w:rPr>
          <w:lang w:eastAsia="zh-TW"/>
        </w:rPr>
        <w:t xml:space="preserve">2,207,686.42 </w:t>
      </w:r>
      <w:r w:rsidR="00DA3B92">
        <w:rPr>
          <w:rFonts w:eastAsia="PMingLiU"/>
          <w:lang w:eastAsia="zh-TW"/>
        </w:rPr>
        <w:t>‍</w:t>
      </w:r>
      <w:r w:rsidR="007047EB">
        <w:rPr>
          <w:lang w:eastAsia="zh-TW"/>
        </w:rPr>
        <w:t>gram</w:t>
      </w:r>
      <w:r w:rsidR="00F84C47">
        <w:rPr>
          <w:lang w:eastAsia="zh-TW"/>
        </w:rPr>
        <w:t xml:space="preserve">mes.  By contrast, in 2009, </w:t>
      </w:r>
      <w:r w:rsidR="009678FA">
        <w:rPr>
          <w:lang w:eastAsia="zh-TW"/>
        </w:rPr>
        <w:t>the police</w:t>
      </w:r>
      <w:r w:rsidR="00F84C47">
        <w:rPr>
          <w:lang w:eastAsia="zh-TW"/>
        </w:rPr>
        <w:t xml:space="preserve"> </w:t>
      </w:r>
      <w:r w:rsidR="007047EB">
        <w:rPr>
          <w:lang w:eastAsia="zh-TW"/>
        </w:rPr>
        <w:t xml:space="preserve">seized 9,900 </w:t>
      </w:r>
      <w:r w:rsidR="00DA3B92">
        <w:rPr>
          <w:rFonts w:eastAsia="PMingLiU"/>
          <w:lang w:eastAsia="zh-TW"/>
        </w:rPr>
        <w:t>‍</w:t>
      </w:r>
      <w:r w:rsidR="007047EB">
        <w:rPr>
          <w:lang w:eastAsia="zh-TW"/>
        </w:rPr>
        <w:t xml:space="preserve">grammes of methamphetamine, </w:t>
      </w:r>
      <w:r w:rsidR="00CB7931">
        <w:rPr>
          <w:lang w:eastAsia="zh-TW"/>
        </w:rPr>
        <w:t>while</w:t>
      </w:r>
      <w:r w:rsidR="00F84C47">
        <w:rPr>
          <w:lang w:eastAsia="zh-TW"/>
        </w:rPr>
        <w:t xml:space="preserve"> </w:t>
      </w:r>
      <w:r w:rsidR="007047EB">
        <w:rPr>
          <w:lang w:eastAsia="zh-TW"/>
        </w:rPr>
        <w:t xml:space="preserve">Customs </w:t>
      </w:r>
      <w:r w:rsidR="009678FA">
        <w:rPr>
          <w:lang w:eastAsia="zh-TW"/>
        </w:rPr>
        <w:t>and</w:t>
      </w:r>
      <w:r w:rsidR="007047EB">
        <w:rPr>
          <w:lang w:eastAsia="zh-TW"/>
        </w:rPr>
        <w:t xml:space="preserve"> Excise</w:t>
      </w:r>
      <w:r w:rsidR="00F84C47">
        <w:rPr>
          <w:lang w:eastAsia="zh-TW"/>
        </w:rPr>
        <w:t xml:space="preserve"> </w:t>
      </w:r>
      <w:r w:rsidR="007047EB">
        <w:rPr>
          <w:lang w:eastAsia="zh-TW"/>
        </w:rPr>
        <w:t xml:space="preserve">seized a total of 30,702.20 </w:t>
      </w:r>
      <w:r w:rsidR="007D4CAF" w:rsidRPr="005A27FD">
        <w:rPr>
          <w:i/>
          <w:lang w:eastAsia="zh-TW"/>
        </w:rPr>
        <w:t>‍</w:t>
      </w:r>
      <w:r w:rsidR="007047EB">
        <w:rPr>
          <w:lang w:eastAsia="zh-TW"/>
        </w:rPr>
        <w:t>grammes</w:t>
      </w:r>
      <w:r w:rsidR="005A27FD">
        <w:rPr>
          <w:rStyle w:val="FootnoteReference"/>
          <w:lang w:eastAsia="zh-TW"/>
        </w:rPr>
        <w:footnoteReference w:id="47"/>
      </w:r>
      <w:r w:rsidR="007047EB">
        <w:rPr>
          <w:lang w:eastAsia="zh-TW"/>
        </w:rPr>
        <w:t xml:space="preserve">.  </w:t>
      </w:r>
      <w:r w:rsidR="008C045F">
        <w:rPr>
          <w:lang w:eastAsia="zh-TW"/>
        </w:rPr>
        <w:t xml:space="preserve">The first recorded case of trafficking in </w:t>
      </w:r>
      <w:r w:rsidR="00F84C47">
        <w:rPr>
          <w:lang w:eastAsia="zh-TW"/>
        </w:rPr>
        <w:lastRenderedPageBreak/>
        <w:t>“</w:t>
      </w:r>
      <w:r w:rsidR="008C045F">
        <w:rPr>
          <w:lang w:eastAsia="zh-TW"/>
        </w:rPr>
        <w:t>Ice</w:t>
      </w:r>
      <w:r w:rsidR="00F84C47">
        <w:rPr>
          <w:lang w:eastAsia="zh-TW"/>
        </w:rPr>
        <w:t>”</w:t>
      </w:r>
      <w:r w:rsidR="008C045F">
        <w:rPr>
          <w:lang w:eastAsia="zh-TW"/>
        </w:rPr>
        <w:t xml:space="preserve"> came before the High Court in 1983</w:t>
      </w:r>
      <w:r w:rsidR="008C045F">
        <w:rPr>
          <w:rStyle w:val="FootnoteReference"/>
          <w:lang w:eastAsia="zh-TW"/>
        </w:rPr>
        <w:footnoteReference w:id="48"/>
      </w:r>
      <w:r w:rsidR="008C045F">
        <w:rPr>
          <w:lang w:eastAsia="zh-TW"/>
        </w:rPr>
        <w:t>.  Thereafter, the drug had minimal presence in Hong Kong until</w:t>
      </w:r>
      <w:r>
        <w:rPr>
          <w:lang w:eastAsia="zh-TW"/>
        </w:rPr>
        <w:t xml:space="preserve"> 1991,</w:t>
      </w:r>
      <w:r w:rsidR="008C045F">
        <w:rPr>
          <w:lang w:eastAsia="zh-TW"/>
        </w:rPr>
        <w:t xml:space="preserve"> when</w:t>
      </w:r>
      <w:r>
        <w:rPr>
          <w:lang w:eastAsia="zh-TW"/>
        </w:rPr>
        <w:t xml:space="preserve"> the Court in </w:t>
      </w:r>
      <w:r w:rsidRPr="005A27FD">
        <w:rPr>
          <w:i/>
          <w:lang w:eastAsia="zh-TW"/>
        </w:rPr>
        <w:t xml:space="preserve">Attorney </w:t>
      </w:r>
      <w:r w:rsidR="007D4CAF" w:rsidRPr="005A27FD">
        <w:rPr>
          <w:i/>
          <w:lang w:eastAsia="zh-TW"/>
        </w:rPr>
        <w:t>‍</w:t>
      </w:r>
      <w:r w:rsidRPr="005A27FD">
        <w:rPr>
          <w:i/>
          <w:lang w:eastAsia="zh-TW"/>
        </w:rPr>
        <w:t xml:space="preserve">General v Ching </w:t>
      </w:r>
      <w:r w:rsidR="007D4CAF" w:rsidRPr="005A27FD">
        <w:rPr>
          <w:i/>
          <w:lang w:eastAsia="zh-TW"/>
        </w:rPr>
        <w:t>‍</w:t>
      </w:r>
      <w:r w:rsidRPr="005A27FD">
        <w:rPr>
          <w:i/>
          <w:lang w:eastAsia="zh-TW"/>
        </w:rPr>
        <w:t>Kwok-hung</w:t>
      </w:r>
      <w:r>
        <w:rPr>
          <w:rStyle w:val="FootnoteReference"/>
          <w:lang w:eastAsia="zh-TW"/>
        </w:rPr>
        <w:footnoteReference w:id="49"/>
      </w:r>
      <w:r>
        <w:rPr>
          <w:lang w:eastAsia="zh-TW"/>
        </w:rPr>
        <w:t xml:space="preserve"> </w:t>
      </w:r>
      <w:r w:rsidR="00CB7931">
        <w:rPr>
          <w:lang w:eastAsia="zh-TW"/>
        </w:rPr>
        <w:t>resolve</w:t>
      </w:r>
      <w:r w:rsidR="008C045F">
        <w:rPr>
          <w:lang w:eastAsia="zh-TW"/>
        </w:rPr>
        <w:t>d</w:t>
      </w:r>
      <w:r>
        <w:rPr>
          <w:lang w:eastAsia="zh-TW"/>
        </w:rPr>
        <w:t>, following two seizures of the drug i</w:t>
      </w:r>
      <w:r w:rsidR="00F84C47">
        <w:rPr>
          <w:lang w:eastAsia="zh-TW"/>
        </w:rPr>
        <w:t xml:space="preserve">n 1989 and </w:t>
      </w:r>
      <w:r w:rsidR="009C1E32">
        <w:rPr>
          <w:lang w:eastAsia="zh-TW"/>
        </w:rPr>
        <w:t>sixteen</w:t>
      </w:r>
      <w:r w:rsidR="00F84C47">
        <w:rPr>
          <w:lang w:eastAsia="zh-TW"/>
        </w:rPr>
        <w:t xml:space="preserve"> in 1990, that “‘Ice’</w:t>
      </w:r>
      <w:r>
        <w:rPr>
          <w:lang w:eastAsia="zh-TW"/>
        </w:rPr>
        <w:t xml:space="preserve"> has made a start in this Territory.  We should attempt to nip that process in the bud”</w:t>
      </w:r>
      <w:r>
        <w:rPr>
          <w:rStyle w:val="FootnoteReference"/>
          <w:lang w:eastAsia="zh-TW"/>
        </w:rPr>
        <w:footnoteReference w:id="50"/>
      </w:r>
      <w:r>
        <w:rPr>
          <w:lang w:eastAsia="zh-TW"/>
        </w:rPr>
        <w:t>.</w:t>
      </w:r>
    </w:p>
    <w:p w:rsidR="005D0A11" w:rsidRDefault="00787DCB" w:rsidP="004523BE">
      <w:pPr>
        <w:pStyle w:val="T-Draft"/>
        <w:rPr>
          <w:lang w:eastAsia="zh-TW"/>
        </w:rPr>
      </w:pPr>
      <w:r>
        <w:rPr>
          <w:lang w:eastAsia="zh-TW"/>
        </w:rPr>
        <w:t xml:space="preserve">It follows that from time to time, this Court, as the </w:t>
      </w:r>
      <w:r w:rsidR="00171B88">
        <w:rPr>
          <w:lang w:eastAsia="zh-TW"/>
        </w:rPr>
        <w:t>jurisdiction</w:t>
      </w:r>
      <w:r>
        <w:rPr>
          <w:lang w:eastAsia="zh-TW"/>
        </w:rPr>
        <w:t xml:space="preserve"> with primary responsibility for </w:t>
      </w:r>
      <w:r w:rsidR="009678FA">
        <w:rPr>
          <w:lang w:eastAsia="zh-TW"/>
        </w:rPr>
        <w:t>laying down</w:t>
      </w:r>
      <w:r>
        <w:rPr>
          <w:lang w:eastAsia="zh-TW"/>
        </w:rPr>
        <w:t xml:space="preserve"> guidelines</w:t>
      </w:r>
      <w:r w:rsidR="003604EF">
        <w:rPr>
          <w:lang w:eastAsia="zh-TW"/>
        </w:rPr>
        <w:t xml:space="preserve"> in dangerous drug cases</w:t>
      </w:r>
      <w:r>
        <w:rPr>
          <w:lang w:eastAsia="zh-TW"/>
        </w:rPr>
        <w:t xml:space="preserve">, will have cause to </w:t>
      </w:r>
      <w:r w:rsidR="00AC24E5">
        <w:rPr>
          <w:lang w:eastAsia="zh-TW"/>
        </w:rPr>
        <w:t xml:space="preserve">issue new guidelines </w:t>
      </w:r>
      <w:r w:rsidR="00575D8C">
        <w:rPr>
          <w:lang w:eastAsia="zh-TW"/>
        </w:rPr>
        <w:t>for new drugs</w:t>
      </w:r>
      <w:r w:rsidR="00F84C47">
        <w:rPr>
          <w:lang w:eastAsia="zh-TW"/>
        </w:rPr>
        <w:t>,</w:t>
      </w:r>
      <w:r w:rsidR="00575D8C">
        <w:rPr>
          <w:lang w:eastAsia="zh-TW"/>
        </w:rPr>
        <w:t xml:space="preserve"> or the changing potencies of e</w:t>
      </w:r>
      <w:r w:rsidR="00F84C47">
        <w:rPr>
          <w:lang w:eastAsia="zh-TW"/>
        </w:rPr>
        <w:t>xisting</w:t>
      </w:r>
      <w:r w:rsidR="00575D8C">
        <w:rPr>
          <w:lang w:eastAsia="zh-TW"/>
        </w:rPr>
        <w:t xml:space="preserve"> drugs</w:t>
      </w:r>
      <w:r w:rsidR="00F84C47">
        <w:rPr>
          <w:lang w:eastAsia="zh-TW"/>
        </w:rPr>
        <w:t>,</w:t>
      </w:r>
      <w:r w:rsidR="00575D8C">
        <w:rPr>
          <w:lang w:eastAsia="zh-TW"/>
        </w:rPr>
        <w:t xml:space="preserve"> </w:t>
      </w:r>
      <w:r w:rsidR="00AC24E5">
        <w:rPr>
          <w:lang w:eastAsia="zh-TW"/>
        </w:rPr>
        <w:t xml:space="preserve">and sometimes </w:t>
      </w:r>
      <w:r>
        <w:rPr>
          <w:lang w:eastAsia="zh-TW"/>
        </w:rPr>
        <w:t>revisit its earlier decisions in the light of</w:t>
      </w:r>
      <w:r w:rsidR="004523BE">
        <w:rPr>
          <w:lang w:eastAsia="zh-TW"/>
        </w:rPr>
        <w:t xml:space="preserve"> </w:t>
      </w:r>
      <w:r>
        <w:rPr>
          <w:lang w:eastAsia="zh-TW"/>
        </w:rPr>
        <w:t xml:space="preserve">developments and experience, as well as changing </w:t>
      </w:r>
      <w:r w:rsidR="003604EF">
        <w:rPr>
          <w:lang w:eastAsia="zh-TW"/>
        </w:rPr>
        <w:t xml:space="preserve">societal </w:t>
      </w:r>
      <w:r>
        <w:rPr>
          <w:lang w:eastAsia="zh-TW"/>
        </w:rPr>
        <w:t xml:space="preserve">habits and attitudes.  It </w:t>
      </w:r>
      <w:r w:rsidR="00171B88">
        <w:rPr>
          <w:lang w:eastAsia="zh-TW"/>
        </w:rPr>
        <w:t>will</w:t>
      </w:r>
      <w:r>
        <w:rPr>
          <w:lang w:eastAsia="zh-TW"/>
        </w:rPr>
        <w:t xml:space="preserve"> be remembered that</w:t>
      </w:r>
      <w:r w:rsidR="00226A54">
        <w:rPr>
          <w:lang w:eastAsia="zh-TW"/>
        </w:rPr>
        <w:t xml:space="preserve"> the </w:t>
      </w:r>
      <w:r w:rsidR="00CB7931">
        <w:rPr>
          <w:lang w:eastAsia="zh-TW"/>
        </w:rPr>
        <w:t xml:space="preserve">1979 </w:t>
      </w:r>
      <w:r w:rsidR="007A6E8F">
        <w:rPr>
          <w:rFonts w:eastAsia="PMingLiU"/>
          <w:lang w:eastAsia="zh-TW"/>
        </w:rPr>
        <w:t>‍</w:t>
      </w:r>
      <w:r w:rsidR="00226A54">
        <w:rPr>
          <w:lang w:eastAsia="zh-TW"/>
        </w:rPr>
        <w:t>guidelines in</w:t>
      </w:r>
      <w:r>
        <w:rPr>
          <w:lang w:eastAsia="zh-TW"/>
        </w:rPr>
        <w:t xml:space="preserve"> </w:t>
      </w:r>
      <w:r w:rsidRPr="00226A54">
        <w:rPr>
          <w:i/>
          <w:lang w:eastAsia="zh-TW"/>
        </w:rPr>
        <w:t>Chan Chi</w:t>
      </w:r>
      <w:r w:rsidR="004A52CE">
        <w:rPr>
          <w:i/>
          <w:lang w:eastAsia="zh-TW"/>
        </w:rPr>
        <w:t>-ming</w:t>
      </w:r>
      <w:r>
        <w:rPr>
          <w:lang w:eastAsia="zh-TW"/>
        </w:rPr>
        <w:t xml:space="preserve">, which </w:t>
      </w:r>
      <w:r w:rsidR="00CB7931">
        <w:rPr>
          <w:lang w:eastAsia="zh-TW"/>
        </w:rPr>
        <w:t>concerned</w:t>
      </w:r>
      <w:r>
        <w:rPr>
          <w:lang w:eastAsia="zh-TW"/>
        </w:rPr>
        <w:t xml:space="preserve"> what was then known as ‘No 3’ heroin</w:t>
      </w:r>
      <w:r w:rsidR="00226A54">
        <w:rPr>
          <w:lang w:eastAsia="zh-TW"/>
        </w:rPr>
        <w:t>, were adapted by the Court in</w:t>
      </w:r>
      <w:r w:rsidR="00CB7931">
        <w:rPr>
          <w:lang w:eastAsia="zh-TW"/>
        </w:rPr>
        <w:t xml:space="preserve"> 1989 for ‘No 4’ heroin in</w:t>
      </w:r>
      <w:r w:rsidR="00226A54">
        <w:rPr>
          <w:lang w:eastAsia="zh-TW"/>
        </w:rPr>
        <w:t xml:space="preserve"> </w:t>
      </w:r>
      <w:r w:rsidR="00226A54" w:rsidRPr="00226A54">
        <w:rPr>
          <w:i/>
          <w:lang w:eastAsia="zh-TW"/>
        </w:rPr>
        <w:t>Cheng Yeung</w:t>
      </w:r>
      <w:r w:rsidR="00CB7931">
        <w:rPr>
          <w:lang w:eastAsia="zh-TW"/>
        </w:rPr>
        <w:t xml:space="preserve"> </w:t>
      </w:r>
      <w:r w:rsidR="00782CF4">
        <w:rPr>
          <w:lang w:eastAsia="zh-TW"/>
        </w:rPr>
        <w:t>and then,</w:t>
      </w:r>
      <w:r w:rsidR="00226A54">
        <w:rPr>
          <w:lang w:eastAsia="zh-TW"/>
        </w:rPr>
        <w:t xml:space="preserve"> “after performing yeoman service</w:t>
      </w:r>
      <w:r w:rsidR="005A27FD">
        <w:rPr>
          <w:lang w:eastAsia="zh-TW"/>
        </w:rPr>
        <w:t>”</w:t>
      </w:r>
      <w:r w:rsidR="00782CF4">
        <w:rPr>
          <w:lang w:eastAsia="zh-TW"/>
        </w:rPr>
        <w:t>,</w:t>
      </w:r>
      <w:r w:rsidR="005A27FD">
        <w:rPr>
          <w:lang w:eastAsia="zh-TW"/>
        </w:rPr>
        <w:t xml:space="preserve"> were “</w:t>
      </w:r>
      <w:r w:rsidR="00226A54">
        <w:rPr>
          <w:lang w:eastAsia="zh-TW"/>
        </w:rPr>
        <w:t>retired” by</w:t>
      </w:r>
      <w:r w:rsidR="005A27FD">
        <w:rPr>
          <w:lang w:eastAsia="zh-TW"/>
        </w:rPr>
        <w:t xml:space="preserve"> the </w:t>
      </w:r>
      <w:r w:rsidR="00226A54">
        <w:rPr>
          <w:lang w:eastAsia="zh-TW"/>
        </w:rPr>
        <w:t>Court in</w:t>
      </w:r>
      <w:r w:rsidR="00AC24E5">
        <w:rPr>
          <w:lang w:eastAsia="zh-TW"/>
        </w:rPr>
        <w:t xml:space="preserve"> the 1990 decision of</w:t>
      </w:r>
      <w:r w:rsidR="00226A54">
        <w:rPr>
          <w:lang w:eastAsia="zh-TW"/>
        </w:rPr>
        <w:t xml:space="preserve"> </w:t>
      </w:r>
      <w:r w:rsidR="00226A54" w:rsidRPr="00226A54">
        <w:rPr>
          <w:i/>
          <w:lang w:eastAsia="zh-TW"/>
        </w:rPr>
        <w:t xml:space="preserve">Lau </w:t>
      </w:r>
      <w:r w:rsidR="004A52CE">
        <w:rPr>
          <w:i/>
          <w:iCs/>
        </w:rPr>
        <w:t>‍</w:t>
      </w:r>
      <w:r w:rsidR="00226A54" w:rsidRPr="00226A54">
        <w:rPr>
          <w:i/>
          <w:lang w:eastAsia="zh-TW"/>
        </w:rPr>
        <w:t>Tak-ming</w:t>
      </w:r>
      <w:r w:rsidR="003E0163">
        <w:rPr>
          <w:rStyle w:val="FootnoteReference"/>
          <w:i/>
          <w:lang w:eastAsia="zh-TW"/>
        </w:rPr>
        <w:footnoteReference w:id="51"/>
      </w:r>
      <w:r w:rsidR="00226A54">
        <w:rPr>
          <w:lang w:eastAsia="zh-TW"/>
        </w:rPr>
        <w:t>.</w:t>
      </w:r>
      <w:r w:rsidR="005D0A11">
        <w:rPr>
          <w:lang w:eastAsia="zh-TW"/>
        </w:rPr>
        <w:t xml:space="preserve">  </w:t>
      </w:r>
      <w:r w:rsidR="009678FA">
        <w:rPr>
          <w:lang w:eastAsia="zh-TW"/>
        </w:rPr>
        <w:t>Many people today</w:t>
      </w:r>
      <w:r w:rsidR="00521A7A">
        <w:rPr>
          <w:lang w:eastAsia="zh-TW"/>
        </w:rPr>
        <w:t xml:space="preserve"> </w:t>
      </w:r>
      <w:r w:rsidR="00D52DC3">
        <w:rPr>
          <w:lang w:eastAsia="zh-TW"/>
        </w:rPr>
        <w:t>would</w:t>
      </w:r>
      <w:r w:rsidR="00925B5C">
        <w:rPr>
          <w:lang w:eastAsia="zh-TW"/>
        </w:rPr>
        <w:t xml:space="preserve"> not</w:t>
      </w:r>
      <w:r w:rsidR="00575D8C">
        <w:rPr>
          <w:lang w:eastAsia="zh-TW"/>
        </w:rPr>
        <w:t xml:space="preserve"> know what ‘No 3’ heroin was, what “chasing the dragon” </w:t>
      </w:r>
      <w:r w:rsidR="00592D6C">
        <w:rPr>
          <w:lang w:eastAsia="zh-TW"/>
        </w:rPr>
        <w:t>involved</w:t>
      </w:r>
      <w:r w:rsidR="00575D8C">
        <w:rPr>
          <w:lang w:eastAsia="zh-TW"/>
        </w:rPr>
        <w:t xml:space="preserve"> in this context, or how it differed </w:t>
      </w:r>
      <w:r w:rsidR="00521A7A">
        <w:rPr>
          <w:lang w:eastAsia="zh-TW"/>
        </w:rPr>
        <w:t xml:space="preserve">in appearance, potency and usage </w:t>
      </w:r>
      <w:r w:rsidR="00575D8C">
        <w:rPr>
          <w:lang w:eastAsia="zh-TW"/>
        </w:rPr>
        <w:t xml:space="preserve">from ‘No 4’ heroin.  </w:t>
      </w:r>
      <w:r w:rsidR="005D0A11">
        <w:rPr>
          <w:lang w:eastAsia="zh-TW"/>
        </w:rPr>
        <w:t xml:space="preserve">The guidelines </w:t>
      </w:r>
      <w:r w:rsidR="003604EF">
        <w:rPr>
          <w:lang w:eastAsia="zh-TW"/>
        </w:rPr>
        <w:t xml:space="preserve">for heroin </w:t>
      </w:r>
      <w:r w:rsidR="00521A7A">
        <w:rPr>
          <w:lang w:eastAsia="zh-TW"/>
        </w:rPr>
        <w:t xml:space="preserve">narcotic </w:t>
      </w:r>
      <w:r w:rsidR="005D0A11">
        <w:rPr>
          <w:lang w:eastAsia="zh-TW"/>
        </w:rPr>
        <w:t xml:space="preserve">set out in </w:t>
      </w:r>
      <w:r w:rsidR="005D0A11" w:rsidRPr="005D0A11">
        <w:rPr>
          <w:i/>
          <w:lang w:eastAsia="zh-TW"/>
        </w:rPr>
        <w:t>Lau Tak-ming</w:t>
      </w:r>
      <w:r w:rsidR="005D0A11">
        <w:rPr>
          <w:lang w:eastAsia="zh-TW"/>
        </w:rPr>
        <w:t xml:space="preserve"> have remained unaltered for almost 35 years, </w:t>
      </w:r>
      <w:r w:rsidR="008C6025">
        <w:rPr>
          <w:lang w:eastAsia="zh-TW"/>
        </w:rPr>
        <w:t>during the course of which they have been applied</w:t>
      </w:r>
      <w:r w:rsidR="005D0A11">
        <w:rPr>
          <w:lang w:eastAsia="zh-TW"/>
        </w:rPr>
        <w:t xml:space="preserve"> to cocaine </w:t>
      </w:r>
      <w:r w:rsidR="00521A7A">
        <w:rPr>
          <w:lang w:eastAsia="zh-TW"/>
        </w:rPr>
        <w:t xml:space="preserve">by the Court </w:t>
      </w:r>
      <w:r w:rsidR="005D0A11">
        <w:rPr>
          <w:lang w:eastAsia="zh-TW"/>
        </w:rPr>
        <w:t xml:space="preserve">in </w:t>
      </w:r>
      <w:r w:rsidR="005D0A11" w:rsidRPr="003604EF">
        <w:rPr>
          <w:i/>
          <w:lang w:eastAsia="zh-TW"/>
        </w:rPr>
        <w:t xml:space="preserve">Attorney </w:t>
      </w:r>
      <w:r w:rsidR="0046009A">
        <w:rPr>
          <w:rFonts w:eastAsia="PMingLiU"/>
          <w:lang w:eastAsia="zh-TW"/>
        </w:rPr>
        <w:t>‍</w:t>
      </w:r>
      <w:r w:rsidR="005D0A11" w:rsidRPr="003604EF">
        <w:rPr>
          <w:i/>
          <w:lang w:eastAsia="zh-TW"/>
        </w:rPr>
        <w:t>General v</w:t>
      </w:r>
      <w:r w:rsidR="008C6025" w:rsidRPr="003604EF">
        <w:rPr>
          <w:i/>
          <w:lang w:eastAsia="zh-TW"/>
        </w:rPr>
        <w:t xml:space="preserve"> Pedro Nel Rojas</w:t>
      </w:r>
      <w:r w:rsidR="005D0A11">
        <w:rPr>
          <w:lang w:eastAsia="zh-TW"/>
        </w:rPr>
        <w:t>.</w:t>
      </w:r>
    </w:p>
    <w:p w:rsidR="00C629B4" w:rsidRDefault="00521A7A" w:rsidP="004523BE">
      <w:pPr>
        <w:pStyle w:val="T-Draft"/>
        <w:rPr>
          <w:lang w:eastAsia="zh-TW"/>
        </w:rPr>
      </w:pPr>
      <w:r>
        <w:rPr>
          <w:lang w:eastAsia="zh-TW"/>
        </w:rPr>
        <w:t xml:space="preserve">Other changes in respect of other drugs have also taken place over the </w:t>
      </w:r>
      <w:r w:rsidR="00592D6C">
        <w:rPr>
          <w:lang w:eastAsia="zh-TW"/>
        </w:rPr>
        <w:t>decades</w:t>
      </w:r>
      <w:r>
        <w:rPr>
          <w:lang w:eastAsia="zh-TW"/>
        </w:rPr>
        <w:t xml:space="preserve">.  </w:t>
      </w:r>
      <w:r w:rsidR="005D0A11">
        <w:rPr>
          <w:lang w:eastAsia="zh-TW"/>
        </w:rPr>
        <w:t xml:space="preserve">In respect of </w:t>
      </w:r>
      <w:r>
        <w:rPr>
          <w:lang w:eastAsia="zh-TW"/>
        </w:rPr>
        <w:t xml:space="preserve">the </w:t>
      </w:r>
      <w:r w:rsidR="00140442">
        <w:rPr>
          <w:lang w:eastAsia="zh-TW"/>
        </w:rPr>
        <w:t xml:space="preserve">trafficking </w:t>
      </w:r>
      <w:r>
        <w:rPr>
          <w:lang w:eastAsia="zh-TW"/>
        </w:rPr>
        <w:t>of</w:t>
      </w:r>
      <w:r w:rsidR="00140442">
        <w:rPr>
          <w:lang w:eastAsia="zh-TW"/>
        </w:rPr>
        <w:t xml:space="preserve"> </w:t>
      </w:r>
      <w:r w:rsidR="003604EF">
        <w:rPr>
          <w:lang w:eastAsia="zh-TW"/>
        </w:rPr>
        <w:t xml:space="preserve">“Ice”, the </w:t>
      </w:r>
      <w:r w:rsidR="00140442">
        <w:rPr>
          <w:lang w:eastAsia="zh-TW"/>
        </w:rPr>
        <w:t xml:space="preserve">relevant </w:t>
      </w:r>
      <w:r w:rsidR="003604EF">
        <w:rPr>
          <w:lang w:eastAsia="zh-TW"/>
        </w:rPr>
        <w:t xml:space="preserve">guidelines </w:t>
      </w:r>
      <w:r w:rsidR="00140442">
        <w:rPr>
          <w:lang w:eastAsia="zh-TW"/>
        </w:rPr>
        <w:t xml:space="preserve">set out </w:t>
      </w:r>
      <w:r w:rsidR="009C1E32">
        <w:rPr>
          <w:lang w:eastAsia="zh-TW"/>
        </w:rPr>
        <w:t xml:space="preserve">by the Court </w:t>
      </w:r>
      <w:r w:rsidR="003604EF">
        <w:rPr>
          <w:lang w:eastAsia="zh-TW"/>
        </w:rPr>
        <w:t>in</w:t>
      </w:r>
      <w:r w:rsidR="008A08F2">
        <w:rPr>
          <w:lang w:eastAsia="zh-TW"/>
        </w:rPr>
        <w:t xml:space="preserve"> 1991 in</w:t>
      </w:r>
      <w:r w:rsidR="003604EF">
        <w:rPr>
          <w:lang w:eastAsia="zh-TW"/>
        </w:rPr>
        <w:t xml:space="preserve"> </w:t>
      </w:r>
      <w:r w:rsidR="003604EF" w:rsidRPr="00140442">
        <w:rPr>
          <w:i/>
          <w:lang w:eastAsia="zh-TW"/>
        </w:rPr>
        <w:t xml:space="preserve">Ching </w:t>
      </w:r>
      <w:r w:rsidR="004A52CE">
        <w:rPr>
          <w:i/>
          <w:iCs/>
        </w:rPr>
        <w:t>‍</w:t>
      </w:r>
      <w:r w:rsidR="003604EF" w:rsidRPr="00140442">
        <w:rPr>
          <w:i/>
          <w:lang w:eastAsia="zh-TW"/>
        </w:rPr>
        <w:t>Kwok-hung</w:t>
      </w:r>
      <w:r w:rsidR="003604EF">
        <w:rPr>
          <w:lang w:eastAsia="zh-TW"/>
        </w:rPr>
        <w:t xml:space="preserve"> were revised</w:t>
      </w:r>
      <w:r w:rsidR="00140442">
        <w:rPr>
          <w:lang w:eastAsia="zh-TW"/>
        </w:rPr>
        <w:t xml:space="preserve"> in 2014 in </w:t>
      </w:r>
      <w:r w:rsidR="00140442" w:rsidRPr="00140442">
        <w:rPr>
          <w:i/>
          <w:lang w:eastAsia="zh-TW"/>
        </w:rPr>
        <w:t xml:space="preserve">Tam </w:t>
      </w:r>
      <w:r w:rsidR="004A52CE">
        <w:rPr>
          <w:i/>
          <w:iCs/>
        </w:rPr>
        <w:t>‍</w:t>
      </w:r>
      <w:r w:rsidR="00140442" w:rsidRPr="00140442">
        <w:rPr>
          <w:i/>
          <w:lang w:eastAsia="zh-TW"/>
        </w:rPr>
        <w:t xml:space="preserve">Yi </w:t>
      </w:r>
      <w:r w:rsidR="004A52CE">
        <w:rPr>
          <w:i/>
          <w:iCs/>
        </w:rPr>
        <w:t>‍</w:t>
      </w:r>
      <w:r w:rsidR="00140442" w:rsidRPr="00140442">
        <w:rPr>
          <w:i/>
          <w:lang w:eastAsia="zh-TW"/>
        </w:rPr>
        <w:t>Chun</w:t>
      </w:r>
      <w:r w:rsidR="00140442">
        <w:rPr>
          <w:lang w:eastAsia="zh-TW"/>
        </w:rPr>
        <w:t xml:space="preserve">.  </w:t>
      </w:r>
      <w:r w:rsidR="00592D6C">
        <w:rPr>
          <w:lang w:eastAsia="zh-TW"/>
        </w:rPr>
        <w:t>M</w:t>
      </w:r>
      <w:r w:rsidR="00163CE2">
        <w:rPr>
          <w:lang w:eastAsia="zh-TW"/>
        </w:rPr>
        <w:t>ost</w:t>
      </w:r>
      <w:r w:rsidR="00140442">
        <w:rPr>
          <w:lang w:eastAsia="zh-TW"/>
        </w:rPr>
        <w:t xml:space="preserve"> recently, the guidelines for trafficking in, </w:t>
      </w:r>
      <w:r w:rsidR="00140442">
        <w:rPr>
          <w:lang w:eastAsia="zh-TW"/>
        </w:rPr>
        <w:lastRenderedPageBreak/>
        <w:t xml:space="preserve">and cultivation of, cannabis earlier set out in 1987 in </w:t>
      </w:r>
      <w:r w:rsidR="00140442" w:rsidRPr="00140442">
        <w:rPr>
          <w:i/>
          <w:lang w:eastAsia="zh-TW"/>
        </w:rPr>
        <w:t xml:space="preserve">Attorney </w:t>
      </w:r>
      <w:r w:rsidR="0046009A">
        <w:rPr>
          <w:rFonts w:eastAsia="PMingLiU"/>
          <w:lang w:eastAsia="zh-TW"/>
        </w:rPr>
        <w:t>‍</w:t>
      </w:r>
      <w:r w:rsidR="00140442" w:rsidRPr="00140442">
        <w:rPr>
          <w:i/>
          <w:lang w:eastAsia="zh-TW"/>
        </w:rPr>
        <w:t xml:space="preserve">General v Chan </w:t>
      </w:r>
      <w:r w:rsidR="004A52CE">
        <w:rPr>
          <w:i/>
          <w:iCs/>
        </w:rPr>
        <w:t>‍</w:t>
      </w:r>
      <w:r w:rsidR="00140442" w:rsidRPr="00140442">
        <w:rPr>
          <w:i/>
          <w:lang w:eastAsia="zh-TW"/>
        </w:rPr>
        <w:t>Chi Man</w:t>
      </w:r>
      <w:r w:rsidR="00140442">
        <w:rPr>
          <w:rStyle w:val="FootnoteReference"/>
          <w:lang w:eastAsia="zh-TW"/>
        </w:rPr>
        <w:footnoteReference w:id="52"/>
      </w:r>
      <w:r w:rsidR="008A08F2" w:rsidRPr="008A08F2">
        <w:rPr>
          <w:lang w:eastAsia="zh-TW"/>
        </w:rPr>
        <w:t>,</w:t>
      </w:r>
      <w:r w:rsidR="00140442">
        <w:rPr>
          <w:lang w:eastAsia="zh-TW"/>
        </w:rPr>
        <w:t xml:space="preserve"> and later in 1995 in </w:t>
      </w:r>
      <w:r w:rsidR="00140442" w:rsidRPr="00163CE2">
        <w:rPr>
          <w:i/>
          <w:lang w:eastAsia="zh-TW"/>
        </w:rPr>
        <w:t xml:space="preserve">Attorney General v Tuen </w:t>
      </w:r>
      <w:r w:rsidR="004A52CE">
        <w:rPr>
          <w:i/>
          <w:iCs/>
        </w:rPr>
        <w:t>‍</w:t>
      </w:r>
      <w:r w:rsidR="00140442" w:rsidRPr="00163CE2">
        <w:rPr>
          <w:i/>
          <w:lang w:eastAsia="zh-TW"/>
        </w:rPr>
        <w:t xml:space="preserve">Shui </w:t>
      </w:r>
      <w:r w:rsidR="004A52CE">
        <w:rPr>
          <w:i/>
          <w:iCs/>
        </w:rPr>
        <w:t>‍</w:t>
      </w:r>
      <w:r w:rsidR="00140442" w:rsidRPr="00163CE2">
        <w:rPr>
          <w:i/>
          <w:lang w:eastAsia="zh-TW"/>
        </w:rPr>
        <w:t>Ming</w:t>
      </w:r>
      <w:r w:rsidR="00140442">
        <w:rPr>
          <w:rStyle w:val="FootnoteReference"/>
          <w:lang w:eastAsia="zh-TW"/>
        </w:rPr>
        <w:footnoteReference w:id="53"/>
      </w:r>
      <w:r w:rsidR="00140442">
        <w:rPr>
          <w:lang w:eastAsia="zh-TW"/>
        </w:rPr>
        <w:t xml:space="preserve">, were replaced by </w:t>
      </w:r>
      <w:r w:rsidR="005F727E">
        <w:rPr>
          <w:lang w:eastAsia="zh-TW"/>
        </w:rPr>
        <w:t>the guidelines set out</w:t>
      </w:r>
      <w:r w:rsidR="00140442">
        <w:rPr>
          <w:lang w:eastAsia="zh-TW"/>
        </w:rPr>
        <w:t xml:space="preserve"> in</w:t>
      </w:r>
      <w:r w:rsidR="008A08F2">
        <w:rPr>
          <w:lang w:eastAsia="zh-TW"/>
        </w:rPr>
        <w:t xml:space="preserve"> the 2023 </w:t>
      </w:r>
      <w:r w:rsidR="001F3081">
        <w:rPr>
          <w:i/>
          <w:iCs/>
        </w:rPr>
        <w:t>‍</w:t>
      </w:r>
      <w:r w:rsidR="008A08F2">
        <w:rPr>
          <w:lang w:eastAsia="zh-TW"/>
        </w:rPr>
        <w:t>decision of</w:t>
      </w:r>
      <w:r w:rsidR="00140442">
        <w:rPr>
          <w:lang w:eastAsia="zh-TW"/>
        </w:rPr>
        <w:t xml:space="preserve"> </w:t>
      </w:r>
      <w:r w:rsidR="00140442" w:rsidRPr="00163CE2">
        <w:rPr>
          <w:i/>
          <w:lang w:eastAsia="zh-TW"/>
        </w:rPr>
        <w:t>HKSAR v Nguyen Thang Loi</w:t>
      </w:r>
      <w:r w:rsidR="00163CE2">
        <w:rPr>
          <w:rStyle w:val="FootnoteReference"/>
          <w:lang w:eastAsia="zh-TW"/>
        </w:rPr>
        <w:footnoteReference w:id="54"/>
      </w:r>
      <w:r w:rsidR="00140442">
        <w:rPr>
          <w:lang w:eastAsia="zh-TW"/>
        </w:rPr>
        <w:t>.</w:t>
      </w:r>
      <w:r w:rsidR="00600DA8">
        <w:rPr>
          <w:lang w:eastAsia="zh-TW"/>
        </w:rPr>
        <w:t xml:space="preserve">  </w:t>
      </w:r>
      <w:r w:rsidR="00592D6C">
        <w:rPr>
          <w:lang w:eastAsia="zh-TW"/>
        </w:rPr>
        <w:t>While i</w:t>
      </w:r>
      <w:r w:rsidR="00600DA8">
        <w:rPr>
          <w:lang w:eastAsia="zh-TW"/>
        </w:rPr>
        <w:t xml:space="preserve">n </w:t>
      </w:r>
      <w:r w:rsidR="00600DA8" w:rsidRPr="00FD3093">
        <w:rPr>
          <w:i/>
          <w:lang w:eastAsia="zh-TW"/>
        </w:rPr>
        <w:t xml:space="preserve">HKSAR v Ko </w:t>
      </w:r>
      <w:r w:rsidR="0046009A">
        <w:rPr>
          <w:rFonts w:eastAsia="PMingLiU"/>
          <w:lang w:eastAsia="zh-TW"/>
        </w:rPr>
        <w:t>‍</w:t>
      </w:r>
      <w:r w:rsidR="00600DA8" w:rsidRPr="00FD3093">
        <w:rPr>
          <w:i/>
          <w:lang w:eastAsia="zh-TW"/>
        </w:rPr>
        <w:t>Wai Shing</w:t>
      </w:r>
      <w:r w:rsidR="00FD3093">
        <w:rPr>
          <w:rStyle w:val="FootnoteReference"/>
          <w:lang w:eastAsia="zh-TW"/>
        </w:rPr>
        <w:footnoteReference w:id="55"/>
      </w:r>
      <w:r w:rsidR="00600DA8">
        <w:rPr>
          <w:lang w:eastAsia="zh-TW"/>
        </w:rPr>
        <w:t>, this Court devised guidelines for trafficking in two new dangerous drugs, namely</w:t>
      </w:r>
      <w:r w:rsidR="00FD3093">
        <w:rPr>
          <w:lang w:eastAsia="zh-TW"/>
        </w:rPr>
        <w:t xml:space="preserve"> Gamma-hydroxybutyric acid (commonly referred to as “GHB”) and Gamma-butyrolactone (commonly referred to as “GBL”).</w:t>
      </w:r>
    </w:p>
    <w:p w:rsidR="00163CE2" w:rsidRDefault="00B24B14" w:rsidP="004523BE">
      <w:pPr>
        <w:pStyle w:val="T-Draft"/>
        <w:rPr>
          <w:lang w:eastAsia="zh-TW"/>
        </w:rPr>
      </w:pPr>
      <w:r>
        <w:rPr>
          <w:lang w:eastAsia="zh-TW"/>
        </w:rPr>
        <w:t>Accordingly,</w:t>
      </w:r>
      <w:r w:rsidR="00163CE2">
        <w:rPr>
          <w:lang w:eastAsia="zh-TW"/>
        </w:rPr>
        <w:t xml:space="preserve"> it is right and necessary that the guidelines in respect of dangerous drugs are not immutable but are kept under review</w:t>
      </w:r>
      <w:r w:rsidR="008A08F2">
        <w:rPr>
          <w:lang w:eastAsia="zh-TW"/>
        </w:rPr>
        <w:t xml:space="preserve"> by th</w:t>
      </w:r>
      <w:r w:rsidR="00592D6C">
        <w:rPr>
          <w:lang w:eastAsia="zh-TW"/>
        </w:rPr>
        <w:t>is Court</w:t>
      </w:r>
      <w:r w:rsidR="00163CE2">
        <w:rPr>
          <w:lang w:eastAsia="zh-TW"/>
        </w:rPr>
        <w:t>.</w:t>
      </w:r>
      <w:r w:rsidR="005F727E">
        <w:rPr>
          <w:lang w:eastAsia="zh-TW"/>
        </w:rPr>
        <w:t xml:space="preserve">  </w:t>
      </w:r>
      <w:r w:rsidR="008A08F2">
        <w:rPr>
          <w:lang w:eastAsia="zh-TW"/>
        </w:rPr>
        <w:t>It was</w:t>
      </w:r>
      <w:r w:rsidR="005F727E">
        <w:rPr>
          <w:lang w:eastAsia="zh-TW"/>
        </w:rPr>
        <w:t xml:space="preserve"> observed </w:t>
      </w:r>
      <w:r w:rsidR="008A08F2">
        <w:rPr>
          <w:lang w:eastAsia="zh-TW"/>
        </w:rPr>
        <w:t>during</w:t>
      </w:r>
      <w:r w:rsidR="005F727E">
        <w:rPr>
          <w:lang w:eastAsia="zh-TW"/>
        </w:rPr>
        <w:t xml:space="preserve"> argument by </w:t>
      </w:r>
      <w:r w:rsidR="00A1560E">
        <w:rPr>
          <w:lang w:eastAsia="zh-TW"/>
        </w:rPr>
        <w:t xml:space="preserve">counsel on </w:t>
      </w:r>
      <w:r w:rsidR="005F727E">
        <w:rPr>
          <w:lang w:eastAsia="zh-TW"/>
        </w:rPr>
        <w:t>both sides</w:t>
      </w:r>
      <w:r w:rsidR="008A08F2">
        <w:rPr>
          <w:lang w:eastAsia="zh-TW"/>
        </w:rPr>
        <w:t xml:space="preserve"> that</w:t>
      </w:r>
      <w:r w:rsidR="005F727E">
        <w:rPr>
          <w:lang w:eastAsia="zh-TW"/>
        </w:rPr>
        <w:t xml:space="preserve"> the trend over the years has been </w:t>
      </w:r>
      <w:r w:rsidR="00A1560E">
        <w:rPr>
          <w:lang w:eastAsia="zh-TW"/>
        </w:rPr>
        <w:t xml:space="preserve">for the courts </w:t>
      </w:r>
      <w:r w:rsidR="005F727E">
        <w:rPr>
          <w:lang w:eastAsia="zh-TW"/>
        </w:rPr>
        <w:t>to increase sentences</w:t>
      </w:r>
      <w:r w:rsidR="008A08F2">
        <w:rPr>
          <w:lang w:eastAsia="zh-TW"/>
        </w:rPr>
        <w:t xml:space="preserve"> for trafficking in dangerous drugs</w:t>
      </w:r>
      <w:r w:rsidR="005F727E">
        <w:rPr>
          <w:lang w:eastAsia="zh-TW"/>
        </w:rPr>
        <w:t xml:space="preserve"> rather than </w:t>
      </w:r>
      <w:r w:rsidR="008A08F2">
        <w:rPr>
          <w:lang w:eastAsia="zh-TW"/>
        </w:rPr>
        <w:t xml:space="preserve">to </w:t>
      </w:r>
      <w:r w:rsidR="005F727E">
        <w:rPr>
          <w:lang w:eastAsia="zh-TW"/>
        </w:rPr>
        <w:t>reduce them</w:t>
      </w:r>
      <w:r w:rsidR="00A1560E">
        <w:rPr>
          <w:lang w:eastAsia="zh-TW"/>
        </w:rPr>
        <w:t xml:space="preserve">.  That </w:t>
      </w:r>
      <w:r w:rsidR="00A44D33">
        <w:rPr>
          <w:lang w:eastAsia="zh-TW"/>
        </w:rPr>
        <w:t xml:space="preserve">trend </w:t>
      </w:r>
      <w:r w:rsidR="00A1560E">
        <w:rPr>
          <w:lang w:eastAsia="zh-TW"/>
        </w:rPr>
        <w:t>can be seen</w:t>
      </w:r>
      <w:r w:rsidR="008A08F2">
        <w:rPr>
          <w:lang w:eastAsia="zh-TW"/>
        </w:rPr>
        <w:t>, for example,</w:t>
      </w:r>
      <w:r w:rsidR="00A1560E">
        <w:rPr>
          <w:lang w:eastAsia="zh-TW"/>
        </w:rPr>
        <w:t xml:space="preserve"> in the heroin guidelines as between </w:t>
      </w:r>
      <w:r w:rsidR="00A1560E" w:rsidRPr="00A1560E">
        <w:rPr>
          <w:i/>
          <w:lang w:eastAsia="zh-TW"/>
        </w:rPr>
        <w:t>Chan Chi-ming</w:t>
      </w:r>
      <w:r w:rsidR="00A1560E">
        <w:rPr>
          <w:lang w:eastAsia="zh-TW"/>
        </w:rPr>
        <w:t xml:space="preserve"> and </w:t>
      </w:r>
      <w:r w:rsidR="00A1560E" w:rsidRPr="00A1560E">
        <w:rPr>
          <w:i/>
          <w:lang w:eastAsia="zh-TW"/>
        </w:rPr>
        <w:t>Lau Tak-ming</w:t>
      </w:r>
      <w:r w:rsidR="00A1560E">
        <w:rPr>
          <w:lang w:eastAsia="zh-TW"/>
        </w:rPr>
        <w:t xml:space="preserve">, although it should be remembered that the former was concerned with the </w:t>
      </w:r>
      <w:r w:rsidR="00887FC4">
        <w:rPr>
          <w:lang w:eastAsia="zh-TW"/>
        </w:rPr>
        <w:t>weight</w:t>
      </w:r>
      <w:r w:rsidR="00A1560E">
        <w:rPr>
          <w:lang w:eastAsia="zh-TW"/>
        </w:rPr>
        <w:t xml:space="preserve"> of </w:t>
      </w:r>
      <w:r w:rsidR="00A1560E" w:rsidRPr="00AC24E5">
        <w:rPr>
          <w:i/>
          <w:lang w:eastAsia="zh-TW"/>
        </w:rPr>
        <w:t>mixture</w:t>
      </w:r>
      <w:r w:rsidR="00A1560E">
        <w:rPr>
          <w:lang w:eastAsia="zh-TW"/>
        </w:rPr>
        <w:t xml:space="preserve"> of ‘No 3’ heroin</w:t>
      </w:r>
      <w:r w:rsidR="00887FC4">
        <w:rPr>
          <w:lang w:eastAsia="zh-TW"/>
        </w:rPr>
        <w:t xml:space="preserve"> (salts of esters of morphine) rather than its content</w:t>
      </w:r>
      <w:r w:rsidR="00A1560E">
        <w:rPr>
          <w:lang w:eastAsia="zh-TW"/>
        </w:rPr>
        <w:t xml:space="preserve">, while the latter dealt with the </w:t>
      </w:r>
      <w:r w:rsidR="00AC24E5">
        <w:rPr>
          <w:lang w:eastAsia="zh-TW"/>
        </w:rPr>
        <w:t>weight</w:t>
      </w:r>
      <w:r w:rsidR="00A1560E">
        <w:rPr>
          <w:lang w:eastAsia="zh-TW"/>
        </w:rPr>
        <w:t xml:space="preserve"> of heroin </w:t>
      </w:r>
      <w:r w:rsidR="00A1560E" w:rsidRPr="00AC24E5">
        <w:rPr>
          <w:i/>
          <w:lang w:eastAsia="zh-TW"/>
        </w:rPr>
        <w:t>narcotic</w:t>
      </w:r>
      <w:r w:rsidR="00A1560E">
        <w:rPr>
          <w:lang w:eastAsia="zh-TW"/>
        </w:rPr>
        <w:t xml:space="preserve"> in whatever form.  It may </w:t>
      </w:r>
      <w:r w:rsidR="008A08F2">
        <w:rPr>
          <w:lang w:eastAsia="zh-TW"/>
        </w:rPr>
        <w:t xml:space="preserve">also </w:t>
      </w:r>
      <w:r w:rsidR="00A1560E">
        <w:rPr>
          <w:lang w:eastAsia="zh-TW"/>
        </w:rPr>
        <w:t>be seen in the guidelines</w:t>
      </w:r>
      <w:r w:rsidR="00A44D33">
        <w:rPr>
          <w:lang w:eastAsia="zh-TW"/>
        </w:rPr>
        <w:t xml:space="preserve"> </w:t>
      </w:r>
      <w:r w:rsidR="00592D6C">
        <w:rPr>
          <w:lang w:eastAsia="zh-TW"/>
        </w:rPr>
        <w:t xml:space="preserve">for “Ice” </w:t>
      </w:r>
      <w:r w:rsidR="00A44D33">
        <w:rPr>
          <w:lang w:eastAsia="zh-TW"/>
        </w:rPr>
        <w:t xml:space="preserve">as between </w:t>
      </w:r>
      <w:r w:rsidR="00A44D33" w:rsidRPr="00A44D33">
        <w:rPr>
          <w:i/>
          <w:lang w:eastAsia="zh-TW"/>
        </w:rPr>
        <w:t xml:space="preserve">Ching </w:t>
      </w:r>
      <w:r w:rsidR="004A52CE">
        <w:rPr>
          <w:i/>
          <w:iCs/>
        </w:rPr>
        <w:t>‍</w:t>
      </w:r>
      <w:r w:rsidR="00A44D33" w:rsidRPr="00A44D33">
        <w:rPr>
          <w:i/>
          <w:lang w:eastAsia="zh-TW"/>
        </w:rPr>
        <w:t>Kwok-hung</w:t>
      </w:r>
      <w:r w:rsidR="00A44D33">
        <w:rPr>
          <w:lang w:eastAsia="zh-TW"/>
        </w:rPr>
        <w:t xml:space="preserve"> and </w:t>
      </w:r>
      <w:r w:rsidR="00A44D33" w:rsidRPr="00A44D33">
        <w:rPr>
          <w:i/>
          <w:lang w:eastAsia="zh-TW"/>
        </w:rPr>
        <w:t>Tam Yi Chun</w:t>
      </w:r>
      <w:r w:rsidR="00A44D33">
        <w:rPr>
          <w:lang w:eastAsia="zh-TW"/>
        </w:rPr>
        <w:t xml:space="preserve">.  And it may </w:t>
      </w:r>
      <w:r w:rsidR="00AC24E5">
        <w:rPr>
          <w:lang w:eastAsia="zh-TW"/>
        </w:rPr>
        <w:t xml:space="preserve">further </w:t>
      </w:r>
      <w:r w:rsidR="00A44D33">
        <w:rPr>
          <w:lang w:eastAsia="zh-TW"/>
        </w:rPr>
        <w:t xml:space="preserve">be seen in the cannabis guidelines as between </w:t>
      </w:r>
      <w:r w:rsidR="008A08F2" w:rsidRPr="008A08F2">
        <w:rPr>
          <w:i/>
          <w:lang w:eastAsia="zh-TW"/>
        </w:rPr>
        <w:t xml:space="preserve">Tuen </w:t>
      </w:r>
      <w:r w:rsidR="0046009A">
        <w:rPr>
          <w:rFonts w:eastAsia="PMingLiU"/>
          <w:lang w:eastAsia="zh-TW"/>
        </w:rPr>
        <w:t>‍</w:t>
      </w:r>
      <w:r w:rsidR="008A08F2" w:rsidRPr="008A08F2">
        <w:rPr>
          <w:i/>
          <w:lang w:eastAsia="zh-TW"/>
        </w:rPr>
        <w:t xml:space="preserve">Shui </w:t>
      </w:r>
      <w:r w:rsidR="0046009A">
        <w:rPr>
          <w:rFonts w:eastAsia="PMingLiU"/>
          <w:lang w:eastAsia="zh-TW"/>
        </w:rPr>
        <w:t>‍</w:t>
      </w:r>
      <w:r w:rsidR="008A08F2" w:rsidRPr="008A08F2">
        <w:rPr>
          <w:i/>
          <w:lang w:eastAsia="zh-TW"/>
        </w:rPr>
        <w:t>Ming</w:t>
      </w:r>
      <w:r w:rsidR="00A44D33">
        <w:rPr>
          <w:lang w:eastAsia="zh-TW"/>
        </w:rPr>
        <w:t xml:space="preserve"> and </w:t>
      </w:r>
      <w:r w:rsidR="00A44D33" w:rsidRPr="00A44D33">
        <w:rPr>
          <w:i/>
          <w:lang w:eastAsia="zh-TW"/>
        </w:rPr>
        <w:t>Nguyen Thang Loi</w:t>
      </w:r>
      <w:r w:rsidR="00A44D33">
        <w:rPr>
          <w:lang w:eastAsia="zh-TW"/>
        </w:rPr>
        <w:t>.</w:t>
      </w:r>
    </w:p>
    <w:p w:rsidR="00AC24E5" w:rsidRDefault="00A44D33" w:rsidP="004523BE">
      <w:pPr>
        <w:pStyle w:val="T-Draft"/>
        <w:rPr>
          <w:lang w:eastAsia="zh-TW"/>
        </w:rPr>
      </w:pPr>
      <w:r>
        <w:rPr>
          <w:lang w:eastAsia="zh-TW"/>
        </w:rPr>
        <w:t xml:space="preserve">In </w:t>
      </w:r>
      <w:r w:rsidRPr="000711C0">
        <w:rPr>
          <w:i/>
          <w:lang w:eastAsia="zh-TW"/>
        </w:rPr>
        <w:t>Lau Tak-ming</w:t>
      </w:r>
      <w:r>
        <w:rPr>
          <w:lang w:eastAsia="zh-TW"/>
        </w:rPr>
        <w:t xml:space="preserve">, the limit </w:t>
      </w:r>
      <w:r w:rsidR="000711C0">
        <w:rPr>
          <w:lang w:eastAsia="zh-TW"/>
        </w:rPr>
        <w:t xml:space="preserve">of the highest bracket for trafficking in 600 grammes of heroin narcotic </w:t>
      </w:r>
      <w:r>
        <w:rPr>
          <w:lang w:eastAsia="zh-TW"/>
        </w:rPr>
        <w:t xml:space="preserve">was </w:t>
      </w:r>
      <w:r w:rsidR="00CB16ED">
        <w:rPr>
          <w:lang w:eastAsia="zh-TW"/>
        </w:rPr>
        <w:t xml:space="preserve">set at </w:t>
      </w:r>
      <w:r>
        <w:rPr>
          <w:lang w:eastAsia="zh-TW"/>
        </w:rPr>
        <w:t>20 years’</w:t>
      </w:r>
      <w:r w:rsidR="000711C0">
        <w:rPr>
          <w:lang w:eastAsia="zh-TW"/>
        </w:rPr>
        <w:t xml:space="preserve"> imprisonment, while in </w:t>
      </w:r>
      <w:r w:rsidR="000711C0" w:rsidRPr="000711C0">
        <w:rPr>
          <w:i/>
          <w:lang w:eastAsia="zh-TW"/>
        </w:rPr>
        <w:t>Ching Kwok-hung</w:t>
      </w:r>
      <w:r w:rsidR="000711C0">
        <w:rPr>
          <w:lang w:eastAsia="zh-TW"/>
        </w:rPr>
        <w:t xml:space="preserve">, the limit was 18 years’ imprisonment for the same quantity of </w:t>
      </w:r>
      <w:r w:rsidR="00D52DC3">
        <w:rPr>
          <w:lang w:eastAsia="zh-TW"/>
        </w:rPr>
        <w:t>“</w:t>
      </w:r>
      <w:r w:rsidR="005033AD">
        <w:rPr>
          <w:lang w:eastAsia="zh-TW"/>
        </w:rPr>
        <w:t>Ice</w:t>
      </w:r>
      <w:r w:rsidR="00D52DC3">
        <w:rPr>
          <w:lang w:eastAsia="zh-TW"/>
        </w:rPr>
        <w:t>”</w:t>
      </w:r>
      <w:r w:rsidR="000711C0">
        <w:rPr>
          <w:lang w:eastAsia="zh-TW"/>
        </w:rPr>
        <w:t xml:space="preserve">, subsequently </w:t>
      </w:r>
      <w:r w:rsidR="005F6C8C">
        <w:rPr>
          <w:lang w:eastAsia="zh-TW"/>
        </w:rPr>
        <w:t>revised</w:t>
      </w:r>
      <w:r w:rsidR="000711C0">
        <w:rPr>
          <w:lang w:eastAsia="zh-TW"/>
        </w:rPr>
        <w:t xml:space="preserve"> to 20 </w:t>
      </w:r>
      <w:r w:rsidR="00DA3B92">
        <w:rPr>
          <w:rFonts w:eastAsia="PMingLiU"/>
          <w:lang w:eastAsia="zh-TW"/>
        </w:rPr>
        <w:t>‍</w:t>
      </w:r>
      <w:r w:rsidR="000711C0">
        <w:rPr>
          <w:lang w:eastAsia="zh-TW"/>
        </w:rPr>
        <w:t xml:space="preserve">years’ imprisonment in </w:t>
      </w:r>
      <w:r w:rsidR="000711C0" w:rsidRPr="000711C0">
        <w:rPr>
          <w:i/>
          <w:lang w:eastAsia="zh-TW"/>
        </w:rPr>
        <w:t>Tam Yi Chun</w:t>
      </w:r>
      <w:r w:rsidR="000711C0">
        <w:rPr>
          <w:lang w:eastAsia="zh-TW"/>
        </w:rPr>
        <w:t xml:space="preserve">.  </w:t>
      </w:r>
      <w:r w:rsidR="00AC24E5">
        <w:rPr>
          <w:lang w:eastAsia="zh-TW"/>
        </w:rPr>
        <w:t xml:space="preserve">We do not know why the Court </w:t>
      </w:r>
      <w:r w:rsidR="00AC24E5">
        <w:rPr>
          <w:lang w:eastAsia="zh-TW"/>
        </w:rPr>
        <w:lastRenderedPageBreak/>
        <w:t xml:space="preserve">adopted guidelines up to only 600 grammes </w:t>
      </w:r>
      <w:r w:rsidR="00D52DC3">
        <w:rPr>
          <w:lang w:eastAsia="zh-TW"/>
        </w:rPr>
        <w:t>for</w:t>
      </w:r>
      <w:r w:rsidR="00AC24E5">
        <w:rPr>
          <w:lang w:eastAsia="zh-TW"/>
        </w:rPr>
        <w:t xml:space="preserve"> heroin: perhaps that was the </w:t>
      </w:r>
      <w:r w:rsidR="00592D6C">
        <w:rPr>
          <w:lang w:eastAsia="zh-TW"/>
        </w:rPr>
        <w:t xml:space="preserve">general </w:t>
      </w:r>
      <w:r w:rsidR="00AC24E5">
        <w:rPr>
          <w:lang w:eastAsia="zh-TW"/>
        </w:rPr>
        <w:t xml:space="preserve">experience of law enforcement authorities and the courts at the time.  </w:t>
      </w:r>
      <w:r w:rsidR="00521A7A">
        <w:rPr>
          <w:lang w:eastAsia="zh-TW"/>
        </w:rPr>
        <w:t>Clearly and inevitably, t</w:t>
      </w:r>
      <w:r w:rsidR="00592D6C">
        <w:rPr>
          <w:lang w:eastAsia="zh-TW"/>
        </w:rPr>
        <w:t xml:space="preserve">here </w:t>
      </w:r>
      <w:r w:rsidR="00AC24E5">
        <w:rPr>
          <w:lang w:eastAsia="zh-TW"/>
        </w:rPr>
        <w:t>came a time when much larger quantities needed to be catered for</w:t>
      </w:r>
      <w:r w:rsidR="00521A7A">
        <w:rPr>
          <w:lang w:eastAsia="zh-TW"/>
        </w:rPr>
        <w:t xml:space="preserve"> by the courts</w:t>
      </w:r>
      <w:r w:rsidR="00AC24E5">
        <w:rPr>
          <w:lang w:eastAsia="zh-TW"/>
        </w:rPr>
        <w:t>.</w:t>
      </w:r>
    </w:p>
    <w:p w:rsidR="00A44D33" w:rsidRDefault="00AC24E5" w:rsidP="004523BE">
      <w:pPr>
        <w:pStyle w:val="T-Draft"/>
        <w:rPr>
          <w:lang w:eastAsia="zh-TW"/>
        </w:rPr>
      </w:pPr>
      <w:r>
        <w:rPr>
          <w:lang w:eastAsia="zh-TW"/>
        </w:rPr>
        <w:t>In due course, t</w:t>
      </w:r>
      <w:r w:rsidR="00592D6C">
        <w:rPr>
          <w:lang w:eastAsia="zh-TW"/>
        </w:rPr>
        <w:t xml:space="preserve">he case of </w:t>
      </w:r>
      <w:r w:rsidR="000711C0" w:rsidRPr="000711C0">
        <w:rPr>
          <w:i/>
          <w:lang w:eastAsia="zh-TW"/>
        </w:rPr>
        <w:t>Abdallah</w:t>
      </w:r>
      <w:r w:rsidR="000711C0">
        <w:rPr>
          <w:lang w:eastAsia="zh-TW"/>
        </w:rPr>
        <w:t xml:space="preserve"> in 2009 extended the guidelines for both heroin and cocaine to 30 years’ imprisonment for trafficking in 15,000 grammes</w:t>
      </w:r>
      <w:r w:rsidR="005033AD">
        <w:rPr>
          <w:lang w:eastAsia="zh-TW"/>
        </w:rPr>
        <w:t xml:space="preserve"> of narcotic; while the Court in </w:t>
      </w:r>
      <w:r w:rsidR="005033AD" w:rsidRPr="005033AD">
        <w:rPr>
          <w:i/>
          <w:lang w:eastAsia="zh-TW"/>
        </w:rPr>
        <w:t>Tam Yi Chun</w:t>
      </w:r>
      <w:r w:rsidR="005033AD">
        <w:rPr>
          <w:lang w:eastAsia="zh-TW"/>
        </w:rPr>
        <w:t xml:space="preserve"> took the opportunity</w:t>
      </w:r>
      <w:r w:rsidR="008A08F2">
        <w:rPr>
          <w:lang w:eastAsia="zh-TW"/>
        </w:rPr>
        <w:t xml:space="preserve">, </w:t>
      </w:r>
      <w:r>
        <w:rPr>
          <w:lang w:eastAsia="zh-TW"/>
        </w:rPr>
        <w:t>not only</w:t>
      </w:r>
      <w:r w:rsidR="008A08F2">
        <w:rPr>
          <w:lang w:eastAsia="zh-TW"/>
        </w:rPr>
        <w:t xml:space="preserve"> to raise the sentencing levels for </w:t>
      </w:r>
      <w:r w:rsidR="00592D6C">
        <w:rPr>
          <w:lang w:eastAsia="zh-TW"/>
        </w:rPr>
        <w:t>“</w:t>
      </w:r>
      <w:r w:rsidR="008A08F2">
        <w:rPr>
          <w:lang w:eastAsia="zh-TW"/>
        </w:rPr>
        <w:t>Ice</w:t>
      </w:r>
      <w:r w:rsidR="00592D6C">
        <w:rPr>
          <w:lang w:eastAsia="zh-TW"/>
        </w:rPr>
        <w:t>”</w:t>
      </w:r>
      <w:r w:rsidR="008A08F2">
        <w:rPr>
          <w:lang w:eastAsia="zh-TW"/>
        </w:rPr>
        <w:t>,</w:t>
      </w:r>
      <w:r w:rsidR="005033AD">
        <w:rPr>
          <w:lang w:eastAsia="zh-TW"/>
        </w:rPr>
        <w:t xml:space="preserve"> </w:t>
      </w:r>
      <w:r>
        <w:rPr>
          <w:lang w:eastAsia="zh-TW"/>
        </w:rPr>
        <w:t xml:space="preserve">but </w:t>
      </w:r>
      <w:r w:rsidR="005033AD">
        <w:rPr>
          <w:lang w:eastAsia="zh-TW"/>
        </w:rPr>
        <w:t xml:space="preserve">to extend the </w:t>
      </w:r>
      <w:r w:rsidR="005033AD" w:rsidRPr="005033AD">
        <w:rPr>
          <w:i/>
          <w:lang w:eastAsia="zh-TW"/>
        </w:rPr>
        <w:t>Abdallah</w:t>
      </w:r>
      <w:r w:rsidR="005033AD">
        <w:rPr>
          <w:lang w:eastAsia="zh-TW"/>
        </w:rPr>
        <w:t xml:space="preserve"> guidelines to very large quantities of </w:t>
      </w:r>
      <w:r w:rsidR="00592D6C">
        <w:rPr>
          <w:lang w:eastAsia="zh-TW"/>
        </w:rPr>
        <w:t>“</w:t>
      </w:r>
      <w:r w:rsidR="005033AD">
        <w:rPr>
          <w:lang w:eastAsia="zh-TW"/>
        </w:rPr>
        <w:t>Ice</w:t>
      </w:r>
      <w:r w:rsidR="00592D6C">
        <w:rPr>
          <w:lang w:eastAsia="zh-TW"/>
        </w:rPr>
        <w:t>”</w:t>
      </w:r>
      <w:r w:rsidR="005033AD">
        <w:rPr>
          <w:lang w:eastAsia="zh-TW"/>
        </w:rPr>
        <w:t xml:space="preserve"> as well.</w:t>
      </w:r>
    </w:p>
    <w:p w:rsidR="005033AD" w:rsidRDefault="008A08F2" w:rsidP="004523BE">
      <w:pPr>
        <w:pStyle w:val="T-Draft"/>
        <w:rPr>
          <w:lang w:eastAsia="zh-TW"/>
        </w:rPr>
      </w:pPr>
      <w:r>
        <w:rPr>
          <w:lang w:eastAsia="zh-TW"/>
        </w:rPr>
        <w:t>Inevitably,</w:t>
      </w:r>
      <w:r w:rsidR="005033AD">
        <w:rPr>
          <w:lang w:eastAsia="zh-TW"/>
        </w:rPr>
        <w:t xml:space="preserve"> the trend of increasing sentences as well as the extensions </w:t>
      </w:r>
      <w:r w:rsidR="00F31922">
        <w:rPr>
          <w:lang w:eastAsia="zh-TW"/>
        </w:rPr>
        <w:t xml:space="preserve">for quantities above 600 grammes of narcotic </w:t>
      </w:r>
      <w:r w:rsidR="005033AD">
        <w:rPr>
          <w:lang w:eastAsia="zh-TW"/>
        </w:rPr>
        <w:t xml:space="preserve">forged by </w:t>
      </w:r>
      <w:r w:rsidR="005033AD" w:rsidRPr="00F31922">
        <w:rPr>
          <w:i/>
          <w:lang w:eastAsia="zh-TW"/>
        </w:rPr>
        <w:t>Abd</w:t>
      </w:r>
      <w:r w:rsidR="00BE3D11">
        <w:rPr>
          <w:i/>
          <w:lang w:eastAsia="zh-TW"/>
        </w:rPr>
        <w:t>a</w:t>
      </w:r>
      <w:r w:rsidR="005033AD" w:rsidRPr="00F31922">
        <w:rPr>
          <w:i/>
          <w:lang w:eastAsia="zh-TW"/>
        </w:rPr>
        <w:t>llah</w:t>
      </w:r>
      <w:r w:rsidR="005033AD">
        <w:rPr>
          <w:lang w:eastAsia="zh-TW"/>
        </w:rPr>
        <w:t xml:space="preserve"> </w:t>
      </w:r>
      <w:r w:rsidR="00AC24E5">
        <w:rPr>
          <w:lang w:eastAsia="zh-TW"/>
        </w:rPr>
        <w:t xml:space="preserve">(and, subsequently, </w:t>
      </w:r>
      <w:r w:rsidR="00AC24E5" w:rsidRPr="00AC24E5">
        <w:rPr>
          <w:i/>
          <w:lang w:eastAsia="zh-TW"/>
        </w:rPr>
        <w:t>Tam Yi Chun</w:t>
      </w:r>
      <w:r w:rsidR="00AC24E5">
        <w:rPr>
          <w:lang w:eastAsia="zh-TW"/>
        </w:rPr>
        <w:t xml:space="preserve">) </w:t>
      </w:r>
      <w:r w:rsidR="005033AD">
        <w:rPr>
          <w:lang w:eastAsia="zh-TW"/>
        </w:rPr>
        <w:t>have resulted not only in very long sentences</w:t>
      </w:r>
      <w:r>
        <w:rPr>
          <w:lang w:eastAsia="zh-TW"/>
        </w:rPr>
        <w:t xml:space="preserve"> for trafficking in dangerous drugs</w:t>
      </w:r>
      <w:r w:rsidR="00F31922">
        <w:rPr>
          <w:lang w:eastAsia="zh-TW"/>
        </w:rPr>
        <w:t>, but have reduced the room for manoeuvre by sentencing courts where very</w:t>
      </w:r>
      <w:r w:rsidR="00D52DC3">
        <w:rPr>
          <w:lang w:eastAsia="zh-TW"/>
        </w:rPr>
        <w:t xml:space="preserve"> or exceptionally</w:t>
      </w:r>
      <w:r w:rsidR="00F31922">
        <w:rPr>
          <w:lang w:eastAsia="zh-TW"/>
        </w:rPr>
        <w:t xml:space="preserve"> large quantities of heroin, cocaine and </w:t>
      </w:r>
      <w:r w:rsidR="00592D6C">
        <w:rPr>
          <w:lang w:eastAsia="zh-TW"/>
        </w:rPr>
        <w:t>“</w:t>
      </w:r>
      <w:r w:rsidR="00F31922">
        <w:rPr>
          <w:lang w:eastAsia="zh-TW"/>
        </w:rPr>
        <w:t>Ice</w:t>
      </w:r>
      <w:r w:rsidR="00592D6C">
        <w:rPr>
          <w:lang w:eastAsia="zh-TW"/>
        </w:rPr>
        <w:t>”</w:t>
      </w:r>
      <w:r w:rsidR="00F31922">
        <w:rPr>
          <w:lang w:eastAsia="zh-TW"/>
        </w:rPr>
        <w:t xml:space="preserve"> are concerned.  Th</w:t>
      </w:r>
      <w:r w:rsidR="005F6C8C">
        <w:rPr>
          <w:lang w:eastAsia="zh-TW"/>
        </w:rPr>
        <w:t>is problem</w:t>
      </w:r>
      <w:r w:rsidR="00F31922">
        <w:rPr>
          <w:lang w:eastAsia="zh-TW"/>
        </w:rPr>
        <w:t xml:space="preserve"> was compounded by the supplementary guidelines in </w:t>
      </w:r>
      <w:r w:rsidR="00F31922" w:rsidRPr="003918F8">
        <w:rPr>
          <w:i/>
          <w:lang w:eastAsia="zh-TW"/>
        </w:rPr>
        <w:t>Abdallah</w:t>
      </w:r>
      <w:r w:rsidR="003918F8">
        <w:rPr>
          <w:lang w:eastAsia="zh-TW"/>
        </w:rPr>
        <w:t xml:space="preserve">, </w:t>
      </w:r>
      <w:r w:rsidR="00F31922">
        <w:rPr>
          <w:lang w:eastAsia="zh-TW"/>
        </w:rPr>
        <w:t>which resulted in the enhancement of the starting point whe</w:t>
      </w:r>
      <w:r>
        <w:rPr>
          <w:lang w:eastAsia="zh-TW"/>
        </w:rPr>
        <w:t>never</w:t>
      </w:r>
      <w:r w:rsidR="00F31922">
        <w:rPr>
          <w:lang w:eastAsia="zh-TW"/>
        </w:rPr>
        <w:t xml:space="preserve"> certain aggravating features were present</w:t>
      </w:r>
      <w:r w:rsidR="00592D6C">
        <w:rPr>
          <w:lang w:eastAsia="zh-TW"/>
        </w:rPr>
        <w:t>;</w:t>
      </w:r>
      <w:r w:rsidR="00F31922">
        <w:rPr>
          <w:lang w:eastAsia="zh-TW"/>
        </w:rPr>
        <w:t xml:space="preserve"> although these have now been </w:t>
      </w:r>
      <w:r w:rsidR="003918F8">
        <w:rPr>
          <w:lang w:eastAsia="zh-TW"/>
        </w:rPr>
        <w:t xml:space="preserve">comprehensively </w:t>
      </w:r>
      <w:r w:rsidR="00C0033C">
        <w:rPr>
          <w:lang w:eastAsia="zh-TW"/>
        </w:rPr>
        <w:t>dealt with</w:t>
      </w:r>
      <w:r w:rsidR="00F31922">
        <w:rPr>
          <w:lang w:eastAsia="zh-TW"/>
        </w:rPr>
        <w:t xml:space="preserve"> </w:t>
      </w:r>
      <w:r>
        <w:rPr>
          <w:lang w:eastAsia="zh-TW"/>
        </w:rPr>
        <w:t xml:space="preserve">by the Court </w:t>
      </w:r>
      <w:r w:rsidR="003918F8">
        <w:rPr>
          <w:lang w:eastAsia="zh-TW"/>
        </w:rPr>
        <w:t xml:space="preserve">in </w:t>
      </w:r>
      <w:r w:rsidR="003918F8" w:rsidRPr="003918F8">
        <w:rPr>
          <w:i/>
          <w:lang w:eastAsia="zh-TW"/>
        </w:rPr>
        <w:t xml:space="preserve">Lee </w:t>
      </w:r>
      <w:r w:rsidR="00BE3D11">
        <w:rPr>
          <w:i/>
          <w:lang w:eastAsia="zh-TW"/>
        </w:rPr>
        <w:t>‍</w:t>
      </w:r>
      <w:r w:rsidR="003918F8" w:rsidRPr="003918F8">
        <w:rPr>
          <w:i/>
          <w:lang w:eastAsia="zh-TW"/>
        </w:rPr>
        <w:t>Ming Ho</w:t>
      </w:r>
      <w:r w:rsidR="003918F8">
        <w:rPr>
          <w:rStyle w:val="FootnoteReference"/>
          <w:lang w:eastAsia="zh-TW"/>
        </w:rPr>
        <w:footnoteReference w:id="56"/>
      </w:r>
      <w:r w:rsidR="003918F8">
        <w:rPr>
          <w:lang w:eastAsia="zh-TW"/>
        </w:rPr>
        <w:t>.</w:t>
      </w:r>
    </w:p>
    <w:p w:rsidR="00C0033C" w:rsidRDefault="00C0033C" w:rsidP="004523BE">
      <w:pPr>
        <w:pStyle w:val="T-Draft"/>
        <w:rPr>
          <w:lang w:eastAsia="zh-TW"/>
        </w:rPr>
      </w:pPr>
      <w:r>
        <w:rPr>
          <w:lang w:eastAsia="zh-TW"/>
        </w:rPr>
        <w:t>Th</w:t>
      </w:r>
      <w:r w:rsidR="008A08F2">
        <w:rPr>
          <w:lang w:eastAsia="zh-TW"/>
        </w:rPr>
        <w:t>e</w:t>
      </w:r>
      <w:r>
        <w:rPr>
          <w:lang w:eastAsia="zh-TW"/>
        </w:rPr>
        <w:t xml:space="preserve"> problem </w:t>
      </w:r>
      <w:r w:rsidR="008A08F2">
        <w:rPr>
          <w:lang w:eastAsia="zh-TW"/>
        </w:rPr>
        <w:t xml:space="preserve">of reducing the room for manoeuvre </w:t>
      </w:r>
      <w:r w:rsidR="009678FA">
        <w:rPr>
          <w:lang w:eastAsia="zh-TW"/>
        </w:rPr>
        <w:t>for</w:t>
      </w:r>
      <w:r w:rsidR="008A08F2">
        <w:rPr>
          <w:lang w:eastAsia="zh-TW"/>
        </w:rPr>
        <w:t xml:space="preserve"> the courts where very </w:t>
      </w:r>
      <w:r w:rsidR="009678FA">
        <w:rPr>
          <w:lang w:eastAsia="zh-TW"/>
        </w:rPr>
        <w:t xml:space="preserve">or exceptionally </w:t>
      </w:r>
      <w:r w:rsidR="008A08F2">
        <w:rPr>
          <w:lang w:eastAsia="zh-TW"/>
        </w:rPr>
        <w:t xml:space="preserve">large quantities </w:t>
      </w:r>
      <w:r w:rsidR="009678FA">
        <w:rPr>
          <w:lang w:eastAsia="zh-TW"/>
        </w:rPr>
        <w:t xml:space="preserve">of dangerous drugs </w:t>
      </w:r>
      <w:r w:rsidR="008A08F2">
        <w:rPr>
          <w:lang w:eastAsia="zh-TW"/>
        </w:rPr>
        <w:t xml:space="preserve">are involved </w:t>
      </w:r>
      <w:r>
        <w:rPr>
          <w:lang w:eastAsia="zh-TW"/>
        </w:rPr>
        <w:t xml:space="preserve">was </w:t>
      </w:r>
      <w:r w:rsidR="00AC24E5">
        <w:rPr>
          <w:lang w:eastAsia="zh-TW"/>
        </w:rPr>
        <w:t xml:space="preserve">also </w:t>
      </w:r>
      <w:r>
        <w:rPr>
          <w:lang w:eastAsia="zh-TW"/>
        </w:rPr>
        <w:t xml:space="preserve">specifically addressed in </w:t>
      </w:r>
      <w:r w:rsidRPr="00C0033C">
        <w:rPr>
          <w:i/>
          <w:lang w:eastAsia="zh-TW"/>
        </w:rPr>
        <w:t>Lee Ming Ho</w:t>
      </w:r>
      <w:r w:rsidRPr="008A08F2">
        <w:rPr>
          <w:rStyle w:val="FootnoteReference"/>
          <w:lang w:eastAsia="zh-TW"/>
        </w:rPr>
        <w:footnoteReference w:id="57"/>
      </w:r>
      <w:r>
        <w:rPr>
          <w:lang w:eastAsia="zh-TW"/>
        </w:rPr>
        <w:t>:</w:t>
      </w:r>
    </w:p>
    <w:p w:rsidR="00BE3D11" w:rsidRDefault="00C0033C" w:rsidP="00BE3D11">
      <w:pPr>
        <w:pStyle w:val="j-quotation"/>
        <w:rPr>
          <w:b/>
        </w:rPr>
      </w:pPr>
      <w:r>
        <w:t>“</w:t>
      </w:r>
      <w:r w:rsidR="00BE3D11">
        <w:t>66.</w:t>
      </w:r>
      <w:r w:rsidR="00BE3D11">
        <w:tab/>
      </w:r>
      <w:r>
        <w:t>With such high sentences</w:t>
      </w:r>
      <w:r w:rsidR="00BE3D11" w:rsidRPr="00BE3D11">
        <w:t>,</w:t>
      </w:r>
      <w:r w:rsidR="000B2A23">
        <w:t xml:space="preserve"> </w:t>
      </w:r>
      <w:r w:rsidR="00BE3D11" w:rsidRPr="00BE3D11">
        <w:t xml:space="preserve">and the extension of the ranges of sentence, the room for manoeuvre of courts sentencing in respect of very large quantities of dangerous drugs, and the ability to distinguish between those who are mere couriers or storekeepers and those who are much more involved in the </w:t>
      </w:r>
      <w:r w:rsidR="00BE3D11" w:rsidRPr="00BE3D11">
        <w:lastRenderedPageBreak/>
        <w:t xml:space="preserve">organisation of a drug trafficking enterprise, becomes more and more limited and restricted. </w:t>
      </w:r>
      <w:r w:rsidR="00BE3D11">
        <w:t xml:space="preserve"> </w:t>
      </w:r>
      <w:r w:rsidR="00BE3D11" w:rsidRPr="00BE3D11">
        <w:t>This concern has been voiced on a number of occasions by this Court since</w:t>
      </w:r>
      <w:r w:rsidR="00D83588">
        <w:t xml:space="preserve"> </w:t>
      </w:r>
      <w:r w:rsidR="00BE3D11" w:rsidRPr="00BE3D11">
        <w:rPr>
          <w:i/>
          <w:iCs/>
        </w:rPr>
        <w:t>Abdallah</w:t>
      </w:r>
      <w:r w:rsidR="00D83588">
        <w:rPr>
          <w:i/>
          <w:iCs/>
        </w:rPr>
        <w:t xml:space="preserve"> </w:t>
      </w:r>
      <w:r w:rsidR="00BE3D11" w:rsidRPr="00BE3D11">
        <w:t>was decided: for example, in </w:t>
      </w:r>
      <w:r w:rsidR="00BE3D11">
        <w:rPr>
          <w:i/>
          <w:iCs/>
        </w:rPr>
        <w:t>HKSAR v Leung Wai Man</w:t>
      </w:r>
      <w:r w:rsidR="00BE3D11" w:rsidRPr="002D5F97">
        <w:rPr>
          <w:rStyle w:val="FootnoteReference"/>
          <w:iCs/>
        </w:rPr>
        <w:footnoteReference w:id="58"/>
      </w:r>
      <w:r w:rsidR="00BE3D11" w:rsidRPr="00BE3D11">
        <w:t>; in</w:t>
      </w:r>
      <w:r w:rsidR="00D83588">
        <w:t xml:space="preserve"> </w:t>
      </w:r>
      <w:r w:rsidR="00BE3D11" w:rsidRPr="00BE3D11">
        <w:rPr>
          <w:i/>
          <w:iCs/>
        </w:rPr>
        <w:t>Kilima Abubakar Abbas</w:t>
      </w:r>
      <w:r w:rsidR="000B2A23" w:rsidRPr="008A08F2">
        <w:rPr>
          <w:rStyle w:val="FootnoteReference"/>
          <w:iCs/>
        </w:rPr>
        <w:footnoteReference w:id="59"/>
      </w:r>
      <w:r w:rsidR="00BE3D11" w:rsidRPr="00BE3D11">
        <w:t>; and in</w:t>
      </w:r>
      <w:r w:rsidR="00D83588">
        <w:t xml:space="preserve"> </w:t>
      </w:r>
      <w:r w:rsidR="00BE3D11">
        <w:rPr>
          <w:i/>
          <w:iCs/>
        </w:rPr>
        <w:t>HKSAR v Godson Ugochukwu Okoro</w:t>
      </w:r>
      <w:r w:rsidR="000B2A23" w:rsidRPr="008A08F2">
        <w:rPr>
          <w:rStyle w:val="FootnoteReference"/>
          <w:iCs/>
        </w:rPr>
        <w:footnoteReference w:id="60"/>
      </w:r>
      <w:r w:rsidR="00BE3D11" w:rsidRPr="00BE3D11">
        <w:t xml:space="preserve">. </w:t>
      </w:r>
      <w:r w:rsidR="00BE3D11">
        <w:t xml:space="preserve"> </w:t>
      </w:r>
      <w:r w:rsidR="00BE3D11" w:rsidRPr="00BE3D11">
        <w:t>Indeed, it seemed to be acknowledged by the Court in</w:t>
      </w:r>
      <w:r w:rsidR="00D83588">
        <w:t xml:space="preserve"> </w:t>
      </w:r>
      <w:r w:rsidR="00BE3D11" w:rsidRPr="00BE3D11">
        <w:rPr>
          <w:i/>
          <w:iCs/>
        </w:rPr>
        <w:t>Abdallah</w:t>
      </w:r>
      <w:r w:rsidR="00D83588">
        <w:rPr>
          <w:i/>
          <w:iCs/>
        </w:rPr>
        <w:t xml:space="preserve"> </w:t>
      </w:r>
      <w:r w:rsidR="00BE3D11" w:rsidRPr="00BE3D11">
        <w:t>i</w:t>
      </w:r>
      <w:r w:rsidR="00BE3D11">
        <w:t>tself</w:t>
      </w:r>
      <w:r w:rsidR="000B2A23">
        <w:rPr>
          <w:rStyle w:val="FootnoteReference"/>
        </w:rPr>
        <w:footnoteReference w:id="61"/>
      </w:r>
      <w:r w:rsidR="00BE3D11" w:rsidRPr="00BE3D11">
        <w:t>:</w:t>
      </w:r>
      <w:r w:rsidR="00BE3D11" w:rsidRPr="00BE3D11">
        <w:rPr>
          <w:b/>
        </w:rPr>
        <w:t xml:space="preserve"> </w:t>
      </w:r>
    </w:p>
    <w:p w:rsidR="00BE3D11" w:rsidRPr="00BE3D11" w:rsidRDefault="00BE3D11" w:rsidP="00BE3D11">
      <w:pPr>
        <w:pStyle w:val="j-quotation"/>
        <w:tabs>
          <w:tab w:val="clear" w:pos="1418"/>
        </w:tabs>
        <w:ind w:left="2880" w:right="1106" w:hanging="720"/>
        <w:rPr>
          <w:lang w:val="en-US"/>
        </w:rPr>
      </w:pPr>
      <w:r>
        <w:rPr>
          <w:lang w:val="en-US"/>
        </w:rPr>
        <w:t>[</w:t>
      </w:r>
      <w:r w:rsidRPr="00BE3D11">
        <w:rPr>
          <w:lang w:val="en-US"/>
        </w:rPr>
        <w:t>37</w:t>
      </w:r>
      <w:r>
        <w:rPr>
          <w:lang w:val="en-US"/>
        </w:rPr>
        <w:t>]</w:t>
      </w:r>
      <w:r>
        <w:rPr>
          <w:lang w:val="en-US"/>
        </w:rPr>
        <w:tab/>
      </w:r>
      <w:r w:rsidRPr="00BE3D11">
        <w:rPr>
          <w:lang w:val="en-US"/>
        </w:rPr>
        <w:t>An important consideration in our thinking has been that the courts should have sufficient flexibility to deal with cases where even larger quantities of heroin are trafficked than that in the present case. …</w:t>
      </w:r>
    </w:p>
    <w:p w:rsidR="00BE3D11" w:rsidRPr="00BE3D11" w:rsidRDefault="00BE3D11" w:rsidP="00BE3D11">
      <w:pPr>
        <w:pStyle w:val="j-quotation"/>
        <w:tabs>
          <w:tab w:val="clear" w:pos="1418"/>
        </w:tabs>
        <w:ind w:left="2880" w:right="1106" w:hanging="720"/>
        <w:rPr>
          <w:lang w:val="en-US"/>
        </w:rPr>
      </w:pPr>
      <w:r>
        <w:rPr>
          <w:lang w:val="en-US"/>
        </w:rPr>
        <w:t>[</w:t>
      </w:r>
      <w:r w:rsidRPr="00BE3D11">
        <w:rPr>
          <w:lang w:val="en-US"/>
        </w:rPr>
        <w:t>38</w:t>
      </w:r>
      <w:r>
        <w:rPr>
          <w:lang w:val="en-US"/>
        </w:rPr>
        <w:t>]</w:t>
      </w:r>
      <w:r>
        <w:rPr>
          <w:lang w:val="en-US"/>
        </w:rPr>
        <w:tab/>
      </w:r>
      <w:r w:rsidRPr="00BE3D11">
        <w:rPr>
          <w:lang w:val="en-US"/>
        </w:rPr>
        <w:t>We have in mind, therefore, not merely as a theoretical possibility but as a matter of practical reality, that room must be left for heroin trafficking sentences which fall into the highest range.</w:t>
      </w:r>
    </w:p>
    <w:p w:rsidR="00BE3D11" w:rsidRDefault="00BE3D11" w:rsidP="00BE3D11">
      <w:pPr>
        <w:pStyle w:val="j-quotation"/>
        <w:rPr>
          <w:b/>
        </w:rPr>
      </w:pPr>
      <w:r w:rsidRPr="00BE3D11">
        <w:t>However, with respect, it is not simply a matter of ever</w:t>
      </w:r>
      <w:r w:rsidR="00D83588">
        <w:noBreakHyphen/>
      </w:r>
      <w:r w:rsidRPr="00BE3D11">
        <w:t xml:space="preserve">increasing quantities of dangerous drugs coming before the </w:t>
      </w:r>
      <w:r w:rsidR="00D83588">
        <w:rPr>
          <w:i/>
          <w:iCs/>
        </w:rPr>
        <w:t>‍</w:t>
      </w:r>
      <w:r w:rsidRPr="00BE3D11">
        <w:t xml:space="preserve">courts. </w:t>
      </w:r>
      <w:r>
        <w:t xml:space="preserve"> </w:t>
      </w:r>
      <w:r w:rsidRPr="00BE3D11">
        <w:t>Rather, as McWalters JA put the concern in</w:t>
      </w:r>
      <w:r w:rsidR="00D83588">
        <w:t xml:space="preserve"> </w:t>
      </w:r>
      <w:r>
        <w:rPr>
          <w:i/>
          <w:iCs/>
        </w:rPr>
        <w:t xml:space="preserve">Kilima </w:t>
      </w:r>
      <w:r w:rsidR="00D83588">
        <w:rPr>
          <w:i/>
          <w:iCs/>
        </w:rPr>
        <w:t>‍</w:t>
      </w:r>
      <w:r>
        <w:rPr>
          <w:i/>
          <w:iCs/>
        </w:rPr>
        <w:t>Abubakar Abbas</w:t>
      </w:r>
      <w:r w:rsidR="000B2A23" w:rsidRPr="00546DAD">
        <w:rPr>
          <w:rStyle w:val="FootnoteReference"/>
          <w:iCs/>
        </w:rPr>
        <w:footnoteReference w:id="62"/>
      </w:r>
      <w:r w:rsidRPr="00BE3D11">
        <w:t>:</w:t>
      </w:r>
      <w:r w:rsidRPr="00BE3D11">
        <w:rPr>
          <w:b/>
        </w:rPr>
        <w:t xml:space="preserve"> </w:t>
      </w:r>
    </w:p>
    <w:p w:rsidR="00BE3D11" w:rsidRDefault="00BE3D11" w:rsidP="00BE3D11">
      <w:pPr>
        <w:pStyle w:val="j-quotation"/>
        <w:tabs>
          <w:tab w:val="clear" w:pos="1418"/>
        </w:tabs>
        <w:ind w:left="2160" w:right="1106"/>
        <w:rPr>
          <w:b/>
        </w:rPr>
      </w:pPr>
      <w:r w:rsidRPr="00BE3D11">
        <w:t xml:space="preserve">The sentencing regime must allow for the possibility that there will be large seizures of dangerous drugs and also for the possibility that persons, other than couriers, who are more heavily involved in this criminal activity, will be prosecuted. </w:t>
      </w:r>
      <w:r>
        <w:t xml:space="preserve"> </w:t>
      </w:r>
      <w:r w:rsidRPr="00BE3D11">
        <w:t>When these possibilities coincide, I fear that courts may find that the sentencing range available to them to reflect these aggravating factors may not enable them to adequately distinguish the culpability of the courier from that of the organizer.</w:t>
      </w:r>
    </w:p>
    <w:p w:rsidR="00C0033C" w:rsidRDefault="00BE3D11" w:rsidP="00BE3D11">
      <w:pPr>
        <w:pStyle w:val="j-quotation"/>
      </w:pPr>
      <w:r>
        <w:t>67.</w:t>
      </w:r>
      <w:r>
        <w:tab/>
      </w:r>
      <w:r w:rsidRPr="00BE3D11">
        <w:t>Mr Lui has produced for us a table of cases heard since</w:t>
      </w:r>
      <w:r w:rsidR="00D83588">
        <w:t xml:space="preserve"> </w:t>
      </w:r>
      <w:r w:rsidRPr="00BE3D11">
        <w:rPr>
          <w:i/>
          <w:iCs/>
        </w:rPr>
        <w:t>Abdallah</w:t>
      </w:r>
      <w:r w:rsidR="00D83588">
        <w:rPr>
          <w:i/>
          <w:iCs/>
        </w:rPr>
        <w:t xml:space="preserve"> </w:t>
      </w:r>
      <w:r w:rsidRPr="00BE3D11">
        <w:t xml:space="preserve">was decided in March 2009, in which very large quantities of </w:t>
      </w:r>
      <w:r w:rsidR="002747FB">
        <w:t>‘</w:t>
      </w:r>
      <w:r w:rsidRPr="00BE3D11">
        <w:t>Ice</w:t>
      </w:r>
      <w:r w:rsidR="002747FB">
        <w:t>’</w:t>
      </w:r>
      <w:r w:rsidRPr="00BE3D11">
        <w:t>, heroin or cocaine</w:t>
      </w:r>
      <w:r w:rsidR="000B2A23">
        <w:rPr>
          <w:rStyle w:val="FootnoteReference"/>
        </w:rPr>
        <w:footnoteReference w:id="63"/>
      </w:r>
      <w:r w:rsidRPr="00BE3D11">
        <w:t xml:space="preserve">, and quantities greater, sometimes significantly greater, than the one with which we are concerned, have been the subject of prosecution. </w:t>
      </w:r>
      <w:r>
        <w:t xml:space="preserve"> </w:t>
      </w:r>
      <w:r w:rsidRPr="00BE3D11">
        <w:t xml:space="preserve">As at 2 </w:t>
      </w:r>
      <w:r w:rsidR="00D83588">
        <w:rPr>
          <w:i/>
          <w:iCs/>
        </w:rPr>
        <w:t>‍</w:t>
      </w:r>
      <w:r w:rsidRPr="00BE3D11">
        <w:t xml:space="preserve">August 2023, there were 13 such cases of larger quantities than the one with which we are concerned, the largest of which </w:t>
      </w:r>
      <w:r w:rsidRPr="00BE3D11">
        <w:lastRenderedPageBreak/>
        <w:t xml:space="preserve">involved more than 422 kilogrammes of cocaine; the second largest, 232 kilogrammes of cocaine. </w:t>
      </w:r>
      <w:r>
        <w:t xml:space="preserve"> </w:t>
      </w:r>
      <w:r w:rsidRPr="00BE3D11">
        <w:t>The earlier case of</w:t>
      </w:r>
      <w:r>
        <w:t xml:space="preserve"> </w:t>
      </w:r>
      <w:r>
        <w:rPr>
          <w:i/>
          <w:iCs/>
        </w:rPr>
        <w:t xml:space="preserve">Ng </w:t>
      </w:r>
      <w:r w:rsidR="000B2A23">
        <w:rPr>
          <w:i/>
          <w:iCs/>
        </w:rPr>
        <w:t>‍</w:t>
      </w:r>
      <w:r>
        <w:rPr>
          <w:i/>
          <w:iCs/>
        </w:rPr>
        <w:t>Muk Kam</w:t>
      </w:r>
      <w:r w:rsidRPr="00BE3D11">
        <w:t>, referred to</w:t>
      </w:r>
      <w:r>
        <w:t xml:space="preserve"> </w:t>
      </w:r>
      <w:r w:rsidRPr="00BE3D11">
        <w:rPr>
          <w:i/>
          <w:iCs/>
        </w:rPr>
        <w:t>supra</w:t>
      </w:r>
      <w:r w:rsidR="002747FB" w:rsidRPr="00546DAD">
        <w:rPr>
          <w:rStyle w:val="FootnoteReference"/>
          <w:iCs/>
        </w:rPr>
        <w:footnoteReference w:id="64"/>
      </w:r>
      <w:r w:rsidRPr="00BE3D11">
        <w:t xml:space="preserve">, involved 306 kilogrammes of heroin narcotic. </w:t>
      </w:r>
      <w:r>
        <w:t xml:space="preserve"> </w:t>
      </w:r>
      <w:r w:rsidRPr="00BE3D11">
        <w:t>The concerns expressed by various members of the Court, therefore, over the past 15 years are real and</w:t>
      </w:r>
      <w:r w:rsidRPr="00BE3D11">
        <w:rPr>
          <w:b/>
        </w:rPr>
        <w:t xml:space="preserve"> </w:t>
      </w:r>
      <w:r w:rsidR="00C0033C">
        <w:t xml:space="preserve">certainly not theoretical.” </w:t>
      </w:r>
    </w:p>
    <w:p w:rsidR="003918F8" w:rsidRDefault="003F5922" w:rsidP="004523BE">
      <w:pPr>
        <w:pStyle w:val="T-Draft"/>
        <w:rPr>
          <w:lang w:eastAsia="zh-TW"/>
        </w:rPr>
      </w:pPr>
      <w:r>
        <w:rPr>
          <w:lang w:eastAsia="zh-TW"/>
        </w:rPr>
        <w:t xml:space="preserve">The problem has </w:t>
      </w:r>
      <w:r w:rsidR="005F6C8C">
        <w:rPr>
          <w:lang w:eastAsia="zh-TW"/>
        </w:rPr>
        <w:t>arguably</w:t>
      </w:r>
      <w:r>
        <w:rPr>
          <w:lang w:eastAsia="zh-TW"/>
        </w:rPr>
        <w:t xml:space="preserve"> been made even more acute</w:t>
      </w:r>
      <w:r w:rsidR="003918F8">
        <w:rPr>
          <w:lang w:eastAsia="zh-TW"/>
        </w:rPr>
        <w:t xml:space="preserve"> by the recent </w:t>
      </w:r>
      <w:r w:rsidR="00F774E3">
        <w:rPr>
          <w:lang w:eastAsia="zh-TW"/>
        </w:rPr>
        <w:t xml:space="preserve">decision of </w:t>
      </w:r>
      <w:r w:rsidR="005F6C8C">
        <w:rPr>
          <w:lang w:eastAsia="zh-TW"/>
        </w:rPr>
        <w:t xml:space="preserve">this Court in </w:t>
      </w:r>
      <w:r w:rsidR="003918F8" w:rsidRPr="00F774E3">
        <w:rPr>
          <w:i/>
          <w:lang w:eastAsia="zh-TW"/>
        </w:rPr>
        <w:t>Sum Ka Wa</w:t>
      </w:r>
      <w:r w:rsidR="00F774E3">
        <w:rPr>
          <w:lang w:eastAsia="zh-TW"/>
        </w:rPr>
        <w:t>, which held</w:t>
      </w:r>
      <w:r>
        <w:rPr>
          <w:lang w:eastAsia="zh-TW"/>
        </w:rPr>
        <w:t xml:space="preserve">, </w:t>
      </w:r>
      <w:r w:rsidRPr="003F5922">
        <w:rPr>
          <w:i/>
          <w:lang w:eastAsia="zh-TW"/>
        </w:rPr>
        <w:t xml:space="preserve">inter </w:t>
      </w:r>
      <w:r w:rsidR="00335EB8">
        <w:rPr>
          <w:i/>
          <w:iCs/>
        </w:rPr>
        <w:t>‍</w:t>
      </w:r>
      <w:r w:rsidRPr="003F5922">
        <w:rPr>
          <w:i/>
          <w:lang w:eastAsia="zh-TW"/>
        </w:rPr>
        <w:t>alia</w:t>
      </w:r>
      <w:r>
        <w:rPr>
          <w:lang w:eastAsia="zh-TW"/>
        </w:rPr>
        <w:t>,</w:t>
      </w:r>
      <w:r w:rsidR="00F774E3">
        <w:rPr>
          <w:lang w:eastAsia="zh-TW"/>
        </w:rPr>
        <w:t xml:space="preserve"> that “realistically and for all practical purposes, there is a prevailing sentencing limit for the offence of trafficking in dangerous drugs, which is 35 years’ imprisonment after trial”</w:t>
      </w:r>
      <w:r w:rsidR="00F774E3">
        <w:rPr>
          <w:rStyle w:val="FootnoteReference"/>
          <w:lang w:eastAsia="zh-TW"/>
        </w:rPr>
        <w:footnoteReference w:id="65"/>
      </w:r>
      <w:r w:rsidR="00F774E3">
        <w:rPr>
          <w:lang w:eastAsia="zh-TW"/>
        </w:rPr>
        <w:t>.  The Court nevertheless recognised that the maximum sentence for the offence of trafficking</w:t>
      </w:r>
      <w:r w:rsidR="00592D6C">
        <w:rPr>
          <w:lang w:eastAsia="zh-TW"/>
        </w:rPr>
        <w:t xml:space="preserve"> in dangerous drugs</w:t>
      </w:r>
      <w:r w:rsidR="00F774E3">
        <w:rPr>
          <w:lang w:eastAsia="zh-TW"/>
        </w:rPr>
        <w:t xml:space="preserve"> is life </w:t>
      </w:r>
      <w:r w:rsidR="00DA3B92">
        <w:rPr>
          <w:rFonts w:eastAsia="PMingLiU"/>
          <w:lang w:eastAsia="zh-TW"/>
        </w:rPr>
        <w:t>‍</w:t>
      </w:r>
      <w:r w:rsidR="00F774E3">
        <w:rPr>
          <w:lang w:eastAsia="zh-TW"/>
        </w:rPr>
        <w:t>imprisonment under the legislation</w:t>
      </w:r>
      <w:r w:rsidR="009678FA">
        <w:rPr>
          <w:lang w:eastAsia="zh-TW"/>
        </w:rPr>
        <w:t>.  Ac</w:t>
      </w:r>
      <w:r w:rsidR="00F774E3">
        <w:rPr>
          <w:lang w:eastAsia="zh-TW"/>
        </w:rPr>
        <w:t>cordingly, 35 years’ imprisonment cannot be an impenetrable ceiling</w:t>
      </w:r>
      <w:r w:rsidR="00592D6C">
        <w:rPr>
          <w:lang w:eastAsia="zh-TW"/>
        </w:rPr>
        <w:t>, although it represents the highest sentence ever approved on appeal for this offence</w:t>
      </w:r>
      <w:r w:rsidR="009C1E32">
        <w:rPr>
          <w:lang w:eastAsia="zh-TW"/>
        </w:rPr>
        <w:t xml:space="preserve"> in Hong Kong</w:t>
      </w:r>
      <w:r w:rsidR="00F774E3">
        <w:rPr>
          <w:lang w:eastAsia="zh-TW"/>
        </w:rPr>
        <w:t>.</w:t>
      </w:r>
      <w:r w:rsidR="00546DAD">
        <w:rPr>
          <w:lang w:eastAsia="zh-TW"/>
        </w:rPr>
        <w:t xml:space="preserve">  </w:t>
      </w:r>
      <w:r w:rsidR="00AC3522">
        <w:rPr>
          <w:lang w:eastAsia="zh-TW"/>
        </w:rPr>
        <w:t>However, t</w:t>
      </w:r>
      <w:r w:rsidR="00546DAD">
        <w:rPr>
          <w:lang w:eastAsia="zh-TW"/>
        </w:rPr>
        <w:t xml:space="preserve">he room for manoeuvre between a starting point of 30 years’ imprisonment for trafficking in 15,000 grammes of heroin, cocaine or </w:t>
      </w:r>
      <w:r w:rsidR="00592D6C">
        <w:rPr>
          <w:lang w:eastAsia="zh-TW"/>
        </w:rPr>
        <w:t>“</w:t>
      </w:r>
      <w:r w:rsidR="00546DAD">
        <w:rPr>
          <w:lang w:eastAsia="zh-TW"/>
        </w:rPr>
        <w:t>Ice</w:t>
      </w:r>
      <w:r w:rsidR="00592D6C">
        <w:rPr>
          <w:lang w:eastAsia="zh-TW"/>
        </w:rPr>
        <w:t>”</w:t>
      </w:r>
      <w:r w:rsidR="00546DAD">
        <w:rPr>
          <w:lang w:eastAsia="zh-TW"/>
        </w:rPr>
        <w:t xml:space="preserve">, in accordance with </w:t>
      </w:r>
      <w:r w:rsidR="00546DAD" w:rsidRPr="00AC3522">
        <w:rPr>
          <w:i/>
          <w:lang w:eastAsia="zh-TW"/>
        </w:rPr>
        <w:t>Abdallah</w:t>
      </w:r>
      <w:r w:rsidR="00546DAD">
        <w:rPr>
          <w:lang w:eastAsia="zh-TW"/>
        </w:rPr>
        <w:t xml:space="preserve">, and </w:t>
      </w:r>
      <w:r w:rsidR="00AC3522">
        <w:rPr>
          <w:lang w:eastAsia="zh-TW"/>
        </w:rPr>
        <w:t>a</w:t>
      </w:r>
      <w:r w:rsidR="00546DAD">
        <w:rPr>
          <w:lang w:eastAsia="zh-TW"/>
        </w:rPr>
        <w:t xml:space="preserve"> realistic</w:t>
      </w:r>
      <w:r w:rsidR="00AC3522">
        <w:rPr>
          <w:lang w:eastAsia="zh-TW"/>
        </w:rPr>
        <w:t>, practical</w:t>
      </w:r>
      <w:r w:rsidR="00546DAD">
        <w:rPr>
          <w:lang w:eastAsia="zh-TW"/>
        </w:rPr>
        <w:t xml:space="preserve"> maximum of 35 </w:t>
      </w:r>
      <w:r w:rsidR="006C4B2A">
        <w:rPr>
          <w:rFonts w:eastAsia="PMingLiU"/>
          <w:lang w:eastAsia="zh-TW"/>
        </w:rPr>
        <w:t>‍</w:t>
      </w:r>
      <w:r w:rsidR="00546DAD">
        <w:rPr>
          <w:lang w:eastAsia="zh-TW"/>
        </w:rPr>
        <w:t>years’ imprisonment</w:t>
      </w:r>
      <w:r>
        <w:rPr>
          <w:lang w:eastAsia="zh-TW"/>
        </w:rPr>
        <w:t>, borne of the experience of the courts,</w:t>
      </w:r>
      <w:r w:rsidR="00546DAD">
        <w:rPr>
          <w:lang w:eastAsia="zh-TW"/>
        </w:rPr>
        <w:t xml:space="preserve"> does not </w:t>
      </w:r>
      <w:r w:rsidR="00AC3522">
        <w:rPr>
          <w:lang w:eastAsia="zh-TW"/>
        </w:rPr>
        <w:t xml:space="preserve">seem to </w:t>
      </w:r>
      <w:r w:rsidR="00546DAD">
        <w:rPr>
          <w:lang w:eastAsia="zh-TW"/>
        </w:rPr>
        <w:t>give judge</w:t>
      </w:r>
      <w:r w:rsidR="00AC3522">
        <w:rPr>
          <w:lang w:eastAsia="zh-TW"/>
        </w:rPr>
        <w:t>s</w:t>
      </w:r>
      <w:r w:rsidR="00546DAD">
        <w:rPr>
          <w:lang w:eastAsia="zh-TW"/>
        </w:rPr>
        <w:t xml:space="preserve"> much room to reflect far more serious cases involving </w:t>
      </w:r>
      <w:r w:rsidR="005F6C8C">
        <w:rPr>
          <w:lang w:eastAsia="zh-TW"/>
        </w:rPr>
        <w:t>exceptionally large</w:t>
      </w:r>
      <w:r w:rsidR="00546DAD">
        <w:rPr>
          <w:lang w:eastAsia="zh-TW"/>
        </w:rPr>
        <w:t xml:space="preserve"> quantities of dangerous drugs and</w:t>
      </w:r>
      <w:r w:rsidR="00AC3522">
        <w:rPr>
          <w:lang w:eastAsia="zh-TW"/>
        </w:rPr>
        <w:t xml:space="preserve"> the far more culpable roles of defendants than mere couriers.</w:t>
      </w:r>
    </w:p>
    <w:p w:rsidR="00AC3522" w:rsidRDefault="00AC3522" w:rsidP="004523BE">
      <w:pPr>
        <w:pStyle w:val="T-Draft"/>
        <w:rPr>
          <w:lang w:eastAsia="zh-TW"/>
        </w:rPr>
      </w:pPr>
      <w:r>
        <w:rPr>
          <w:lang w:eastAsia="zh-TW"/>
        </w:rPr>
        <w:t xml:space="preserve">In 2020, in </w:t>
      </w:r>
      <w:r w:rsidRPr="00AC3522">
        <w:rPr>
          <w:i/>
          <w:lang w:eastAsia="zh-TW"/>
        </w:rPr>
        <w:t>Herry Jane Yusuph</w:t>
      </w:r>
      <w:r>
        <w:rPr>
          <w:lang w:eastAsia="zh-TW"/>
        </w:rPr>
        <w:t xml:space="preserve">, this Court </w:t>
      </w:r>
      <w:r w:rsidR="009678FA">
        <w:rPr>
          <w:lang w:eastAsia="zh-TW"/>
        </w:rPr>
        <w:t>conducted a detailed review of</w:t>
      </w:r>
      <w:r>
        <w:rPr>
          <w:lang w:eastAsia="zh-TW"/>
        </w:rPr>
        <w:t xml:space="preserve"> the case law </w:t>
      </w:r>
      <w:r w:rsidR="00731364">
        <w:rPr>
          <w:lang w:eastAsia="zh-TW"/>
        </w:rPr>
        <w:t>both in Hong Ko</w:t>
      </w:r>
      <w:r w:rsidR="003F5922">
        <w:rPr>
          <w:lang w:eastAsia="zh-TW"/>
        </w:rPr>
        <w:t>ng and other common law jurisdic</w:t>
      </w:r>
      <w:r w:rsidR="00731364">
        <w:rPr>
          <w:lang w:eastAsia="zh-TW"/>
        </w:rPr>
        <w:t xml:space="preserve">tions over some 40 years </w:t>
      </w:r>
      <w:r>
        <w:rPr>
          <w:lang w:eastAsia="zh-TW"/>
        </w:rPr>
        <w:t xml:space="preserve">relating to the sentencing </w:t>
      </w:r>
      <w:r w:rsidR="003F5922">
        <w:rPr>
          <w:lang w:eastAsia="zh-TW"/>
        </w:rPr>
        <w:t>for</w:t>
      </w:r>
      <w:r>
        <w:rPr>
          <w:lang w:eastAsia="zh-TW"/>
        </w:rPr>
        <w:t xml:space="preserve"> trafficking in dangerous drugs, setting out a modern approach </w:t>
      </w:r>
      <w:r w:rsidR="004B48B3">
        <w:rPr>
          <w:lang w:eastAsia="zh-TW"/>
        </w:rPr>
        <w:t xml:space="preserve">for Hong Kong </w:t>
      </w:r>
      <w:r>
        <w:rPr>
          <w:lang w:eastAsia="zh-TW"/>
        </w:rPr>
        <w:t>to tackling sentence</w:t>
      </w:r>
      <w:r w:rsidR="00B9312B">
        <w:rPr>
          <w:lang w:eastAsia="zh-TW"/>
        </w:rPr>
        <w:t>s</w:t>
      </w:r>
      <w:r>
        <w:rPr>
          <w:lang w:eastAsia="zh-TW"/>
        </w:rPr>
        <w:t xml:space="preserve"> in this area of the criminal law. </w:t>
      </w:r>
      <w:r w:rsidR="003F5922">
        <w:rPr>
          <w:lang w:eastAsia="zh-TW"/>
        </w:rPr>
        <w:t xml:space="preserve"> </w:t>
      </w:r>
      <w:r>
        <w:rPr>
          <w:lang w:eastAsia="zh-TW"/>
        </w:rPr>
        <w:t xml:space="preserve">This was followed by the </w:t>
      </w:r>
      <w:r w:rsidR="00B9312B">
        <w:rPr>
          <w:lang w:eastAsia="zh-TW"/>
        </w:rPr>
        <w:t xml:space="preserve">Court’s </w:t>
      </w:r>
      <w:r>
        <w:rPr>
          <w:lang w:eastAsia="zh-TW"/>
        </w:rPr>
        <w:t>decision</w:t>
      </w:r>
      <w:r w:rsidR="004B48B3">
        <w:rPr>
          <w:lang w:eastAsia="zh-TW"/>
        </w:rPr>
        <w:t>s</w:t>
      </w:r>
      <w:r w:rsidR="00B9312B">
        <w:rPr>
          <w:lang w:eastAsia="zh-TW"/>
        </w:rPr>
        <w:t xml:space="preserve"> </w:t>
      </w:r>
      <w:r>
        <w:rPr>
          <w:lang w:eastAsia="zh-TW"/>
        </w:rPr>
        <w:t xml:space="preserve">in </w:t>
      </w:r>
      <w:r w:rsidRPr="00AC3522">
        <w:rPr>
          <w:i/>
          <w:lang w:eastAsia="zh-TW"/>
        </w:rPr>
        <w:t>Lee Ming Ho</w:t>
      </w:r>
      <w:r>
        <w:rPr>
          <w:lang w:eastAsia="zh-TW"/>
        </w:rPr>
        <w:t xml:space="preserve"> in February 2024</w:t>
      </w:r>
      <w:r w:rsidR="003F5922">
        <w:rPr>
          <w:lang w:eastAsia="zh-TW"/>
        </w:rPr>
        <w:t>;</w:t>
      </w:r>
      <w:r w:rsidR="00731364">
        <w:rPr>
          <w:lang w:eastAsia="zh-TW"/>
        </w:rPr>
        <w:t xml:space="preserve"> </w:t>
      </w:r>
      <w:r w:rsidR="00592D6C" w:rsidRPr="00592D6C">
        <w:rPr>
          <w:i/>
          <w:lang w:eastAsia="zh-TW"/>
        </w:rPr>
        <w:t>Ra</w:t>
      </w:r>
      <w:r w:rsidR="00731364" w:rsidRPr="00731364">
        <w:rPr>
          <w:i/>
          <w:lang w:eastAsia="zh-TW"/>
        </w:rPr>
        <w:t xml:space="preserve">man </w:t>
      </w:r>
      <w:r w:rsidR="005C01E9">
        <w:rPr>
          <w:i/>
          <w:lang w:eastAsia="zh-TW"/>
        </w:rPr>
        <w:t>‍</w:t>
      </w:r>
      <w:r w:rsidR="00731364" w:rsidRPr="00731364">
        <w:rPr>
          <w:i/>
          <w:lang w:eastAsia="zh-TW"/>
        </w:rPr>
        <w:t>Kapusamy</w:t>
      </w:r>
      <w:r w:rsidR="00731364">
        <w:rPr>
          <w:lang w:eastAsia="zh-TW"/>
        </w:rPr>
        <w:t xml:space="preserve"> </w:t>
      </w:r>
      <w:r w:rsidR="00731364">
        <w:rPr>
          <w:lang w:eastAsia="zh-TW"/>
        </w:rPr>
        <w:lastRenderedPageBreak/>
        <w:t>in April 2024</w:t>
      </w:r>
      <w:r w:rsidR="00B9312B">
        <w:rPr>
          <w:lang w:eastAsia="zh-TW"/>
        </w:rPr>
        <w:t xml:space="preserve">; and </w:t>
      </w:r>
      <w:r w:rsidR="00B9312B" w:rsidRPr="00B9312B">
        <w:rPr>
          <w:i/>
          <w:lang w:eastAsia="zh-TW"/>
        </w:rPr>
        <w:t>Sum Ka Wa</w:t>
      </w:r>
      <w:r w:rsidR="00B9312B">
        <w:rPr>
          <w:lang w:eastAsia="zh-TW"/>
        </w:rPr>
        <w:t xml:space="preserve"> in</w:t>
      </w:r>
      <w:r w:rsidR="00731364">
        <w:rPr>
          <w:lang w:eastAsia="zh-TW"/>
        </w:rPr>
        <w:t xml:space="preserve"> August 2024.  Th</w:t>
      </w:r>
      <w:r w:rsidR="004B48B3">
        <w:rPr>
          <w:lang w:eastAsia="zh-TW"/>
        </w:rPr>
        <w:t>e</w:t>
      </w:r>
      <w:r w:rsidR="00731364">
        <w:rPr>
          <w:lang w:eastAsia="zh-TW"/>
        </w:rPr>
        <w:t>se four decisions of this Court have redefined the sentencing approach to trafficking in dangerous drugs</w:t>
      </w:r>
      <w:r w:rsidR="00592D6C">
        <w:rPr>
          <w:lang w:eastAsia="zh-TW"/>
        </w:rPr>
        <w:t xml:space="preserve"> in the modern era</w:t>
      </w:r>
      <w:r w:rsidR="00731364">
        <w:rPr>
          <w:lang w:eastAsia="zh-TW"/>
        </w:rPr>
        <w:t xml:space="preserve">.  To </w:t>
      </w:r>
      <w:r w:rsidR="00A117DB">
        <w:rPr>
          <w:rFonts w:eastAsia="PMingLiU"/>
          <w:lang w:eastAsia="zh-TW"/>
        </w:rPr>
        <w:t>‍</w:t>
      </w:r>
      <w:r w:rsidR="00731364">
        <w:rPr>
          <w:lang w:eastAsia="zh-TW"/>
        </w:rPr>
        <w:t>this quar</w:t>
      </w:r>
      <w:r w:rsidR="00074936">
        <w:rPr>
          <w:lang w:eastAsia="zh-TW"/>
        </w:rPr>
        <w:t>tet of authorities may be added</w:t>
      </w:r>
      <w:r w:rsidR="00731364" w:rsidRPr="00731364">
        <w:rPr>
          <w:i/>
          <w:lang w:eastAsia="zh-TW"/>
        </w:rPr>
        <w:t xml:space="preserve"> Michalakopoulos </w:t>
      </w:r>
      <w:r w:rsidR="00A117DB">
        <w:rPr>
          <w:rFonts w:eastAsia="PMingLiU"/>
          <w:lang w:eastAsia="zh-TW"/>
        </w:rPr>
        <w:t>‍</w:t>
      </w:r>
      <w:r w:rsidR="00731364" w:rsidRPr="00731364">
        <w:rPr>
          <w:i/>
          <w:lang w:eastAsia="zh-TW"/>
        </w:rPr>
        <w:t>Theordoros</w:t>
      </w:r>
      <w:r w:rsidR="00731364">
        <w:rPr>
          <w:lang w:eastAsia="zh-TW"/>
        </w:rPr>
        <w:t>, delivered in October 2024</w:t>
      </w:r>
      <w:r w:rsidR="003F5922">
        <w:rPr>
          <w:lang w:eastAsia="zh-TW"/>
        </w:rPr>
        <w:t>, which</w:t>
      </w:r>
      <w:r w:rsidR="005F6C8C">
        <w:rPr>
          <w:lang w:eastAsia="zh-TW"/>
        </w:rPr>
        <w:t>, as discussed above,</w:t>
      </w:r>
      <w:r w:rsidR="003F5922">
        <w:rPr>
          <w:lang w:eastAsia="zh-TW"/>
        </w:rPr>
        <w:t xml:space="preserve"> illustrated</w:t>
      </w:r>
      <w:r w:rsidR="00731364">
        <w:rPr>
          <w:lang w:eastAsia="zh-TW"/>
        </w:rPr>
        <w:t xml:space="preserve"> a particular aspect of </w:t>
      </w:r>
      <w:r w:rsidR="00731364" w:rsidRPr="003F5922">
        <w:rPr>
          <w:i/>
          <w:lang w:eastAsia="zh-TW"/>
        </w:rPr>
        <w:t>Raman Kapusamy</w:t>
      </w:r>
      <w:r w:rsidR="00731364">
        <w:rPr>
          <w:lang w:eastAsia="zh-TW"/>
        </w:rPr>
        <w:t>.</w:t>
      </w:r>
    </w:p>
    <w:p w:rsidR="004B48B3" w:rsidRDefault="004B48B3" w:rsidP="004523BE">
      <w:pPr>
        <w:pStyle w:val="T-Draft"/>
        <w:rPr>
          <w:lang w:eastAsia="zh-TW"/>
        </w:rPr>
      </w:pPr>
      <w:r>
        <w:rPr>
          <w:lang w:eastAsia="zh-TW"/>
        </w:rPr>
        <w:t xml:space="preserve">In </w:t>
      </w:r>
      <w:r w:rsidRPr="004B48B3">
        <w:rPr>
          <w:i/>
          <w:lang w:eastAsia="zh-TW"/>
        </w:rPr>
        <w:t>Lee Ming Ho</w:t>
      </w:r>
      <w:r>
        <w:rPr>
          <w:lang w:eastAsia="zh-TW"/>
        </w:rPr>
        <w:t xml:space="preserve">, whilst we redefined the sentencing approach to the supplementary guidelines in </w:t>
      </w:r>
      <w:r w:rsidRPr="004B48B3">
        <w:rPr>
          <w:i/>
          <w:lang w:eastAsia="zh-TW"/>
        </w:rPr>
        <w:t>Abdallah</w:t>
      </w:r>
      <w:r>
        <w:rPr>
          <w:lang w:eastAsia="zh-TW"/>
        </w:rPr>
        <w:t>, we left the arithmetical guidelines themselves intact</w:t>
      </w:r>
      <w:r w:rsidR="00EF4474">
        <w:rPr>
          <w:lang w:eastAsia="zh-TW"/>
        </w:rPr>
        <w:t xml:space="preserve">; particularly in the absence of </w:t>
      </w:r>
      <w:r w:rsidR="00592D6C">
        <w:rPr>
          <w:lang w:eastAsia="zh-TW"/>
        </w:rPr>
        <w:t xml:space="preserve">any </w:t>
      </w:r>
      <w:r w:rsidR="00EF4474">
        <w:rPr>
          <w:lang w:eastAsia="zh-TW"/>
        </w:rPr>
        <w:t xml:space="preserve">empirical evidence, which we have now </w:t>
      </w:r>
      <w:r w:rsidR="00B92146">
        <w:rPr>
          <w:lang w:eastAsia="zh-TW"/>
        </w:rPr>
        <w:t xml:space="preserve">called for and </w:t>
      </w:r>
      <w:r w:rsidR="00EF4474">
        <w:rPr>
          <w:lang w:eastAsia="zh-TW"/>
        </w:rPr>
        <w:t>received</w:t>
      </w:r>
      <w:r>
        <w:rPr>
          <w:lang w:eastAsia="zh-TW"/>
        </w:rPr>
        <w:t>.</w:t>
      </w:r>
      <w:r w:rsidR="003F52A2">
        <w:rPr>
          <w:lang w:eastAsia="zh-TW"/>
        </w:rPr>
        <w:t xml:space="preserve">  We have concluded that </w:t>
      </w:r>
      <w:r w:rsidR="00B92146">
        <w:rPr>
          <w:lang w:eastAsia="zh-TW"/>
        </w:rPr>
        <w:t xml:space="preserve">the time has come </w:t>
      </w:r>
      <w:r w:rsidR="003F52A2">
        <w:rPr>
          <w:lang w:eastAsia="zh-TW"/>
        </w:rPr>
        <w:t xml:space="preserve">to reconsider the </w:t>
      </w:r>
      <w:r w:rsidR="003F52A2" w:rsidRPr="003F52A2">
        <w:rPr>
          <w:i/>
          <w:lang w:eastAsia="zh-TW"/>
        </w:rPr>
        <w:t>Abdallah</w:t>
      </w:r>
      <w:r w:rsidR="003F52A2">
        <w:rPr>
          <w:lang w:eastAsia="zh-TW"/>
        </w:rPr>
        <w:t xml:space="preserve"> guidelines in respect of heroin and cocaine, which must inevitably encroach </w:t>
      </w:r>
      <w:r w:rsidR="003F5922">
        <w:rPr>
          <w:lang w:eastAsia="zh-TW"/>
        </w:rPr>
        <w:t xml:space="preserve">to some extent </w:t>
      </w:r>
      <w:r w:rsidR="003F52A2">
        <w:rPr>
          <w:lang w:eastAsia="zh-TW"/>
        </w:rPr>
        <w:t xml:space="preserve">on the </w:t>
      </w:r>
      <w:r w:rsidR="003F5922">
        <w:rPr>
          <w:lang w:eastAsia="zh-TW"/>
        </w:rPr>
        <w:t xml:space="preserve">venerable </w:t>
      </w:r>
      <w:r w:rsidR="003F52A2">
        <w:rPr>
          <w:lang w:eastAsia="zh-TW"/>
        </w:rPr>
        <w:t xml:space="preserve">guidelines in </w:t>
      </w:r>
      <w:r w:rsidR="003F52A2" w:rsidRPr="003F52A2">
        <w:rPr>
          <w:i/>
          <w:lang w:eastAsia="zh-TW"/>
        </w:rPr>
        <w:t>Lau Tak-ming</w:t>
      </w:r>
      <w:r w:rsidR="003F52A2">
        <w:rPr>
          <w:lang w:eastAsia="zh-TW"/>
        </w:rPr>
        <w:t xml:space="preserve">, of which </w:t>
      </w:r>
      <w:r w:rsidR="003F52A2" w:rsidRPr="003F52A2">
        <w:rPr>
          <w:i/>
          <w:lang w:eastAsia="zh-TW"/>
        </w:rPr>
        <w:t xml:space="preserve">Abdallah </w:t>
      </w:r>
      <w:r w:rsidR="003F52A2">
        <w:rPr>
          <w:lang w:eastAsia="zh-TW"/>
        </w:rPr>
        <w:t xml:space="preserve">was an extension, as well as the related guidelines in respect of </w:t>
      </w:r>
      <w:r w:rsidR="00592D6C">
        <w:rPr>
          <w:lang w:eastAsia="zh-TW"/>
        </w:rPr>
        <w:t>“</w:t>
      </w:r>
      <w:r w:rsidR="003F52A2">
        <w:rPr>
          <w:lang w:eastAsia="zh-TW"/>
        </w:rPr>
        <w:t>Ice</w:t>
      </w:r>
      <w:r w:rsidR="00592D6C">
        <w:rPr>
          <w:lang w:eastAsia="zh-TW"/>
        </w:rPr>
        <w:t>”</w:t>
      </w:r>
      <w:r w:rsidR="003F52A2">
        <w:rPr>
          <w:lang w:eastAsia="zh-TW"/>
        </w:rPr>
        <w:t xml:space="preserve"> in </w:t>
      </w:r>
      <w:r w:rsidR="003F52A2" w:rsidRPr="003F52A2">
        <w:rPr>
          <w:i/>
          <w:lang w:eastAsia="zh-TW"/>
        </w:rPr>
        <w:t xml:space="preserve">Tam </w:t>
      </w:r>
      <w:r w:rsidR="00335EB8">
        <w:rPr>
          <w:i/>
          <w:iCs/>
        </w:rPr>
        <w:t>‍</w:t>
      </w:r>
      <w:r w:rsidR="003F52A2" w:rsidRPr="003F52A2">
        <w:rPr>
          <w:i/>
          <w:lang w:eastAsia="zh-TW"/>
        </w:rPr>
        <w:t>Yi Chun</w:t>
      </w:r>
      <w:r w:rsidR="003F52A2">
        <w:rPr>
          <w:lang w:eastAsia="zh-TW"/>
        </w:rPr>
        <w:t>.</w:t>
      </w:r>
      <w:r w:rsidR="00B92146">
        <w:rPr>
          <w:lang w:eastAsia="zh-TW"/>
        </w:rPr>
        <w:t xml:space="preserve">  </w:t>
      </w:r>
      <w:r w:rsidR="009678FA">
        <w:rPr>
          <w:lang w:eastAsia="zh-TW"/>
        </w:rPr>
        <w:t>Since this Court is comprised</w:t>
      </w:r>
      <w:r w:rsidR="009C1E32">
        <w:rPr>
          <w:lang w:eastAsia="zh-TW"/>
        </w:rPr>
        <w:t xml:space="preserve"> of three members representing both divisions of the Court of Appeal,</w:t>
      </w:r>
      <w:r w:rsidR="00B92146">
        <w:rPr>
          <w:lang w:eastAsia="zh-TW"/>
        </w:rPr>
        <w:t xml:space="preserve"> </w:t>
      </w:r>
      <w:r w:rsidR="009678FA">
        <w:rPr>
          <w:lang w:eastAsia="zh-TW"/>
        </w:rPr>
        <w:t xml:space="preserve">the present case </w:t>
      </w:r>
      <w:r w:rsidR="00B92146">
        <w:rPr>
          <w:lang w:eastAsia="zh-TW"/>
        </w:rPr>
        <w:t>gives us that opportunity.</w:t>
      </w:r>
    </w:p>
    <w:p w:rsidR="00653963" w:rsidRDefault="003F5922" w:rsidP="004523BE">
      <w:pPr>
        <w:pStyle w:val="T-Draft"/>
        <w:rPr>
          <w:lang w:eastAsia="zh-TW"/>
        </w:rPr>
      </w:pPr>
      <w:r>
        <w:rPr>
          <w:lang w:eastAsia="zh-TW"/>
        </w:rPr>
        <w:t>The reason for this</w:t>
      </w:r>
      <w:r w:rsidR="00EF4474">
        <w:rPr>
          <w:lang w:eastAsia="zh-TW"/>
        </w:rPr>
        <w:t xml:space="preserve"> re</w:t>
      </w:r>
      <w:r w:rsidR="00B92146">
        <w:rPr>
          <w:lang w:eastAsia="zh-TW"/>
        </w:rPr>
        <w:t>assessment</w:t>
      </w:r>
      <w:r w:rsidR="00A32381">
        <w:rPr>
          <w:lang w:eastAsia="zh-TW"/>
        </w:rPr>
        <w:t>, apart from wishing to adopt a more holistic approach to sentence for what are three of the most serious and potent dangerous drugs coming before the courts</w:t>
      </w:r>
      <w:r w:rsidR="00A46B82">
        <w:rPr>
          <w:lang w:eastAsia="zh-TW"/>
        </w:rPr>
        <w:t xml:space="preserve"> in Hong Kong</w:t>
      </w:r>
      <w:r w:rsidR="00A32381">
        <w:rPr>
          <w:lang w:eastAsia="zh-TW"/>
        </w:rPr>
        <w:t>, is that when</w:t>
      </w:r>
      <w:r w:rsidR="0090480E">
        <w:rPr>
          <w:lang w:eastAsia="zh-TW"/>
        </w:rPr>
        <w:t xml:space="preserve"> the</w:t>
      </w:r>
      <w:r w:rsidR="00A32381">
        <w:rPr>
          <w:lang w:eastAsia="zh-TW"/>
        </w:rPr>
        <w:t xml:space="preserve"> </w:t>
      </w:r>
      <w:r w:rsidR="00A32381" w:rsidRPr="00A32381">
        <w:rPr>
          <w:i/>
          <w:lang w:eastAsia="zh-TW"/>
        </w:rPr>
        <w:t>Abdallah</w:t>
      </w:r>
      <w:r w:rsidR="00A32381">
        <w:rPr>
          <w:lang w:eastAsia="zh-TW"/>
        </w:rPr>
        <w:t xml:space="preserve"> </w:t>
      </w:r>
      <w:r w:rsidR="0090480E">
        <w:rPr>
          <w:lang w:eastAsia="zh-TW"/>
        </w:rPr>
        <w:t>guidelines were</w:t>
      </w:r>
      <w:r w:rsidR="00A32381">
        <w:rPr>
          <w:lang w:eastAsia="zh-TW"/>
        </w:rPr>
        <w:t xml:space="preserve"> grafted onto</w:t>
      </w:r>
      <w:r w:rsidR="0090480E">
        <w:rPr>
          <w:lang w:eastAsia="zh-TW"/>
        </w:rPr>
        <w:t xml:space="preserve"> the guidelines in</w:t>
      </w:r>
      <w:r w:rsidR="00A32381">
        <w:rPr>
          <w:lang w:eastAsia="zh-TW"/>
        </w:rPr>
        <w:t xml:space="preserve"> </w:t>
      </w:r>
      <w:r w:rsidR="00A32381" w:rsidRPr="00A32381">
        <w:rPr>
          <w:i/>
          <w:lang w:eastAsia="zh-TW"/>
        </w:rPr>
        <w:t xml:space="preserve">Lau </w:t>
      </w:r>
      <w:r w:rsidR="00335EB8">
        <w:rPr>
          <w:i/>
          <w:iCs/>
        </w:rPr>
        <w:t>‍</w:t>
      </w:r>
      <w:r w:rsidR="00A32381" w:rsidRPr="00A32381">
        <w:rPr>
          <w:i/>
          <w:lang w:eastAsia="zh-TW"/>
        </w:rPr>
        <w:t>Tak-</w:t>
      </w:r>
      <w:r w:rsidR="00335EB8">
        <w:rPr>
          <w:i/>
          <w:iCs/>
        </w:rPr>
        <w:t>‍</w:t>
      </w:r>
      <w:r w:rsidR="00A32381" w:rsidRPr="00A32381">
        <w:rPr>
          <w:i/>
          <w:lang w:eastAsia="zh-TW"/>
        </w:rPr>
        <w:t>ming</w:t>
      </w:r>
      <w:r w:rsidR="00A32381">
        <w:rPr>
          <w:lang w:eastAsia="zh-TW"/>
        </w:rPr>
        <w:t xml:space="preserve">, certain </w:t>
      </w:r>
      <w:r w:rsidR="00EF4474">
        <w:rPr>
          <w:lang w:eastAsia="zh-TW"/>
        </w:rPr>
        <w:t>slightly odd</w:t>
      </w:r>
      <w:r w:rsidR="00A32381">
        <w:rPr>
          <w:lang w:eastAsia="zh-TW"/>
        </w:rPr>
        <w:t xml:space="preserve"> features emerged. </w:t>
      </w:r>
      <w:r w:rsidR="0090480E">
        <w:rPr>
          <w:lang w:eastAsia="zh-TW"/>
        </w:rPr>
        <w:t xml:space="preserve"> </w:t>
      </w:r>
      <w:r w:rsidR="00A46B82">
        <w:rPr>
          <w:lang w:eastAsia="zh-TW"/>
        </w:rPr>
        <w:t xml:space="preserve">Before we analyse those </w:t>
      </w:r>
      <w:r w:rsidR="003D76A8">
        <w:rPr>
          <w:lang w:eastAsia="zh-TW"/>
        </w:rPr>
        <w:t>features</w:t>
      </w:r>
      <w:r w:rsidR="00A46B82">
        <w:rPr>
          <w:lang w:eastAsia="zh-TW"/>
        </w:rPr>
        <w:t xml:space="preserve">, we should </w:t>
      </w:r>
      <w:r w:rsidR="00592D6C">
        <w:rPr>
          <w:lang w:eastAsia="zh-TW"/>
        </w:rPr>
        <w:t>say that we agree with Mr Lau</w:t>
      </w:r>
      <w:r w:rsidR="00A46B82">
        <w:rPr>
          <w:lang w:eastAsia="zh-TW"/>
        </w:rPr>
        <w:t xml:space="preserve"> that it has</w:t>
      </w:r>
      <w:r w:rsidR="0090480E">
        <w:rPr>
          <w:lang w:eastAsia="zh-TW"/>
        </w:rPr>
        <w:t xml:space="preserve"> long been an accepted sentencing principle in this jur</w:t>
      </w:r>
      <w:r w:rsidR="00653963">
        <w:rPr>
          <w:lang w:eastAsia="zh-TW"/>
        </w:rPr>
        <w:t>is</w:t>
      </w:r>
      <w:r w:rsidR="0090480E">
        <w:rPr>
          <w:lang w:eastAsia="zh-TW"/>
        </w:rPr>
        <w:t>diction that there must be a greater element of deterrence built into the guidelines for relatively lower quantities of dangerous drugs than for higher quantities; it follows</w:t>
      </w:r>
      <w:r w:rsidR="003D76A8">
        <w:rPr>
          <w:lang w:eastAsia="zh-TW"/>
        </w:rPr>
        <w:t xml:space="preserve"> from that principle</w:t>
      </w:r>
      <w:r w:rsidR="0090480E">
        <w:rPr>
          <w:lang w:eastAsia="zh-TW"/>
        </w:rPr>
        <w:t xml:space="preserve"> that there must come a time when sentences for </w:t>
      </w:r>
      <w:r w:rsidR="00653963">
        <w:rPr>
          <w:lang w:eastAsia="zh-TW"/>
        </w:rPr>
        <w:t>higher</w:t>
      </w:r>
      <w:r w:rsidR="0090480E">
        <w:rPr>
          <w:lang w:eastAsia="zh-TW"/>
        </w:rPr>
        <w:t xml:space="preserve"> quantities begin to</w:t>
      </w:r>
      <w:r w:rsidR="003D76A8">
        <w:rPr>
          <w:lang w:eastAsia="zh-TW"/>
        </w:rPr>
        <w:t xml:space="preserve"> </w:t>
      </w:r>
      <w:r w:rsidR="00A272EC">
        <w:rPr>
          <w:lang w:eastAsia="zh-TW"/>
        </w:rPr>
        <w:t>plateau or level off</w:t>
      </w:r>
      <w:r w:rsidR="00653963">
        <w:rPr>
          <w:lang w:eastAsia="zh-TW"/>
        </w:rPr>
        <w:t xml:space="preserve">.  Were it otherwise, sentences </w:t>
      </w:r>
      <w:r w:rsidR="00653963">
        <w:rPr>
          <w:lang w:eastAsia="zh-TW"/>
        </w:rPr>
        <w:lastRenderedPageBreak/>
        <w:t>would quickly reach well beyond the life of an average person as quantities become larger and larger.</w:t>
      </w:r>
      <w:r w:rsidR="0090480E">
        <w:rPr>
          <w:lang w:eastAsia="zh-TW"/>
        </w:rPr>
        <w:t xml:space="preserve"> </w:t>
      </w:r>
      <w:r w:rsidR="00653963">
        <w:rPr>
          <w:lang w:eastAsia="zh-TW"/>
        </w:rPr>
        <w:t xml:space="preserve"> As </w:t>
      </w:r>
      <w:r w:rsidR="00B92146">
        <w:rPr>
          <w:lang w:eastAsia="zh-TW"/>
        </w:rPr>
        <w:t xml:space="preserve">was </w:t>
      </w:r>
      <w:r w:rsidR="00D47287">
        <w:rPr>
          <w:lang w:eastAsia="zh-TW"/>
        </w:rPr>
        <w:t>stated</w:t>
      </w:r>
      <w:r w:rsidR="00B92146">
        <w:rPr>
          <w:lang w:eastAsia="zh-TW"/>
        </w:rPr>
        <w:t xml:space="preserve"> by </w:t>
      </w:r>
      <w:r w:rsidR="00653963">
        <w:rPr>
          <w:lang w:eastAsia="zh-TW"/>
        </w:rPr>
        <w:t xml:space="preserve">the Court in </w:t>
      </w:r>
      <w:r w:rsidR="00653963" w:rsidRPr="00C15103">
        <w:rPr>
          <w:i/>
          <w:lang w:eastAsia="zh-TW"/>
        </w:rPr>
        <w:t>R v Lau Lun-fu</w:t>
      </w:r>
      <w:r w:rsidR="00C15103">
        <w:rPr>
          <w:rStyle w:val="FootnoteReference"/>
          <w:lang w:eastAsia="zh-TW"/>
        </w:rPr>
        <w:footnoteReference w:id="66"/>
      </w:r>
      <w:r w:rsidR="00653963">
        <w:rPr>
          <w:lang w:eastAsia="zh-TW"/>
        </w:rPr>
        <w:t>:</w:t>
      </w:r>
    </w:p>
    <w:p w:rsidR="0090480E" w:rsidRDefault="00653963" w:rsidP="007B2256">
      <w:pPr>
        <w:pStyle w:val="j-quotation"/>
      </w:pPr>
      <w:r>
        <w:t>“The Courts of Hong Kong are and must be concerned to impose sentences in this field which do not involve incarcerating individuals for life, and must therefore have an approximate ceiling.  Accordingly</w:t>
      </w:r>
      <w:r w:rsidR="00C15103">
        <w:t xml:space="preserve"> when very large quantities of dangerous drugs with high values are found possessed for the purposes of trafficking, no very great distinction can be made between particular possessors.”</w:t>
      </w:r>
    </w:p>
    <w:p w:rsidR="00E63CA5" w:rsidRDefault="003D76A8" w:rsidP="00E63CA5">
      <w:pPr>
        <w:pStyle w:val="T-Draft"/>
        <w:rPr>
          <w:lang w:eastAsia="zh-TW"/>
        </w:rPr>
      </w:pPr>
      <w:r>
        <w:rPr>
          <w:lang w:eastAsia="zh-TW"/>
        </w:rPr>
        <w:t>Similarly, i</w:t>
      </w:r>
      <w:r w:rsidR="00E63CA5">
        <w:rPr>
          <w:lang w:eastAsia="zh-TW"/>
        </w:rPr>
        <w:t xml:space="preserve">n </w:t>
      </w:r>
      <w:r w:rsidR="00E63CA5" w:rsidRPr="00E63CA5">
        <w:rPr>
          <w:i/>
          <w:lang w:eastAsia="zh-TW"/>
        </w:rPr>
        <w:t>Attorney General v Dil Bahadur Gurung</w:t>
      </w:r>
      <w:r w:rsidR="00E63CA5">
        <w:rPr>
          <w:rStyle w:val="FootnoteReference"/>
          <w:lang w:eastAsia="zh-TW"/>
        </w:rPr>
        <w:footnoteReference w:id="67"/>
      </w:r>
      <w:r w:rsidR="00E63CA5">
        <w:rPr>
          <w:lang w:eastAsia="zh-TW"/>
        </w:rPr>
        <w:t xml:space="preserve">, the </w:t>
      </w:r>
      <w:r w:rsidR="00A117DB">
        <w:rPr>
          <w:rFonts w:eastAsia="PMingLiU"/>
          <w:lang w:eastAsia="zh-TW"/>
        </w:rPr>
        <w:t>‍</w:t>
      </w:r>
      <w:r w:rsidR="00E63CA5">
        <w:rPr>
          <w:lang w:eastAsia="zh-TW"/>
        </w:rPr>
        <w:t>Court put the matter in this way</w:t>
      </w:r>
      <w:r w:rsidR="00E63CA5">
        <w:rPr>
          <w:rStyle w:val="FootnoteReference"/>
          <w:lang w:eastAsia="zh-TW"/>
        </w:rPr>
        <w:footnoteReference w:id="68"/>
      </w:r>
      <w:r w:rsidR="00E63CA5">
        <w:rPr>
          <w:lang w:eastAsia="zh-TW"/>
        </w:rPr>
        <w:t>:</w:t>
      </w:r>
    </w:p>
    <w:p w:rsidR="00E63CA5" w:rsidRDefault="003D76A8" w:rsidP="007B2256">
      <w:pPr>
        <w:pStyle w:val="j-quotation"/>
      </w:pPr>
      <w:r>
        <w:t>“</w:t>
      </w:r>
      <w:r w:rsidR="00E63CA5">
        <w:t xml:space="preserve">When a court is considering quantities of dangerous drugs, whatever their nature, which exceed the top level set out in guideline cases such as </w:t>
      </w:r>
      <w:r w:rsidR="00E63CA5" w:rsidRPr="007F02B2">
        <w:rPr>
          <w:i/>
        </w:rPr>
        <w:t>Lau Tak-ming</w:t>
      </w:r>
      <w:r w:rsidR="00E63CA5">
        <w:t xml:space="preserve"> – or for that matter </w:t>
      </w:r>
      <w:r w:rsidR="00E63CA5" w:rsidRPr="007F02B2">
        <w:rPr>
          <w:i/>
        </w:rPr>
        <w:t xml:space="preserve">Chan </w:t>
      </w:r>
      <w:r w:rsidR="007B2256" w:rsidRPr="007F02B2">
        <w:rPr>
          <w:i/>
        </w:rPr>
        <w:t>‍</w:t>
      </w:r>
      <w:r w:rsidR="00E63CA5" w:rsidRPr="007F02B2">
        <w:rPr>
          <w:i/>
        </w:rPr>
        <w:t>Chi-man</w:t>
      </w:r>
      <w:r w:rsidR="00E63CA5">
        <w:t xml:space="preserve"> – it is a principle of sentencing that the mathematical progression tapers off.”</w:t>
      </w:r>
    </w:p>
    <w:p w:rsidR="00B92146" w:rsidRDefault="007F02B2" w:rsidP="00B92146">
      <w:pPr>
        <w:pStyle w:val="T-Draft"/>
        <w:rPr>
          <w:lang w:eastAsia="en-US"/>
        </w:rPr>
      </w:pPr>
      <w:r>
        <w:rPr>
          <w:lang w:eastAsia="en-US"/>
        </w:rPr>
        <w:t xml:space="preserve">The reasoning behind </w:t>
      </w:r>
      <w:r w:rsidR="0007343F">
        <w:rPr>
          <w:lang w:eastAsia="en-US"/>
        </w:rPr>
        <w:t xml:space="preserve">the tapering off of </w:t>
      </w:r>
      <w:r>
        <w:rPr>
          <w:lang w:eastAsia="en-US"/>
        </w:rPr>
        <w:t>any mathem</w:t>
      </w:r>
      <w:r w:rsidR="0007343F">
        <w:rPr>
          <w:lang w:eastAsia="en-US"/>
        </w:rPr>
        <w:t xml:space="preserve">atical </w:t>
      </w:r>
      <w:r w:rsidR="00074936">
        <w:rPr>
          <w:lang w:eastAsia="en-US"/>
        </w:rPr>
        <w:t xml:space="preserve">progression </w:t>
      </w:r>
      <w:r>
        <w:rPr>
          <w:lang w:eastAsia="en-US"/>
        </w:rPr>
        <w:t xml:space="preserve">has recently been explained by the Court of Appeal of Western </w:t>
      </w:r>
      <w:r w:rsidR="00335EB8">
        <w:rPr>
          <w:i/>
          <w:iCs/>
        </w:rPr>
        <w:t>‍</w:t>
      </w:r>
      <w:r>
        <w:rPr>
          <w:lang w:eastAsia="en-US"/>
        </w:rPr>
        <w:t xml:space="preserve">Australia in </w:t>
      </w:r>
      <w:r w:rsidRPr="007F02B2">
        <w:rPr>
          <w:i/>
          <w:lang w:eastAsia="en-US"/>
        </w:rPr>
        <w:t>The State of Western Australia v Edwards</w:t>
      </w:r>
      <w:r>
        <w:rPr>
          <w:rStyle w:val="FootnoteReference"/>
          <w:lang w:eastAsia="en-US"/>
        </w:rPr>
        <w:footnoteReference w:id="69"/>
      </w:r>
      <w:r>
        <w:rPr>
          <w:lang w:eastAsia="en-US"/>
        </w:rPr>
        <w:t>.  Acknowledgin</w:t>
      </w:r>
      <w:r w:rsidR="00A272EC">
        <w:rPr>
          <w:lang w:eastAsia="en-US"/>
        </w:rPr>
        <w:t>g that the</w:t>
      </w:r>
      <w:r w:rsidR="00074936">
        <w:rPr>
          <w:lang w:eastAsia="en-US"/>
        </w:rPr>
        <w:t xml:space="preserve"> Court</w:t>
      </w:r>
      <w:r>
        <w:rPr>
          <w:lang w:eastAsia="en-US"/>
        </w:rPr>
        <w:t xml:space="preserve"> “must, consistently with </w:t>
      </w:r>
      <w:r w:rsidRPr="007F02B2">
        <w:rPr>
          <w:i/>
          <w:lang w:eastAsia="en-US"/>
        </w:rPr>
        <w:t>Wong</w:t>
      </w:r>
      <w:r>
        <w:rPr>
          <w:rStyle w:val="FootnoteReference"/>
          <w:lang w:eastAsia="en-US"/>
        </w:rPr>
        <w:footnoteReference w:id="70"/>
      </w:r>
      <w:r>
        <w:rPr>
          <w:lang w:eastAsia="en-US"/>
        </w:rPr>
        <w:t>, regard general deterrence as a predominant sentencing consideration for serious drug offences”</w:t>
      </w:r>
      <w:r w:rsidR="00452A5B">
        <w:rPr>
          <w:rStyle w:val="FootnoteReference"/>
          <w:lang w:eastAsia="en-US"/>
        </w:rPr>
        <w:footnoteReference w:id="71"/>
      </w:r>
      <w:r>
        <w:rPr>
          <w:lang w:eastAsia="en-US"/>
        </w:rPr>
        <w:t>,</w:t>
      </w:r>
      <w:r w:rsidR="00452A5B">
        <w:rPr>
          <w:lang w:eastAsia="en-US"/>
        </w:rPr>
        <w:t xml:space="preserve"> </w:t>
      </w:r>
      <w:r w:rsidR="00074936">
        <w:rPr>
          <w:lang w:eastAsia="en-US"/>
        </w:rPr>
        <w:t>it</w:t>
      </w:r>
      <w:r w:rsidR="00452A5B">
        <w:rPr>
          <w:lang w:eastAsia="en-US"/>
        </w:rPr>
        <w:t xml:space="preserve"> held</w:t>
      </w:r>
      <w:r w:rsidR="00452A5B">
        <w:rPr>
          <w:rStyle w:val="FootnoteReference"/>
          <w:lang w:eastAsia="en-US"/>
        </w:rPr>
        <w:footnoteReference w:id="72"/>
      </w:r>
      <w:r w:rsidR="00452A5B">
        <w:rPr>
          <w:lang w:eastAsia="en-US"/>
        </w:rPr>
        <w:t>:</w:t>
      </w:r>
    </w:p>
    <w:p w:rsidR="00335EB8" w:rsidRDefault="007F02B2" w:rsidP="00335EB8">
      <w:pPr>
        <w:pStyle w:val="j-quotation"/>
        <w:rPr>
          <w:b/>
        </w:rPr>
      </w:pPr>
      <w:r>
        <w:t>“</w:t>
      </w:r>
      <w:r w:rsidR="0007343F">
        <w:t>41. …</w:t>
      </w:r>
      <w:r>
        <w:t>If sentences of around 15 years’ imprisonment</w:t>
      </w:r>
      <w:r w:rsidR="00335EB8">
        <w:t xml:space="preserve"> </w:t>
      </w:r>
      <w:r w:rsidR="00335EB8" w:rsidRPr="00335EB8">
        <w:t>are insufficient to deter a person from acting in a role such as a drug courier for such a comparatively modest reward, then it is difficult to imagine there will be many cases where sentences of around 20 years</w:t>
      </w:r>
      <w:r w:rsidR="00335EB8">
        <w:t>’</w:t>
      </w:r>
      <w:r w:rsidR="00335EB8" w:rsidRPr="00335EB8">
        <w:t xml:space="preserve"> imprisonment would do so. </w:t>
      </w:r>
      <w:r w:rsidR="00335EB8">
        <w:t xml:space="preserve"> </w:t>
      </w:r>
      <w:r w:rsidR="00335EB8" w:rsidRPr="00335EB8">
        <w:t xml:space="preserve">That is, once very lengthy sentences are reached, the marginal general deterrent </w:t>
      </w:r>
      <w:r w:rsidR="00335EB8" w:rsidRPr="00335EB8">
        <w:lastRenderedPageBreak/>
        <w:t>effect</w:t>
      </w:r>
      <w:r w:rsidR="00335EB8">
        <w:rPr>
          <w:rStyle w:val="FootnoteReference"/>
        </w:rPr>
        <w:footnoteReference w:id="73"/>
      </w:r>
      <w:r w:rsidR="00335EB8">
        <w:t xml:space="preserve"> </w:t>
      </w:r>
      <w:r w:rsidR="00335EB8" w:rsidRPr="00335EB8">
        <w:t>of further increases in sentence severity must at least diminish.</w:t>
      </w:r>
      <w:r w:rsidR="00335EB8" w:rsidRPr="00335EB8">
        <w:rPr>
          <w:b/>
        </w:rPr>
        <w:t> </w:t>
      </w:r>
    </w:p>
    <w:p w:rsidR="007F02B2" w:rsidRPr="00B92146" w:rsidRDefault="00335EB8" w:rsidP="00335EB8">
      <w:pPr>
        <w:pStyle w:val="j-quotation"/>
      </w:pPr>
      <w:r w:rsidRPr="00335EB8">
        <w:t>42.</w:t>
      </w:r>
      <w:r>
        <w:rPr>
          <w:b/>
        </w:rPr>
        <w:tab/>
      </w:r>
      <w:r w:rsidRPr="00335EB8">
        <w:t>Therefore, in our view, the length of a sentence that is justified by considerations of general deterrence in cases concerning very large quantities of drugs will not have the linear relationship with the weight of the drugs involved in the offending that is suggested by the State</w:t>
      </w:r>
      <w:r>
        <w:t>’</w:t>
      </w:r>
      <w:r w:rsidRPr="00335EB8">
        <w:t>s submission.</w:t>
      </w:r>
      <w:r>
        <w:t xml:space="preserve"> </w:t>
      </w:r>
      <w:r w:rsidRPr="00335EB8">
        <w:t xml:space="preserve"> While considerations of general deterrence ordinarily require very long sentences for very serious drug offences, those considerations do not necessarily demand increases in the severity of sentences that are proportional to the quantity of drugs involved, particularly where the benefit obtained by the individual offender for his or her role in the criminal enterprise </w:t>
      </w:r>
      <w:r w:rsidR="007F02B2">
        <w:t>remains relatively modest.”</w:t>
      </w:r>
    </w:p>
    <w:p w:rsidR="0090480E" w:rsidRDefault="00A46B82" w:rsidP="004523BE">
      <w:pPr>
        <w:pStyle w:val="T-Draft"/>
        <w:rPr>
          <w:lang w:eastAsia="zh-TW"/>
        </w:rPr>
      </w:pPr>
      <w:r>
        <w:rPr>
          <w:lang w:eastAsia="zh-TW"/>
        </w:rPr>
        <w:t xml:space="preserve">The </w:t>
      </w:r>
      <w:r w:rsidR="00F351C5">
        <w:rPr>
          <w:lang w:eastAsia="zh-TW"/>
        </w:rPr>
        <w:t xml:space="preserve">remarks in </w:t>
      </w:r>
      <w:r w:rsidR="00F351C5" w:rsidRPr="00F351C5">
        <w:rPr>
          <w:i/>
          <w:lang w:eastAsia="zh-TW"/>
        </w:rPr>
        <w:t>Edwards</w:t>
      </w:r>
      <w:r w:rsidR="00F351C5">
        <w:rPr>
          <w:lang w:eastAsia="zh-TW"/>
        </w:rPr>
        <w:t xml:space="preserve"> concerning the </w:t>
      </w:r>
      <w:r>
        <w:rPr>
          <w:lang w:eastAsia="zh-TW"/>
        </w:rPr>
        <w:t>relationship between</w:t>
      </w:r>
      <w:r w:rsidR="00452A5B">
        <w:rPr>
          <w:lang w:eastAsia="zh-TW"/>
        </w:rPr>
        <w:t>, and approach to,</w:t>
      </w:r>
      <w:r>
        <w:rPr>
          <w:lang w:eastAsia="zh-TW"/>
        </w:rPr>
        <w:t xml:space="preserve"> relatively small and larg</w:t>
      </w:r>
      <w:r w:rsidR="00452A5B">
        <w:rPr>
          <w:lang w:eastAsia="zh-TW"/>
        </w:rPr>
        <w:t>e</w:t>
      </w:r>
      <w:r>
        <w:rPr>
          <w:lang w:eastAsia="zh-TW"/>
        </w:rPr>
        <w:t xml:space="preserve"> quantities</w:t>
      </w:r>
      <w:r w:rsidR="00AE0AF6">
        <w:rPr>
          <w:lang w:eastAsia="zh-TW"/>
        </w:rPr>
        <w:t xml:space="preserve"> of dangerous drug</w:t>
      </w:r>
      <w:r w:rsidR="001A653E">
        <w:rPr>
          <w:lang w:eastAsia="zh-TW"/>
        </w:rPr>
        <w:t>s</w:t>
      </w:r>
      <w:r>
        <w:rPr>
          <w:lang w:eastAsia="zh-TW"/>
        </w:rPr>
        <w:t xml:space="preserve"> </w:t>
      </w:r>
      <w:r w:rsidR="00F351C5">
        <w:rPr>
          <w:lang w:eastAsia="zh-TW"/>
        </w:rPr>
        <w:t xml:space="preserve">echoed </w:t>
      </w:r>
      <w:r>
        <w:rPr>
          <w:lang w:eastAsia="zh-TW"/>
        </w:rPr>
        <w:t xml:space="preserve">the </w:t>
      </w:r>
      <w:r w:rsidR="00A34A07">
        <w:rPr>
          <w:lang w:eastAsia="zh-TW"/>
        </w:rPr>
        <w:t xml:space="preserve">earlier </w:t>
      </w:r>
      <w:r w:rsidR="00F351C5">
        <w:rPr>
          <w:lang w:eastAsia="zh-TW"/>
        </w:rPr>
        <w:t xml:space="preserve">sentiments of the </w:t>
      </w:r>
      <w:r>
        <w:rPr>
          <w:lang w:eastAsia="zh-TW"/>
        </w:rPr>
        <w:t xml:space="preserve">Court in </w:t>
      </w:r>
      <w:r w:rsidRPr="00A46B82">
        <w:rPr>
          <w:i/>
          <w:lang w:eastAsia="zh-TW"/>
        </w:rPr>
        <w:t xml:space="preserve">Cheng </w:t>
      </w:r>
      <w:r w:rsidR="00335EB8">
        <w:rPr>
          <w:i/>
          <w:lang w:eastAsia="zh-TW"/>
        </w:rPr>
        <w:t>‍</w:t>
      </w:r>
      <w:r w:rsidRPr="00A46B82">
        <w:rPr>
          <w:i/>
          <w:lang w:eastAsia="zh-TW"/>
        </w:rPr>
        <w:t>Yeung</w:t>
      </w:r>
      <w:r w:rsidR="00E63CA5">
        <w:rPr>
          <w:lang w:eastAsia="zh-TW"/>
        </w:rPr>
        <w:t xml:space="preserve">, </w:t>
      </w:r>
      <w:r>
        <w:rPr>
          <w:lang w:eastAsia="zh-TW"/>
        </w:rPr>
        <w:t xml:space="preserve">when discussing the </w:t>
      </w:r>
      <w:r w:rsidRPr="00A46B82">
        <w:rPr>
          <w:i/>
          <w:lang w:eastAsia="zh-TW"/>
        </w:rPr>
        <w:t>Chan Chi-ming</w:t>
      </w:r>
      <w:r>
        <w:rPr>
          <w:lang w:eastAsia="zh-TW"/>
        </w:rPr>
        <w:t xml:space="preserve"> guidelines</w:t>
      </w:r>
      <w:r>
        <w:rPr>
          <w:rStyle w:val="FootnoteReference"/>
          <w:lang w:eastAsia="zh-TW"/>
        </w:rPr>
        <w:footnoteReference w:id="74"/>
      </w:r>
      <w:r>
        <w:rPr>
          <w:lang w:eastAsia="zh-TW"/>
        </w:rPr>
        <w:t>:</w:t>
      </w:r>
    </w:p>
    <w:p w:rsidR="00A46B82" w:rsidRDefault="00A46B82" w:rsidP="007B2256">
      <w:pPr>
        <w:pStyle w:val="j-quotation"/>
      </w:pPr>
      <w:r>
        <w:t>“The dominant sentencing principle</w:t>
      </w:r>
      <w:r w:rsidR="00EC734F">
        <w:t xml:space="preserve"> </w:t>
      </w:r>
      <w:r w:rsidR="00EC734F" w:rsidRPr="00EC734F">
        <w:t>behind the present tariff is deterrence, a</w:t>
      </w:r>
      <w:r w:rsidR="00EC734F">
        <w:t>nd in this respect it would seem</w:t>
      </w:r>
      <w:r w:rsidR="00EC734F" w:rsidRPr="00EC734F">
        <w:t xml:space="preserve"> to have had little noticeable effect. </w:t>
      </w:r>
      <w:r w:rsidR="00EC734F">
        <w:t xml:space="preserve"> </w:t>
      </w:r>
      <w:r w:rsidR="00EC734F" w:rsidRPr="00EC734F">
        <w:t xml:space="preserve">At the lower end, the tariff recognises, as is the fact, the immense harm that can be done by comparatively small quantities of dangerous drugs. </w:t>
      </w:r>
      <w:r w:rsidR="00EC734F">
        <w:t xml:space="preserve"> </w:t>
      </w:r>
      <w:r w:rsidR="00EC734F" w:rsidRPr="00EC734F">
        <w:t xml:space="preserve">The tariff is based upon a correlation between quantum and harm. </w:t>
      </w:r>
      <w:r w:rsidR="00EC734F">
        <w:t xml:space="preserve"> </w:t>
      </w:r>
      <w:r w:rsidR="00EC734F" w:rsidRPr="00EC734F">
        <w:t>Fairness to those in possession of less than 1 kg suggests that those in possession of more, in the range si</w:t>
      </w:r>
      <w:r w:rsidR="00EC734F">
        <w:t>mply of 1 kg to 10 kg, should be</w:t>
      </w:r>
      <w:r w:rsidR="00EC734F" w:rsidRPr="00EC734F">
        <w:t xml:space="preserve"> dealt with not necessarily proportionately, but at least not signi</w:t>
      </w:r>
      <w:r w:rsidR="00EC734F">
        <w:t>ficantly more leniently.  Put an</w:t>
      </w:r>
      <w:r w:rsidR="00EC734F" w:rsidRPr="00EC734F">
        <w:t xml:space="preserve">other way the graph may start to curve at </w:t>
      </w:r>
      <w:r w:rsidR="00EC734F">
        <w:t>1</w:t>
      </w:r>
      <w:r w:rsidR="00EC734F" w:rsidRPr="00EC734F">
        <w:t xml:space="preserve"> kg, but the curve should</w:t>
      </w:r>
      <w:r w:rsidR="00EC734F">
        <w:t xml:space="preserve"> </w:t>
      </w:r>
      <w:r w:rsidR="00AE0AF6">
        <w:t>only be gradual.”</w:t>
      </w:r>
    </w:p>
    <w:p w:rsidR="00AE0AF6" w:rsidRDefault="00AE0AF6" w:rsidP="00A46B82">
      <w:pPr>
        <w:pStyle w:val="T-Draft"/>
        <w:numPr>
          <w:ilvl w:val="0"/>
          <w:numId w:val="0"/>
        </w:numPr>
        <w:rPr>
          <w:lang w:eastAsia="zh-TW"/>
        </w:rPr>
      </w:pPr>
      <w:r>
        <w:rPr>
          <w:lang w:eastAsia="zh-TW"/>
        </w:rPr>
        <w:t xml:space="preserve">The Court </w:t>
      </w:r>
      <w:r w:rsidR="00F351C5">
        <w:rPr>
          <w:lang w:eastAsia="zh-TW"/>
        </w:rPr>
        <w:t xml:space="preserve">in </w:t>
      </w:r>
      <w:r w:rsidR="00F351C5" w:rsidRPr="00F351C5">
        <w:rPr>
          <w:i/>
          <w:lang w:eastAsia="zh-TW"/>
        </w:rPr>
        <w:t>Cheng Yeung</w:t>
      </w:r>
      <w:r w:rsidR="00F351C5">
        <w:rPr>
          <w:lang w:eastAsia="zh-TW"/>
        </w:rPr>
        <w:t xml:space="preserve"> </w:t>
      </w:r>
      <w:r>
        <w:rPr>
          <w:lang w:eastAsia="zh-TW"/>
        </w:rPr>
        <w:t>went on</w:t>
      </w:r>
      <w:r w:rsidR="00E63CA5">
        <w:rPr>
          <w:lang w:eastAsia="zh-TW"/>
        </w:rPr>
        <w:t xml:space="preserve"> to say of those convicted of possessing </w:t>
      </w:r>
      <w:r w:rsidR="00D47287">
        <w:rPr>
          <w:lang w:eastAsia="zh-TW"/>
        </w:rPr>
        <w:t>dangerous drugs for the purpose</w:t>
      </w:r>
      <w:r w:rsidR="00E63CA5">
        <w:rPr>
          <w:lang w:eastAsia="zh-TW"/>
        </w:rPr>
        <w:t xml:space="preserve"> of trafficking</w:t>
      </w:r>
      <w:r w:rsidR="00E63CA5">
        <w:rPr>
          <w:rStyle w:val="FootnoteReference"/>
          <w:lang w:eastAsia="zh-TW"/>
        </w:rPr>
        <w:footnoteReference w:id="75"/>
      </w:r>
      <w:r>
        <w:rPr>
          <w:lang w:eastAsia="zh-TW"/>
        </w:rPr>
        <w:t>:</w:t>
      </w:r>
    </w:p>
    <w:p w:rsidR="00AE0AF6" w:rsidRDefault="00AE0AF6" w:rsidP="007B2256">
      <w:pPr>
        <w:pStyle w:val="j-quotation"/>
      </w:pPr>
      <w:r>
        <w:t>“</w:t>
      </w:r>
      <w:r w:rsidR="00E63CA5">
        <w:t>…a point is on any view reached where sensible distinctions based upon quantity can no longer be drawn”.</w:t>
      </w:r>
    </w:p>
    <w:p w:rsidR="003D76A8" w:rsidRDefault="00E63CA5" w:rsidP="004523BE">
      <w:pPr>
        <w:pStyle w:val="T-Draft"/>
        <w:rPr>
          <w:lang w:eastAsia="zh-TW"/>
        </w:rPr>
      </w:pPr>
      <w:r>
        <w:rPr>
          <w:lang w:eastAsia="zh-TW"/>
        </w:rPr>
        <w:lastRenderedPageBreak/>
        <w:t>Accepting</w:t>
      </w:r>
      <w:r w:rsidR="00452A5B">
        <w:rPr>
          <w:lang w:eastAsia="zh-TW"/>
        </w:rPr>
        <w:t>, therefore,</w:t>
      </w:r>
      <w:r>
        <w:rPr>
          <w:lang w:eastAsia="zh-TW"/>
        </w:rPr>
        <w:t xml:space="preserve"> these sentencing principles</w:t>
      </w:r>
      <w:r w:rsidR="003D76A8">
        <w:rPr>
          <w:lang w:eastAsia="zh-TW"/>
        </w:rPr>
        <w:t>, there are t</w:t>
      </w:r>
      <w:r w:rsidR="00EF4474">
        <w:rPr>
          <w:lang w:eastAsia="zh-TW"/>
        </w:rPr>
        <w:t>wo</w:t>
      </w:r>
      <w:r w:rsidR="003D76A8">
        <w:rPr>
          <w:lang w:eastAsia="zh-TW"/>
        </w:rPr>
        <w:t xml:space="preserve"> curio</w:t>
      </w:r>
      <w:r w:rsidR="00EF4474">
        <w:rPr>
          <w:lang w:eastAsia="zh-TW"/>
        </w:rPr>
        <w:t>us features</w:t>
      </w:r>
      <w:r w:rsidR="003D76A8">
        <w:rPr>
          <w:lang w:eastAsia="zh-TW"/>
        </w:rPr>
        <w:t xml:space="preserve"> which emerge </w:t>
      </w:r>
      <w:r w:rsidR="00EF4474">
        <w:rPr>
          <w:lang w:eastAsia="zh-TW"/>
        </w:rPr>
        <w:t>when the case of</w:t>
      </w:r>
      <w:r w:rsidR="003D76A8">
        <w:rPr>
          <w:lang w:eastAsia="zh-TW"/>
        </w:rPr>
        <w:t xml:space="preserve"> </w:t>
      </w:r>
      <w:r w:rsidR="003D76A8" w:rsidRPr="003D76A8">
        <w:rPr>
          <w:i/>
          <w:lang w:eastAsia="zh-TW"/>
        </w:rPr>
        <w:t>Lau Tak-ming</w:t>
      </w:r>
      <w:r w:rsidR="003D76A8">
        <w:rPr>
          <w:lang w:eastAsia="zh-TW"/>
        </w:rPr>
        <w:t xml:space="preserve"> </w:t>
      </w:r>
      <w:r w:rsidR="00EF4474">
        <w:rPr>
          <w:lang w:eastAsia="zh-TW"/>
        </w:rPr>
        <w:t>is</w:t>
      </w:r>
      <w:r w:rsidR="003D76A8">
        <w:rPr>
          <w:lang w:eastAsia="zh-TW"/>
        </w:rPr>
        <w:t xml:space="preserve"> considered together with </w:t>
      </w:r>
      <w:r w:rsidR="003D76A8" w:rsidRPr="003D76A8">
        <w:rPr>
          <w:i/>
          <w:lang w:eastAsia="zh-TW"/>
        </w:rPr>
        <w:t>Abdallah</w:t>
      </w:r>
      <w:r w:rsidR="003D76A8">
        <w:rPr>
          <w:lang w:eastAsia="zh-TW"/>
        </w:rPr>
        <w:t>.  We would not necessarily term them “anomalies”, for when each case is viewed individually, these features are less obvious</w:t>
      </w:r>
      <w:r w:rsidR="00074936">
        <w:rPr>
          <w:lang w:eastAsia="zh-TW"/>
        </w:rPr>
        <w:t xml:space="preserve"> and must have been intentional</w:t>
      </w:r>
      <w:r w:rsidR="003D76A8">
        <w:rPr>
          <w:lang w:eastAsia="zh-TW"/>
        </w:rPr>
        <w:t xml:space="preserve">.  Moreover, each Court would have considered carefully the guidelines they were promulgating and they have </w:t>
      </w:r>
      <w:r w:rsidR="00452A5B">
        <w:rPr>
          <w:lang w:eastAsia="zh-TW"/>
        </w:rPr>
        <w:t xml:space="preserve">clearly </w:t>
      </w:r>
      <w:r w:rsidR="003D76A8">
        <w:rPr>
          <w:lang w:eastAsia="zh-TW"/>
        </w:rPr>
        <w:t>s</w:t>
      </w:r>
      <w:r w:rsidR="00CB16ED">
        <w:rPr>
          <w:lang w:eastAsia="zh-TW"/>
        </w:rPr>
        <w:t xml:space="preserve">erved the times </w:t>
      </w:r>
      <w:r w:rsidR="00860AF9">
        <w:rPr>
          <w:lang w:eastAsia="zh-TW"/>
        </w:rPr>
        <w:t>ever since</w:t>
      </w:r>
      <w:r w:rsidR="003D76A8">
        <w:rPr>
          <w:lang w:eastAsia="zh-TW"/>
        </w:rPr>
        <w:t xml:space="preserve">.  However, in viewing the position holistically 35 and 15 years </w:t>
      </w:r>
      <w:r w:rsidR="00EF4474">
        <w:rPr>
          <w:lang w:eastAsia="zh-TW"/>
        </w:rPr>
        <w:t>on</w:t>
      </w:r>
      <w:r w:rsidR="003D76A8">
        <w:rPr>
          <w:lang w:eastAsia="zh-TW"/>
        </w:rPr>
        <w:t xml:space="preserve"> respectively, they seem to have contributed to the problem we have earlier discussed</w:t>
      </w:r>
      <w:r w:rsidR="00452A5B">
        <w:rPr>
          <w:lang w:eastAsia="zh-TW"/>
        </w:rPr>
        <w:t xml:space="preserve">, namely of </w:t>
      </w:r>
      <w:r w:rsidR="00CB16ED">
        <w:rPr>
          <w:lang w:eastAsia="zh-TW"/>
        </w:rPr>
        <w:t xml:space="preserve">very </w:t>
      </w:r>
      <w:r w:rsidR="00452A5B">
        <w:rPr>
          <w:lang w:eastAsia="zh-TW"/>
        </w:rPr>
        <w:t>high sentences with limited room for manoeuvre by sentencing courts at the upper end of the spectrum</w:t>
      </w:r>
      <w:r w:rsidR="003D76A8">
        <w:rPr>
          <w:lang w:eastAsia="zh-TW"/>
        </w:rPr>
        <w:t xml:space="preserve">.  </w:t>
      </w:r>
    </w:p>
    <w:p w:rsidR="003F5922" w:rsidRDefault="00A32381" w:rsidP="004523BE">
      <w:pPr>
        <w:pStyle w:val="T-Draft"/>
        <w:rPr>
          <w:lang w:eastAsia="zh-TW"/>
        </w:rPr>
      </w:pPr>
      <w:r>
        <w:rPr>
          <w:lang w:eastAsia="zh-TW"/>
        </w:rPr>
        <w:t xml:space="preserve">These </w:t>
      </w:r>
      <w:r w:rsidR="003D76A8">
        <w:rPr>
          <w:lang w:eastAsia="zh-TW"/>
        </w:rPr>
        <w:t xml:space="preserve">curiosities </w:t>
      </w:r>
      <w:r>
        <w:rPr>
          <w:lang w:eastAsia="zh-TW"/>
        </w:rPr>
        <w:t xml:space="preserve">are perhaps </w:t>
      </w:r>
      <w:r w:rsidR="002E5F2A">
        <w:rPr>
          <w:lang w:eastAsia="zh-TW"/>
        </w:rPr>
        <w:t xml:space="preserve">best </w:t>
      </w:r>
      <w:r>
        <w:rPr>
          <w:lang w:eastAsia="zh-TW"/>
        </w:rPr>
        <w:t xml:space="preserve">represented in the following </w:t>
      </w:r>
      <w:r w:rsidR="00FA785D">
        <w:rPr>
          <w:lang w:eastAsia="zh-TW"/>
        </w:rPr>
        <w:t>graph</w:t>
      </w:r>
      <w:r>
        <w:rPr>
          <w:lang w:eastAsia="zh-TW"/>
        </w:rPr>
        <w:t xml:space="preserve"> showing the relationship between quantity and imprisonment</w:t>
      </w:r>
      <w:r w:rsidR="003D76A8">
        <w:rPr>
          <w:lang w:eastAsia="zh-TW"/>
        </w:rPr>
        <w:t xml:space="preserve"> when the </w:t>
      </w:r>
      <w:r w:rsidR="003D76A8" w:rsidRPr="003D76A8">
        <w:rPr>
          <w:i/>
          <w:lang w:eastAsia="zh-TW"/>
        </w:rPr>
        <w:t>Lau Tak-ming</w:t>
      </w:r>
      <w:r w:rsidR="003D76A8">
        <w:rPr>
          <w:lang w:eastAsia="zh-TW"/>
        </w:rPr>
        <w:t xml:space="preserve"> and </w:t>
      </w:r>
      <w:r w:rsidR="003D76A8" w:rsidRPr="003D76A8">
        <w:rPr>
          <w:i/>
          <w:lang w:eastAsia="zh-TW"/>
        </w:rPr>
        <w:t>Abd</w:t>
      </w:r>
      <w:r w:rsidR="00EE6174">
        <w:rPr>
          <w:i/>
          <w:lang w:eastAsia="zh-TW"/>
        </w:rPr>
        <w:t>a</w:t>
      </w:r>
      <w:r w:rsidR="003D76A8" w:rsidRPr="003D76A8">
        <w:rPr>
          <w:i/>
          <w:lang w:eastAsia="zh-TW"/>
        </w:rPr>
        <w:t>llah</w:t>
      </w:r>
      <w:r w:rsidR="003D76A8">
        <w:rPr>
          <w:lang w:eastAsia="zh-TW"/>
        </w:rPr>
        <w:t xml:space="preserve"> guidelines are put together</w:t>
      </w:r>
      <w:r>
        <w:rPr>
          <w:lang w:eastAsia="zh-TW"/>
        </w:rPr>
        <w:t>:</w:t>
      </w:r>
    </w:p>
    <w:p w:rsidR="007B2256" w:rsidRDefault="001D1CB4" w:rsidP="00EC734F">
      <w:pPr>
        <w:pStyle w:val="T-Draft"/>
        <w:numPr>
          <w:ilvl w:val="0"/>
          <w:numId w:val="0"/>
        </w:numPr>
        <w:jc w:val="center"/>
        <w:rPr>
          <w:lang w:eastAsia="zh-TW"/>
        </w:rPr>
      </w:pPr>
      <w:r>
        <w:rPr>
          <w:noProof/>
          <w:lang w:val="en-US"/>
        </w:rPr>
        <w:drawing>
          <wp:inline distT="0" distB="0" distL="0" distR="0" wp14:anchorId="41060962" wp14:editId="01DB930E">
            <wp:extent cx="5274310" cy="3091180"/>
            <wp:effectExtent l="0" t="0" r="2540" b="139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57C1F" w:rsidRDefault="002E5F2A" w:rsidP="00C5682A">
      <w:pPr>
        <w:pStyle w:val="T-Draft"/>
        <w:rPr>
          <w:lang w:eastAsia="zh-TW"/>
        </w:rPr>
      </w:pPr>
      <w:r>
        <w:rPr>
          <w:lang w:eastAsia="zh-TW"/>
        </w:rPr>
        <w:t xml:space="preserve">The first </w:t>
      </w:r>
      <w:r w:rsidR="00452A5B">
        <w:rPr>
          <w:lang w:eastAsia="zh-TW"/>
        </w:rPr>
        <w:t xml:space="preserve">obvious </w:t>
      </w:r>
      <w:r>
        <w:rPr>
          <w:lang w:eastAsia="zh-TW"/>
        </w:rPr>
        <w:t>thing to not</w:t>
      </w:r>
      <w:r w:rsidR="00452A5B">
        <w:rPr>
          <w:lang w:eastAsia="zh-TW"/>
        </w:rPr>
        <w:t>ic</w:t>
      </w:r>
      <w:r>
        <w:rPr>
          <w:lang w:eastAsia="zh-TW"/>
        </w:rPr>
        <w:t>e from this d</w:t>
      </w:r>
      <w:r w:rsidR="00074936">
        <w:rPr>
          <w:lang w:eastAsia="zh-TW"/>
        </w:rPr>
        <w:t>iagram</w:t>
      </w:r>
      <w:r>
        <w:rPr>
          <w:lang w:eastAsia="zh-TW"/>
        </w:rPr>
        <w:t xml:space="preserve"> is that while </w:t>
      </w:r>
      <w:r w:rsidR="00452A5B">
        <w:rPr>
          <w:lang w:eastAsia="zh-TW"/>
        </w:rPr>
        <w:t>a</w:t>
      </w:r>
      <w:r>
        <w:rPr>
          <w:lang w:eastAsia="zh-TW"/>
        </w:rPr>
        <w:t xml:space="preserve"> curve begins to develop between 50</w:t>
      </w:r>
      <w:r w:rsidR="00EF4474">
        <w:rPr>
          <w:lang w:eastAsia="zh-TW"/>
        </w:rPr>
        <w:t xml:space="preserve"> and 200</w:t>
      </w:r>
      <w:r>
        <w:rPr>
          <w:lang w:eastAsia="zh-TW"/>
        </w:rPr>
        <w:t xml:space="preserve"> grammes and </w:t>
      </w:r>
      <w:r w:rsidR="00A34A07">
        <w:rPr>
          <w:lang w:eastAsia="zh-TW"/>
        </w:rPr>
        <w:t xml:space="preserve">continue </w:t>
      </w:r>
      <w:r w:rsidR="00EF4474">
        <w:rPr>
          <w:lang w:eastAsia="zh-TW"/>
        </w:rPr>
        <w:lastRenderedPageBreak/>
        <w:t xml:space="preserve">between 200 and </w:t>
      </w:r>
      <w:r>
        <w:rPr>
          <w:lang w:eastAsia="zh-TW"/>
        </w:rPr>
        <w:t>400 grammes</w:t>
      </w:r>
      <w:r w:rsidR="00F32AA1">
        <w:rPr>
          <w:lang w:eastAsia="zh-TW"/>
        </w:rPr>
        <w:t xml:space="preserve"> under </w:t>
      </w:r>
      <w:r w:rsidR="00F32AA1" w:rsidRPr="00F32AA1">
        <w:rPr>
          <w:i/>
          <w:lang w:eastAsia="zh-TW"/>
        </w:rPr>
        <w:t>Lau Tak-ming</w:t>
      </w:r>
      <w:r>
        <w:rPr>
          <w:lang w:eastAsia="zh-TW"/>
        </w:rPr>
        <w:t xml:space="preserve">, it </w:t>
      </w:r>
      <w:r w:rsidR="00452A5B">
        <w:rPr>
          <w:lang w:eastAsia="zh-TW"/>
        </w:rPr>
        <w:t xml:space="preserve">then </w:t>
      </w:r>
      <w:r w:rsidR="0007343F">
        <w:rPr>
          <w:lang w:eastAsia="zh-TW"/>
        </w:rPr>
        <w:t>resumes</w:t>
      </w:r>
      <w:r>
        <w:rPr>
          <w:lang w:eastAsia="zh-TW"/>
        </w:rPr>
        <w:t xml:space="preserve"> a more upward trajectory between 400 and 600 grammes</w:t>
      </w:r>
      <w:r w:rsidR="0090480E">
        <w:rPr>
          <w:lang w:eastAsia="zh-TW"/>
        </w:rPr>
        <w:t>.</w:t>
      </w:r>
      <w:r w:rsidR="00F32AA1">
        <w:rPr>
          <w:lang w:eastAsia="zh-TW"/>
        </w:rPr>
        <w:t xml:space="preserve">  The reason for this </w:t>
      </w:r>
      <w:r w:rsidR="00A272EC">
        <w:rPr>
          <w:lang w:eastAsia="zh-TW"/>
        </w:rPr>
        <w:t xml:space="preserve">curiosity </w:t>
      </w:r>
      <w:r w:rsidR="00F32AA1">
        <w:rPr>
          <w:lang w:eastAsia="zh-TW"/>
        </w:rPr>
        <w:t>is that between 50 grammes and 200 grammes</w:t>
      </w:r>
      <w:r w:rsidR="00E57C1F">
        <w:rPr>
          <w:lang w:eastAsia="zh-TW"/>
        </w:rPr>
        <w:t xml:space="preserve"> (</w:t>
      </w:r>
      <w:r w:rsidR="00B01D2A">
        <w:rPr>
          <w:lang w:eastAsia="zh-TW"/>
        </w:rPr>
        <w:t xml:space="preserve">a spread of 150 </w:t>
      </w:r>
      <w:r w:rsidR="00DA3B92">
        <w:rPr>
          <w:rFonts w:eastAsia="PMingLiU"/>
          <w:lang w:eastAsia="zh-TW"/>
        </w:rPr>
        <w:t>‍</w:t>
      </w:r>
      <w:r w:rsidR="00B01D2A">
        <w:rPr>
          <w:lang w:eastAsia="zh-TW"/>
        </w:rPr>
        <w:t>grammes)</w:t>
      </w:r>
      <w:r w:rsidR="00F32AA1">
        <w:rPr>
          <w:lang w:eastAsia="zh-TW"/>
        </w:rPr>
        <w:t>, the</w:t>
      </w:r>
      <w:r w:rsidR="00B01D2A">
        <w:rPr>
          <w:lang w:eastAsia="zh-TW"/>
        </w:rPr>
        <w:t>re is a sentencing differen</w:t>
      </w:r>
      <w:r w:rsidR="00EF4474">
        <w:rPr>
          <w:lang w:eastAsia="zh-TW"/>
        </w:rPr>
        <w:t>tial</w:t>
      </w:r>
      <w:r w:rsidR="00B01D2A">
        <w:rPr>
          <w:lang w:eastAsia="zh-TW"/>
        </w:rPr>
        <w:t xml:space="preserve"> of</w:t>
      </w:r>
      <w:r w:rsidR="00F32AA1">
        <w:rPr>
          <w:lang w:eastAsia="zh-TW"/>
        </w:rPr>
        <w:t xml:space="preserve"> 4 years, namely 8 to 12 </w:t>
      </w:r>
      <w:r w:rsidR="00DA3B92">
        <w:rPr>
          <w:rFonts w:eastAsia="PMingLiU"/>
          <w:lang w:eastAsia="zh-TW"/>
        </w:rPr>
        <w:t>‍</w:t>
      </w:r>
      <w:r w:rsidR="00F32AA1">
        <w:rPr>
          <w:lang w:eastAsia="zh-TW"/>
        </w:rPr>
        <w:t>years’ imprisonment.  Between 200 grammes and 400 grammes</w:t>
      </w:r>
      <w:r w:rsidR="00E57C1F">
        <w:rPr>
          <w:lang w:eastAsia="zh-TW"/>
        </w:rPr>
        <w:t xml:space="preserve"> (</w:t>
      </w:r>
      <w:r w:rsidR="00B01D2A">
        <w:rPr>
          <w:lang w:eastAsia="zh-TW"/>
        </w:rPr>
        <w:t xml:space="preserve">a </w:t>
      </w:r>
      <w:r w:rsidR="00DA3B92">
        <w:rPr>
          <w:rFonts w:eastAsia="PMingLiU"/>
          <w:lang w:eastAsia="zh-TW"/>
        </w:rPr>
        <w:t>‍</w:t>
      </w:r>
      <w:r w:rsidR="00B01D2A">
        <w:rPr>
          <w:lang w:eastAsia="zh-TW"/>
        </w:rPr>
        <w:t xml:space="preserve">spread of 200 </w:t>
      </w:r>
      <w:r w:rsidR="0046009A">
        <w:rPr>
          <w:rFonts w:eastAsia="PMingLiU"/>
          <w:lang w:eastAsia="zh-TW"/>
        </w:rPr>
        <w:t>‍</w:t>
      </w:r>
      <w:r w:rsidR="00B01D2A">
        <w:rPr>
          <w:lang w:eastAsia="zh-TW"/>
        </w:rPr>
        <w:t>grammes)</w:t>
      </w:r>
      <w:r w:rsidR="00F32AA1">
        <w:rPr>
          <w:lang w:eastAsia="zh-TW"/>
        </w:rPr>
        <w:t xml:space="preserve">, the difference becomes 3 years, namely 12 to 15 years’ imprisonment.  Thus </w:t>
      </w:r>
      <w:r w:rsidR="00F351C5">
        <w:rPr>
          <w:lang w:eastAsia="zh-TW"/>
        </w:rPr>
        <w:t>the</w:t>
      </w:r>
      <w:r w:rsidR="00F32AA1">
        <w:rPr>
          <w:lang w:eastAsia="zh-TW"/>
        </w:rPr>
        <w:t xml:space="preserve"> gradual curve</w:t>
      </w:r>
      <w:r w:rsidR="00C5682A">
        <w:rPr>
          <w:lang w:eastAsia="zh-TW"/>
        </w:rPr>
        <w:t>,</w:t>
      </w:r>
      <w:r w:rsidR="00F32AA1">
        <w:rPr>
          <w:lang w:eastAsia="zh-TW"/>
        </w:rPr>
        <w:t xml:space="preserve"> </w:t>
      </w:r>
      <w:r w:rsidR="007C3068">
        <w:rPr>
          <w:lang w:eastAsia="zh-TW"/>
        </w:rPr>
        <w:t>contemplated</w:t>
      </w:r>
      <w:r w:rsidR="00F32AA1">
        <w:rPr>
          <w:lang w:eastAsia="zh-TW"/>
        </w:rPr>
        <w:t xml:space="preserve"> in </w:t>
      </w:r>
      <w:r w:rsidR="00F32AA1" w:rsidRPr="00F32AA1">
        <w:rPr>
          <w:i/>
          <w:lang w:eastAsia="zh-TW"/>
        </w:rPr>
        <w:t xml:space="preserve">Cheng </w:t>
      </w:r>
      <w:r w:rsidR="00DA3B92">
        <w:rPr>
          <w:rFonts w:eastAsia="PMingLiU"/>
          <w:lang w:eastAsia="zh-TW"/>
        </w:rPr>
        <w:t>‍</w:t>
      </w:r>
      <w:r w:rsidR="00F32AA1" w:rsidRPr="00F32AA1">
        <w:rPr>
          <w:i/>
          <w:lang w:eastAsia="zh-TW"/>
        </w:rPr>
        <w:t>Yeung</w:t>
      </w:r>
      <w:r w:rsidR="00C5682A">
        <w:rPr>
          <w:lang w:eastAsia="zh-TW"/>
        </w:rPr>
        <w:t xml:space="preserve">, </w:t>
      </w:r>
      <w:r w:rsidR="00F32AA1">
        <w:rPr>
          <w:lang w:eastAsia="zh-TW"/>
        </w:rPr>
        <w:t>begins</w:t>
      </w:r>
      <w:r w:rsidR="00C5682A">
        <w:rPr>
          <w:lang w:eastAsia="zh-TW"/>
        </w:rPr>
        <w:t xml:space="preserve"> to </w:t>
      </w:r>
      <w:r w:rsidR="00A34A07">
        <w:rPr>
          <w:lang w:eastAsia="zh-TW"/>
        </w:rPr>
        <w:t>manifest itself</w:t>
      </w:r>
      <w:r w:rsidR="00F32AA1">
        <w:rPr>
          <w:lang w:eastAsia="zh-TW"/>
        </w:rPr>
        <w:t xml:space="preserve">.  However, between 400 and 600 </w:t>
      </w:r>
      <w:r w:rsidR="00DA3B92">
        <w:rPr>
          <w:rFonts w:eastAsia="PMingLiU"/>
          <w:lang w:eastAsia="zh-TW"/>
        </w:rPr>
        <w:t>‍</w:t>
      </w:r>
      <w:r w:rsidR="00F32AA1">
        <w:rPr>
          <w:lang w:eastAsia="zh-TW"/>
        </w:rPr>
        <w:t>grammes</w:t>
      </w:r>
      <w:r w:rsidR="00B01D2A">
        <w:rPr>
          <w:lang w:eastAsia="zh-TW"/>
        </w:rPr>
        <w:t xml:space="preserve"> (also a spread of 200 grammes)</w:t>
      </w:r>
      <w:r w:rsidR="00F32AA1">
        <w:rPr>
          <w:lang w:eastAsia="zh-TW"/>
        </w:rPr>
        <w:t>, the differen</w:t>
      </w:r>
      <w:r w:rsidR="00C5682A">
        <w:rPr>
          <w:lang w:eastAsia="zh-TW"/>
        </w:rPr>
        <w:t>tial is</w:t>
      </w:r>
      <w:r w:rsidR="00F32AA1">
        <w:rPr>
          <w:lang w:eastAsia="zh-TW"/>
        </w:rPr>
        <w:t xml:space="preserve"> 5 years, namely 15 to 20 years’ imprisonment, </w:t>
      </w:r>
      <w:r w:rsidR="00E57C1F">
        <w:rPr>
          <w:lang w:eastAsia="zh-TW"/>
        </w:rPr>
        <w:t xml:space="preserve">thus </w:t>
      </w:r>
      <w:r w:rsidR="00F32AA1">
        <w:rPr>
          <w:lang w:eastAsia="zh-TW"/>
        </w:rPr>
        <w:t xml:space="preserve">causing the </w:t>
      </w:r>
      <w:r w:rsidR="00C5682A">
        <w:rPr>
          <w:lang w:eastAsia="zh-TW"/>
        </w:rPr>
        <w:t>line</w:t>
      </w:r>
      <w:r w:rsidR="00F32AA1">
        <w:rPr>
          <w:lang w:eastAsia="zh-TW"/>
        </w:rPr>
        <w:t xml:space="preserve"> to </w:t>
      </w:r>
      <w:r w:rsidR="00C5682A">
        <w:rPr>
          <w:lang w:eastAsia="zh-TW"/>
        </w:rPr>
        <w:t xml:space="preserve">straighten and </w:t>
      </w:r>
      <w:r w:rsidR="00074936">
        <w:rPr>
          <w:lang w:eastAsia="zh-TW"/>
        </w:rPr>
        <w:t>deviate</w:t>
      </w:r>
      <w:r w:rsidR="00C5682A">
        <w:rPr>
          <w:lang w:eastAsia="zh-TW"/>
        </w:rPr>
        <w:t xml:space="preserve"> from its anticipated curve</w:t>
      </w:r>
      <w:r w:rsidR="00F32AA1">
        <w:rPr>
          <w:lang w:eastAsia="zh-TW"/>
        </w:rPr>
        <w:t>.</w:t>
      </w:r>
    </w:p>
    <w:p w:rsidR="00237DF7" w:rsidRDefault="00074936" w:rsidP="00A32381">
      <w:pPr>
        <w:pStyle w:val="T-Draft"/>
        <w:rPr>
          <w:lang w:eastAsia="zh-TW"/>
        </w:rPr>
      </w:pPr>
      <w:r>
        <w:rPr>
          <w:lang w:eastAsia="zh-TW"/>
        </w:rPr>
        <w:t xml:space="preserve">The second oddity </w:t>
      </w:r>
      <w:r w:rsidR="00F8251C">
        <w:rPr>
          <w:lang w:eastAsia="zh-TW"/>
        </w:rPr>
        <w:t>depicted in</w:t>
      </w:r>
      <w:r>
        <w:rPr>
          <w:lang w:eastAsia="zh-TW"/>
        </w:rPr>
        <w:t xml:space="preserve"> this diagram is that</w:t>
      </w:r>
      <w:r w:rsidR="00E57C1F">
        <w:rPr>
          <w:lang w:eastAsia="zh-TW"/>
        </w:rPr>
        <w:t xml:space="preserve"> when the guidelines in </w:t>
      </w:r>
      <w:r w:rsidR="00E57C1F" w:rsidRPr="00E57C1F">
        <w:rPr>
          <w:i/>
          <w:lang w:eastAsia="zh-TW"/>
        </w:rPr>
        <w:t>Abdallah</w:t>
      </w:r>
      <w:r w:rsidR="00E57C1F">
        <w:rPr>
          <w:lang w:eastAsia="zh-TW"/>
        </w:rPr>
        <w:t xml:space="preserve"> are grafted onto those in </w:t>
      </w:r>
      <w:r w:rsidR="00E57C1F" w:rsidRPr="00E57C1F">
        <w:rPr>
          <w:i/>
          <w:lang w:eastAsia="zh-TW"/>
        </w:rPr>
        <w:t>Lau Tak-ming</w:t>
      </w:r>
      <w:r w:rsidR="00E57C1F">
        <w:rPr>
          <w:lang w:eastAsia="zh-TW"/>
        </w:rPr>
        <w:t xml:space="preserve">, </w:t>
      </w:r>
      <w:r>
        <w:rPr>
          <w:lang w:eastAsia="zh-TW"/>
        </w:rPr>
        <w:t xml:space="preserve">what </w:t>
      </w:r>
      <w:r w:rsidR="00A272EC">
        <w:rPr>
          <w:lang w:eastAsia="zh-TW"/>
        </w:rPr>
        <w:t>e</w:t>
      </w:r>
      <w:r>
        <w:rPr>
          <w:lang w:eastAsia="zh-TW"/>
        </w:rPr>
        <w:t>merges is</w:t>
      </w:r>
      <w:r w:rsidR="00E57C1F">
        <w:rPr>
          <w:lang w:eastAsia="zh-TW"/>
        </w:rPr>
        <w:t xml:space="preserve"> a rather abrupt right</w:t>
      </w:r>
      <w:r w:rsidR="001F3081">
        <w:rPr>
          <w:lang w:eastAsia="zh-TW"/>
        </w:rPr>
        <w:noBreakHyphen/>
      </w:r>
      <w:r w:rsidR="00E57C1F">
        <w:rPr>
          <w:lang w:eastAsia="zh-TW"/>
        </w:rPr>
        <w:t xml:space="preserve">angled </w:t>
      </w:r>
      <w:r w:rsidR="00C5682A">
        <w:rPr>
          <w:lang w:eastAsia="zh-TW"/>
        </w:rPr>
        <w:t>turn</w:t>
      </w:r>
      <w:r w:rsidR="00E57C1F">
        <w:rPr>
          <w:lang w:eastAsia="zh-TW"/>
        </w:rPr>
        <w:t xml:space="preserve"> rather than a smooth and gradual curve.</w:t>
      </w:r>
      <w:r w:rsidR="00B01D2A">
        <w:rPr>
          <w:lang w:eastAsia="zh-TW"/>
        </w:rPr>
        <w:t xml:space="preserve"> </w:t>
      </w:r>
      <w:r w:rsidR="00E57C1F">
        <w:rPr>
          <w:lang w:eastAsia="zh-TW"/>
        </w:rPr>
        <w:t xml:space="preserve"> Accordingly, because of th</w:t>
      </w:r>
      <w:r w:rsidR="00106CFD">
        <w:rPr>
          <w:lang w:eastAsia="zh-TW"/>
        </w:rPr>
        <w:t>is</w:t>
      </w:r>
      <w:r w:rsidR="00E57C1F">
        <w:rPr>
          <w:lang w:eastAsia="zh-TW"/>
        </w:rPr>
        <w:t xml:space="preserve"> </w:t>
      </w:r>
      <w:r w:rsidR="002B087E">
        <w:rPr>
          <w:lang w:eastAsia="zh-TW"/>
        </w:rPr>
        <w:t>curiosity</w:t>
      </w:r>
      <w:r w:rsidR="00A272EC">
        <w:rPr>
          <w:lang w:eastAsia="zh-TW"/>
        </w:rPr>
        <w:t>, which derives from</w:t>
      </w:r>
      <w:r w:rsidR="002B087E">
        <w:rPr>
          <w:lang w:eastAsia="zh-TW"/>
        </w:rPr>
        <w:t xml:space="preserve"> the last</w:t>
      </w:r>
      <w:r w:rsidR="00E57C1F">
        <w:rPr>
          <w:lang w:eastAsia="zh-TW"/>
        </w:rPr>
        <w:t xml:space="preserve"> category in </w:t>
      </w:r>
      <w:r w:rsidR="00E57C1F" w:rsidRPr="002B087E">
        <w:rPr>
          <w:i/>
          <w:lang w:eastAsia="zh-TW"/>
        </w:rPr>
        <w:t xml:space="preserve">Lau </w:t>
      </w:r>
      <w:r w:rsidR="003E7500">
        <w:rPr>
          <w:rFonts w:eastAsia="PMingLiU"/>
          <w:lang w:eastAsia="zh-TW"/>
        </w:rPr>
        <w:t>‍</w:t>
      </w:r>
      <w:r w:rsidR="00E57C1F" w:rsidRPr="002B087E">
        <w:rPr>
          <w:i/>
          <w:lang w:eastAsia="zh-TW"/>
        </w:rPr>
        <w:t>Tak-ming</w:t>
      </w:r>
      <w:r w:rsidR="00E57C1F">
        <w:rPr>
          <w:lang w:eastAsia="zh-TW"/>
        </w:rPr>
        <w:t xml:space="preserve">, we do not think that we can properly address the guidelines in respect of </w:t>
      </w:r>
      <w:r>
        <w:rPr>
          <w:lang w:eastAsia="zh-TW"/>
        </w:rPr>
        <w:t xml:space="preserve">very or exceptionally </w:t>
      </w:r>
      <w:r w:rsidR="00E57C1F">
        <w:rPr>
          <w:lang w:eastAsia="zh-TW"/>
        </w:rPr>
        <w:t xml:space="preserve">large quantities of dangerous drugs under </w:t>
      </w:r>
      <w:r w:rsidR="00E57C1F" w:rsidRPr="00E57C1F">
        <w:rPr>
          <w:i/>
          <w:lang w:eastAsia="zh-TW"/>
        </w:rPr>
        <w:t>Abdallah</w:t>
      </w:r>
      <w:r w:rsidR="00E57C1F">
        <w:rPr>
          <w:lang w:eastAsia="zh-TW"/>
        </w:rPr>
        <w:t xml:space="preserve"> without at the same time reconsidering the guidelines for lesser quantities under </w:t>
      </w:r>
      <w:r w:rsidR="00E57C1F" w:rsidRPr="00E57C1F">
        <w:rPr>
          <w:i/>
          <w:lang w:eastAsia="zh-TW"/>
        </w:rPr>
        <w:t>Lau Tak-ming</w:t>
      </w:r>
      <w:r w:rsidR="00E57C1F">
        <w:rPr>
          <w:lang w:eastAsia="zh-TW"/>
        </w:rPr>
        <w:t>.</w:t>
      </w:r>
      <w:r w:rsidR="00C5682A">
        <w:rPr>
          <w:lang w:eastAsia="zh-TW"/>
        </w:rPr>
        <w:t xml:space="preserve">  </w:t>
      </w:r>
    </w:p>
    <w:p w:rsidR="00B01D2A" w:rsidRDefault="00C5682A" w:rsidP="00A32381">
      <w:pPr>
        <w:pStyle w:val="T-Draft"/>
        <w:rPr>
          <w:lang w:eastAsia="zh-TW"/>
        </w:rPr>
      </w:pPr>
      <w:r>
        <w:rPr>
          <w:lang w:eastAsia="zh-TW"/>
        </w:rPr>
        <w:t xml:space="preserve">A similar </w:t>
      </w:r>
      <w:r w:rsidR="00483AF9">
        <w:rPr>
          <w:lang w:eastAsia="zh-TW"/>
        </w:rPr>
        <w:t xml:space="preserve">phenomenon or </w:t>
      </w:r>
      <w:r w:rsidR="00A272EC">
        <w:rPr>
          <w:lang w:eastAsia="zh-TW"/>
        </w:rPr>
        <w:t>curiosity</w:t>
      </w:r>
      <w:r>
        <w:rPr>
          <w:lang w:eastAsia="zh-TW"/>
        </w:rPr>
        <w:t xml:space="preserve"> appears when we examine the </w:t>
      </w:r>
      <w:r w:rsidR="00A272EC">
        <w:rPr>
          <w:lang w:eastAsia="zh-TW"/>
        </w:rPr>
        <w:t>“</w:t>
      </w:r>
      <w:r>
        <w:rPr>
          <w:lang w:eastAsia="zh-TW"/>
        </w:rPr>
        <w:t>Ice</w:t>
      </w:r>
      <w:r w:rsidR="00A272EC">
        <w:rPr>
          <w:lang w:eastAsia="zh-TW"/>
        </w:rPr>
        <w:t>”</w:t>
      </w:r>
      <w:r>
        <w:rPr>
          <w:lang w:eastAsia="zh-TW"/>
        </w:rPr>
        <w:t xml:space="preserve"> guidelines in </w:t>
      </w:r>
      <w:r w:rsidRPr="00237DF7">
        <w:rPr>
          <w:i/>
          <w:lang w:eastAsia="zh-TW"/>
        </w:rPr>
        <w:t>Tam Yi Chun</w:t>
      </w:r>
      <w:r>
        <w:rPr>
          <w:lang w:eastAsia="zh-TW"/>
        </w:rPr>
        <w:t xml:space="preserve">. </w:t>
      </w:r>
      <w:r w:rsidR="00237DF7">
        <w:rPr>
          <w:lang w:eastAsia="zh-TW"/>
        </w:rPr>
        <w:t xml:space="preserve"> </w:t>
      </w:r>
      <w:r>
        <w:rPr>
          <w:lang w:eastAsia="zh-TW"/>
        </w:rPr>
        <w:t>Between 10 and 70 grammes, the differential is 4 years, namely 7 to 11 years’ imprisonment</w:t>
      </w:r>
      <w:r w:rsidR="00237DF7">
        <w:rPr>
          <w:lang w:eastAsia="zh-TW"/>
        </w:rPr>
        <w:t>; between 70 and 300 grammes, it is also 4 years, namely 11 to 15 years’ imprisonment; but between 300 grammes and 600 grammes, the differential becomes 5 years, namely 15 to 20 years’ imprisonment.  T</w:t>
      </w:r>
      <w:r w:rsidR="00D169AB">
        <w:rPr>
          <w:lang w:eastAsia="zh-TW"/>
        </w:rPr>
        <w:t>his results</w:t>
      </w:r>
      <w:r w:rsidR="00237DF7">
        <w:rPr>
          <w:lang w:eastAsia="zh-TW"/>
        </w:rPr>
        <w:t xml:space="preserve"> in the </w:t>
      </w:r>
      <w:r w:rsidR="007C3068">
        <w:rPr>
          <w:lang w:eastAsia="zh-TW"/>
        </w:rPr>
        <w:t>connection</w:t>
      </w:r>
      <w:r w:rsidR="00237DF7">
        <w:rPr>
          <w:lang w:eastAsia="zh-TW"/>
        </w:rPr>
        <w:t xml:space="preserve"> </w:t>
      </w:r>
      <w:r w:rsidR="00B80387">
        <w:rPr>
          <w:lang w:eastAsia="zh-TW"/>
        </w:rPr>
        <w:t xml:space="preserve">between 70 grammes (warranting 11 years’ imprisonment) and 600 </w:t>
      </w:r>
      <w:r w:rsidR="00A10709">
        <w:rPr>
          <w:rFonts w:eastAsia="PMingLiU"/>
          <w:lang w:eastAsia="zh-TW"/>
        </w:rPr>
        <w:t>‍</w:t>
      </w:r>
      <w:r w:rsidR="00B80387">
        <w:rPr>
          <w:lang w:eastAsia="zh-TW"/>
        </w:rPr>
        <w:t xml:space="preserve">grammes (warranting 20 </w:t>
      </w:r>
      <w:r w:rsidR="00EC734F">
        <w:rPr>
          <w:lang w:eastAsia="zh-TW"/>
        </w:rPr>
        <w:t>‍</w:t>
      </w:r>
      <w:r w:rsidR="00B80387">
        <w:rPr>
          <w:lang w:eastAsia="zh-TW"/>
        </w:rPr>
        <w:t xml:space="preserve">years’ imprisonment) </w:t>
      </w:r>
      <w:r w:rsidR="00237DF7">
        <w:rPr>
          <w:lang w:eastAsia="zh-TW"/>
        </w:rPr>
        <w:t xml:space="preserve">proceeding in a straight </w:t>
      </w:r>
      <w:r w:rsidR="0019782A">
        <w:rPr>
          <w:lang w:eastAsia="zh-TW"/>
        </w:rPr>
        <w:lastRenderedPageBreak/>
        <w:t xml:space="preserve">upward </w:t>
      </w:r>
      <w:r w:rsidR="00237DF7">
        <w:rPr>
          <w:lang w:eastAsia="zh-TW"/>
        </w:rPr>
        <w:t>line rather than continuing t</w:t>
      </w:r>
      <w:r w:rsidR="00B80387">
        <w:rPr>
          <w:lang w:eastAsia="zh-TW"/>
        </w:rPr>
        <w:t xml:space="preserve">he curve </w:t>
      </w:r>
      <w:r w:rsidR="00D169AB">
        <w:rPr>
          <w:lang w:eastAsia="zh-TW"/>
        </w:rPr>
        <w:t xml:space="preserve">that had commenced </w:t>
      </w:r>
      <w:r w:rsidR="00B80387">
        <w:rPr>
          <w:lang w:eastAsia="zh-TW"/>
        </w:rPr>
        <w:t>between 10 grammes (warranting 7 years’ imprisonment) and 300 grammes (warranting 15 years’ imprisonment).</w:t>
      </w:r>
      <w:r w:rsidR="00237DF7">
        <w:rPr>
          <w:lang w:eastAsia="zh-TW"/>
        </w:rPr>
        <w:t xml:space="preserve">  We suspect that the Court perhaps </w:t>
      </w:r>
      <w:r w:rsidR="00074936">
        <w:rPr>
          <w:lang w:eastAsia="zh-TW"/>
        </w:rPr>
        <w:t>was concerned to</w:t>
      </w:r>
      <w:r w:rsidR="00237DF7">
        <w:rPr>
          <w:lang w:eastAsia="zh-TW"/>
        </w:rPr>
        <w:t xml:space="preserve"> </w:t>
      </w:r>
      <w:r w:rsidR="003E7500">
        <w:rPr>
          <w:rFonts w:eastAsia="PMingLiU"/>
          <w:lang w:eastAsia="zh-TW"/>
        </w:rPr>
        <w:t>‍</w:t>
      </w:r>
      <w:r w:rsidR="00237DF7">
        <w:rPr>
          <w:lang w:eastAsia="zh-TW"/>
        </w:rPr>
        <w:t>arrive at 600 grammes and 20 years</w:t>
      </w:r>
      <w:r w:rsidR="009C4C43">
        <w:rPr>
          <w:lang w:eastAsia="zh-TW"/>
        </w:rPr>
        <w:t>’</w:t>
      </w:r>
      <w:r w:rsidR="00237DF7">
        <w:rPr>
          <w:lang w:eastAsia="zh-TW"/>
        </w:rPr>
        <w:t xml:space="preserve"> imprisonment to </w:t>
      </w:r>
      <w:r w:rsidR="00CF60AA">
        <w:rPr>
          <w:lang w:eastAsia="zh-TW"/>
        </w:rPr>
        <w:t>tie in with</w:t>
      </w:r>
      <w:r w:rsidR="00237DF7">
        <w:rPr>
          <w:lang w:eastAsia="zh-TW"/>
        </w:rPr>
        <w:t xml:space="preserve"> </w:t>
      </w:r>
      <w:r w:rsidR="00237DF7" w:rsidRPr="00B80387">
        <w:rPr>
          <w:i/>
          <w:lang w:eastAsia="zh-TW"/>
        </w:rPr>
        <w:t xml:space="preserve">Lau </w:t>
      </w:r>
      <w:r w:rsidR="003E7500">
        <w:rPr>
          <w:rFonts w:eastAsia="PMingLiU"/>
          <w:lang w:eastAsia="zh-TW"/>
        </w:rPr>
        <w:t>‍</w:t>
      </w:r>
      <w:r w:rsidR="00237DF7" w:rsidRPr="00B80387">
        <w:rPr>
          <w:i/>
          <w:lang w:eastAsia="zh-TW"/>
        </w:rPr>
        <w:t>Tak-</w:t>
      </w:r>
      <w:r w:rsidR="003E7500">
        <w:rPr>
          <w:rFonts w:eastAsia="PMingLiU"/>
          <w:lang w:eastAsia="zh-TW"/>
        </w:rPr>
        <w:t>‍</w:t>
      </w:r>
      <w:r w:rsidR="00237DF7" w:rsidRPr="00B80387">
        <w:rPr>
          <w:i/>
          <w:lang w:eastAsia="zh-TW"/>
        </w:rPr>
        <w:t>ming</w:t>
      </w:r>
      <w:r w:rsidR="00237DF7">
        <w:rPr>
          <w:lang w:eastAsia="zh-TW"/>
        </w:rPr>
        <w:t xml:space="preserve"> before </w:t>
      </w:r>
      <w:r w:rsidR="00BC362E">
        <w:rPr>
          <w:lang w:eastAsia="zh-TW"/>
        </w:rPr>
        <w:t>the application of</w:t>
      </w:r>
      <w:r w:rsidR="00237DF7">
        <w:rPr>
          <w:lang w:eastAsia="zh-TW"/>
        </w:rPr>
        <w:t xml:space="preserve"> the </w:t>
      </w:r>
      <w:r w:rsidR="00237DF7" w:rsidRPr="00237DF7">
        <w:rPr>
          <w:i/>
          <w:lang w:eastAsia="zh-TW"/>
        </w:rPr>
        <w:t>Abdallah</w:t>
      </w:r>
      <w:r w:rsidR="00237DF7">
        <w:rPr>
          <w:lang w:eastAsia="zh-TW"/>
        </w:rPr>
        <w:t xml:space="preserve"> guidelines to </w:t>
      </w:r>
      <w:r w:rsidR="002C7BA5">
        <w:rPr>
          <w:lang w:eastAsia="zh-TW"/>
        </w:rPr>
        <w:t>“</w:t>
      </w:r>
      <w:r w:rsidR="00237DF7">
        <w:rPr>
          <w:lang w:eastAsia="zh-TW"/>
        </w:rPr>
        <w:t>Ice</w:t>
      </w:r>
      <w:r w:rsidR="002C7BA5">
        <w:rPr>
          <w:lang w:eastAsia="zh-TW"/>
        </w:rPr>
        <w:t>”</w:t>
      </w:r>
      <w:r w:rsidR="00237DF7">
        <w:rPr>
          <w:lang w:eastAsia="zh-TW"/>
        </w:rPr>
        <w:t xml:space="preserve">.  Whatever the reason, </w:t>
      </w:r>
      <w:r w:rsidR="00D477CF">
        <w:rPr>
          <w:lang w:eastAsia="zh-TW"/>
        </w:rPr>
        <w:t>a similar right-angled turn</w:t>
      </w:r>
      <w:r w:rsidR="00CF60AA">
        <w:rPr>
          <w:lang w:eastAsia="zh-TW"/>
        </w:rPr>
        <w:t xml:space="preserve"> (albeit not as acute as in the diagram above)</w:t>
      </w:r>
      <w:r w:rsidR="00D477CF">
        <w:rPr>
          <w:lang w:eastAsia="zh-TW"/>
        </w:rPr>
        <w:t xml:space="preserve"> is occasioned rather than a smooth</w:t>
      </w:r>
      <w:r w:rsidR="00CF60AA">
        <w:rPr>
          <w:lang w:eastAsia="zh-TW"/>
        </w:rPr>
        <w:t xml:space="preserve"> and gradual curve.  Accordingly, in the interests of consistency a</w:t>
      </w:r>
      <w:r w:rsidR="00106CFD">
        <w:rPr>
          <w:lang w:eastAsia="zh-TW"/>
        </w:rPr>
        <w:t>s well as</w:t>
      </w:r>
      <w:r w:rsidR="00CF60AA">
        <w:rPr>
          <w:lang w:eastAsia="zh-TW"/>
        </w:rPr>
        <w:t xml:space="preserve"> logic, </w:t>
      </w:r>
      <w:r w:rsidR="00237DF7">
        <w:rPr>
          <w:lang w:eastAsia="zh-TW"/>
        </w:rPr>
        <w:t xml:space="preserve">we consider that we should </w:t>
      </w:r>
      <w:r w:rsidR="00CF60AA">
        <w:rPr>
          <w:lang w:eastAsia="zh-TW"/>
        </w:rPr>
        <w:t xml:space="preserve">also </w:t>
      </w:r>
      <w:r w:rsidR="00237DF7">
        <w:rPr>
          <w:lang w:eastAsia="zh-TW"/>
        </w:rPr>
        <w:t xml:space="preserve">re-assess the guidelines in </w:t>
      </w:r>
      <w:r w:rsidR="00237DF7" w:rsidRPr="00B80387">
        <w:rPr>
          <w:i/>
          <w:lang w:eastAsia="zh-TW"/>
        </w:rPr>
        <w:t xml:space="preserve">Tam </w:t>
      </w:r>
      <w:r w:rsidR="00A10709">
        <w:rPr>
          <w:rFonts w:eastAsia="PMingLiU"/>
          <w:lang w:eastAsia="zh-TW"/>
        </w:rPr>
        <w:t>‍</w:t>
      </w:r>
      <w:r w:rsidR="00237DF7" w:rsidRPr="00B80387">
        <w:rPr>
          <w:i/>
          <w:lang w:eastAsia="zh-TW"/>
        </w:rPr>
        <w:t xml:space="preserve">Yi </w:t>
      </w:r>
      <w:r w:rsidR="00A10709">
        <w:rPr>
          <w:rFonts w:eastAsia="PMingLiU"/>
          <w:lang w:eastAsia="zh-TW"/>
        </w:rPr>
        <w:t>‍</w:t>
      </w:r>
      <w:r w:rsidR="00237DF7" w:rsidRPr="00B80387">
        <w:rPr>
          <w:i/>
          <w:lang w:eastAsia="zh-TW"/>
        </w:rPr>
        <w:t>Chun</w:t>
      </w:r>
      <w:r w:rsidR="00237DF7">
        <w:rPr>
          <w:lang w:eastAsia="zh-TW"/>
        </w:rPr>
        <w:t xml:space="preserve"> </w:t>
      </w:r>
      <w:r w:rsidR="00B80387">
        <w:rPr>
          <w:lang w:eastAsia="zh-TW"/>
        </w:rPr>
        <w:t xml:space="preserve">when addressing the guidelines for </w:t>
      </w:r>
      <w:r w:rsidR="007C3068">
        <w:rPr>
          <w:lang w:eastAsia="zh-TW"/>
        </w:rPr>
        <w:t xml:space="preserve">very or exceptionally </w:t>
      </w:r>
      <w:r w:rsidR="00B80387">
        <w:rPr>
          <w:lang w:eastAsia="zh-TW"/>
        </w:rPr>
        <w:t>large quantities</w:t>
      </w:r>
      <w:r w:rsidR="00CF60AA">
        <w:rPr>
          <w:lang w:eastAsia="zh-TW"/>
        </w:rPr>
        <w:t xml:space="preserve"> of </w:t>
      </w:r>
      <w:r w:rsidR="007C3068">
        <w:rPr>
          <w:lang w:eastAsia="zh-TW"/>
        </w:rPr>
        <w:t>“</w:t>
      </w:r>
      <w:r w:rsidR="00CF60AA">
        <w:rPr>
          <w:lang w:eastAsia="zh-TW"/>
        </w:rPr>
        <w:t>Ice</w:t>
      </w:r>
      <w:r w:rsidR="007C3068">
        <w:rPr>
          <w:lang w:eastAsia="zh-TW"/>
        </w:rPr>
        <w:t>”</w:t>
      </w:r>
      <w:r w:rsidR="00B80387">
        <w:rPr>
          <w:lang w:eastAsia="zh-TW"/>
        </w:rPr>
        <w:t>.</w:t>
      </w:r>
      <w:r w:rsidR="00237DF7">
        <w:rPr>
          <w:lang w:eastAsia="zh-TW"/>
        </w:rPr>
        <w:t xml:space="preserve"> </w:t>
      </w:r>
    </w:p>
    <w:p w:rsidR="00085832" w:rsidRDefault="00106CFD" w:rsidP="004E630A">
      <w:pPr>
        <w:pStyle w:val="T-Draft"/>
        <w:rPr>
          <w:lang w:eastAsia="zh-TW"/>
        </w:rPr>
      </w:pPr>
      <w:r>
        <w:rPr>
          <w:lang w:eastAsia="zh-TW"/>
        </w:rPr>
        <w:t xml:space="preserve">Before we do so, </w:t>
      </w:r>
      <w:r w:rsidR="00BC362E">
        <w:rPr>
          <w:lang w:eastAsia="zh-TW"/>
        </w:rPr>
        <w:t xml:space="preserve">however, </w:t>
      </w:r>
      <w:r>
        <w:rPr>
          <w:lang w:eastAsia="zh-TW"/>
        </w:rPr>
        <w:t xml:space="preserve">it is worth making certain observations about the evidence </w:t>
      </w:r>
      <w:r w:rsidR="008E0152">
        <w:rPr>
          <w:lang w:eastAsia="zh-TW"/>
        </w:rPr>
        <w:t>addu</w:t>
      </w:r>
      <w:r>
        <w:rPr>
          <w:lang w:eastAsia="zh-TW"/>
        </w:rPr>
        <w:t xml:space="preserve">ced by the respondent in respect of the seizures of heroin, cocaine and </w:t>
      </w:r>
      <w:r w:rsidR="002C7BA5">
        <w:rPr>
          <w:lang w:eastAsia="zh-TW"/>
        </w:rPr>
        <w:t>“</w:t>
      </w:r>
      <w:r>
        <w:rPr>
          <w:lang w:eastAsia="zh-TW"/>
        </w:rPr>
        <w:t>Ice</w:t>
      </w:r>
      <w:r w:rsidR="002C7BA5">
        <w:rPr>
          <w:lang w:eastAsia="zh-TW"/>
        </w:rPr>
        <w:t>”</w:t>
      </w:r>
      <w:r>
        <w:rPr>
          <w:lang w:eastAsia="zh-TW"/>
        </w:rPr>
        <w:t xml:space="preserve"> in recent years.  </w:t>
      </w:r>
      <w:r w:rsidR="00BD2E1B">
        <w:rPr>
          <w:lang w:eastAsia="zh-TW"/>
        </w:rPr>
        <w:t>We should bear in mind what appears to be a</w:t>
      </w:r>
      <w:r>
        <w:rPr>
          <w:lang w:eastAsia="zh-TW"/>
        </w:rPr>
        <w:t xml:space="preserve"> distortion </w:t>
      </w:r>
      <w:r w:rsidR="00BD2E1B">
        <w:rPr>
          <w:lang w:eastAsia="zh-TW"/>
        </w:rPr>
        <w:t>during</w:t>
      </w:r>
      <w:r>
        <w:rPr>
          <w:lang w:eastAsia="zh-TW"/>
        </w:rPr>
        <w:t xml:space="preserve"> the ‘Covid years</w:t>
      </w:r>
      <w:r w:rsidR="002C7BA5">
        <w:rPr>
          <w:lang w:eastAsia="zh-TW"/>
        </w:rPr>
        <w:t>’</w:t>
      </w:r>
      <w:r w:rsidR="00BC362E">
        <w:rPr>
          <w:lang w:eastAsia="zh-TW"/>
        </w:rPr>
        <w:t xml:space="preserve"> (2020-</w:t>
      </w:r>
      <w:r w:rsidR="0046009A">
        <w:rPr>
          <w:rFonts w:eastAsia="PMingLiU"/>
          <w:lang w:eastAsia="zh-TW"/>
        </w:rPr>
        <w:t>‍</w:t>
      </w:r>
      <w:r w:rsidR="00BC362E">
        <w:rPr>
          <w:lang w:eastAsia="zh-TW"/>
        </w:rPr>
        <w:t>2022)</w:t>
      </w:r>
      <w:r w:rsidR="00E3514E">
        <w:rPr>
          <w:lang w:eastAsia="zh-TW"/>
        </w:rPr>
        <w:t xml:space="preserve"> when, for example, the total number of arrests </w:t>
      </w:r>
      <w:r w:rsidR="00085832">
        <w:rPr>
          <w:lang w:eastAsia="zh-TW"/>
        </w:rPr>
        <w:t xml:space="preserve">for the importation of dangerous drugs </w:t>
      </w:r>
      <w:r w:rsidR="002C7BA5">
        <w:rPr>
          <w:lang w:eastAsia="zh-TW"/>
        </w:rPr>
        <w:t xml:space="preserve">by </w:t>
      </w:r>
      <w:r w:rsidR="00E3514E">
        <w:rPr>
          <w:lang w:eastAsia="zh-TW"/>
        </w:rPr>
        <w:t xml:space="preserve">Customs </w:t>
      </w:r>
      <w:r w:rsidR="007C3068">
        <w:rPr>
          <w:lang w:eastAsia="zh-TW"/>
        </w:rPr>
        <w:t>and</w:t>
      </w:r>
      <w:r w:rsidR="00E3514E">
        <w:rPr>
          <w:lang w:eastAsia="zh-TW"/>
        </w:rPr>
        <w:t xml:space="preserve"> </w:t>
      </w:r>
      <w:r w:rsidR="000C6D29">
        <w:rPr>
          <w:lang w:eastAsia="zh-TW"/>
        </w:rPr>
        <w:t>‍</w:t>
      </w:r>
      <w:r w:rsidR="00074936">
        <w:rPr>
          <w:lang w:eastAsia="zh-TW"/>
        </w:rPr>
        <w:t>Excise, in respect of</w:t>
      </w:r>
      <w:r w:rsidR="00A22124">
        <w:rPr>
          <w:lang w:eastAsia="zh-TW"/>
        </w:rPr>
        <w:t xml:space="preserve"> quantities of </w:t>
      </w:r>
      <w:r w:rsidR="00E3514E">
        <w:rPr>
          <w:lang w:eastAsia="zh-TW"/>
        </w:rPr>
        <w:t xml:space="preserve">all three dangerous drugs, fell </w:t>
      </w:r>
      <w:r w:rsidR="004E630A">
        <w:rPr>
          <w:lang w:eastAsia="zh-TW"/>
        </w:rPr>
        <w:t>from</w:t>
      </w:r>
      <w:r w:rsidR="00E3514E">
        <w:rPr>
          <w:lang w:eastAsia="zh-TW"/>
        </w:rPr>
        <w:t xml:space="preserve"> 28 </w:t>
      </w:r>
      <w:r w:rsidR="004E630A">
        <w:rPr>
          <w:lang w:eastAsia="zh-TW"/>
        </w:rPr>
        <w:t xml:space="preserve">in 2019 </w:t>
      </w:r>
      <w:r w:rsidR="00E3514E">
        <w:rPr>
          <w:lang w:eastAsia="zh-TW"/>
        </w:rPr>
        <w:t>to 16</w:t>
      </w:r>
      <w:r w:rsidR="004E630A">
        <w:rPr>
          <w:lang w:eastAsia="zh-TW"/>
        </w:rPr>
        <w:t xml:space="preserve"> in 2021</w:t>
      </w:r>
      <w:r w:rsidR="00E3514E">
        <w:rPr>
          <w:lang w:eastAsia="zh-TW"/>
        </w:rPr>
        <w:t xml:space="preserve"> (heroin); </w:t>
      </w:r>
      <w:r w:rsidR="00085832">
        <w:rPr>
          <w:lang w:eastAsia="zh-TW"/>
        </w:rPr>
        <w:t xml:space="preserve">from </w:t>
      </w:r>
      <w:r w:rsidR="00E3514E">
        <w:rPr>
          <w:lang w:eastAsia="zh-TW"/>
        </w:rPr>
        <w:t>183</w:t>
      </w:r>
      <w:r w:rsidR="004E630A">
        <w:rPr>
          <w:lang w:eastAsia="zh-TW"/>
        </w:rPr>
        <w:t xml:space="preserve"> in 2019</w:t>
      </w:r>
      <w:r w:rsidR="00E3514E">
        <w:rPr>
          <w:lang w:eastAsia="zh-TW"/>
        </w:rPr>
        <w:t xml:space="preserve"> to 94</w:t>
      </w:r>
      <w:r w:rsidR="004E630A">
        <w:rPr>
          <w:lang w:eastAsia="zh-TW"/>
        </w:rPr>
        <w:t xml:space="preserve"> in 2021</w:t>
      </w:r>
      <w:r>
        <w:rPr>
          <w:lang w:eastAsia="zh-TW"/>
        </w:rPr>
        <w:t xml:space="preserve"> </w:t>
      </w:r>
      <w:r w:rsidR="00E3514E">
        <w:rPr>
          <w:lang w:eastAsia="zh-TW"/>
        </w:rPr>
        <w:t>(cocaine); and</w:t>
      </w:r>
      <w:r w:rsidR="00BD2E1B">
        <w:rPr>
          <w:lang w:eastAsia="zh-TW"/>
        </w:rPr>
        <w:t xml:space="preserve"> </w:t>
      </w:r>
      <w:r w:rsidR="00085832">
        <w:rPr>
          <w:lang w:eastAsia="zh-TW"/>
        </w:rPr>
        <w:t xml:space="preserve">from </w:t>
      </w:r>
      <w:r w:rsidR="00BD2E1B">
        <w:rPr>
          <w:lang w:eastAsia="zh-TW"/>
        </w:rPr>
        <w:t>102</w:t>
      </w:r>
      <w:r w:rsidR="004E630A">
        <w:rPr>
          <w:lang w:eastAsia="zh-TW"/>
        </w:rPr>
        <w:t xml:space="preserve"> in 2019</w:t>
      </w:r>
      <w:r w:rsidR="00BD2E1B">
        <w:rPr>
          <w:lang w:eastAsia="zh-TW"/>
        </w:rPr>
        <w:t xml:space="preserve"> to 44</w:t>
      </w:r>
      <w:r w:rsidR="004E630A">
        <w:rPr>
          <w:lang w:eastAsia="zh-TW"/>
        </w:rPr>
        <w:t xml:space="preserve"> in 2021</w:t>
      </w:r>
      <w:r w:rsidR="00BD2E1B">
        <w:rPr>
          <w:lang w:eastAsia="zh-TW"/>
        </w:rPr>
        <w:t xml:space="preserve"> (</w:t>
      </w:r>
      <w:r w:rsidR="002C7BA5">
        <w:rPr>
          <w:lang w:eastAsia="zh-TW"/>
        </w:rPr>
        <w:t>“</w:t>
      </w:r>
      <w:r w:rsidR="00BD2E1B">
        <w:rPr>
          <w:lang w:eastAsia="zh-TW"/>
        </w:rPr>
        <w:t>Ice</w:t>
      </w:r>
      <w:r w:rsidR="002C7BA5">
        <w:rPr>
          <w:lang w:eastAsia="zh-TW"/>
        </w:rPr>
        <w:t>”</w:t>
      </w:r>
      <w:r w:rsidR="00BD2E1B">
        <w:rPr>
          <w:lang w:eastAsia="zh-TW"/>
        </w:rPr>
        <w:t xml:space="preserve">).  </w:t>
      </w:r>
      <w:r w:rsidR="00085832">
        <w:rPr>
          <w:lang w:eastAsia="zh-TW"/>
        </w:rPr>
        <w:t xml:space="preserve">As for the exportation of dangerous drugs during the same period, the numbers fell from 4 in 2019 to 2 in 2021 (heroin); from 42 in 2019 to 2 in 2021 (cocaine); and from 13 </w:t>
      </w:r>
      <w:r w:rsidR="000C6D29">
        <w:rPr>
          <w:lang w:eastAsia="zh-TW"/>
        </w:rPr>
        <w:t>‍</w:t>
      </w:r>
      <w:r w:rsidR="00085832">
        <w:rPr>
          <w:lang w:eastAsia="zh-TW"/>
        </w:rPr>
        <w:t xml:space="preserve">in 2019 to 2 </w:t>
      </w:r>
      <w:r w:rsidR="00E15C02">
        <w:rPr>
          <w:rFonts w:eastAsia="PMingLiU"/>
          <w:lang w:eastAsia="zh-TW"/>
        </w:rPr>
        <w:t>‍</w:t>
      </w:r>
      <w:r w:rsidR="00085832">
        <w:rPr>
          <w:lang w:eastAsia="zh-TW"/>
        </w:rPr>
        <w:t>in 2021 (</w:t>
      </w:r>
      <w:r w:rsidR="002C7BA5">
        <w:rPr>
          <w:lang w:eastAsia="zh-TW"/>
        </w:rPr>
        <w:t>“</w:t>
      </w:r>
      <w:r w:rsidR="00085832">
        <w:rPr>
          <w:lang w:eastAsia="zh-TW"/>
        </w:rPr>
        <w:t>Ice</w:t>
      </w:r>
      <w:r w:rsidR="002C7BA5">
        <w:rPr>
          <w:lang w:eastAsia="zh-TW"/>
        </w:rPr>
        <w:t>”</w:t>
      </w:r>
      <w:r w:rsidR="00085832">
        <w:rPr>
          <w:lang w:eastAsia="zh-TW"/>
        </w:rPr>
        <w:t>).  These figures</w:t>
      </w:r>
      <w:r w:rsidR="00BD2E1B">
        <w:rPr>
          <w:lang w:eastAsia="zh-TW"/>
        </w:rPr>
        <w:t xml:space="preserve"> can obviously be explained by the severe travel restrictions in place both in and out of Hong </w:t>
      </w:r>
      <w:r w:rsidR="000C6D29">
        <w:rPr>
          <w:lang w:eastAsia="zh-TW"/>
        </w:rPr>
        <w:t>‍</w:t>
      </w:r>
      <w:r w:rsidR="00BD2E1B">
        <w:rPr>
          <w:lang w:eastAsia="zh-TW"/>
        </w:rPr>
        <w:t>Kong during 2020 and 2021.</w:t>
      </w:r>
      <w:r w:rsidR="004E630A">
        <w:rPr>
          <w:lang w:eastAsia="zh-TW"/>
        </w:rPr>
        <w:t xml:space="preserve">  </w:t>
      </w:r>
    </w:p>
    <w:p w:rsidR="00085832" w:rsidRDefault="00BD2E1B" w:rsidP="004E630A">
      <w:pPr>
        <w:pStyle w:val="T-Draft"/>
        <w:rPr>
          <w:lang w:eastAsia="zh-TW"/>
        </w:rPr>
      </w:pPr>
      <w:r>
        <w:rPr>
          <w:lang w:eastAsia="zh-TW"/>
        </w:rPr>
        <w:t>In terms of local trafficking</w:t>
      </w:r>
      <w:r w:rsidR="00085832">
        <w:rPr>
          <w:lang w:eastAsia="zh-TW"/>
        </w:rPr>
        <w:t xml:space="preserve"> in dangerous drugs</w:t>
      </w:r>
      <w:r w:rsidR="00A22124">
        <w:rPr>
          <w:lang w:eastAsia="zh-TW"/>
        </w:rPr>
        <w:t xml:space="preserve">, the figures </w:t>
      </w:r>
      <w:r w:rsidR="004E630A">
        <w:rPr>
          <w:lang w:eastAsia="zh-TW"/>
        </w:rPr>
        <w:t xml:space="preserve">supplied by the </w:t>
      </w:r>
      <w:r w:rsidR="007C3068">
        <w:rPr>
          <w:lang w:eastAsia="zh-TW"/>
        </w:rPr>
        <w:t>p</w:t>
      </w:r>
      <w:r w:rsidR="004E630A">
        <w:rPr>
          <w:lang w:eastAsia="zh-TW"/>
        </w:rPr>
        <w:t xml:space="preserve">olice </w:t>
      </w:r>
      <w:r w:rsidR="00A22124">
        <w:rPr>
          <w:lang w:eastAsia="zh-TW"/>
        </w:rPr>
        <w:t xml:space="preserve">for the total </w:t>
      </w:r>
      <w:r w:rsidR="004E630A">
        <w:rPr>
          <w:lang w:eastAsia="zh-TW"/>
        </w:rPr>
        <w:t>seizures of</w:t>
      </w:r>
      <w:r w:rsidR="00A22124">
        <w:rPr>
          <w:lang w:eastAsia="zh-TW"/>
        </w:rPr>
        <w:t xml:space="preserve"> more than 400 grammes of narcotic </w:t>
      </w:r>
      <w:r w:rsidR="004E630A">
        <w:rPr>
          <w:lang w:eastAsia="zh-TW"/>
        </w:rPr>
        <w:t xml:space="preserve">(gross weight) went </w:t>
      </w:r>
      <w:r w:rsidR="008E0152">
        <w:rPr>
          <w:lang w:eastAsia="zh-TW"/>
        </w:rPr>
        <w:t xml:space="preserve">down </w:t>
      </w:r>
      <w:r w:rsidR="004E630A">
        <w:rPr>
          <w:lang w:eastAsia="zh-TW"/>
        </w:rPr>
        <w:t xml:space="preserve">from 331,938 grammes </w:t>
      </w:r>
      <w:r w:rsidR="00A22124">
        <w:rPr>
          <w:lang w:eastAsia="zh-TW"/>
        </w:rPr>
        <w:t xml:space="preserve">in 2021 </w:t>
      </w:r>
      <w:r w:rsidR="004E630A">
        <w:rPr>
          <w:lang w:eastAsia="zh-TW"/>
        </w:rPr>
        <w:t xml:space="preserve">to </w:t>
      </w:r>
      <w:r w:rsidR="004E630A">
        <w:rPr>
          <w:lang w:eastAsia="zh-TW"/>
        </w:rPr>
        <w:lastRenderedPageBreak/>
        <w:t xml:space="preserve">213,643 </w:t>
      </w:r>
      <w:r w:rsidR="008E6D52">
        <w:rPr>
          <w:lang w:eastAsia="zh-TW"/>
        </w:rPr>
        <w:t>‍</w:t>
      </w:r>
      <w:r w:rsidR="004E630A">
        <w:rPr>
          <w:lang w:eastAsia="zh-TW"/>
        </w:rPr>
        <w:t xml:space="preserve">grammes in </w:t>
      </w:r>
      <w:r w:rsidR="00A22124">
        <w:rPr>
          <w:lang w:eastAsia="zh-TW"/>
        </w:rPr>
        <w:t>2022</w:t>
      </w:r>
      <w:r w:rsidR="004E630A">
        <w:rPr>
          <w:lang w:eastAsia="zh-TW"/>
        </w:rPr>
        <w:t xml:space="preserve"> (heroin); </w:t>
      </w:r>
      <w:r w:rsidR="00B73604">
        <w:rPr>
          <w:lang w:eastAsia="zh-TW"/>
        </w:rPr>
        <w:t xml:space="preserve">from </w:t>
      </w:r>
      <w:r w:rsidR="004E630A">
        <w:rPr>
          <w:lang w:eastAsia="zh-TW"/>
        </w:rPr>
        <w:t xml:space="preserve">1,874,677 grammes in 2021 to 1,178,102 grammes in 2022 (cocaine); </w:t>
      </w:r>
      <w:r w:rsidR="008E0152">
        <w:rPr>
          <w:lang w:eastAsia="zh-TW"/>
        </w:rPr>
        <w:t>but went up</w:t>
      </w:r>
      <w:r w:rsidR="004E630A">
        <w:rPr>
          <w:lang w:eastAsia="zh-TW"/>
        </w:rPr>
        <w:t xml:space="preserve"> </w:t>
      </w:r>
      <w:r w:rsidR="00B73604">
        <w:rPr>
          <w:lang w:eastAsia="zh-TW"/>
        </w:rPr>
        <w:t xml:space="preserve">from </w:t>
      </w:r>
      <w:r w:rsidR="004E630A">
        <w:rPr>
          <w:lang w:eastAsia="zh-TW"/>
        </w:rPr>
        <w:t>685,246 grammes in 2021 to 876,177 grammes in 2022 (</w:t>
      </w:r>
      <w:r w:rsidR="002C7BA5">
        <w:rPr>
          <w:lang w:eastAsia="zh-TW"/>
        </w:rPr>
        <w:t>“</w:t>
      </w:r>
      <w:r w:rsidR="004E630A">
        <w:rPr>
          <w:lang w:eastAsia="zh-TW"/>
        </w:rPr>
        <w:t>Ice</w:t>
      </w:r>
      <w:r w:rsidR="002C7BA5">
        <w:rPr>
          <w:lang w:eastAsia="zh-TW"/>
        </w:rPr>
        <w:t>”</w:t>
      </w:r>
      <w:r w:rsidR="004E630A">
        <w:rPr>
          <w:lang w:eastAsia="zh-TW"/>
        </w:rPr>
        <w:t>)</w:t>
      </w:r>
      <w:r w:rsidR="008E0152">
        <w:rPr>
          <w:lang w:eastAsia="zh-TW"/>
        </w:rPr>
        <w:t>.  However,</w:t>
      </w:r>
      <w:r w:rsidR="004E630A">
        <w:rPr>
          <w:lang w:eastAsia="zh-TW"/>
        </w:rPr>
        <w:t xml:space="preserve"> although </w:t>
      </w:r>
      <w:r w:rsidR="002B56DB">
        <w:rPr>
          <w:lang w:eastAsia="zh-TW"/>
        </w:rPr>
        <w:t>an increase</w:t>
      </w:r>
      <w:r w:rsidR="008E0152">
        <w:rPr>
          <w:lang w:eastAsia="zh-TW"/>
        </w:rPr>
        <w:t xml:space="preserve"> in the latter</w:t>
      </w:r>
      <w:r w:rsidR="002B56DB">
        <w:rPr>
          <w:lang w:eastAsia="zh-TW"/>
        </w:rPr>
        <w:t xml:space="preserve">, </w:t>
      </w:r>
      <w:r w:rsidR="004E630A">
        <w:rPr>
          <w:lang w:eastAsia="zh-TW"/>
        </w:rPr>
        <w:t xml:space="preserve">the number of cases and arrests </w:t>
      </w:r>
      <w:r w:rsidR="008E0152">
        <w:rPr>
          <w:lang w:eastAsia="zh-TW"/>
        </w:rPr>
        <w:t xml:space="preserve">in respect of “Ice” </w:t>
      </w:r>
      <w:r w:rsidR="00B73604">
        <w:rPr>
          <w:lang w:eastAsia="zh-TW"/>
        </w:rPr>
        <w:t xml:space="preserve">in fact </w:t>
      </w:r>
      <w:r w:rsidR="004E630A">
        <w:rPr>
          <w:lang w:eastAsia="zh-TW"/>
        </w:rPr>
        <w:t>fell</w:t>
      </w:r>
      <w:r w:rsidR="00B73604">
        <w:rPr>
          <w:lang w:eastAsia="zh-TW"/>
        </w:rPr>
        <w:t xml:space="preserve"> significantly</w:t>
      </w:r>
      <w:r w:rsidR="004E630A">
        <w:rPr>
          <w:lang w:eastAsia="zh-TW"/>
        </w:rPr>
        <w:t>.</w:t>
      </w:r>
    </w:p>
    <w:p w:rsidR="000E6497" w:rsidRDefault="00B47FD4" w:rsidP="004E630A">
      <w:pPr>
        <w:pStyle w:val="T-Draft"/>
        <w:rPr>
          <w:lang w:eastAsia="zh-TW"/>
        </w:rPr>
      </w:pPr>
      <w:r>
        <w:rPr>
          <w:lang w:eastAsia="zh-TW"/>
        </w:rPr>
        <w:t>The ‘Covid</w:t>
      </w:r>
      <w:r w:rsidR="00085832">
        <w:rPr>
          <w:lang w:eastAsia="zh-TW"/>
        </w:rPr>
        <w:t xml:space="preserve"> years</w:t>
      </w:r>
      <w:r>
        <w:rPr>
          <w:lang w:eastAsia="zh-TW"/>
        </w:rPr>
        <w:t>’</w:t>
      </w:r>
      <w:r w:rsidR="00085832">
        <w:rPr>
          <w:lang w:eastAsia="zh-TW"/>
        </w:rPr>
        <w:t xml:space="preserve"> a</w:t>
      </w:r>
      <w:r w:rsidR="007C3068">
        <w:rPr>
          <w:lang w:eastAsia="zh-TW"/>
        </w:rPr>
        <w:t>side</w:t>
      </w:r>
      <w:r>
        <w:rPr>
          <w:lang w:eastAsia="zh-TW"/>
        </w:rPr>
        <w:t xml:space="preserve">, </w:t>
      </w:r>
      <w:r w:rsidR="00F62DFC">
        <w:rPr>
          <w:lang w:eastAsia="zh-TW"/>
        </w:rPr>
        <w:t>the trends for all three drugs are not the sam</w:t>
      </w:r>
      <w:r w:rsidR="002C7BA5">
        <w:rPr>
          <w:lang w:eastAsia="zh-TW"/>
        </w:rPr>
        <w:t>e.  In terms of detection by</w:t>
      </w:r>
      <w:r w:rsidR="00F62DFC">
        <w:rPr>
          <w:lang w:eastAsia="zh-TW"/>
        </w:rPr>
        <w:t xml:space="preserve"> Customs </w:t>
      </w:r>
      <w:r w:rsidR="007C3068">
        <w:rPr>
          <w:lang w:eastAsia="zh-TW"/>
        </w:rPr>
        <w:t>and</w:t>
      </w:r>
      <w:r w:rsidR="00F62DFC">
        <w:rPr>
          <w:lang w:eastAsia="zh-TW"/>
        </w:rPr>
        <w:t xml:space="preserve"> Excise, the total number of arrests </w:t>
      </w:r>
      <w:r w:rsidR="00BC362E">
        <w:rPr>
          <w:lang w:eastAsia="zh-TW"/>
        </w:rPr>
        <w:t xml:space="preserve">in the decade </w:t>
      </w:r>
      <w:r w:rsidR="00F62DFC">
        <w:rPr>
          <w:lang w:eastAsia="zh-TW"/>
        </w:rPr>
        <w:t>between 2013 and 2023 went down from 99 in 2013 to 51 in 2023 (heroin) and from 212 in 2013 to 68 in 2023 (</w:t>
      </w:r>
      <w:r w:rsidR="002C7BA5">
        <w:rPr>
          <w:lang w:eastAsia="zh-TW"/>
        </w:rPr>
        <w:t>“</w:t>
      </w:r>
      <w:r w:rsidR="00F62DFC">
        <w:rPr>
          <w:lang w:eastAsia="zh-TW"/>
        </w:rPr>
        <w:t>Ice</w:t>
      </w:r>
      <w:r w:rsidR="002C7BA5">
        <w:rPr>
          <w:lang w:eastAsia="zh-TW"/>
        </w:rPr>
        <w:t>”</w:t>
      </w:r>
      <w:r w:rsidR="00F62DFC">
        <w:rPr>
          <w:lang w:eastAsia="zh-TW"/>
        </w:rPr>
        <w:t xml:space="preserve">), but </w:t>
      </w:r>
      <w:r w:rsidR="000E6497">
        <w:rPr>
          <w:lang w:eastAsia="zh-TW"/>
        </w:rPr>
        <w:t xml:space="preserve">rose </w:t>
      </w:r>
      <w:r w:rsidR="00F62DFC">
        <w:rPr>
          <w:lang w:eastAsia="zh-TW"/>
        </w:rPr>
        <w:t xml:space="preserve">from 92 in 2013 to 169 in 2023 (cocaine).  As for the </w:t>
      </w:r>
      <w:r w:rsidR="007C3068">
        <w:rPr>
          <w:lang w:eastAsia="zh-TW"/>
        </w:rPr>
        <w:t>p</w:t>
      </w:r>
      <w:r w:rsidR="00F62DFC">
        <w:rPr>
          <w:lang w:eastAsia="zh-TW"/>
        </w:rPr>
        <w:t xml:space="preserve">olice, the figures all show a rise over the </w:t>
      </w:r>
      <w:r w:rsidR="00BC362E">
        <w:rPr>
          <w:lang w:eastAsia="zh-TW"/>
        </w:rPr>
        <w:t>same</w:t>
      </w:r>
      <w:r w:rsidR="00F62DFC">
        <w:rPr>
          <w:lang w:eastAsia="zh-TW"/>
        </w:rPr>
        <w:t xml:space="preserve"> decade but a reduction in terms of arrests and seized quantit</w:t>
      </w:r>
      <w:r w:rsidR="007C3068">
        <w:rPr>
          <w:lang w:eastAsia="zh-TW"/>
        </w:rPr>
        <w:t>ies in respect of</w:t>
      </w:r>
      <w:r w:rsidR="00F62DFC">
        <w:rPr>
          <w:lang w:eastAsia="zh-TW"/>
        </w:rPr>
        <w:t xml:space="preserve"> </w:t>
      </w:r>
      <w:r w:rsidR="00216208">
        <w:rPr>
          <w:lang w:eastAsia="zh-TW"/>
        </w:rPr>
        <w:t>“</w:t>
      </w:r>
      <w:r w:rsidR="00F62DFC">
        <w:rPr>
          <w:lang w:eastAsia="zh-TW"/>
        </w:rPr>
        <w:t>Ice</w:t>
      </w:r>
      <w:r w:rsidR="00216208">
        <w:rPr>
          <w:lang w:eastAsia="zh-TW"/>
        </w:rPr>
        <w:t>”</w:t>
      </w:r>
      <w:r w:rsidR="00F62DFC">
        <w:rPr>
          <w:lang w:eastAsia="zh-TW"/>
        </w:rPr>
        <w:t xml:space="preserve"> as between 2022 and 2023.</w:t>
      </w:r>
    </w:p>
    <w:p w:rsidR="00BD2E1B" w:rsidRDefault="002B56DB" w:rsidP="004E630A">
      <w:pPr>
        <w:pStyle w:val="T-Draft"/>
        <w:rPr>
          <w:lang w:eastAsia="zh-TW"/>
        </w:rPr>
      </w:pPr>
      <w:r>
        <w:rPr>
          <w:lang w:eastAsia="zh-TW"/>
        </w:rPr>
        <w:t xml:space="preserve">In 2018, </w:t>
      </w:r>
      <w:r w:rsidR="007C3068">
        <w:rPr>
          <w:lang w:eastAsia="zh-TW"/>
        </w:rPr>
        <w:t>it was said</w:t>
      </w:r>
      <w:r w:rsidR="000E6497">
        <w:rPr>
          <w:lang w:eastAsia="zh-TW"/>
        </w:rPr>
        <w:t xml:space="preserve"> in </w:t>
      </w:r>
      <w:r w:rsidR="000E6497" w:rsidRPr="000E6497">
        <w:rPr>
          <w:i/>
          <w:lang w:eastAsia="zh-TW"/>
        </w:rPr>
        <w:t>Kilima Abubakar Abbas</w:t>
      </w:r>
      <w:r w:rsidR="000E6497">
        <w:rPr>
          <w:rStyle w:val="FootnoteReference"/>
          <w:lang w:eastAsia="zh-TW"/>
        </w:rPr>
        <w:footnoteReference w:id="76"/>
      </w:r>
      <w:r w:rsidR="000E6497">
        <w:rPr>
          <w:lang w:eastAsia="zh-TW"/>
        </w:rPr>
        <w:t>:</w:t>
      </w:r>
    </w:p>
    <w:p w:rsidR="000E6497" w:rsidRDefault="000E6497" w:rsidP="008E6D52">
      <w:pPr>
        <w:pStyle w:val="j-quotation"/>
      </w:pPr>
      <w:r>
        <w:t>“The one thing</w:t>
      </w:r>
      <w:r w:rsidR="008E6D52">
        <w:t xml:space="preserve"> </w:t>
      </w:r>
      <w:r w:rsidR="008E6D52" w:rsidRPr="008E6D52">
        <w:t xml:space="preserve">that has struck me, having had to consider in the past few months the trends and statistics for the seizures, arrests and convictions in respect of a wide spectrum of dangerous drugs </w:t>
      </w:r>
      <w:bookmarkStart w:id="1" w:name="_ftnref49"/>
      <w:r w:rsidR="008E6D52">
        <w:t>in Hong Kong since January 2015</w:t>
      </w:r>
      <w:r w:rsidR="008E6D52">
        <w:rPr>
          <w:rStyle w:val="FootnoteReference"/>
        </w:rPr>
        <w:footnoteReference w:id="77"/>
      </w:r>
      <w:hyperlink r:id="rId10" w:anchor="_ftn49" w:history="1"/>
      <w:bookmarkEnd w:id="1"/>
      <w:r w:rsidR="008E6D52" w:rsidRPr="008E6D52">
        <w:t>, is that rather than being swamped by a problem which is out of control, as other countries seem to have been, the problem in Hong Kong is being steadily contained, if not, in certain respects,</w:t>
      </w:r>
      <w:r>
        <w:t xml:space="preserve"> reduced.”</w:t>
      </w:r>
    </w:p>
    <w:p w:rsidR="000E6497" w:rsidRDefault="000E6497" w:rsidP="000E6497">
      <w:pPr>
        <w:pStyle w:val="T-Draft"/>
        <w:numPr>
          <w:ilvl w:val="0"/>
          <w:numId w:val="0"/>
        </w:numPr>
        <w:rPr>
          <w:lang w:eastAsia="zh-TW"/>
        </w:rPr>
      </w:pPr>
      <w:r>
        <w:rPr>
          <w:lang w:eastAsia="zh-TW"/>
        </w:rPr>
        <w:t>We do not see that th</w:t>
      </w:r>
      <w:r w:rsidR="006707C5">
        <w:rPr>
          <w:lang w:eastAsia="zh-TW"/>
        </w:rPr>
        <w:t>is</w:t>
      </w:r>
      <w:r>
        <w:rPr>
          <w:lang w:eastAsia="zh-TW"/>
        </w:rPr>
        <w:t xml:space="preserve"> summary of the position </w:t>
      </w:r>
      <w:r w:rsidR="007C3068">
        <w:rPr>
          <w:lang w:eastAsia="zh-TW"/>
        </w:rPr>
        <w:t>seven</w:t>
      </w:r>
      <w:r w:rsidR="003D3A44">
        <w:rPr>
          <w:lang w:eastAsia="zh-TW"/>
        </w:rPr>
        <w:t xml:space="preserve"> years ago</w:t>
      </w:r>
      <w:r>
        <w:rPr>
          <w:lang w:eastAsia="zh-TW"/>
        </w:rPr>
        <w:t xml:space="preserve"> is </w:t>
      </w:r>
      <w:r w:rsidR="007C513C">
        <w:rPr>
          <w:lang w:eastAsia="zh-TW"/>
        </w:rPr>
        <w:t xml:space="preserve">very </w:t>
      </w:r>
      <w:r>
        <w:rPr>
          <w:lang w:eastAsia="zh-TW"/>
        </w:rPr>
        <w:t>much different</w:t>
      </w:r>
      <w:r w:rsidR="006707C5">
        <w:rPr>
          <w:lang w:eastAsia="zh-TW"/>
        </w:rPr>
        <w:t xml:space="preserve"> from today</w:t>
      </w:r>
      <w:r>
        <w:rPr>
          <w:lang w:eastAsia="zh-TW"/>
        </w:rPr>
        <w:t xml:space="preserve">, except that the figures </w:t>
      </w:r>
      <w:r w:rsidR="00911E06">
        <w:rPr>
          <w:lang w:eastAsia="zh-TW"/>
        </w:rPr>
        <w:t xml:space="preserve">in respect of seizures and arrests </w:t>
      </w:r>
      <w:r>
        <w:rPr>
          <w:lang w:eastAsia="zh-TW"/>
        </w:rPr>
        <w:t>for trafficking in cocaine</w:t>
      </w:r>
      <w:r w:rsidR="00911E06">
        <w:rPr>
          <w:lang w:eastAsia="zh-TW"/>
        </w:rPr>
        <w:t xml:space="preserve"> </w:t>
      </w:r>
      <w:r>
        <w:rPr>
          <w:lang w:eastAsia="zh-TW"/>
        </w:rPr>
        <w:t>have substantially increased since 2018.</w:t>
      </w:r>
      <w:r w:rsidR="006707C5">
        <w:rPr>
          <w:lang w:eastAsia="zh-TW"/>
        </w:rPr>
        <w:t xml:space="preserve">  Certainly, there is no cause for complacency, but </w:t>
      </w:r>
      <w:r w:rsidR="007C513C">
        <w:rPr>
          <w:lang w:eastAsia="zh-TW"/>
        </w:rPr>
        <w:t>the statistics do</w:t>
      </w:r>
      <w:r w:rsidR="006707C5">
        <w:rPr>
          <w:lang w:eastAsia="zh-TW"/>
        </w:rPr>
        <w:t xml:space="preserve"> suggest that Hong Kong’s harsh, but consistent, sentencing </w:t>
      </w:r>
      <w:r w:rsidR="007C513C">
        <w:rPr>
          <w:lang w:eastAsia="zh-TW"/>
        </w:rPr>
        <w:t xml:space="preserve">policy </w:t>
      </w:r>
      <w:r w:rsidR="006707C5">
        <w:rPr>
          <w:lang w:eastAsia="zh-TW"/>
        </w:rPr>
        <w:t xml:space="preserve">for drug </w:t>
      </w:r>
      <w:r w:rsidR="006707C5">
        <w:rPr>
          <w:lang w:eastAsia="zh-TW"/>
        </w:rPr>
        <w:lastRenderedPageBreak/>
        <w:t>trafficking is at least controlling a problem</w:t>
      </w:r>
      <w:r w:rsidR="007C513C">
        <w:rPr>
          <w:lang w:eastAsia="zh-TW"/>
        </w:rPr>
        <w:t>,</w:t>
      </w:r>
      <w:r w:rsidR="006707C5">
        <w:rPr>
          <w:lang w:eastAsia="zh-TW"/>
        </w:rPr>
        <w:t xml:space="preserve"> which </w:t>
      </w:r>
      <w:r w:rsidR="00911E06">
        <w:rPr>
          <w:lang w:eastAsia="zh-TW"/>
        </w:rPr>
        <w:t xml:space="preserve">unfortunately </w:t>
      </w:r>
      <w:r w:rsidR="006707C5">
        <w:rPr>
          <w:lang w:eastAsia="zh-TW"/>
        </w:rPr>
        <w:t>can never be eradicated.</w:t>
      </w:r>
    </w:p>
    <w:p w:rsidR="003E0163" w:rsidRPr="003E0163" w:rsidRDefault="003E0163" w:rsidP="0046009A">
      <w:pPr>
        <w:pStyle w:val="j-heading"/>
        <w:rPr>
          <w:lang w:eastAsia="zh-TW"/>
        </w:rPr>
      </w:pPr>
      <w:r w:rsidRPr="003E0163">
        <w:rPr>
          <w:lang w:eastAsia="zh-TW"/>
        </w:rPr>
        <w:t>New guidelines</w:t>
      </w:r>
    </w:p>
    <w:p w:rsidR="003E0163" w:rsidRDefault="007771F5" w:rsidP="007771F5">
      <w:pPr>
        <w:pStyle w:val="T-Draft"/>
        <w:rPr>
          <w:lang w:eastAsia="zh-TW"/>
        </w:rPr>
      </w:pPr>
      <w:r>
        <w:rPr>
          <w:lang w:eastAsia="zh-TW"/>
        </w:rPr>
        <w:t xml:space="preserve">In light of these considerations, </w:t>
      </w:r>
      <w:r w:rsidR="00657759">
        <w:rPr>
          <w:lang w:eastAsia="zh-TW"/>
        </w:rPr>
        <w:t xml:space="preserve">and in the hope of adjusting and rationalising the guidelines to suit modern conditions, </w:t>
      </w:r>
      <w:r>
        <w:rPr>
          <w:lang w:eastAsia="zh-TW"/>
        </w:rPr>
        <w:t>we</w:t>
      </w:r>
      <w:r w:rsidR="008E0152">
        <w:rPr>
          <w:lang w:eastAsia="zh-TW"/>
        </w:rPr>
        <w:t xml:space="preserve"> have decided to modify</w:t>
      </w:r>
      <w:r>
        <w:rPr>
          <w:lang w:eastAsia="zh-TW"/>
        </w:rPr>
        <w:t xml:space="preserve"> the guidelines for trafficking in heroin and cocaine</w:t>
      </w:r>
      <w:r w:rsidR="00657759">
        <w:rPr>
          <w:lang w:eastAsia="zh-TW"/>
        </w:rPr>
        <w:t xml:space="preserve"> for all quantities</w:t>
      </w:r>
      <w:r w:rsidR="00A34A07">
        <w:rPr>
          <w:lang w:eastAsia="zh-TW"/>
        </w:rPr>
        <w:t>;</w:t>
      </w:r>
      <w:r>
        <w:rPr>
          <w:lang w:eastAsia="zh-TW"/>
        </w:rPr>
        <w:t xml:space="preserve"> and also the guidelines for trafficking in </w:t>
      </w:r>
      <w:r w:rsidR="00216208">
        <w:rPr>
          <w:lang w:eastAsia="zh-TW"/>
        </w:rPr>
        <w:t>“</w:t>
      </w:r>
      <w:r>
        <w:rPr>
          <w:lang w:eastAsia="zh-TW"/>
        </w:rPr>
        <w:t>Ice</w:t>
      </w:r>
      <w:r w:rsidR="00216208">
        <w:rPr>
          <w:lang w:eastAsia="zh-TW"/>
        </w:rPr>
        <w:t>”</w:t>
      </w:r>
      <w:r w:rsidR="00657759">
        <w:rPr>
          <w:lang w:eastAsia="zh-TW"/>
        </w:rPr>
        <w:t xml:space="preserve"> for all quantities</w:t>
      </w:r>
      <w:r>
        <w:rPr>
          <w:lang w:eastAsia="zh-TW"/>
        </w:rPr>
        <w:t xml:space="preserve">.  </w:t>
      </w:r>
    </w:p>
    <w:p w:rsidR="003E0163" w:rsidRPr="003E0163" w:rsidRDefault="003E0163" w:rsidP="0046009A">
      <w:pPr>
        <w:pStyle w:val="j-heading"/>
        <w:rPr>
          <w:lang w:eastAsia="zh-TW"/>
        </w:rPr>
      </w:pPr>
      <w:r w:rsidRPr="003E0163">
        <w:rPr>
          <w:lang w:eastAsia="zh-TW"/>
        </w:rPr>
        <w:t>Heroin and cocaine</w:t>
      </w:r>
    </w:p>
    <w:p w:rsidR="007771F5" w:rsidRDefault="007771F5" w:rsidP="007771F5">
      <w:pPr>
        <w:pStyle w:val="T-Draft"/>
        <w:rPr>
          <w:lang w:eastAsia="zh-TW"/>
        </w:rPr>
      </w:pPr>
      <w:r>
        <w:rPr>
          <w:lang w:eastAsia="zh-TW"/>
        </w:rPr>
        <w:t xml:space="preserve">As from the handing down of this decision, the guidelines for </w:t>
      </w:r>
      <w:r w:rsidR="003D3A44">
        <w:rPr>
          <w:lang w:eastAsia="zh-TW"/>
        </w:rPr>
        <w:t xml:space="preserve">trafficking in </w:t>
      </w:r>
      <w:r>
        <w:rPr>
          <w:lang w:eastAsia="zh-TW"/>
        </w:rPr>
        <w:t xml:space="preserve">heroin and cocaine, which </w:t>
      </w:r>
      <w:r w:rsidR="003D3A44">
        <w:rPr>
          <w:lang w:eastAsia="zh-TW"/>
        </w:rPr>
        <w:t xml:space="preserve">as dangerous drugs </w:t>
      </w:r>
      <w:r>
        <w:rPr>
          <w:lang w:eastAsia="zh-TW"/>
        </w:rPr>
        <w:t>have been treated in the same way in this jurisdiction</w:t>
      </w:r>
      <w:r w:rsidR="003D3A44">
        <w:rPr>
          <w:lang w:eastAsia="zh-TW"/>
        </w:rPr>
        <w:t xml:space="preserve"> since 1994</w:t>
      </w:r>
      <w:r>
        <w:rPr>
          <w:lang w:eastAsia="zh-TW"/>
        </w:rPr>
        <w:t>, as indeed they are under the</w:t>
      </w:r>
      <w:r w:rsidR="003D3A44">
        <w:rPr>
          <w:lang w:eastAsia="zh-TW"/>
        </w:rPr>
        <w:t xml:space="preserve"> current sentencing</w:t>
      </w:r>
      <w:r>
        <w:rPr>
          <w:lang w:eastAsia="zh-TW"/>
        </w:rPr>
        <w:t xml:space="preserve"> regime operating in the United Kingdom, </w:t>
      </w:r>
      <w:r w:rsidR="007C3068">
        <w:rPr>
          <w:lang w:eastAsia="zh-TW"/>
        </w:rPr>
        <w:t>will be as follows after trial</w:t>
      </w:r>
      <w:r>
        <w:rPr>
          <w:lang w:eastAsia="zh-TW"/>
        </w:rPr>
        <w:t>:</w:t>
      </w:r>
    </w:p>
    <w:p w:rsidR="007771F5" w:rsidRDefault="00657759" w:rsidP="0046009A">
      <w:pPr>
        <w:pStyle w:val="T-Draft"/>
        <w:numPr>
          <w:ilvl w:val="0"/>
          <w:numId w:val="21"/>
        </w:numPr>
        <w:ind w:left="1440"/>
        <w:rPr>
          <w:lang w:eastAsia="zh-TW"/>
        </w:rPr>
      </w:pPr>
      <w:r>
        <w:rPr>
          <w:lang w:eastAsia="zh-TW"/>
        </w:rPr>
        <w:t>Up to 10 grammes of narcotic: 2 to 5 years’ imprisonment;</w:t>
      </w:r>
    </w:p>
    <w:p w:rsidR="00657759" w:rsidRDefault="00657759" w:rsidP="0046009A">
      <w:pPr>
        <w:pStyle w:val="T-Draft"/>
        <w:numPr>
          <w:ilvl w:val="0"/>
          <w:numId w:val="21"/>
        </w:numPr>
        <w:ind w:left="1440"/>
        <w:rPr>
          <w:lang w:eastAsia="zh-TW"/>
        </w:rPr>
      </w:pPr>
      <w:r>
        <w:rPr>
          <w:lang w:eastAsia="zh-TW"/>
        </w:rPr>
        <w:t>Between 10 grammes and 50 grammes: 5 to 8 years’ imprisonment;</w:t>
      </w:r>
    </w:p>
    <w:p w:rsidR="00657759" w:rsidRDefault="00657759" w:rsidP="0046009A">
      <w:pPr>
        <w:pStyle w:val="T-Draft"/>
        <w:numPr>
          <w:ilvl w:val="0"/>
          <w:numId w:val="21"/>
        </w:numPr>
        <w:ind w:left="1440"/>
        <w:rPr>
          <w:lang w:eastAsia="zh-TW"/>
        </w:rPr>
      </w:pPr>
      <w:r>
        <w:rPr>
          <w:lang w:eastAsia="zh-TW"/>
        </w:rPr>
        <w:t>Between 50 grammes and 200 grammes: 8 to 12 years’ imprisonment;</w:t>
      </w:r>
    </w:p>
    <w:p w:rsidR="00657759" w:rsidRDefault="00657759" w:rsidP="0046009A">
      <w:pPr>
        <w:pStyle w:val="T-Draft"/>
        <w:numPr>
          <w:ilvl w:val="0"/>
          <w:numId w:val="21"/>
        </w:numPr>
        <w:ind w:left="1440"/>
        <w:rPr>
          <w:lang w:eastAsia="zh-TW"/>
        </w:rPr>
      </w:pPr>
      <w:r>
        <w:rPr>
          <w:lang w:eastAsia="zh-TW"/>
        </w:rPr>
        <w:t>Between 200 grammes and 500 grammes: 12 to 16 years’ imprisonment;</w:t>
      </w:r>
    </w:p>
    <w:p w:rsidR="00657759" w:rsidRDefault="00657759" w:rsidP="0046009A">
      <w:pPr>
        <w:pStyle w:val="T-Draft"/>
        <w:numPr>
          <w:ilvl w:val="0"/>
          <w:numId w:val="21"/>
        </w:numPr>
        <w:ind w:left="1440"/>
        <w:rPr>
          <w:lang w:eastAsia="zh-TW"/>
        </w:rPr>
      </w:pPr>
      <w:r>
        <w:rPr>
          <w:lang w:eastAsia="zh-TW"/>
        </w:rPr>
        <w:t>Between 500 grammes and 1,500 grammes: 16 to 20 years’ imprisonment;</w:t>
      </w:r>
    </w:p>
    <w:p w:rsidR="00657759" w:rsidRDefault="00657759" w:rsidP="0046009A">
      <w:pPr>
        <w:pStyle w:val="T-Draft"/>
        <w:numPr>
          <w:ilvl w:val="0"/>
          <w:numId w:val="21"/>
        </w:numPr>
        <w:ind w:left="1440"/>
        <w:rPr>
          <w:lang w:eastAsia="zh-TW"/>
        </w:rPr>
      </w:pPr>
      <w:r>
        <w:rPr>
          <w:lang w:eastAsia="zh-TW"/>
        </w:rPr>
        <w:lastRenderedPageBreak/>
        <w:t>Between 1,500 grammes and 5,000 grammes: 20 to 24 years’ imprisonment;</w:t>
      </w:r>
    </w:p>
    <w:p w:rsidR="00657759" w:rsidRDefault="00657759" w:rsidP="0046009A">
      <w:pPr>
        <w:pStyle w:val="T-Draft"/>
        <w:numPr>
          <w:ilvl w:val="0"/>
          <w:numId w:val="21"/>
        </w:numPr>
        <w:ind w:left="1440"/>
        <w:rPr>
          <w:lang w:eastAsia="zh-TW"/>
        </w:rPr>
      </w:pPr>
      <w:r>
        <w:rPr>
          <w:lang w:eastAsia="zh-TW"/>
        </w:rPr>
        <w:t>Between 5,000 grammes and 15,000 grammes: 24 to 27 years’ imprisonment;</w:t>
      </w:r>
    </w:p>
    <w:p w:rsidR="00657759" w:rsidRDefault="00657759" w:rsidP="0046009A">
      <w:pPr>
        <w:pStyle w:val="T-Draft"/>
        <w:numPr>
          <w:ilvl w:val="0"/>
          <w:numId w:val="21"/>
        </w:numPr>
        <w:ind w:left="1440"/>
        <w:rPr>
          <w:lang w:eastAsia="zh-TW"/>
        </w:rPr>
      </w:pPr>
      <w:r>
        <w:rPr>
          <w:lang w:eastAsia="zh-TW"/>
        </w:rPr>
        <w:t xml:space="preserve">Between 15,000 </w:t>
      </w:r>
      <w:r w:rsidR="007C3068">
        <w:rPr>
          <w:lang w:eastAsia="zh-TW"/>
        </w:rPr>
        <w:t xml:space="preserve">grammes </w:t>
      </w:r>
      <w:r>
        <w:rPr>
          <w:lang w:eastAsia="zh-TW"/>
        </w:rPr>
        <w:t xml:space="preserve">and 30,000 grammes: 27 to 30 </w:t>
      </w:r>
      <w:r w:rsidR="0040198A">
        <w:rPr>
          <w:rFonts w:eastAsia="PMingLiU"/>
          <w:lang w:eastAsia="zh-TW"/>
        </w:rPr>
        <w:t>‍</w:t>
      </w:r>
      <w:r>
        <w:rPr>
          <w:lang w:eastAsia="zh-TW"/>
        </w:rPr>
        <w:t>years’ imprisonment.</w:t>
      </w:r>
    </w:p>
    <w:p w:rsidR="00657759" w:rsidRDefault="00657759" w:rsidP="00657759">
      <w:pPr>
        <w:pStyle w:val="T-Draft"/>
        <w:numPr>
          <w:ilvl w:val="0"/>
          <w:numId w:val="0"/>
        </w:numPr>
        <w:rPr>
          <w:lang w:eastAsia="zh-TW"/>
        </w:rPr>
      </w:pPr>
      <w:r>
        <w:rPr>
          <w:lang w:eastAsia="zh-TW"/>
        </w:rPr>
        <w:t>Above 30,000 grammes</w:t>
      </w:r>
      <w:r w:rsidR="00FA785D">
        <w:rPr>
          <w:lang w:eastAsia="zh-TW"/>
        </w:rPr>
        <w:t>, sentences</w:t>
      </w:r>
      <w:r>
        <w:rPr>
          <w:lang w:eastAsia="zh-TW"/>
        </w:rPr>
        <w:t xml:space="preserve"> will fall within the discretion of judges bearing in mind the practical and realistic </w:t>
      </w:r>
      <w:r w:rsidR="007C3068">
        <w:rPr>
          <w:lang w:eastAsia="zh-TW"/>
        </w:rPr>
        <w:t>ceiling</w:t>
      </w:r>
      <w:r>
        <w:rPr>
          <w:lang w:eastAsia="zh-TW"/>
        </w:rPr>
        <w:t xml:space="preserve"> of 35 years’ imprisonment</w:t>
      </w:r>
      <w:r w:rsidR="00FA785D">
        <w:rPr>
          <w:lang w:eastAsia="zh-TW"/>
        </w:rPr>
        <w:t xml:space="preserve">, as established in </w:t>
      </w:r>
      <w:r w:rsidR="00FA785D" w:rsidRPr="00FA785D">
        <w:rPr>
          <w:i/>
          <w:lang w:eastAsia="zh-TW"/>
        </w:rPr>
        <w:t>Sum Ka Wa</w:t>
      </w:r>
      <w:r w:rsidR="00FA785D">
        <w:rPr>
          <w:lang w:eastAsia="zh-TW"/>
        </w:rPr>
        <w:t xml:space="preserve">, and the legislative maximum of life imprisonment for cases of truly exceptional </w:t>
      </w:r>
      <w:r w:rsidR="003D3A44">
        <w:rPr>
          <w:lang w:eastAsia="zh-TW"/>
        </w:rPr>
        <w:t>gravity</w:t>
      </w:r>
      <w:r w:rsidR="00FA785D">
        <w:rPr>
          <w:lang w:eastAsia="zh-TW"/>
        </w:rPr>
        <w:t>.</w:t>
      </w:r>
    </w:p>
    <w:p w:rsidR="00FA785D" w:rsidRDefault="00FA785D" w:rsidP="00FA785D">
      <w:pPr>
        <w:pStyle w:val="T-Draft"/>
        <w:rPr>
          <w:lang w:eastAsia="zh-TW"/>
        </w:rPr>
      </w:pPr>
      <w:r>
        <w:rPr>
          <w:lang w:eastAsia="zh-TW"/>
        </w:rPr>
        <w:t>Accordingly, the graph showing the relationship between the quantity of narcotic and the</w:t>
      </w:r>
      <w:r w:rsidR="00B0515F">
        <w:rPr>
          <w:lang w:eastAsia="zh-TW"/>
        </w:rPr>
        <w:t xml:space="preserve"> length</w:t>
      </w:r>
      <w:r>
        <w:rPr>
          <w:lang w:eastAsia="zh-TW"/>
        </w:rPr>
        <w:t xml:space="preserve"> of imprisonment </w:t>
      </w:r>
      <w:r w:rsidR="00216208">
        <w:rPr>
          <w:lang w:eastAsia="zh-TW"/>
        </w:rPr>
        <w:t xml:space="preserve">now </w:t>
      </w:r>
      <w:r>
        <w:rPr>
          <w:lang w:eastAsia="zh-TW"/>
        </w:rPr>
        <w:t>becomes as follows:</w:t>
      </w:r>
    </w:p>
    <w:p w:rsidR="00FA785D" w:rsidRDefault="001D1CB4" w:rsidP="00FA785D">
      <w:pPr>
        <w:pStyle w:val="T-Draft"/>
        <w:numPr>
          <w:ilvl w:val="0"/>
          <w:numId w:val="0"/>
        </w:numPr>
        <w:rPr>
          <w:lang w:eastAsia="zh-TW"/>
        </w:rPr>
      </w:pPr>
      <w:r>
        <w:rPr>
          <w:noProof/>
          <w:lang w:val="en-US"/>
        </w:rPr>
        <w:drawing>
          <wp:inline distT="0" distB="0" distL="0" distR="0" wp14:anchorId="3FF3468A" wp14:editId="5F33851D">
            <wp:extent cx="5274310" cy="3298190"/>
            <wp:effectExtent l="0" t="0" r="2540" b="1651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E0163" w:rsidRPr="003E0163" w:rsidRDefault="003E0163" w:rsidP="0046009A">
      <w:pPr>
        <w:pStyle w:val="j-heading"/>
        <w:rPr>
          <w:lang w:eastAsia="zh-TW"/>
        </w:rPr>
      </w:pPr>
      <w:r w:rsidRPr="003E0163">
        <w:rPr>
          <w:lang w:eastAsia="zh-TW"/>
        </w:rPr>
        <w:lastRenderedPageBreak/>
        <w:t>“Ice”</w:t>
      </w:r>
    </w:p>
    <w:p w:rsidR="00795201" w:rsidRDefault="00FA785D" w:rsidP="00F555B2">
      <w:pPr>
        <w:pStyle w:val="T-Draft"/>
        <w:rPr>
          <w:rFonts w:eastAsia="PMingLiU"/>
          <w:lang w:eastAsia="zh-TW"/>
        </w:rPr>
      </w:pPr>
      <w:r>
        <w:rPr>
          <w:rFonts w:eastAsia="PMingLiU"/>
          <w:lang w:eastAsia="zh-TW"/>
        </w:rPr>
        <w:t xml:space="preserve">In respect of </w:t>
      </w:r>
      <w:r w:rsidR="00216208">
        <w:rPr>
          <w:rFonts w:eastAsia="PMingLiU"/>
          <w:lang w:eastAsia="zh-TW"/>
        </w:rPr>
        <w:t>“</w:t>
      </w:r>
      <w:r>
        <w:rPr>
          <w:rFonts w:eastAsia="PMingLiU"/>
          <w:lang w:eastAsia="zh-TW"/>
        </w:rPr>
        <w:t>Ice</w:t>
      </w:r>
      <w:r w:rsidR="00216208">
        <w:rPr>
          <w:rFonts w:eastAsia="PMingLiU"/>
          <w:lang w:eastAsia="zh-TW"/>
        </w:rPr>
        <w:t>”</w:t>
      </w:r>
      <w:r>
        <w:rPr>
          <w:rFonts w:eastAsia="PMingLiU"/>
          <w:lang w:eastAsia="zh-TW"/>
        </w:rPr>
        <w:t xml:space="preserve">, </w:t>
      </w:r>
      <w:r w:rsidR="00A475CF">
        <w:rPr>
          <w:rFonts w:eastAsia="PMingLiU"/>
          <w:lang w:eastAsia="zh-TW"/>
        </w:rPr>
        <w:t xml:space="preserve">it was recognised in </w:t>
      </w:r>
      <w:r w:rsidR="00A475CF" w:rsidRPr="00A475CF">
        <w:rPr>
          <w:rFonts w:eastAsia="PMingLiU"/>
          <w:i/>
          <w:lang w:eastAsia="zh-TW"/>
        </w:rPr>
        <w:t>Ching Kwok-hung</w:t>
      </w:r>
      <w:r w:rsidR="00A475CF">
        <w:rPr>
          <w:rFonts w:eastAsia="PMingLiU"/>
          <w:lang w:eastAsia="zh-TW"/>
        </w:rPr>
        <w:t xml:space="preserve"> in 1991 that </w:t>
      </w:r>
      <w:r w:rsidR="00216208">
        <w:rPr>
          <w:rFonts w:eastAsia="PMingLiU"/>
          <w:lang w:eastAsia="zh-TW"/>
        </w:rPr>
        <w:t>“</w:t>
      </w:r>
      <w:r w:rsidR="00A475CF">
        <w:rPr>
          <w:rFonts w:eastAsia="PMingLiU"/>
          <w:lang w:eastAsia="zh-TW"/>
        </w:rPr>
        <w:t>Ice</w:t>
      </w:r>
      <w:r w:rsidR="00216208">
        <w:rPr>
          <w:rFonts w:eastAsia="PMingLiU"/>
          <w:lang w:eastAsia="zh-TW"/>
        </w:rPr>
        <w:t>” was “</w:t>
      </w:r>
      <w:r w:rsidR="00A475CF">
        <w:rPr>
          <w:rFonts w:eastAsia="PMingLiU"/>
          <w:lang w:eastAsia="zh-TW"/>
        </w:rPr>
        <w:t>a drug to be taken very seriously indeed.  In ways it is more deleterious to its abusers, and to society in general, than is heroin”</w:t>
      </w:r>
      <w:r w:rsidR="00DF52A8">
        <w:rPr>
          <w:rStyle w:val="FootnoteReference"/>
          <w:rFonts w:eastAsia="PMingLiU"/>
          <w:lang w:eastAsia="zh-TW"/>
        </w:rPr>
        <w:footnoteReference w:id="78"/>
      </w:r>
      <w:r w:rsidR="00A475CF">
        <w:rPr>
          <w:rFonts w:eastAsia="PMingLiU"/>
          <w:lang w:eastAsia="zh-TW"/>
        </w:rPr>
        <w:t>.</w:t>
      </w:r>
      <w:r w:rsidR="00DF52A8">
        <w:rPr>
          <w:rFonts w:eastAsia="PMingLiU"/>
          <w:lang w:eastAsia="zh-TW"/>
        </w:rPr>
        <w:t xml:space="preserve">  In </w:t>
      </w:r>
      <w:r w:rsidR="00DF52A8" w:rsidRPr="00DF52A8">
        <w:rPr>
          <w:rFonts w:eastAsia="PMingLiU"/>
          <w:i/>
          <w:lang w:eastAsia="zh-TW"/>
        </w:rPr>
        <w:t>Tam Yi Chun</w:t>
      </w:r>
      <w:r w:rsidR="00DF52A8">
        <w:rPr>
          <w:rFonts w:eastAsia="PMingLiU"/>
          <w:lang w:eastAsia="zh-TW"/>
        </w:rPr>
        <w:t xml:space="preserve">, the Court in uplifting the guidelines for </w:t>
      </w:r>
      <w:r w:rsidR="005973D3">
        <w:rPr>
          <w:rFonts w:eastAsia="PMingLiU"/>
          <w:lang w:eastAsia="zh-TW"/>
        </w:rPr>
        <w:t>“</w:t>
      </w:r>
      <w:r w:rsidR="00DF52A8">
        <w:rPr>
          <w:rFonts w:eastAsia="PMingLiU"/>
          <w:lang w:eastAsia="zh-TW"/>
        </w:rPr>
        <w:t>Ice</w:t>
      </w:r>
      <w:r w:rsidR="005973D3">
        <w:rPr>
          <w:rFonts w:eastAsia="PMingLiU"/>
          <w:lang w:eastAsia="zh-TW"/>
        </w:rPr>
        <w:t>”</w:t>
      </w:r>
      <w:r w:rsidR="00DF52A8">
        <w:rPr>
          <w:rFonts w:eastAsia="PMingLiU"/>
          <w:lang w:eastAsia="zh-TW"/>
        </w:rPr>
        <w:t xml:space="preserve"> accepted evidence </w:t>
      </w:r>
      <w:r w:rsidR="00EB246E">
        <w:rPr>
          <w:rFonts w:eastAsia="PMingLiU"/>
          <w:lang w:eastAsia="zh-TW"/>
        </w:rPr>
        <w:t xml:space="preserve">from then </w:t>
      </w:r>
      <w:r w:rsidR="00C92561">
        <w:rPr>
          <w:rFonts w:eastAsia="PMingLiU"/>
          <w:lang w:eastAsia="zh-TW"/>
        </w:rPr>
        <w:t>C</w:t>
      </w:r>
      <w:r w:rsidR="00EB246E">
        <w:rPr>
          <w:rFonts w:eastAsia="PMingLiU"/>
          <w:lang w:eastAsia="zh-TW"/>
        </w:rPr>
        <w:t xml:space="preserve">onsultant and </w:t>
      </w:r>
      <w:r w:rsidR="007C3068">
        <w:rPr>
          <w:rFonts w:eastAsia="PMingLiU"/>
          <w:lang w:eastAsia="zh-TW"/>
        </w:rPr>
        <w:t>D</w:t>
      </w:r>
      <w:r w:rsidR="00EB246E">
        <w:rPr>
          <w:rFonts w:eastAsia="PMingLiU"/>
          <w:lang w:eastAsia="zh-TW"/>
        </w:rPr>
        <w:t xml:space="preserve">eputy </w:t>
      </w:r>
      <w:r w:rsidR="00C92561">
        <w:rPr>
          <w:rFonts w:eastAsia="PMingLiU"/>
          <w:lang w:eastAsia="zh-TW"/>
        </w:rPr>
        <w:t>D</w:t>
      </w:r>
      <w:r w:rsidR="00EB246E">
        <w:rPr>
          <w:rFonts w:eastAsia="PMingLiU"/>
          <w:lang w:eastAsia="zh-TW"/>
        </w:rPr>
        <w:t>irector of th</w:t>
      </w:r>
      <w:r w:rsidR="00795201">
        <w:rPr>
          <w:rFonts w:eastAsia="PMingLiU"/>
          <w:lang w:eastAsia="zh-TW"/>
        </w:rPr>
        <w:t xml:space="preserve">e Hong </w:t>
      </w:r>
      <w:r w:rsidR="00A84E14">
        <w:rPr>
          <w:rFonts w:eastAsia="PMingLiU"/>
          <w:lang w:eastAsia="zh-TW"/>
        </w:rPr>
        <w:t>‍</w:t>
      </w:r>
      <w:r w:rsidR="00795201">
        <w:rPr>
          <w:rFonts w:eastAsia="PMingLiU"/>
          <w:lang w:eastAsia="zh-TW"/>
        </w:rPr>
        <w:t>Kong Poison Information C</w:t>
      </w:r>
      <w:r w:rsidR="00EB246E">
        <w:rPr>
          <w:rFonts w:eastAsia="PMingLiU"/>
          <w:lang w:eastAsia="zh-TW"/>
        </w:rPr>
        <w:t xml:space="preserve">entre </w:t>
      </w:r>
      <w:r w:rsidR="00795201">
        <w:rPr>
          <w:rFonts w:eastAsia="PMingLiU"/>
          <w:lang w:eastAsia="zh-TW"/>
        </w:rPr>
        <w:t>of</w:t>
      </w:r>
      <w:r w:rsidR="00EB246E">
        <w:rPr>
          <w:rFonts w:eastAsia="PMingLiU"/>
          <w:lang w:eastAsia="zh-TW"/>
        </w:rPr>
        <w:t xml:space="preserve"> the Hospital Authority</w:t>
      </w:r>
      <w:r w:rsidR="00795201">
        <w:rPr>
          <w:rFonts w:eastAsia="PMingLiU"/>
          <w:lang w:eastAsia="zh-TW"/>
        </w:rPr>
        <w:t xml:space="preserve">, who endorsed much of what had </w:t>
      </w:r>
      <w:r w:rsidR="00B73604">
        <w:rPr>
          <w:rFonts w:eastAsia="PMingLiU"/>
          <w:lang w:eastAsia="zh-TW"/>
        </w:rPr>
        <w:t xml:space="preserve">earlier </w:t>
      </w:r>
      <w:r w:rsidR="00795201">
        <w:rPr>
          <w:rFonts w:eastAsia="PMingLiU"/>
          <w:lang w:eastAsia="zh-TW"/>
        </w:rPr>
        <w:t xml:space="preserve">been said in </w:t>
      </w:r>
      <w:r w:rsidR="00795201" w:rsidRPr="00795201">
        <w:rPr>
          <w:rFonts w:eastAsia="PMingLiU"/>
          <w:i/>
          <w:lang w:eastAsia="zh-TW"/>
        </w:rPr>
        <w:t>Ching Kwok-hung</w:t>
      </w:r>
      <w:r w:rsidR="00795201" w:rsidRPr="00795201">
        <w:rPr>
          <w:rFonts w:eastAsia="PMingLiU"/>
          <w:lang w:eastAsia="zh-TW"/>
        </w:rPr>
        <w:t xml:space="preserve"> </w:t>
      </w:r>
      <w:r w:rsidR="00795201">
        <w:rPr>
          <w:rFonts w:eastAsia="PMingLiU"/>
          <w:lang w:eastAsia="zh-TW"/>
        </w:rPr>
        <w:t>about the properties and danger</w:t>
      </w:r>
      <w:r w:rsidR="00795201" w:rsidRPr="00795201">
        <w:rPr>
          <w:rFonts w:eastAsia="PMingLiU"/>
          <w:lang w:eastAsia="zh-TW"/>
        </w:rPr>
        <w:t xml:space="preserve">s of </w:t>
      </w:r>
      <w:r w:rsidR="00216208">
        <w:rPr>
          <w:rFonts w:eastAsia="PMingLiU"/>
          <w:lang w:eastAsia="zh-TW"/>
        </w:rPr>
        <w:t>“</w:t>
      </w:r>
      <w:r w:rsidR="00795201" w:rsidRPr="00795201">
        <w:rPr>
          <w:rFonts w:eastAsia="PMingLiU"/>
          <w:lang w:eastAsia="zh-TW"/>
        </w:rPr>
        <w:t>Ice</w:t>
      </w:r>
      <w:r w:rsidR="00216208">
        <w:rPr>
          <w:rFonts w:eastAsia="PMingLiU"/>
          <w:lang w:eastAsia="zh-TW"/>
        </w:rPr>
        <w:t>”</w:t>
      </w:r>
      <w:r w:rsidR="00C92561">
        <w:rPr>
          <w:rFonts w:eastAsia="PMingLiU"/>
          <w:lang w:eastAsia="zh-TW"/>
        </w:rPr>
        <w:t>.  The Court continued</w:t>
      </w:r>
      <w:r w:rsidR="00795201">
        <w:rPr>
          <w:rStyle w:val="FootnoteReference"/>
          <w:rFonts w:eastAsia="PMingLiU"/>
          <w:lang w:eastAsia="zh-TW"/>
        </w:rPr>
        <w:footnoteReference w:id="79"/>
      </w:r>
      <w:r w:rsidR="00795201" w:rsidRPr="00795201">
        <w:rPr>
          <w:rFonts w:eastAsia="PMingLiU"/>
          <w:lang w:eastAsia="zh-TW"/>
        </w:rPr>
        <w:t>:</w:t>
      </w:r>
    </w:p>
    <w:p w:rsidR="00773289" w:rsidRPr="00773289" w:rsidRDefault="00795201" w:rsidP="00773289">
      <w:pPr>
        <w:pStyle w:val="j-quotation"/>
        <w:rPr>
          <w:lang w:val="en-US"/>
        </w:rPr>
      </w:pPr>
      <w:r>
        <w:t>“</w:t>
      </w:r>
      <w:r w:rsidR="00773289">
        <w:t>26.</w:t>
      </w:r>
      <w:r w:rsidR="00773289">
        <w:tab/>
        <w:t>…</w:t>
      </w:r>
      <w:r>
        <w:t>It is, he said, usually of very high purity</w:t>
      </w:r>
      <w:r w:rsidR="00773289">
        <w:t xml:space="preserve"> </w:t>
      </w:r>
      <w:r w:rsidR="00773289" w:rsidRPr="00773289">
        <w:rPr>
          <w:lang w:val="en-US"/>
        </w:rPr>
        <w:t xml:space="preserve">and can be used or reused readily. </w:t>
      </w:r>
      <w:r w:rsidR="00773289">
        <w:rPr>
          <w:lang w:val="en-US"/>
        </w:rPr>
        <w:t xml:space="preserve"> </w:t>
      </w:r>
      <w:r w:rsidR="00773289" w:rsidRPr="00773289">
        <w:rPr>
          <w:lang w:val="en-US"/>
        </w:rPr>
        <w:t xml:space="preserve">The average abuse dosage for new or infrequent users of the drug is in the range of 0.05 to 0.1 </w:t>
      </w:r>
      <w:r w:rsidR="001F3081">
        <w:rPr>
          <w:lang w:val="en-US"/>
        </w:rPr>
        <w:t>g</w:t>
      </w:r>
      <w:r w:rsidR="00773289" w:rsidRPr="00773289">
        <w:rPr>
          <w:lang w:val="en-US"/>
        </w:rPr>
        <w:t xml:space="preserve"> per day; whereas, for this group, the average daily consumption of a heroin user is in the range of 0.25 to 0.7 g.</w:t>
      </w:r>
      <w:r w:rsidR="001F3081">
        <w:rPr>
          <w:lang w:val="en-US"/>
        </w:rPr>
        <w:t xml:space="preserve"> </w:t>
      </w:r>
      <w:r w:rsidR="00773289" w:rsidRPr="00773289">
        <w:rPr>
          <w:lang w:val="en-US"/>
        </w:rPr>
        <w:t xml:space="preserve"> </w:t>
      </w:r>
      <w:r w:rsidR="00773289">
        <w:rPr>
          <w:lang w:val="en-US"/>
        </w:rPr>
        <w:t>‘</w:t>
      </w:r>
      <w:r w:rsidR="00773289" w:rsidRPr="00773289">
        <w:rPr>
          <w:lang w:val="en-US"/>
        </w:rPr>
        <w:t>For such new or infrequent users [of ICE],</w:t>
      </w:r>
      <w:r w:rsidR="00773289">
        <w:rPr>
          <w:lang w:val="en-US"/>
        </w:rPr>
        <w:t>’</w:t>
      </w:r>
      <w:r w:rsidR="00773289" w:rsidRPr="00773289">
        <w:rPr>
          <w:lang w:val="en-US"/>
        </w:rPr>
        <w:t xml:space="preserve"> he said, </w:t>
      </w:r>
      <w:r w:rsidR="00773289">
        <w:rPr>
          <w:lang w:val="en-US"/>
        </w:rPr>
        <w:t>‘</w:t>
      </w:r>
      <w:r w:rsidR="00773289" w:rsidRPr="00773289">
        <w:rPr>
          <w:lang w:val="en-US"/>
        </w:rPr>
        <w:t xml:space="preserve">each </w:t>
      </w:r>
      <w:r w:rsidR="00773289">
        <w:rPr>
          <w:lang w:val="en-US"/>
        </w:rPr>
        <w:t>“</w:t>
      </w:r>
      <w:r w:rsidR="00773289" w:rsidRPr="00773289">
        <w:rPr>
          <w:lang w:val="en-US"/>
        </w:rPr>
        <w:t>hit</w:t>
      </w:r>
      <w:r w:rsidR="00773289">
        <w:rPr>
          <w:lang w:val="en-US"/>
        </w:rPr>
        <w:t>”</w:t>
      </w:r>
      <w:r w:rsidR="00773289" w:rsidRPr="00773289">
        <w:rPr>
          <w:lang w:val="en-US"/>
        </w:rPr>
        <w:t xml:space="preserve"> can bring about an effect lasting up to 12 hours and they often purchase half a gram to be shared among them, using a single bottle to smoke the ICE together. </w:t>
      </w:r>
      <w:r w:rsidR="00773289">
        <w:rPr>
          <w:lang w:val="en-US"/>
        </w:rPr>
        <w:t xml:space="preserve"> </w:t>
      </w:r>
      <w:r w:rsidR="00773289" w:rsidRPr="00773289">
        <w:rPr>
          <w:lang w:val="en-US"/>
        </w:rPr>
        <w:t xml:space="preserve">This method of abuse may appeal to them socially and can help to spread the abuse of ICE among peer groups and increase the ease in </w:t>
      </w:r>
      <w:r w:rsidR="00773289">
        <w:rPr>
          <w:lang w:val="en-US"/>
        </w:rPr>
        <w:t>“</w:t>
      </w:r>
      <w:r w:rsidR="00773289" w:rsidRPr="00773289">
        <w:rPr>
          <w:lang w:val="en-US"/>
        </w:rPr>
        <w:t>hooking up</w:t>
      </w:r>
      <w:r w:rsidR="00773289">
        <w:rPr>
          <w:lang w:val="en-US"/>
        </w:rPr>
        <w:t>”</w:t>
      </w:r>
      <w:r w:rsidR="00773289" w:rsidRPr="00773289">
        <w:rPr>
          <w:lang w:val="en-US"/>
        </w:rPr>
        <w:t xml:space="preserve"> new users up to several of them at a time.</w:t>
      </w:r>
      <w:r w:rsidR="00773289">
        <w:rPr>
          <w:lang w:val="en-US"/>
        </w:rPr>
        <w:t xml:space="preserve"> </w:t>
      </w:r>
      <w:r w:rsidR="00773289" w:rsidRPr="00773289">
        <w:rPr>
          <w:lang w:val="en-US"/>
        </w:rPr>
        <w:t xml:space="preserve"> In this regard, ICE, in my opinion, is a drug more dangerous to young people than heroin.</w:t>
      </w:r>
      <w:r w:rsidR="00773289">
        <w:rPr>
          <w:lang w:val="en-US"/>
        </w:rPr>
        <w:t>’</w:t>
      </w:r>
    </w:p>
    <w:p w:rsidR="00795201" w:rsidRPr="00773289" w:rsidRDefault="00773289" w:rsidP="00773289">
      <w:pPr>
        <w:pStyle w:val="j-quotation"/>
        <w:rPr>
          <w:lang w:val="en-US"/>
        </w:rPr>
      </w:pPr>
      <w:bookmarkStart w:id="2" w:name="p27"/>
      <w:r w:rsidRPr="00773289">
        <w:rPr>
          <w:bCs/>
          <w:lang w:val="en-US"/>
        </w:rPr>
        <w:t>27.</w:t>
      </w:r>
      <w:bookmarkEnd w:id="2"/>
      <w:r>
        <w:rPr>
          <w:b/>
          <w:bCs/>
          <w:lang w:val="en-US"/>
        </w:rPr>
        <w:tab/>
      </w:r>
      <w:r w:rsidRPr="00773289">
        <w:rPr>
          <w:lang w:val="en-US"/>
        </w:rPr>
        <w:t xml:space="preserve">As for regular users of ICE, the average daily consumption </w:t>
      </w:r>
      <w:r>
        <w:rPr>
          <w:lang w:val="en-US"/>
        </w:rPr>
        <w:t>is in the range of 0.1 to 0.5 g</w:t>
      </w:r>
      <w:r w:rsidRPr="00773289">
        <w:rPr>
          <w:lang w:val="en-US"/>
        </w:rPr>
        <w:t>; whereas the average daily consumption of a heroin user is</w:t>
      </w:r>
      <w:r>
        <w:rPr>
          <w:lang w:val="en-US"/>
        </w:rPr>
        <w:t xml:space="preserve"> in the range of 0.25 to 0.7 ‍g</w:t>
      </w:r>
      <w:r w:rsidRPr="00773289">
        <w:rPr>
          <w:lang w:val="en-US"/>
        </w:rPr>
        <w:t xml:space="preserve">. </w:t>
      </w:r>
      <w:r>
        <w:rPr>
          <w:lang w:val="en-US"/>
        </w:rPr>
        <w:t xml:space="preserve"> </w:t>
      </w:r>
      <w:r w:rsidRPr="00773289">
        <w:rPr>
          <w:lang w:val="en-US"/>
        </w:rPr>
        <w:t>In that the Court in </w:t>
      </w:r>
      <w:r w:rsidRPr="00773289">
        <w:rPr>
          <w:i/>
          <w:iCs/>
          <w:lang w:val="en-US"/>
        </w:rPr>
        <w:t>Ching Kwok hung </w:t>
      </w:r>
      <w:r w:rsidRPr="00773289">
        <w:rPr>
          <w:lang w:val="en-US"/>
        </w:rPr>
        <w:t xml:space="preserve">said that </w:t>
      </w:r>
      <w:r>
        <w:rPr>
          <w:lang w:val="en-US"/>
        </w:rPr>
        <w:t>‘</w:t>
      </w:r>
      <w:r w:rsidRPr="00773289">
        <w:rPr>
          <w:lang w:val="en-US"/>
        </w:rPr>
        <w:t>an ICE addict needs far less of the substance than does a heroin addict,</w:t>
      </w:r>
      <w:r>
        <w:rPr>
          <w:lang w:val="en-US"/>
        </w:rPr>
        <w:t>’</w:t>
      </w:r>
      <w:r w:rsidRPr="00773289">
        <w:rPr>
          <w:lang w:val="en-US"/>
        </w:rPr>
        <w:t xml:space="preserve"> and that </w:t>
      </w:r>
      <w:r w:rsidR="009D1662">
        <w:rPr>
          <w:lang w:val="en-US"/>
        </w:rPr>
        <w:t>‘</w:t>
      </w:r>
      <w:r w:rsidRPr="00773289">
        <w:rPr>
          <w:lang w:val="en-US"/>
        </w:rPr>
        <w:t>ICE can be used and reused,</w:t>
      </w:r>
      <w:r w:rsidR="009D1662">
        <w:rPr>
          <w:lang w:val="en-US"/>
        </w:rPr>
        <w:t>’</w:t>
      </w:r>
      <w:r w:rsidRPr="00773289">
        <w:rPr>
          <w:lang w:val="en-US"/>
        </w:rPr>
        <w:t xml:space="preserve"> Dr Tse says that if that was the rationale for imposing a heavier sentencing deterrent in respect of ICE (as we see in relation to the lower bands)</w:t>
      </w:r>
      <w:r>
        <w:rPr>
          <w:lang w:val="en-US"/>
        </w:rPr>
        <w:t xml:space="preserve"> it </w:t>
      </w:r>
      <w:r w:rsidR="00A455EB">
        <w:t>remains a valid rationale.”</w:t>
      </w:r>
    </w:p>
    <w:p w:rsidR="00A455EB" w:rsidRDefault="00795201" w:rsidP="00F555B2">
      <w:pPr>
        <w:pStyle w:val="T-Draft"/>
        <w:rPr>
          <w:rFonts w:eastAsia="PMingLiU"/>
          <w:lang w:eastAsia="zh-TW"/>
        </w:rPr>
      </w:pPr>
      <w:r>
        <w:rPr>
          <w:rFonts w:eastAsia="PMingLiU"/>
          <w:lang w:eastAsia="zh-TW"/>
        </w:rPr>
        <w:t xml:space="preserve">The Court </w:t>
      </w:r>
      <w:r w:rsidR="00216208">
        <w:rPr>
          <w:rFonts w:eastAsia="PMingLiU"/>
          <w:lang w:eastAsia="zh-TW"/>
        </w:rPr>
        <w:t>said of</w:t>
      </w:r>
      <w:r w:rsidR="00DF52A8">
        <w:rPr>
          <w:rFonts w:eastAsia="PMingLiU"/>
          <w:lang w:eastAsia="zh-TW"/>
        </w:rPr>
        <w:t xml:space="preserve"> </w:t>
      </w:r>
      <w:r w:rsidR="00216208">
        <w:rPr>
          <w:rFonts w:eastAsia="PMingLiU"/>
          <w:lang w:eastAsia="zh-TW"/>
        </w:rPr>
        <w:t>“</w:t>
      </w:r>
      <w:r w:rsidR="00DF52A8">
        <w:rPr>
          <w:rFonts w:eastAsia="PMingLiU"/>
          <w:lang w:eastAsia="zh-TW"/>
        </w:rPr>
        <w:t>Ice</w:t>
      </w:r>
      <w:r w:rsidR="00216208">
        <w:rPr>
          <w:rFonts w:eastAsia="PMingLiU"/>
          <w:lang w:eastAsia="zh-TW"/>
        </w:rPr>
        <w:t>” that it was “</w:t>
      </w:r>
      <w:r w:rsidR="00DF52A8">
        <w:rPr>
          <w:rFonts w:eastAsia="PMingLiU"/>
          <w:lang w:eastAsia="zh-TW"/>
        </w:rPr>
        <w:t>highly addictive, as addictive as heroin; but it has features in its effect different from heroin and in some respects more alarming and deleterious”</w:t>
      </w:r>
      <w:r w:rsidR="00DF52A8">
        <w:rPr>
          <w:rStyle w:val="FootnoteReference"/>
          <w:rFonts w:eastAsia="PMingLiU"/>
          <w:lang w:eastAsia="zh-TW"/>
        </w:rPr>
        <w:footnoteReference w:id="80"/>
      </w:r>
      <w:r w:rsidR="00DF52A8">
        <w:rPr>
          <w:rFonts w:eastAsia="PMingLiU"/>
          <w:lang w:eastAsia="zh-TW"/>
        </w:rPr>
        <w:t xml:space="preserve">.  In the result, the </w:t>
      </w:r>
      <w:r w:rsidR="00DF52A8">
        <w:rPr>
          <w:rFonts w:eastAsia="PMingLiU"/>
          <w:lang w:eastAsia="zh-TW"/>
        </w:rPr>
        <w:lastRenderedPageBreak/>
        <w:t xml:space="preserve">Court opted to increase the sentences for trafficking in </w:t>
      </w:r>
      <w:r w:rsidR="00EB246E">
        <w:rPr>
          <w:rFonts w:eastAsia="PMingLiU"/>
          <w:lang w:eastAsia="zh-TW"/>
        </w:rPr>
        <w:t xml:space="preserve">quantities below 600 grammes of </w:t>
      </w:r>
      <w:r w:rsidR="00216208">
        <w:rPr>
          <w:rFonts w:eastAsia="PMingLiU"/>
          <w:lang w:eastAsia="zh-TW"/>
        </w:rPr>
        <w:t>“</w:t>
      </w:r>
      <w:r w:rsidR="00EB246E">
        <w:rPr>
          <w:rFonts w:eastAsia="PMingLiU"/>
          <w:lang w:eastAsia="zh-TW"/>
        </w:rPr>
        <w:t>Ice</w:t>
      </w:r>
      <w:r w:rsidR="00216208">
        <w:rPr>
          <w:rFonts w:eastAsia="PMingLiU"/>
          <w:lang w:eastAsia="zh-TW"/>
        </w:rPr>
        <w:t>”</w:t>
      </w:r>
      <w:r w:rsidR="00EB246E">
        <w:rPr>
          <w:rFonts w:eastAsia="PMingLiU"/>
          <w:lang w:eastAsia="zh-TW"/>
        </w:rPr>
        <w:t xml:space="preserve"> but equated</w:t>
      </w:r>
      <w:r w:rsidR="00DF52A8">
        <w:rPr>
          <w:rFonts w:eastAsia="PMingLiU"/>
          <w:lang w:eastAsia="zh-TW"/>
        </w:rPr>
        <w:t xml:space="preserve"> sentences for large quantities above 600 </w:t>
      </w:r>
      <w:r w:rsidR="0046009A">
        <w:rPr>
          <w:rFonts w:eastAsia="PMingLiU"/>
          <w:lang w:eastAsia="zh-TW"/>
        </w:rPr>
        <w:t>‍</w:t>
      </w:r>
      <w:r w:rsidR="00DF52A8">
        <w:rPr>
          <w:rFonts w:eastAsia="PMingLiU"/>
          <w:lang w:eastAsia="zh-TW"/>
        </w:rPr>
        <w:t>grammes</w:t>
      </w:r>
      <w:r w:rsidR="00565D40">
        <w:rPr>
          <w:rFonts w:eastAsia="PMingLiU"/>
          <w:lang w:eastAsia="zh-TW"/>
        </w:rPr>
        <w:t xml:space="preserve"> with heroin and cocaine.  </w:t>
      </w:r>
      <w:r w:rsidR="00B73604">
        <w:rPr>
          <w:rFonts w:eastAsia="PMingLiU"/>
          <w:lang w:eastAsia="zh-TW"/>
        </w:rPr>
        <w:t>Accordingly, i</w:t>
      </w:r>
      <w:r w:rsidR="00A455EB">
        <w:rPr>
          <w:rFonts w:eastAsia="PMingLiU"/>
          <w:lang w:eastAsia="zh-TW"/>
        </w:rPr>
        <w:t>t held</w:t>
      </w:r>
      <w:r w:rsidR="00A455EB">
        <w:rPr>
          <w:rStyle w:val="FootnoteReference"/>
          <w:rFonts w:eastAsia="PMingLiU"/>
          <w:lang w:eastAsia="zh-TW"/>
        </w:rPr>
        <w:footnoteReference w:id="81"/>
      </w:r>
      <w:r w:rsidR="00A455EB">
        <w:rPr>
          <w:rFonts w:eastAsia="PMingLiU"/>
          <w:lang w:eastAsia="zh-TW"/>
        </w:rPr>
        <w:t>:</w:t>
      </w:r>
    </w:p>
    <w:p w:rsidR="00A455EB" w:rsidRDefault="00A455EB" w:rsidP="00773289">
      <w:pPr>
        <w:pStyle w:val="j-quotation"/>
      </w:pPr>
      <w:r>
        <w:t>“The result of this evidence</w:t>
      </w:r>
      <w:r w:rsidR="00773289">
        <w:t xml:space="preserve"> </w:t>
      </w:r>
      <w:r w:rsidR="00773289" w:rsidRPr="00773289">
        <w:t xml:space="preserve">and our acceptance of it, is that there is now no acceptable rationale for a distinction in sentencing for trafficking in large quantities of ICE on the one hand and large quantities of heroin on the other. </w:t>
      </w:r>
      <w:r w:rsidR="00773289">
        <w:t xml:space="preserve"> </w:t>
      </w:r>
      <w:r w:rsidR="00773289" w:rsidRPr="00773289">
        <w:t>Trafficking in large quantities of ICE is, and has for some time since</w:t>
      </w:r>
      <w:r w:rsidR="00773289">
        <w:t xml:space="preserve"> </w:t>
      </w:r>
      <w:r w:rsidR="00773289" w:rsidRPr="00773289">
        <w:rPr>
          <w:i/>
          <w:iCs/>
        </w:rPr>
        <w:t xml:space="preserve">Ching </w:t>
      </w:r>
      <w:r w:rsidR="00773289">
        <w:rPr>
          <w:lang w:val="en-US"/>
        </w:rPr>
        <w:t>‍</w:t>
      </w:r>
      <w:r w:rsidR="00773289" w:rsidRPr="00773289">
        <w:rPr>
          <w:i/>
          <w:iCs/>
        </w:rPr>
        <w:t>Kwok</w:t>
      </w:r>
      <w:r w:rsidR="00773289">
        <w:rPr>
          <w:i/>
          <w:iCs/>
        </w:rPr>
        <w:t xml:space="preserve"> H</w:t>
      </w:r>
      <w:r w:rsidR="00773289" w:rsidRPr="00773289">
        <w:rPr>
          <w:i/>
          <w:iCs/>
        </w:rPr>
        <w:t>ung</w:t>
      </w:r>
      <w:r w:rsidR="00773289">
        <w:rPr>
          <w:i/>
          <w:iCs/>
        </w:rPr>
        <w:t xml:space="preserve"> </w:t>
      </w:r>
      <w:r w:rsidR="00773289" w:rsidRPr="00773289">
        <w:t>become a major problem, a problem not reflected by the 1991</w:t>
      </w:r>
      <w:r w:rsidR="00D91B98">
        <w:t xml:space="preserve"> </w:t>
      </w:r>
      <w:r w:rsidR="00773289" w:rsidRPr="00773289">
        <w:t xml:space="preserve">guidelines. </w:t>
      </w:r>
      <w:r w:rsidR="00773289">
        <w:t xml:space="preserve"> </w:t>
      </w:r>
      <w:r w:rsidR="00773289" w:rsidRPr="00773289">
        <w:t xml:space="preserve">That fact needs now to be reflected in sentencing. </w:t>
      </w:r>
      <w:r w:rsidR="00773289">
        <w:t xml:space="preserve"> </w:t>
      </w:r>
      <w:r w:rsidR="00773289" w:rsidRPr="00773289">
        <w:t xml:space="preserve">On the other hand, there remains good reason for rendering sentences heavier for trafficking in the lesser quantities of ICE than for similar quantities of heroin. </w:t>
      </w:r>
      <w:r w:rsidR="00773289">
        <w:t xml:space="preserve"> </w:t>
      </w:r>
      <w:r w:rsidR="00773289" w:rsidRPr="00773289">
        <w:t>It could be said that the logic for smaller quantities should apply as well to the large quantities, but so stiff are the sentences for very large quantities of heroin that it would be difficult to justify still heavier sentences for large quantities of ICE than those prescribed by</w:t>
      </w:r>
      <w:r>
        <w:t xml:space="preserve"> </w:t>
      </w:r>
      <w:r w:rsidRPr="00773289">
        <w:rPr>
          <w:i/>
        </w:rPr>
        <w:t>Lau Tak Ming</w:t>
      </w:r>
      <w:r>
        <w:t xml:space="preserve"> for heroin.”</w:t>
      </w:r>
    </w:p>
    <w:p w:rsidR="00DF52A8" w:rsidRDefault="00565D40" w:rsidP="00A455EB">
      <w:pPr>
        <w:pStyle w:val="T-Draft"/>
        <w:numPr>
          <w:ilvl w:val="0"/>
          <w:numId w:val="0"/>
        </w:numPr>
        <w:rPr>
          <w:rFonts w:eastAsia="PMingLiU"/>
          <w:lang w:eastAsia="zh-TW"/>
        </w:rPr>
      </w:pPr>
      <w:r>
        <w:rPr>
          <w:rFonts w:eastAsia="PMingLiU"/>
          <w:lang w:eastAsia="zh-TW"/>
        </w:rPr>
        <w:t>We think that approach holds good today</w:t>
      </w:r>
      <w:r w:rsidR="00795201">
        <w:rPr>
          <w:rFonts w:eastAsia="PMingLiU"/>
          <w:lang w:eastAsia="zh-TW"/>
        </w:rPr>
        <w:t>.</w:t>
      </w:r>
    </w:p>
    <w:p w:rsidR="00FA785D" w:rsidRPr="002A0FC4" w:rsidRDefault="002A0FC4" w:rsidP="00C92561">
      <w:pPr>
        <w:pStyle w:val="T-Draft"/>
        <w:rPr>
          <w:rFonts w:eastAsia="PMingLiU"/>
          <w:lang w:eastAsia="zh-TW"/>
        </w:rPr>
      </w:pPr>
      <w:r w:rsidRPr="002A0FC4">
        <w:rPr>
          <w:rFonts w:eastAsia="PMingLiU"/>
          <w:lang w:eastAsia="zh-TW"/>
        </w:rPr>
        <w:t>Accordingly,</w:t>
      </w:r>
      <w:r w:rsidR="00795201" w:rsidRPr="002A0FC4">
        <w:rPr>
          <w:rFonts w:eastAsia="PMingLiU"/>
          <w:lang w:eastAsia="zh-TW"/>
        </w:rPr>
        <w:t xml:space="preserve"> the </w:t>
      </w:r>
      <w:r w:rsidRPr="002A0FC4">
        <w:rPr>
          <w:rFonts w:eastAsia="PMingLiU"/>
          <w:lang w:eastAsia="zh-TW"/>
        </w:rPr>
        <w:t xml:space="preserve">revised guidelines in respect of trafficking in </w:t>
      </w:r>
      <w:r w:rsidR="00216208">
        <w:rPr>
          <w:rFonts w:eastAsia="PMingLiU"/>
          <w:lang w:eastAsia="zh-TW"/>
        </w:rPr>
        <w:t>“</w:t>
      </w:r>
      <w:r w:rsidRPr="002A0FC4">
        <w:rPr>
          <w:rFonts w:eastAsia="PMingLiU"/>
          <w:lang w:eastAsia="zh-TW"/>
        </w:rPr>
        <w:t>Ice</w:t>
      </w:r>
      <w:r w:rsidR="00216208">
        <w:rPr>
          <w:rFonts w:eastAsia="PMingLiU"/>
          <w:lang w:eastAsia="zh-TW"/>
        </w:rPr>
        <w:t>”</w:t>
      </w:r>
      <w:r w:rsidR="007C3068">
        <w:rPr>
          <w:rFonts w:eastAsia="PMingLiU"/>
          <w:lang w:eastAsia="zh-TW"/>
        </w:rPr>
        <w:t xml:space="preserve"> will</w:t>
      </w:r>
      <w:r w:rsidRPr="002A0FC4">
        <w:rPr>
          <w:rFonts w:eastAsia="PMingLiU"/>
          <w:lang w:eastAsia="zh-TW"/>
        </w:rPr>
        <w:t xml:space="preserve"> be</w:t>
      </w:r>
      <w:r w:rsidR="00FA785D" w:rsidRPr="002A0FC4">
        <w:rPr>
          <w:rFonts w:eastAsia="PMingLiU"/>
          <w:lang w:eastAsia="zh-TW"/>
        </w:rPr>
        <w:t xml:space="preserve"> as follows</w:t>
      </w:r>
      <w:r w:rsidR="007C3068">
        <w:rPr>
          <w:rFonts w:eastAsia="PMingLiU"/>
          <w:lang w:eastAsia="zh-TW"/>
        </w:rPr>
        <w:t xml:space="preserve"> after trial</w:t>
      </w:r>
      <w:r w:rsidR="00FA785D" w:rsidRPr="002A0FC4">
        <w:rPr>
          <w:rFonts w:eastAsia="PMingLiU"/>
          <w:lang w:eastAsia="zh-TW"/>
        </w:rPr>
        <w:t>:</w:t>
      </w:r>
    </w:p>
    <w:p w:rsidR="00FA785D" w:rsidRDefault="00FA785D" w:rsidP="00773289">
      <w:pPr>
        <w:pStyle w:val="T-Draft"/>
        <w:numPr>
          <w:ilvl w:val="0"/>
          <w:numId w:val="22"/>
        </w:numPr>
        <w:ind w:left="1440"/>
        <w:rPr>
          <w:rFonts w:eastAsia="PMingLiU"/>
          <w:lang w:eastAsia="zh-TW"/>
        </w:rPr>
      </w:pPr>
      <w:r>
        <w:rPr>
          <w:rFonts w:eastAsia="PMingLiU"/>
          <w:lang w:eastAsia="zh-TW"/>
        </w:rPr>
        <w:t>Up to 10 grammes of narcotic: 3 to 7 years’ imprisonment;</w:t>
      </w:r>
    </w:p>
    <w:p w:rsidR="00FA785D" w:rsidRDefault="00FA785D" w:rsidP="00773289">
      <w:pPr>
        <w:pStyle w:val="T-Draft"/>
        <w:numPr>
          <w:ilvl w:val="0"/>
          <w:numId w:val="22"/>
        </w:numPr>
        <w:ind w:left="1440"/>
        <w:rPr>
          <w:rFonts w:eastAsia="PMingLiU"/>
          <w:lang w:eastAsia="zh-TW"/>
        </w:rPr>
      </w:pPr>
      <w:r>
        <w:rPr>
          <w:rFonts w:eastAsia="PMingLiU"/>
          <w:lang w:eastAsia="zh-TW"/>
        </w:rPr>
        <w:t xml:space="preserve">Between 10 </w:t>
      </w:r>
      <w:r w:rsidR="007C3068">
        <w:rPr>
          <w:rFonts w:eastAsia="PMingLiU"/>
          <w:lang w:eastAsia="zh-TW"/>
        </w:rPr>
        <w:t xml:space="preserve">grammes </w:t>
      </w:r>
      <w:r w:rsidR="004D2DC9">
        <w:rPr>
          <w:rFonts w:eastAsia="PMingLiU"/>
          <w:lang w:eastAsia="zh-TW"/>
        </w:rPr>
        <w:t>and 70 grammes: 7 to 11 years’</w:t>
      </w:r>
      <w:r>
        <w:rPr>
          <w:rFonts w:eastAsia="PMingLiU"/>
          <w:lang w:eastAsia="zh-TW"/>
        </w:rPr>
        <w:t xml:space="preserve"> imprisonment;</w:t>
      </w:r>
    </w:p>
    <w:p w:rsidR="00FA785D" w:rsidRDefault="00FA785D" w:rsidP="00773289">
      <w:pPr>
        <w:pStyle w:val="T-Draft"/>
        <w:numPr>
          <w:ilvl w:val="0"/>
          <w:numId w:val="22"/>
        </w:numPr>
        <w:ind w:left="1440"/>
        <w:rPr>
          <w:rFonts w:eastAsia="PMingLiU"/>
          <w:lang w:eastAsia="zh-TW"/>
        </w:rPr>
      </w:pPr>
      <w:r>
        <w:rPr>
          <w:rFonts w:eastAsia="PMingLiU"/>
          <w:lang w:eastAsia="zh-TW"/>
        </w:rPr>
        <w:t xml:space="preserve">Between 70 </w:t>
      </w:r>
      <w:r w:rsidR="007C3068">
        <w:rPr>
          <w:rFonts w:eastAsia="PMingLiU"/>
          <w:lang w:eastAsia="zh-TW"/>
        </w:rPr>
        <w:t xml:space="preserve">grammes </w:t>
      </w:r>
      <w:r>
        <w:rPr>
          <w:rFonts w:eastAsia="PMingLiU"/>
          <w:lang w:eastAsia="zh-TW"/>
        </w:rPr>
        <w:t>and 300 grammes: 11 to 15 years’ imprisonment;</w:t>
      </w:r>
    </w:p>
    <w:p w:rsidR="00FA785D" w:rsidRDefault="00FA785D" w:rsidP="00773289">
      <w:pPr>
        <w:pStyle w:val="T-Draft"/>
        <w:numPr>
          <w:ilvl w:val="0"/>
          <w:numId w:val="22"/>
        </w:numPr>
        <w:ind w:left="1440"/>
        <w:rPr>
          <w:rFonts w:eastAsia="PMingLiU"/>
          <w:lang w:eastAsia="zh-TW"/>
        </w:rPr>
      </w:pPr>
      <w:r>
        <w:rPr>
          <w:rFonts w:eastAsia="PMingLiU"/>
          <w:lang w:eastAsia="zh-TW"/>
        </w:rPr>
        <w:t>Between 300</w:t>
      </w:r>
      <w:r w:rsidR="005A1F2B">
        <w:rPr>
          <w:rFonts w:eastAsia="PMingLiU"/>
          <w:lang w:eastAsia="zh-TW"/>
        </w:rPr>
        <w:t xml:space="preserve"> </w:t>
      </w:r>
      <w:r w:rsidR="007C3068">
        <w:rPr>
          <w:rFonts w:eastAsia="PMingLiU"/>
          <w:lang w:eastAsia="zh-TW"/>
        </w:rPr>
        <w:t xml:space="preserve">grammes </w:t>
      </w:r>
      <w:r w:rsidR="005A1F2B">
        <w:rPr>
          <w:rFonts w:eastAsia="PMingLiU"/>
          <w:lang w:eastAsia="zh-TW"/>
        </w:rPr>
        <w:t>and 6</w:t>
      </w:r>
      <w:r w:rsidR="004D2DC9">
        <w:rPr>
          <w:rFonts w:eastAsia="PMingLiU"/>
          <w:lang w:eastAsia="zh-TW"/>
        </w:rPr>
        <w:t>00</w:t>
      </w:r>
      <w:r w:rsidR="00C12252">
        <w:rPr>
          <w:rFonts w:eastAsia="PMingLiU"/>
          <w:lang w:eastAsia="zh-TW"/>
        </w:rPr>
        <w:t xml:space="preserve"> grammes: 15 to 18 years’ imprisonment;</w:t>
      </w:r>
    </w:p>
    <w:p w:rsidR="00C12252" w:rsidRDefault="00C12252" w:rsidP="00773289">
      <w:pPr>
        <w:pStyle w:val="T-Draft"/>
        <w:numPr>
          <w:ilvl w:val="0"/>
          <w:numId w:val="22"/>
        </w:numPr>
        <w:ind w:left="1440"/>
        <w:rPr>
          <w:rFonts w:eastAsia="PMingLiU"/>
          <w:lang w:eastAsia="zh-TW"/>
        </w:rPr>
      </w:pPr>
      <w:r>
        <w:rPr>
          <w:rFonts w:eastAsia="PMingLiU"/>
          <w:lang w:eastAsia="zh-TW"/>
        </w:rPr>
        <w:lastRenderedPageBreak/>
        <w:t xml:space="preserve">Between </w:t>
      </w:r>
      <w:r w:rsidR="005A1F2B">
        <w:rPr>
          <w:rFonts w:eastAsia="PMingLiU"/>
          <w:lang w:eastAsia="zh-TW"/>
        </w:rPr>
        <w:t>6</w:t>
      </w:r>
      <w:r>
        <w:rPr>
          <w:rFonts w:eastAsia="PMingLiU"/>
          <w:lang w:eastAsia="zh-TW"/>
        </w:rPr>
        <w:t xml:space="preserve">00 </w:t>
      </w:r>
      <w:r w:rsidR="007C3068">
        <w:rPr>
          <w:rFonts w:eastAsia="PMingLiU"/>
          <w:lang w:eastAsia="zh-TW"/>
        </w:rPr>
        <w:t xml:space="preserve">grammes </w:t>
      </w:r>
      <w:r>
        <w:rPr>
          <w:rFonts w:eastAsia="PMingLiU"/>
          <w:lang w:eastAsia="zh-TW"/>
        </w:rPr>
        <w:t>and 1,</w:t>
      </w:r>
      <w:r w:rsidR="005A1F2B">
        <w:rPr>
          <w:rFonts w:eastAsia="PMingLiU"/>
          <w:lang w:eastAsia="zh-TW"/>
        </w:rPr>
        <w:t>5</w:t>
      </w:r>
      <w:r>
        <w:rPr>
          <w:rFonts w:eastAsia="PMingLiU"/>
          <w:lang w:eastAsia="zh-TW"/>
        </w:rPr>
        <w:t>00 grammes: 18 to 20 years’ imprisonment;</w:t>
      </w:r>
    </w:p>
    <w:p w:rsidR="00C12252" w:rsidRDefault="00C12252" w:rsidP="00773289">
      <w:pPr>
        <w:pStyle w:val="T-Draft"/>
        <w:numPr>
          <w:ilvl w:val="0"/>
          <w:numId w:val="22"/>
        </w:numPr>
        <w:ind w:left="1440"/>
        <w:rPr>
          <w:rFonts w:eastAsia="PMingLiU"/>
          <w:lang w:eastAsia="zh-TW"/>
        </w:rPr>
      </w:pPr>
      <w:r>
        <w:rPr>
          <w:rFonts w:eastAsia="PMingLiU"/>
          <w:lang w:eastAsia="zh-TW"/>
        </w:rPr>
        <w:t>Between 1,</w:t>
      </w:r>
      <w:r w:rsidR="005A1F2B">
        <w:rPr>
          <w:rFonts w:eastAsia="PMingLiU"/>
          <w:lang w:eastAsia="zh-TW"/>
        </w:rPr>
        <w:t>5</w:t>
      </w:r>
      <w:r>
        <w:rPr>
          <w:rFonts w:eastAsia="PMingLiU"/>
          <w:lang w:eastAsia="zh-TW"/>
        </w:rPr>
        <w:t xml:space="preserve">00 </w:t>
      </w:r>
      <w:r w:rsidR="007C3068">
        <w:rPr>
          <w:rFonts w:eastAsia="PMingLiU"/>
          <w:lang w:eastAsia="zh-TW"/>
        </w:rPr>
        <w:t xml:space="preserve">grammes </w:t>
      </w:r>
      <w:r>
        <w:rPr>
          <w:rFonts w:eastAsia="PMingLiU"/>
          <w:lang w:eastAsia="zh-TW"/>
        </w:rPr>
        <w:t>and 5,000 grammes: 20 to 24 years’ imprisonment;</w:t>
      </w:r>
    </w:p>
    <w:p w:rsidR="00C12252" w:rsidRDefault="00C12252" w:rsidP="00773289">
      <w:pPr>
        <w:pStyle w:val="T-Draft"/>
        <w:numPr>
          <w:ilvl w:val="0"/>
          <w:numId w:val="22"/>
        </w:numPr>
        <w:ind w:left="1440"/>
        <w:rPr>
          <w:rFonts w:eastAsia="PMingLiU"/>
          <w:lang w:eastAsia="zh-TW"/>
        </w:rPr>
      </w:pPr>
      <w:r>
        <w:rPr>
          <w:rFonts w:eastAsia="PMingLiU"/>
          <w:lang w:eastAsia="zh-TW"/>
        </w:rPr>
        <w:t xml:space="preserve">Between 5,000 </w:t>
      </w:r>
      <w:r w:rsidR="007C3068">
        <w:rPr>
          <w:rFonts w:eastAsia="PMingLiU"/>
          <w:lang w:eastAsia="zh-TW"/>
        </w:rPr>
        <w:t xml:space="preserve">grammes </w:t>
      </w:r>
      <w:r>
        <w:rPr>
          <w:rFonts w:eastAsia="PMingLiU"/>
          <w:lang w:eastAsia="zh-TW"/>
        </w:rPr>
        <w:t>and 15,000 grammes: 24 to 27 years’ imprisonment;</w:t>
      </w:r>
    </w:p>
    <w:p w:rsidR="00C12252" w:rsidRDefault="00C12252" w:rsidP="00773289">
      <w:pPr>
        <w:pStyle w:val="T-Draft"/>
        <w:numPr>
          <w:ilvl w:val="0"/>
          <w:numId w:val="22"/>
        </w:numPr>
        <w:ind w:left="1440"/>
        <w:rPr>
          <w:rFonts w:eastAsia="PMingLiU"/>
          <w:lang w:eastAsia="zh-TW"/>
        </w:rPr>
      </w:pPr>
      <w:r>
        <w:rPr>
          <w:rFonts w:eastAsia="PMingLiU"/>
          <w:lang w:eastAsia="zh-TW"/>
        </w:rPr>
        <w:t xml:space="preserve">Between 15,000 </w:t>
      </w:r>
      <w:r w:rsidR="007C3068">
        <w:rPr>
          <w:rFonts w:eastAsia="PMingLiU"/>
          <w:lang w:eastAsia="zh-TW"/>
        </w:rPr>
        <w:t xml:space="preserve">grammes </w:t>
      </w:r>
      <w:r>
        <w:rPr>
          <w:rFonts w:eastAsia="PMingLiU"/>
          <w:lang w:eastAsia="zh-TW"/>
        </w:rPr>
        <w:t>and 30,000 grammes: 27 to 30 years’ imprisonment.</w:t>
      </w:r>
    </w:p>
    <w:p w:rsidR="00C12252" w:rsidRDefault="00C12252" w:rsidP="00CD5935">
      <w:pPr>
        <w:pStyle w:val="T-Draft"/>
        <w:numPr>
          <w:ilvl w:val="0"/>
          <w:numId w:val="0"/>
        </w:numPr>
        <w:rPr>
          <w:lang w:eastAsia="zh-TW"/>
        </w:rPr>
      </w:pPr>
      <w:r>
        <w:rPr>
          <w:lang w:eastAsia="zh-TW"/>
        </w:rPr>
        <w:t>Above 30,000 grammes, sentences will similarly fall within the discretion of judges in the same way as for heroin and cocaine.</w:t>
      </w:r>
    </w:p>
    <w:p w:rsidR="00B0515F" w:rsidRDefault="00B0515F" w:rsidP="00B0515F">
      <w:pPr>
        <w:pStyle w:val="T-Draft"/>
        <w:rPr>
          <w:lang w:eastAsia="zh-TW"/>
        </w:rPr>
      </w:pPr>
      <w:r>
        <w:rPr>
          <w:lang w:eastAsia="zh-TW"/>
        </w:rPr>
        <w:t>Accordingly, the graph showing the relationship between the quantity of narcotic and the length of imprisonment will be</w:t>
      </w:r>
      <w:r w:rsidR="00B73604">
        <w:rPr>
          <w:lang w:eastAsia="zh-TW"/>
        </w:rPr>
        <w:t>come</w:t>
      </w:r>
      <w:r>
        <w:rPr>
          <w:lang w:eastAsia="zh-TW"/>
        </w:rPr>
        <w:t xml:space="preserve"> as follows:</w:t>
      </w:r>
    </w:p>
    <w:p w:rsidR="00C12252" w:rsidRDefault="001D1CB4" w:rsidP="00773289">
      <w:pPr>
        <w:pStyle w:val="T-Draft"/>
        <w:numPr>
          <w:ilvl w:val="0"/>
          <w:numId w:val="0"/>
        </w:numPr>
        <w:jc w:val="center"/>
        <w:rPr>
          <w:rFonts w:eastAsia="PMingLiU"/>
          <w:lang w:eastAsia="zh-TW"/>
        </w:rPr>
      </w:pPr>
      <w:r>
        <w:rPr>
          <w:noProof/>
          <w:lang w:val="en-US"/>
        </w:rPr>
        <w:drawing>
          <wp:inline distT="0" distB="0" distL="0" distR="0" wp14:anchorId="5A10785A" wp14:editId="627614CA">
            <wp:extent cx="5274310" cy="3336290"/>
            <wp:effectExtent l="0" t="0" r="2540" b="165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1EDA" w:rsidRDefault="00291EDA" w:rsidP="00291EDA">
      <w:pPr>
        <w:pStyle w:val="T-Draft"/>
        <w:numPr>
          <w:ilvl w:val="0"/>
          <w:numId w:val="0"/>
        </w:numPr>
        <w:rPr>
          <w:rFonts w:eastAsia="PMingLiU"/>
          <w:lang w:eastAsia="zh-TW"/>
        </w:rPr>
      </w:pPr>
      <w:r>
        <w:rPr>
          <w:rFonts w:eastAsia="PMingLiU"/>
          <w:lang w:eastAsia="zh-TW"/>
        </w:rPr>
        <w:lastRenderedPageBreak/>
        <w:t xml:space="preserve">We should </w:t>
      </w:r>
      <w:r w:rsidR="00A333D4">
        <w:rPr>
          <w:rFonts w:eastAsia="PMingLiU"/>
          <w:lang w:eastAsia="zh-TW"/>
        </w:rPr>
        <w:t>make clear</w:t>
      </w:r>
      <w:r>
        <w:rPr>
          <w:rFonts w:eastAsia="PMingLiU"/>
          <w:lang w:eastAsia="zh-TW"/>
        </w:rPr>
        <w:t xml:space="preserve"> that </w:t>
      </w:r>
      <w:r w:rsidR="00925B5C">
        <w:rPr>
          <w:rFonts w:eastAsia="PMingLiU"/>
          <w:lang w:eastAsia="zh-TW"/>
        </w:rPr>
        <w:t>for quantities</w:t>
      </w:r>
      <w:r>
        <w:rPr>
          <w:rFonts w:eastAsia="PMingLiU"/>
          <w:lang w:eastAsia="zh-TW"/>
        </w:rPr>
        <w:t xml:space="preserve"> above 1,500 grammes, we have treated the guidelines in respect of heroin, cocaine and “Ice” as the same because </w:t>
      </w:r>
      <w:r w:rsidR="00A333D4">
        <w:rPr>
          <w:rFonts w:eastAsia="PMingLiU"/>
          <w:lang w:eastAsia="zh-TW"/>
        </w:rPr>
        <w:t>any</w:t>
      </w:r>
      <w:r>
        <w:rPr>
          <w:rFonts w:eastAsia="PMingLiU"/>
          <w:lang w:eastAsia="zh-TW"/>
        </w:rPr>
        <w:t xml:space="preserve"> differences in potency and harm become eclipsed by the sheer </w:t>
      </w:r>
      <w:r w:rsidR="00925B5C">
        <w:rPr>
          <w:rFonts w:eastAsia="PMingLiU"/>
          <w:lang w:eastAsia="zh-TW"/>
        </w:rPr>
        <w:t>size</w:t>
      </w:r>
      <w:r>
        <w:rPr>
          <w:rFonts w:eastAsia="PMingLiU"/>
          <w:lang w:eastAsia="zh-TW"/>
        </w:rPr>
        <w:t xml:space="preserve"> of the quantity.</w:t>
      </w:r>
    </w:p>
    <w:p w:rsidR="00AE33F8" w:rsidRDefault="002A0FC4" w:rsidP="00F555B2">
      <w:pPr>
        <w:pStyle w:val="T-Draft"/>
        <w:rPr>
          <w:rFonts w:eastAsia="PMingLiU"/>
          <w:lang w:eastAsia="zh-TW"/>
        </w:rPr>
      </w:pPr>
      <w:r>
        <w:rPr>
          <w:rFonts w:eastAsia="PMingLiU"/>
          <w:lang w:eastAsia="zh-TW"/>
        </w:rPr>
        <w:t>These revised guidelines</w:t>
      </w:r>
      <w:r w:rsidR="00C92561">
        <w:rPr>
          <w:rFonts w:eastAsia="PMingLiU"/>
          <w:lang w:eastAsia="zh-TW"/>
        </w:rPr>
        <w:t>,</w:t>
      </w:r>
      <w:r>
        <w:rPr>
          <w:rFonts w:eastAsia="PMingLiU"/>
          <w:lang w:eastAsia="zh-TW"/>
        </w:rPr>
        <w:t xml:space="preserve"> </w:t>
      </w:r>
      <w:r w:rsidR="00970749">
        <w:rPr>
          <w:rFonts w:eastAsia="PMingLiU"/>
          <w:lang w:eastAsia="zh-TW"/>
        </w:rPr>
        <w:t xml:space="preserve">in respect of heroin, cocaine and </w:t>
      </w:r>
      <w:r w:rsidR="00216208">
        <w:rPr>
          <w:rFonts w:eastAsia="PMingLiU"/>
          <w:lang w:eastAsia="zh-TW"/>
        </w:rPr>
        <w:t>“</w:t>
      </w:r>
      <w:r w:rsidR="00970749">
        <w:rPr>
          <w:rFonts w:eastAsia="PMingLiU"/>
          <w:lang w:eastAsia="zh-TW"/>
        </w:rPr>
        <w:t>Ice</w:t>
      </w:r>
      <w:r w:rsidR="00216208">
        <w:rPr>
          <w:rFonts w:eastAsia="PMingLiU"/>
          <w:lang w:eastAsia="zh-TW"/>
        </w:rPr>
        <w:t>”</w:t>
      </w:r>
      <w:r w:rsidR="00970749">
        <w:rPr>
          <w:rFonts w:eastAsia="PMingLiU"/>
          <w:lang w:eastAsia="zh-TW"/>
        </w:rPr>
        <w:t xml:space="preserve">, </w:t>
      </w:r>
      <w:r>
        <w:rPr>
          <w:rFonts w:eastAsia="PMingLiU"/>
          <w:lang w:eastAsia="zh-TW"/>
        </w:rPr>
        <w:t xml:space="preserve">will take effect from the handing down of this judgment and must </w:t>
      </w:r>
      <w:r w:rsidR="00C92561">
        <w:rPr>
          <w:rFonts w:eastAsia="PMingLiU"/>
          <w:lang w:eastAsia="zh-TW"/>
        </w:rPr>
        <w:t xml:space="preserve">now </w:t>
      </w:r>
      <w:r>
        <w:rPr>
          <w:rFonts w:eastAsia="PMingLiU"/>
          <w:lang w:eastAsia="zh-TW"/>
        </w:rPr>
        <w:t xml:space="preserve">replace those set out in </w:t>
      </w:r>
      <w:r w:rsidRPr="002A0FC4">
        <w:rPr>
          <w:rFonts w:eastAsia="PMingLiU"/>
          <w:i/>
          <w:lang w:eastAsia="zh-TW"/>
        </w:rPr>
        <w:t>Lau Tak-ming</w:t>
      </w:r>
      <w:r>
        <w:rPr>
          <w:rFonts w:eastAsia="PMingLiU"/>
          <w:lang w:eastAsia="zh-TW"/>
        </w:rPr>
        <w:t xml:space="preserve">, </w:t>
      </w:r>
      <w:r w:rsidRPr="002A0FC4">
        <w:rPr>
          <w:rFonts w:eastAsia="PMingLiU"/>
          <w:i/>
          <w:lang w:eastAsia="zh-TW"/>
        </w:rPr>
        <w:t>Tam Yi Chun</w:t>
      </w:r>
      <w:r>
        <w:rPr>
          <w:rFonts w:eastAsia="PMingLiU"/>
          <w:lang w:eastAsia="zh-TW"/>
        </w:rPr>
        <w:t xml:space="preserve"> and </w:t>
      </w:r>
      <w:r w:rsidRPr="002A0FC4">
        <w:rPr>
          <w:rFonts w:eastAsia="PMingLiU"/>
          <w:i/>
          <w:lang w:eastAsia="zh-TW"/>
        </w:rPr>
        <w:t>Abdallah</w:t>
      </w:r>
      <w:r>
        <w:rPr>
          <w:rFonts w:eastAsia="PMingLiU"/>
          <w:lang w:eastAsia="zh-TW"/>
        </w:rPr>
        <w:t xml:space="preserve">.  Whilst some of the principles enunciated in these three </w:t>
      </w:r>
      <w:r w:rsidR="00970749">
        <w:rPr>
          <w:rFonts w:eastAsia="PMingLiU"/>
          <w:lang w:eastAsia="zh-TW"/>
        </w:rPr>
        <w:t xml:space="preserve">earlier </w:t>
      </w:r>
      <w:r>
        <w:rPr>
          <w:rFonts w:eastAsia="PMingLiU"/>
          <w:lang w:eastAsia="zh-TW"/>
        </w:rPr>
        <w:t xml:space="preserve">authorities remain sound, the quantum of sentence they suggest must now give way to the guidelines </w:t>
      </w:r>
      <w:r w:rsidR="00970749">
        <w:rPr>
          <w:rFonts w:eastAsia="PMingLiU"/>
          <w:lang w:eastAsia="zh-TW"/>
        </w:rPr>
        <w:t xml:space="preserve">and approach </w:t>
      </w:r>
      <w:r>
        <w:rPr>
          <w:rFonts w:eastAsia="PMingLiU"/>
          <w:lang w:eastAsia="zh-TW"/>
        </w:rPr>
        <w:t xml:space="preserve">set out in this judgment.  </w:t>
      </w:r>
      <w:r w:rsidR="00C92561">
        <w:rPr>
          <w:rFonts w:eastAsia="PMingLiU"/>
          <w:lang w:eastAsia="zh-TW"/>
        </w:rPr>
        <w:t xml:space="preserve">We </w:t>
      </w:r>
      <w:r w:rsidR="00B73604">
        <w:rPr>
          <w:rFonts w:eastAsia="PMingLiU"/>
          <w:lang w:eastAsia="zh-TW"/>
        </w:rPr>
        <w:t xml:space="preserve">further </w:t>
      </w:r>
      <w:r w:rsidR="00C92561">
        <w:rPr>
          <w:rFonts w:eastAsia="PMingLiU"/>
          <w:lang w:eastAsia="zh-TW"/>
        </w:rPr>
        <w:t>wish to make clear that</w:t>
      </w:r>
      <w:r w:rsidR="00970749">
        <w:rPr>
          <w:rFonts w:eastAsia="PMingLiU"/>
          <w:lang w:eastAsia="zh-TW"/>
        </w:rPr>
        <w:t xml:space="preserve"> t</w:t>
      </w:r>
      <w:r>
        <w:rPr>
          <w:rFonts w:eastAsia="PMingLiU"/>
          <w:lang w:eastAsia="zh-TW"/>
        </w:rPr>
        <w:t xml:space="preserve">he cases of </w:t>
      </w:r>
      <w:r w:rsidRPr="0024246A">
        <w:rPr>
          <w:rFonts w:eastAsia="PMingLiU"/>
          <w:i/>
          <w:lang w:eastAsia="zh-TW"/>
        </w:rPr>
        <w:t xml:space="preserve">Herry </w:t>
      </w:r>
      <w:r w:rsidR="00773289">
        <w:rPr>
          <w:lang w:val="en-US"/>
        </w:rPr>
        <w:t>‍</w:t>
      </w:r>
      <w:r w:rsidRPr="0024246A">
        <w:rPr>
          <w:rFonts w:eastAsia="PMingLiU"/>
          <w:i/>
          <w:lang w:eastAsia="zh-TW"/>
        </w:rPr>
        <w:t>Jane Yusuph</w:t>
      </w:r>
      <w:r>
        <w:rPr>
          <w:rFonts w:eastAsia="PMingLiU"/>
          <w:lang w:eastAsia="zh-TW"/>
        </w:rPr>
        <w:t xml:space="preserve">, </w:t>
      </w:r>
      <w:r w:rsidRPr="0024246A">
        <w:rPr>
          <w:rFonts w:eastAsia="PMingLiU"/>
          <w:i/>
          <w:lang w:eastAsia="zh-TW"/>
        </w:rPr>
        <w:t>L</w:t>
      </w:r>
      <w:r w:rsidR="006811A7">
        <w:rPr>
          <w:rFonts w:eastAsia="PMingLiU"/>
          <w:i/>
          <w:lang w:eastAsia="zh-TW"/>
        </w:rPr>
        <w:t>ee</w:t>
      </w:r>
      <w:r w:rsidRPr="0024246A">
        <w:rPr>
          <w:rFonts w:eastAsia="PMingLiU"/>
          <w:i/>
          <w:lang w:eastAsia="zh-TW"/>
        </w:rPr>
        <w:t xml:space="preserve"> Ming Ho</w:t>
      </w:r>
      <w:r>
        <w:rPr>
          <w:rFonts w:eastAsia="PMingLiU"/>
          <w:lang w:eastAsia="zh-TW"/>
        </w:rPr>
        <w:t xml:space="preserve">, </w:t>
      </w:r>
      <w:r w:rsidRPr="0024246A">
        <w:rPr>
          <w:rFonts w:eastAsia="PMingLiU"/>
          <w:i/>
          <w:lang w:eastAsia="zh-TW"/>
        </w:rPr>
        <w:t xml:space="preserve">Raman </w:t>
      </w:r>
      <w:r w:rsidR="00131896">
        <w:rPr>
          <w:i/>
          <w:iCs/>
        </w:rPr>
        <w:t>‍</w:t>
      </w:r>
      <w:r w:rsidRPr="0024246A">
        <w:rPr>
          <w:rFonts w:eastAsia="PMingLiU"/>
          <w:i/>
          <w:lang w:eastAsia="zh-TW"/>
        </w:rPr>
        <w:t>Kapusamy</w:t>
      </w:r>
      <w:r>
        <w:rPr>
          <w:rFonts w:eastAsia="PMingLiU"/>
          <w:lang w:eastAsia="zh-TW"/>
        </w:rPr>
        <w:t xml:space="preserve"> and </w:t>
      </w:r>
      <w:r w:rsidRPr="0024246A">
        <w:rPr>
          <w:rFonts w:eastAsia="PMingLiU"/>
          <w:i/>
          <w:lang w:eastAsia="zh-TW"/>
        </w:rPr>
        <w:t>Sum Ka Wa</w:t>
      </w:r>
      <w:r>
        <w:rPr>
          <w:rFonts w:eastAsia="PMingLiU"/>
          <w:lang w:eastAsia="zh-TW"/>
        </w:rPr>
        <w:t xml:space="preserve"> should be read together with this </w:t>
      </w:r>
      <w:r w:rsidR="00B73604">
        <w:rPr>
          <w:rFonts w:eastAsia="PMingLiU"/>
          <w:lang w:eastAsia="zh-TW"/>
        </w:rPr>
        <w:t>decision</w:t>
      </w:r>
      <w:r w:rsidR="0024246A">
        <w:rPr>
          <w:rFonts w:eastAsia="PMingLiU"/>
          <w:lang w:eastAsia="zh-TW"/>
        </w:rPr>
        <w:t xml:space="preserve">.  </w:t>
      </w:r>
      <w:r w:rsidR="00970749">
        <w:rPr>
          <w:rFonts w:eastAsia="PMingLiU"/>
          <w:lang w:eastAsia="zh-TW"/>
        </w:rPr>
        <w:t>All</w:t>
      </w:r>
      <w:r w:rsidR="0024246A">
        <w:rPr>
          <w:rFonts w:eastAsia="PMingLiU"/>
          <w:lang w:eastAsia="zh-TW"/>
        </w:rPr>
        <w:t xml:space="preserve"> five judgments should </w:t>
      </w:r>
      <w:r w:rsidR="001A653E">
        <w:rPr>
          <w:rFonts w:eastAsia="PMingLiU"/>
          <w:lang w:eastAsia="zh-TW"/>
        </w:rPr>
        <w:t xml:space="preserve">fully </w:t>
      </w:r>
      <w:r w:rsidR="00970749">
        <w:rPr>
          <w:rFonts w:eastAsia="PMingLiU"/>
          <w:lang w:eastAsia="zh-TW"/>
        </w:rPr>
        <w:t>equip</w:t>
      </w:r>
      <w:r w:rsidR="0024246A">
        <w:rPr>
          <w:rFonts w:eastAsia="PMingLiU"/>
          <w:lang w:eastAsia="zh-TW"/>
        </w:rPr>
        <w:t xml:space="preserve"> </w:t>
      </w:r>
      <w:r w:rsidR="001A653E">
        <w:rPr>
          <w:rFonts w:eastAsia="PMingLiU"/>
          <w:lang w:eastAsia="zh-TW"/>
        </w:rPr>
        <w:t>courts</w:t>
      </w:r>
      <w:r w:rsidR="0024246A">
        <w:rPr>
          <w:rFonts w:eastAsia="PMingLiU"/>
          <w:lang w:eastAsia="zh-TW"/>
        </w:rPr>
        <w:t xml:space="preserve"> and practitioners</w:t>
      </w:r>
      <w:r w:rsidR="00970749">
        <w:rPr>
          <w:rFonts w:eastAsia="PMingLiU"/>
          <w:lang w:eastAsia="zh-TW"/>
        </w:rPr>
        <w:t xml:space="preserve"> for sentencing in this </w:t>
      </w:r>
      <w:r w:rsidR="00C92561">
        <w:rPr>
          <w:rFonts w:eastAsia="PMingLiU"/>
          <w:lang w:eastAsia="zh-TW"/>
        </w:rPr>
        <w:t xml:space="preserve">important </w:t>
      </w:r>
      <w:r w:rsidR="00970749">
        <w:rPr>
          <w:rFonts w:eastAsia="PMingLiU"/>
          <w:lang w:eastAsia="zh-TW"/>
        </w:rPr>
        <w:t>area of the criminal law</w:t>
      </w:r>
      <w:r w:rsidR="00167812">
        <w:rPr>
          <w:rFonts w:eastAsia="PMingLiU"/>
          <w:lang w:eastAsia="zh-TW"/>
        </w:rPr>
        <w:t xml:space="preserve"> as we enter the second quarter of the 21</w:t>
      </w:r>
      <w:r w:rsidR="00167812" w:rsidRPr="00167812">
        <w:rPr>
          <w:rFonts w:eastAsia="PMingLiU"/>
          <w:vertAlign w:val="superscript"/>
          <w:lang w:eastAsia="zh-TW"/>
        </w:rPr>
        <w:t>st</w:t>
      </w:r>
      <w:r w:rsidR="00167812">
        <w:rPr>
          <w:rFonts w:eastAsia="PMingLiU"/>
          <w:lang w:eastAsia="zh-TW"/>
        </w:rPr>
        <w:t xml:space="preserve"> </w:t>
      </w:r>
      <w:r w:rsidR="00A84E14">
        <w:rPr>
          <w:rFonts w:eastAsia="PMingLiU"/>
          <w:lang w:eastAsia="zh-TW"/>
        </w:rPr>
        <w:t>‍</w:t>
      </w:r>
      <w:r w:rsidR="00167812">
        <w:rPr>
          <w:rFonts w:eastAsia="PMingLiU"/>
          <w:lang w:eastAsia="zh-TW"/>
        </w:rPr>
        <w:t>century</w:t>
      </w:r>
      <w:r w:rsidR="00970749">
        <w:rPr>
          <w:rFonts w:eastAsia="PMingLiU"/>
          <w:lang w:eastAsia="zh-TW"/>
        </w:rPr>
        <w:t>.</w:t>
      </w:r>
    </w:p>
    <w:p w:rsidR="004F43AB" w:rsidRPr="004F43AB" w:rsidRDefault="004F43AB" w:rsidP="0046009A">
      <w:pPr>
        <w:pStyle w:val="j-heading"/>
        <w:rPr>
          <w:lang w:eastAsia="zh-TW"/>
        </w:rPr>
      </w:pPr>
      <w:r w:rsidRPr="004F43AB">
        <w:rPr>
          <w:lang w:eastAsia="zh-TW"/>
        </w:rPr>
        <w:t>The applicant’s sentence</w:t>
      </w:r>
    </w:p>
    <w:p w:rsidR="005F5BA7" w:rsidRDefault="00AE33F8" w:rsidP="00F555B2">
      <w:pPr>
        <w:pStyle w:val="T-Draft"/>
        <w:rPr>
          <w:rFonts w:eastAsia="PMingLiU"/>
          <w:lang w:eastAsia="zh-TW"/>
        </w:rPr>
      </w:pPr>
      <w:r>
        <w:rPr>
          <w:rFonts w:eastAsia="PMingLiU"/>
          <w:lang w:eastAsia="zh-TW"/>
        </w:rPr>
        <w:t xml:space="preserve">If we </w:t>
      </w:r>
      <w:r w:rsidR="00C24735">
        <w:rPr>
          <w:rFonts w:eastAsia="PMingLiU"/>
          <w:lang w:eastAsia="zh-TW"/>
        </w:rPr>
        <w:t xml:space="preserve">were to </w:t>
      </w:r>
      <w:r>
        <w:rPr>
          <w:rFonts w:eastAsia="PMingLiU"/>
          <w:lang w:eastAsia="zh-TW"/>
        </w:rPr>
        <w:t xml:space="preserve">apply these new guidelines </w:t>
      </w:r>
      <w:r w:rsidR="005F5BA7">
        <w:rPr>
          <w:rFonts w:eastAsia="PMingLiU"/>
          <w:lang w:eastAsia="zh-TW"/>
        </w:rPr>
        <w:t>on a purely arithmetical basis</w:t>
      </w:r>
      <w:r w:rsidR="00C24735">
        <w:rPr>
          <w:rFonts w:eastAsia="PMingLiU"/>
          <w:lang w:eastAsia="zh-TW"/>
        </w:rPr>
        <w:t xml:space="preserve"> </w:t>
      </w:r>
      <w:r>
        <w:rPr>
          <w:rFonts w:eastAsia="PMingLiU"/>
          <w:lang w:eastAsia="zh-TW"/>
        </w:rPr>
        <w:t xml:space="preserve">to the </w:t>
      </w:r>
      <w:r w:rsidR="005F5BA7">
        <w:rPr>
          <w:rFonts w:eastAsia="PMingLiU"/>
          <w:lang w:eastAsia="zh-TW"/>
        </w:rPr>
        <w:t>4,470 grammes</w:t>
      </w:r>
      <w:r w:rsidR="00C24735">
        <w:rPr>
          <w:rFonts w:eastAsia="PMingLiU"/>
          <w:lang w:eastAsia="zh-TW"/>
        </w:rPr>
        <w:t xml:space="preserve"> of cocaine </w:t>
      </w:r>
      <w:r w:rsidR="00A34A07">
        <w:rPr>
          <w:rFonts w:eastAsia="PMingLiU"/>
          <w:lang w:eastAsia="zh-TW"/>
        </w:rPr>
        <w:t xml:space="preserve">narcotic </w:t>
      </w:r>
      <w:r w:rsidR="00C24735">
        <w:rPr>
          <w:rFonts w:eastAsia="PMingLiU"/>
          <w:lang w:eastAsia="zh-TW"/>
        </w:rPr>
        <w:t>concerned</w:t>
      </w:r>
      <w:r w:rsidR="00216208">
        <w:rPr>
          <w:rFonts w:eastAsia="PMingLiU"/>
          <w:lang w:eastAsia="zh-TW"/>
        </w:rPr>
        <w:t xml:space="preserve"> in the present case</w:t>
      </w:r>
      <w:r w:rsidR="00C24735">
        <w:rPr>
          <w:rFonts w:eastAsia="PMingLiU"/>
          <w:lang w:eastAsia="zh-TW"/>
        </w:rPr>
        <w:t xml:space="preserve">, the </w:t>
      </w:r>
      <w:r w:rsidR="00216208">
        <w:rPr>
          <w:rFonts w:eastAsia="PMingLiU"/>
          <w:lang w:eastAsia="zh-TW"/>
        </w:rPr>
        <w:t>starting point</w:t>
      </w:r>
      <w:r w:rsidR="00C24735">
        <w:rPr>
          <w:rFonts w:eastAsia="PMingLiU"/>
          <w:lang w:eastAsia="zh-TW"/>
        </w:rPr>
        <w:t xml:space="preserve"> would</w:t>
      </w:r>
      <w:r w:rsidR="005F5BA7">
        <w:rPr>
          <w:rFonts w:eastAsia="PMingLiU"/>
          <w:lang w:eastAsia="zh-TW"/>
        </w:rPr>
        <w:t xml:space="preserve"> be about 2</w:t>
      </w:r>
      <w:r w:rsidR="007423E4">
        <w:rPr>
          <w:rFonts w:eastAsia="PMingLiU"/>
          <w:lang w:eastAsia="zh-TW"/>
        </w:rPr>
        <w:t>3½ years</w:t>
      </w:r>
      <w:r>
        <w:rPr>
          <w:rFonts w:eastAsia="PMingLiU"/>
          <w:lang w:eastAsia="zh-TW"/>
        </w:rPr>
        <w:t>’ imprisonment.</w:t>
      </w:r>
      <w:r w:rsidR="007423E4">
        <w:rPr>
          <w:rFonts w:eastAsia="PMingLiU"/>
          <w:lang w:eastAsia="zh-TW"/>
        </w:rPr>
        <w:t xml:space="preserve">  </w:t>
      </w:r>
      <w:r w:rsidR="005F5BA7">
        <w:rPr>
          <w:rFonts w:eastAsia="PMingLiU"/>
          <w:lang w:eastAsia="zh-TW"/>
        </w:rPr>
        <w:t>However, t</w:t>
      </w:r>
      <w:r w:rsidR="007423E4">
        <w:rPr>
          <w:rFonts w:eastAsia="PMingLiU"/>
          <w:lang w:eastAsia="zh-TW"/>
        </w:rPr>
        <w:t>his was a</w:t>
      </w:r>
      <w:r w:rsidR="001A653E">
        <w:rPr>
          <w:rFonts w:eastAsia="PMingLiU"/>
          <w:lang w:eastAsia="zh-TW"/>
        </w:rPr>
        <w:t>n</w:t>
      </w:r>
      <w:r w:rsidR="007423E4">
        <w:rPr>
          <w:rFonts w:eastAsia="PMingLiU"/>
          <w:lang w:eastAsia="zh-TW"/>
        </w:rPr>
        <w:t xml:space="preserve"> elaborate and well-organised </w:t>
      </w:r>
      <w:r w:rsidR="005F5BA7">
        <w:rPr>
          <w:rFonts w:eastAsia="PMingLiU"/>
          <w:lang w:eastAsia="zh-TW"/>
        </w:rPr>
        <w:t>crime</w:t>
      </w:r>
      <w:r w:rsidR="007423E4">
        <w:rPr>
          <w:rFonts w:eastAsia="PMingLiU"/>
          <w:lang w:eastAsia="zh-TW"/>
        </w:rPr>
        <w:t xml:space="preserve"> to evade the authorities </w:t>
      </w:r>
      <w:r w:rsidR="005F5BA7">
        <w:rPr>
          <w:rFonts w:eastAsia="PMingLiU"/>
          <w:lang w:eastAsia="zh-TW"/>
        </w:rPr>
        <w:t>and</w:t>
      </w:r>
      <w:r w:rsidR="005E1CB7">
        <w:rPr>
          <w:rFonts w:eastAsia="PMingLiU"/>
          <w:lang w:eastAsia="zh-TW"/>
        </w:rPr>
        <w:t xml:space="preserve"> ensure that a very large </w:t>
      </w:r>
      <w:r w:rsidR="00A34A07">
        <w:rPr>
          <w:rFonts w:eastAsia="PMingLiU"/>
          <w:lang w:eastAsia="zh-TW"/>
        </w:rPr>
        <w:t>and valuable quantity</w:t>
      </w:r>
      <w:r w:rsidR="005E1CB7">
        <w:rPr>
          <w:rFonts w:eastAsia="PMingLiU"/>
          <w:lang w:eastAsia="zh-TW"/>
        </w:rPr>
        <w:t xml:space="preserve"> of a</w:t>
      </w:r>
      <w:r w:rsidR="001A653E">
        <w:rPr>
          <w:rFonts w:eastAsia="PMingLiU"/>
          <w:lang w:eastAsia="zh-TW"/>
        </w:rPr>
        <w:t>n extremely</w:t>
      </w:r>
      <w:r w:rsidR="004F43AB">
        <w:rPr>
          <w:rFonts w:eastAsia="PMingLiU"/>
          <w:lang w:eastAsia="zh-TW"/>
        </w:rPr>
        <w:t xml:space="preserve"> serious and insidious</w:t>
      </w:r>
      <w:r w:rsidR="007423E4">
        <w:rPr>
          <w:rFonts w:eastAsia="PMingLiU"/>
          <w:lang w:eastAsia="zh-TW"/>
        </w:rPr>
        <w:t xml:space="preserve"> drug </w:t>
      </w:r>
      <w:r w:rsidR="005E1CB7">
        <w:rPr>
          <w:rFonts w:eastAsia="PMingLiU"/>
          <w:lang w:eastAsia="zh-TW"/>
        </w:rPr>
        <w:t xml:space="preserve">entered </w:t>
      </w:r>
      <w:r w:rsidR="007423E4">
        <w:rPr>
          <w:rFonts w:eastAsia="PMingLiU"/>
          <w:lang w:eastAsia="zh-TW"/>
        </w:rPr>
        <w:t>Hong Kong</w:t>
      </w:r>
      <w:r w:rsidR="005F5BA7">
        <w:rPr>
          <w:rFonts w:eastAsia="PMingLiU"/>
          <w:lang w:eastAsia="zh-TW"/>
        </w:rPr>
        <w:t xml:space="preserve"> across the border</w:t>
      </w:r>
      <w:r w:rsidR="007423E4">
        <w:rPr>
          <w:rFonts w:eastAsia="PMingLiU"/>
          <w:lang w:eastAsia="zh-TW"/>
        </w:rPr>
        <w:t xml:space="preserve"> disguised </w:t>
      </w:r>
      <w:r w:rsidR="005F5BA7">
        <w:rPr>
          <w:rFonts w:eastAsia="PMingLiU"/>
          <w:lang w:eastAsia="zh-TW"/>
        </w:rPr>
        <w:t>as</w:t>
      </w:r>
      <w:r w:rsidR="007423E4">
        <w:rPr>
          <w:rFonts w:eastAsia="PMingLiU"/>
          <w:lang w:eastAsia="zh-TW"/>
        </w:rPr>
        <w:t xml:space="preserve"> innoc</w:t>
      </w:r>
      <w:r w:rsidR="00216208">
        <w:rPr>
          <w:rFonts w:eastAsia="PMingLiU"/>
          <w:lang w:eastAsia="zh-TW"/>
        </w:rPr>
        <w:t xml:space="preserve">uous cans of drink.  </w:t>
      </w:r>
      <w:r w:rsidR="001A653E">
        <w:rPr>
          <w:rFonts w:eastAsia="PMingLiU"/>
          <w:lang w:eastAsia="zh-TW"/>
        </w:rPr>
        <w:t xml:space="preserve">The </w:t>
      </w:r>
      <w:r w:rsidR="00216208">
        <w:rPr>
          <w:rFonts w:eastAsia="PMingLiU"/>
          <w:lang w:eastAsia="zh-TW"/>
        </w:rPr>
        <w:t xml:space="preserve">Customs </w:t>
      </w:r>
      <w:r w:rsidR="001A653E">
        <w:rPr>
          <w:rFonts w:eastAsia="PMingLiU"/>
          <w:lang w:eastAsia="zh-TW"/>
        </w:rPr>
        <w:t>and</w:t>
      </w:r>
      <w:r w:rsidR="007423E4">
        <w:rPr>
          <w:rFonts w:eastAsia="PMingLiU"/>
          <w:lang w:eastAsia="zh-TW"/>
        </w:rPr>
        <w:t xml:space="preserve"> Excise officers </w:t>
      </w:r>
      <w:r w:rsidR="001A653E">
        <w:rPr>
          <w:rFonts w:eastAsia="PMingLiU"/>
          <w:lang w:eastAsia="zh-TW"/>
        </w:rPr>
        <w:t xml:space="preserve">concerned </w:t>
      </w:r>
      <w:r w:rsidR="007423E4">
        <w:rPr>
          <w:rFonts w:eastAsia="PMingLiU"/>
          <w:lang w:eastAsia="zh-TW"/>
        </w:rPr>
        <w:t>are to be compl</w:t>
      </w:r>
      <w:r w:rsidR="00E965FA">
        <w:rPr>
          <w:rFonts w:eastAsia="PMingLiU"/>
          <w:lang w:eastAsia="zh-TW"/>
        </w:rPr>
        <w:t>i</w:t>
      </w:r>
      <w:r w:rsidR="007423E4">
        <w:rPr>
          <w:rFonts w:eastAsia="PMingLiU"/>
          <w:lang w:eastAsia="zh-TW"/>
        </w:rPr>
        <w:t xml:space="preserve">mented for detecting such a significant </w:t>
      </w:r>
      <w:r w:rsidR="00391F50">
        <w:rPr>
          <w:rFonts w:eastAsia="PMingLiU"/>
          <w:lang w:eastAsia="zh-TW"/>
        </w:rPr>
        <w:t xml:space="preserve">and cleverly disguised </w:t>
      </w:r>
      <w:r w:rsidR="007423E4">
        <w:rPr>
          <w:rFonts w:eastAsia="PMingLiU"/>
          <w:lang w:eastAsia="zh-TW"/>
        </w:rPr>
        <w:t xml:space="preserve">shipment of </w:t>
      </w:r>
      <w:r w:rsidR="00E0726E">
        <w:rPr>
          <w:rFonts w:eastAsia="PMingLiU"/>
          <w:lang w:eastAsia="zh-TW"/>
        </w:rPr>
        <w:t>cocaine</w:t>
      </w:r>
      <w:r w:rsidR="00391F50">
        <w:rPr>
          <w:rFonts w:eastAsia="PMingLiU"/>
          <w:lang w:eastAsia="zh-TW"/>
        </w:rPr>
        <w:t xml:space="preserve"> into Hong Kong</w:t>
      </w:r>
      <w:r w:rsidR="007423E4">
        <w:rPr>
          <w:rFonts w:eastAsia="PMingLiU"/>
          <w:lang w:eastAsia="zh-TW"/>
        </w:rPr>
        <w:t xml:space="preserve">.  </w:t>
      </w:r>
    </w:p>
    <w:p w:rsidR="00DD20C8" w:rsidRDefault="007423E4" w:rsidP="00F555B2">
      <w:pPr>
        <w:pStyle w:val="T-Draft"/>
        <w:rPr>
          <w:rFonts w:eastAsia="PMingLiU"/>
          <w:lang w:eastAsia="zh-TW"/>
        </w:rPr>
      </w:pPr>
      <w:r>
        <w:rPr>
          <w:rFonts w:eastAsia="PMingLiU"/>
          <w:lang w:eastAsia="zh-TW"/>
        </w:rPr>
        <w:lastRenderedPageBreak/>
        <w:t>The applicant’s culpability</w:t>
      </w:r>
      <w:r w:rsidR="00AE33F8">
        <w:rPr>
          <w:rFonts w:eastAsia="PMingLiU"/>
          <w:lang w:eastAsia="zh-TW"/>
        </w:rPr>
        <w:t xml:space="preserve"> </w:t>
      </w:r>
      <w:r>
        <w:rPr>
          <w:rFonts w:eastAsia="PMingLiU"/>
          <w:lang w:eastAsia="zh-TW"/>
        </w:rPr>
        <w:t xml:space="preserve">in importing </w:t>
      </w:r>
      <w:r w:rsidR="005F5BA7">
        <w:rPr>
          <w:rFonts w:eastAsia="PMingLiU"/>
          <w:lang w:eastAsia="zh-TW"/>
        </w:rPr>
        <w:t xml:space="preserve">such </w:t>
      </w:r>
      <w:r>
        <w:rPr>
          <w:rFonts w:eastAsia="PMingLiU"/>
          <w:lang w:eastAsia="zh-TW"/>
        </w:rPr>
        <w:t>a large quantity of dangerous drug</w:t>
      </w:r>
      <w:r w:rsidR="00A34A07">
        <w:rPr>
          <w:rFonts w:eastAsia="PMingLiU"/>
          <w:lang w:eastAsia="zh-TW"/>
        </w:rPr>
        <w:t>s</w:t>
      </w:r>
      <w:r>
        <w:rPr>
          <w:rFonts w:eastAsia="PMingLiU"/>
          <w:lang w:eastAsia="zh-TW"/>
        </w:rPr>
        <w:t xml:space="preserve"> </w:t>
      </w:r>
      <w:r w:rsidR="005E1CB7">
        <w:rPr>
          <w:rFonts w:eastAsia="PMingLiU"/>
          <w:lang w:eastAsia="zh-TW"/>
        </w:rPr>
        <w:t>so</w:t>
      </w:r>
      <w:r>
        <w:rPr>
          <w:rFonts w:eastAsia="PMingLiU"/>
          <w:lang w:eastAsia="zh-TW"/>
        </w:rPr>
        <w:t xml:space="preserve"> disguised was </w:t>
      </w:r>
      <w:r w:rsidR="004F43AB">
        <w:rPr>
          <w:rFonts w:eastAsia="PMingLiU"/>
          <w:lang w:eastAsia="zh-TW"/>
        </w:rPr>
        <w:t xml:space="preserve">very </w:t>
      </w:r>
      <w:r>
        <w:rPr>
          <w:rFonts w:eastAsia="PMingLiU"/>
          <w:lang w:eastAsia="zh-TW"/>
        </w:rPr>
        <w:t>serious</w:t>
      </w:r>
      <w:r w:rsidR="005F5BA7">
        <w:rPr>
          <w:rFonts w:eastAsia="PMingLiU"/>
          <w:lang w:eastAsia="zh-TW"/>
        </w:rPr>
        <w:t xml:space="preserve"> indeed</w:t>
      </w:r>
      <w:r w:rsidR="005E1CB7">
        <w:rPr>
          <w:rFonts w:eastAsia="PMingLiU"/>
          <w:lang w:eastAsia="zh-TW"/>
        </w:rPr>
        <w:t>.  Clearly</w:t>
      </w:r>
      <w:r w:rsidR="00391F50">
        <w:rPr>
          <w:rFonts w:eastAsia="PMingLiU"/>
          <w:lang w:eastAsia="zh-TW"/>
        </w:rPr>
        <w:t>, as a matter of common sense,</w:t>
      </w:r>
      <w:r w:rsidR="005E1CB7">
        <w:rPr>
          <w:rFonts w:eastAsia="PMingLiU"/>
          <w:lang w:eastAsia="zh-TW"/>
        </w:rPr>
        <w:t xml:space="preserve"> she </w:t>
      </w:r>
      <w:r w:rsidR="00391F50">
        <w:rPr>
          <w:rFonts w:eastAsia="PMingLiU"/>
          <w:lang w:eastAsia="zh-TW"/>
        </w:rPr>
        <w:t xml:space="preserve">cannot </w:t>
      </w:r>
      <w:r w:rsidR="00E0726E">
        <w:rPr>
          <w:rFonts w:eastAsia="PMingLiU"/>
          <w:lang w:eastAsia="zh-TW"/>
        </w:rPr>
        <w:t xml:space="preserve">have </w:t>
      </w:r>
      <w:r w:rsidR="00391F50">
        <w:rPr>
          <w:rFonts w:eastAsia="PMingLiU"/>
          <w:lang w:eastAsia="zh-TW"/>
        </w:rPr>
        <w:t>be</w:t>
      </w:r>
      <w:r w:rsidR="00E0726E">
        <w:rPr>
          <w:rFonts w:eastAsia="PMingLiU"/>
          <w:lang w:eastAsia="zh-TW"/>
        </w:rPr>
        <w:t>en</w:t>
      </w:r>
      <w:r w:rsidR="005E1CB7">
        <w:rPr>
          <w:rFonts w:eastAsia="PMingLiU"/>
          <w:lang w:eastAsia="zh-TW"/>
        </w:rPr>
        <w:t xml:space="preserve"> far removed from those who organised this elaborate </w:t>
      </w:r>
      <w:r w:rsidR="005F5BA7">
        <w:rPr>
          <w:rFonts w:eastAsia="PMingLiU"/>
          <w:lang w:eastAsia="zh-TW"/>
        </w:rPr>
        <w:t>scheme</w:t>
      </w:r>
      <w:r w:rsidR="004F43AB">
        <w:rPr>
          <w:rFonts w:eastAsia="PMingLiU"/>
          <w:lang w:eastAsia="zh-TW"/>
        </w:rPr>
        <w:t>,</w:t>
      </w:r>
      <w:r w:rsidR="00391F50">
        <w:rPr>
          <w:rFonts w:eastAsia="PMingLiU"/>
          <w:lang w:eastAsia="zh-TW"/>
        </w:rPr>
        <w:t xml:space="preserve"> in which she was to play such a </w:t>
      </w:r>
      <w:r w:rsidR="004F43AB">
        <w:rPr>
          <w:rFonts w:eastAsia="PMingLiU"/>
          <w:lang w:eastAsia="zh-TW"/>
        </w:rPr>
        <w:t xml:space="preserve">pivotal and </w:t>
      </w:r>
      <w:r w:rsidR="00391F50">
        <w:rPr>
          <w:rFonts w:eastAsia="PMingLiU"/>
          <w:lang w:eastAsia="zh-TW"/>
        </w:rPr>
        <w:t>crucial role</w:t>
      </w:r>
      <w:r w:rsidR="00A34A07">
        <w:rPr>
          <w:rFonts w:eastAsia="PMingLiU"/>
          <w:lang w:eastAsia="zh-TW"/>
        </w:rPr>
        <w:t xml:space="preserve"> in bringing cocaine across the border</w:t>
      </w:r>
      <w:r w:rsidR="005E1CB7">
        <w:rPr>
          <w:rFonts w:eastAsia="PMingLiU"/>
          <w:lang w:eastAsia="zh-TW"/>
        </w:rPr>
        <w:t xml:space="preserve">.  </w:t>
      </w:r>
      <w:r w:rsidR="005F5BA7">
        <w:rPr>
          <w:rFonts w:eastAsia="PMingLiU"/>
          <w:lang w:eastAsia="zh-TW"/>
        </w:rPr>
        <w:t>In our judgment, the applicant’s role and culpability in this offence merited an overall</w:t>
      </w:r>
      <w:r w:rsidR="005E1CB7">
        <w:rPr>
          <w:rFonts w:eastAsia="PMingLiU"/>
          <w:lang w:eastAsia="zh-TW"/>
        </w:rPr>
        <w:t xml:space="preserve"> starting point </w:t>
      </w:r>
      <w:r w:rsidR="005F5BA7">
        <w:rPr>
          <w:rFonts w:eastAsia="PMingLiU"/>
          <w:lang w:eastAsia="zh-TW"/>
        </w:rPr>
        <w:t>of</w:t>
      </w:r>
      <w:r w:rsidR="005E1CB7">
        <w:rPr>
          <w:rFonts w:eastAsia="PMingLiU"/>
          <w:lang w:eastAsia="zh-TW"/>
        </w:rPr>
        <w:t xml:space="preserve"> 25½ years</w:t>
      </w:r>
      <w:r w:rsidR="00047411">
        <w:rPr>
          <w:rFonts w:eastAsia="PMingLiU"/>
          <w:lang w:eastAsia="zh-TW"/>
        </w:rPr>
        <w:t>’</w:t>
      </w:r>
      <w:r w:rsidR="005E1CB7">
        <w:rPr>
          <w:rFonts w:eastAsia="PMingLiU"/>
          <w:lang w:eastAsia="zh-TW"/>
        </w:rPr>
        <w:t xml:space="preserve"> imprisonment.  </w:t>
      </w:r>
    </w:p>
    <w:p w:rsidR="005E1CB7" w:rsidRDefault="005E1CB7" w:rsidP="00F555B2">
      <w:pPr>
        <w:pStyle w:val="T-Draft"/>
        <w:rPr>
          <w:rFonts w:eastAsia="PMingLiU"/>
          <w:lang w:eastAsia="zh-TW"/>
        </w:rPr>
      </w:pPr>
      <w:r>
        <w:rPr>
          <w:rFonts w:eastAsia="PMingLiU"/>
          <w:lang w:eastAsia="zh-TW"/>
        </w:rPr>
        <w:t xml:space="preserve">There </w:t>
      </w:r>
      <w:r w:rsidR="009A28CC">
        <w:rPr>
          <w:rFonts w:eastAsia="PMingLiU"/>
          <w:lang w:eastAsia="zh-TW"/>
        </w:rPr>
        <w:t>wa</w:t>
      </w:r>
      <w:r>
        <w:rPr>
          <w:rFonts w:eastAsia="PMingLiU"/>
          <w:lang w:eastAsia="zh-TW"/>
        </w:rPr>
        <w:t xml:space="preserve">s no discernible personal mitigation capable of reducing such a sentence after trial: the applicant knew exactly what she was doing and </w:t>
      </w:r>
      <w:r w:rsidR="005F5BA7">
        <w:rPr>
          <w:rFonts w:eastAsia="PMingLiU"/>
          <w:lang w:eastAsia="zh-TW"/>
        </w:rPr>
        <w:t xml:space="preserve">fully </w:t>
      </w:r>
      <w:r>
        <w:rPr>
          <w:rFonts w:eastAsia="PMingLiU"/>
          <w:lang w:eastAsia="zh-TW"/>
        </w:rPr>
        <w:t xml:space="preserve">played her part in </w:t>
      </w:r>
      <w:r w:rsidR="009A28CC">
        <w:rPr>
          <w:rFonts w:eastAsia="PMingLiU"/>
          <w:lang w:eastAsia="zh-TW"/>
        </w:rPr>
        <w:t>an</w:t>
      </w:r>
      <w:r>
        <w:rPr>
          <w:rFonts w:eastAsia="PMingLiU"/>
          <w:lang w:eastAsia="zh-TW"/>
        </w:rPr>
        <w:t xml:space="preserve"> elaborate </w:t>
      </w:r>
      <w:r w:rsidR="00391F50">
        <w:rPr>
          <w:rFonts w:eastAsia="PMingLiU"/>
          <w:lang w:eastAsia="zh-TW"/>
        </w:rPr>
        <w:t xml:space="preserve">and highly organised </w:t>
      </w:r>
      <w:r>
        <w:rPr>
          <w:rFonts w:eastAsia="PMingLiU"/>
          <w:lang w:eastAsia="zh-TW"/>
        </w:rPr>
        <w:t>charade</w:t>
      </w:r>
      <w:r w:rsidR="00E0726E">
        <w:rPr>
          <w:rFonts w:eastAsia="PMingLiU"/>
          <w:lang w:eastAsia="zh-TW"/>
        </w:rPr>
        <w:t>, which aimed to</w:t>
      </w:r>
      <w:r>
        <w:rPr>
          <w:rFonts w:eastAsia="PMingLiU"/>
          <w:lang w:eastAsia="zh-TW"/>
        </w:rPr>
        <w:t xml:space="preserve"> </w:t>
      </w:r>
      <w:r w:rsidR="005F5BA7">
        <w:rPr>
          <w:rFonts w:eastAsia="PMingLiU"/>
          <w:lang w:eastAsia="zh-TW"/>
        </w:rPr>
        <w:t>put</w:t>
      </w:r>
      <w:r>
        <w:rPr>
          <w:rFonts w:eastAsia="PMingLiU"/>
          <w:lang w:eastAsia="zh-TW"/>
        </w:rPr>
        <w:t xml:space="preserve"> more than 4 </w:t>
      </w:r>
      <w:r w:rsidR="003E7500">
        <w:rPr>
          <w:rFonts w:eastAsia="PMingLiU"/>
          <w:lang w:eastAsia="zh-TW"/>
        </w:rPr>
        <w:t>‍</w:t>
      </w:r>
      <w:r w:rsidR="00E0726E">
        <w:rPr>
          <w:rFonts w:eastAsia="PMingLiU"/>
          <w:lang w:eastAsia="zh-TW"/>
        </w:rPr>
        <w:t>kilogrammes of cocaine</w:t>
      </w:r>
      <w:r w:rsidR="00A34A07">
        <w:rPr>
          <w:rFonts w:eastAsia="PMingLiU"/>
          <w:lang w:eastAsia="zh-TW"/>
        </w:rPr>
        <w:t xml:space="preserve"> worth </w:t>
      </w:r>
      <w:r w:rsidR="00E965FA">
        <w:rPr>
          <w:rFonts w:eastAsia="PMingLiU"/>
          <w:lang w:eastAsia="zh-TW"/>
        </w:rPr>
        <w:t>over</w:t>
      </w:r>
      <w:r w:rsidR="00A34A07">
        <w:rPr>
          <w:rFonts w:eastAsia="PMingLiU"/>
          <w:lang w:eastAsia="zh-TW"/>
        </w:rPr>
        <w:t xml:space="preserve"> HK$4.8 million</w:t>
      </w:r>
      <w:r w:rsidR="00E0726E">
        <w:rPr>
          <w:rFonts w:eastAsia="PMingLiU"/>
          <w:lang w:eastAsia="zh-TW"/>
        </w:rPr>
        <w:t xml:space="preserve"> on</w:t>
      </w:r>
      <w:r w:rsidR="009A28CC">
        <w:rPr>
          <w:rFonts w:eastAsia="PMingLiU"/>
          <w:lang w:eastAsia="zh-TW"/>
        </w:rPr>
        <w:t>to</w:t>
      </w:r>
      <w:r>
        <w:rPr>
          <w:rFonts w:eastAsia="PMingLiU"/>
          <w:lang w:eastAsia="zh-TW"/>
        </w:rPr>
        <w:t xml:space="preserve"> the streets of Hong Kong.</w:t>
      </w:r>
      <w:r w:rsidR="00216208">
        <w:rPr>
          <w:rFonts w:eastAsia="PMingLiU"/>
          <w:lang w:eastAsia="zh-TW"/>
        </w:rPr>
        <w:t xml:space="preserve">  We are not able to agree with Mr Bruce’s submission that “foreign” drug traffickers can use the fact that they will have to serve their sentences in a</w:t>
      </w:r>
      <w:r w:rsidR="00A34A07">
        <w:rPr>
          <w:rFonts w:eastAsia="PMingLiU"/>
          <w:lang w:eastAsia="zh-TW"/>
        </w:rPr>
        <w:t>n alien</w:t>
      </w:r>
      <w:r w:rsidR="00216208">
        <w:rPr>
          <w:rFonts w:eastAsia="PMingLiU"/>
          <w:lang w:eastAsia="zh-TW"/>
        </w:rPr>
        <w:t xml:space="preserve"> jurisdiction</w:t>
      </w:r>
      <w:r>
        <w:rPr>
          <w:rFonts w:eastAsia="PMingLiU"/>
          <w:lang w:eastAsia="zh-TW"/>
        </w:rPr>
        <w:t xml:space="preserve"> </w:t>
      </w:r>
      <w:r w:rsidR="00216208">
        <w:rPr>
          <w:rFonts w:eastAsia="PMingLiU"/>
          <w:lang w:eastAsia="zh-TW"/>
        </w:rPr>
        <w:t>as a mitigating factor</w:t>
      </w:r>
      <w:r w:rsidR="00DD20C8">
        <w:rPr>
          <w:rFonts w:eastAsia="PMingLiU"/>
          <w:lang w:eastAsia="zh-TW"/>
        </w:rPr>
        <w:t>.  It has long been the position in Hong Kong that those who enter this jurisdiction in order to break the law will not be treated any differently, and certainly not more leniently, tha</w:t>
      </w:r>
      <w:r w:rsidR="009A28CC">
        <w:rPr>
          <w:rFonts w:eastAsia="PMingLiU"/>
          <w:lang w:eastAsia="zh-TW"/>
        </w:rPr>
        <w:t>n</w:t>
      </w:r>
      <w:r w:rsidR="00DD20C8">
        <w:rPr>
          <w:rFonts w:eastAsia="PMingLiU"/>
          <w:lang w:eastAsia="zh-TW"/>
        </w:rPr>
        <w:t xml:space="preserve"> those who normally reside here</w:t>
      </w:r>
      <w:r w:rsidR="009A28CC">
        <w:rPr>
          <w:rFonts w:eastAsia="PMingLiU"/>
          <w:lang w:eastAsia="zh-TW"/>
        </w:rPr>
        <w:t>, whatever the particular difficulties and deprivations they will face in a foreign prison</w:t>
      </w:r>
      <w:r w:rsidR="00DD20C8">
        <w:rPr>
          <w:rFonts w:eastAsia="PMingLiU"/>
          <w:lang w:eastAsia="zh-TW"/>
        </w:rPr>
        <w:t xml:space="preserve">: see </w:t>
      </w:r>
      <w:r w:rsidR="00DD20C8" w:rsidRPr="00DD20C8">
        <w:rPr>
          <w:rFonts w:eastAsia="PMingLiU"/>
          <w:i/>
          <w:lang w:eastAsia="zh-TW"/>
        </w:rPr>
        <w:t>HKSAR v Hong Chang Chi</w:t>
      </w:r>
      <w:r w:rsidR="00DD20C8">
        <w:rPr>
          <w:rStyle w:val="FootnoteReference"/>
          <w:rFonts w:eastAsia="PMingLiU"/>
          <w:lang w:eastAsia="zh-TW"/>
        </w:rPr>
        <w:footnoteReference w:id="82"/>
      </w:r>
      <w:r w:rsidR="00DD20C8">
        <w:rPr>
          <w:rFonts w:eastAsia="PMingLiU"/>
          <w:lang w:eastAsia="zh-TW"/>
        </w:rPr>
        <w:t>.</w:t>
      </w:r>
      <w:r>
        <w:rPr>
          <w:rFonts w:eastAsia="PMingLiU"/>
          <w:lang w:eastAsia="zh-TW"/>
        </w:rPr>
        <w:t xml:space="preserve"> </w:t>
      </w:r>
    </w:p>
    <w:p w:rsidR="002A0FC4" w:rsidRDefault="005E1CB7" w:rsidP="00F555B2">
      <w:pPr>
        <w:pStyle w:val="T-Draft"/>
        <w:rPr>
          <w:rFonts w:eastAsia="PMingLiU"/>
          <w:lang w:eastAsia="zh-TW"/>
        </w:rPr>
      </w:pPr>
      <w:r>
        <w:rPr>
          <w:rFonts w:eastAsia="PMingLiU"/>
          <w:lang w:eastAsia="zh-TW"/>
        </w:rPr>
        <w:t xml:space="preserve">We shall nevertheless honour the judge’s reduction of the sentence by 6 months’ imprisonment for the additional stress the applicant has suffered by virtue of the trial and appeal processes she has undergone </w:t>
      </w:r>
      <w:r w:rsidR="00391F50">
        <w:rPr>
          <w:rFonts w:eastAsia="PMingLiU"/>
          <w:lang w:eastAsia="zh-TW"/>
        </w:rPr>
        <w:t>during</w:t>
      </w:r>
      <w:r>
        <w:rPr>
          <w:rFonts w:eastAsia="PMingLiU"/>
          <w:lang w:eastAsia="zh-TW"/>
        </w:rPr>
        <w:t xml:space="preserve"> the past 8 years.  The sentence thus become</w:t>
      </w:r>
      <w:r w:rsidR="00391F50">
        <w:rPr>
          <w:rFonts w:eastAsia="PMingLiU"/>
          <w:lang w:eastAsia="zh-TW"/>
        </w:rPr>
        <w:t>s one of</w:t>
      </w:r>
      <w:r>
        <w:rPr>
          <w:rFonts w:eastAsia="PMingLiU"/>
          <w:lang w:eastAsia="zh-TW"/>
        </w:rPr>
        <w:t xml:space="preserve"> 25 years’ imprisonment.</w:t>
      </w:r>
    </w:p>
    <w:p w:rsidR="005E1CB7" w:rsidRDefault="005E1CB7" w:rsidP="00F555B2">
      <w:pPr>
        <w:pStyle w:val="T-Draft"/>
        <w:rPr>
          <w:rFonts w:eastAsia="PMingLiU"/>
          <w:lang w:eastAsia="zh-TW"/>
        </w:rPr>
      </w:pPr>
      <w:r>
        <w:rPr>
          <w:rFonts w:eastAsia="PMingLiU"/>
          <w:lang w:eastAsia="zh-TW"/>
        </w:rPr>
        <w:lastRenderedPageBreak/>
        <w:t>For the above reasons, we grant the applicant leave to appeal against her sentence out of time, allow the appeal and reduce the sentence from 27 years and 10 months’ imprisonment to 25 years’ imprisonment.</w:t>
      </w:r>
    </w:p>
    <w:p w:rsidR="0000516C" w:rsidRDefault="0000516C" w:rsidP="0000516C">
      <w:pPr>
        <w:pStyle w:val="T-Draft"/>
        <w:numPr>
          <w:ilvl w:val="0"/>
          <w:numId w:val="0"/>
        </w:numPr>
      </w:pPr>
    </w:p>
    <w:p w:rsidR="00A34A07" w:rsidRDefault="00A34A07" w:rsidP="0000516C">
      <w:pPr>
        <w:pStyle w:val="T-Draft"/>
        <w:numPr>
          <w:ilvl w:val="0"/>
          <w:numId w:val="0"/>
        </w:numPr>
      </w:pPr>
    </w:p>
    <w:p w:rsidR="00047411" w:rsidRPr="0047735B" w:rsidRDefault="00047411" w:rsidP="0000516C">
      <w:pPr>
        <w:pStyle w:val="T-Draft"/>
        <w:numPr>
          <w:ilvl w:val="0"/>
          <w:numId w:val="0"/>
        </w:numPr>
      </w:pPr>
    </w:p>
    <w:tbl>
      <w:tblPr>
        <w:tblW w:w="9930" w:type="dxa"/>
        <w:jc w:val="center"/>
        <w:tblLayout w:type="fixed"/>
        <w:tblLook w:val="0000" w:firstRow="0" w:lastRow="0" w:firstColumn="0" w:lastColumn="0" w:noHBand="0" w:noVBand="0"/>
      </w:tblPr>
      <w:tblGrid>
        <w:gridCol w:w="3310"/>
        <w:gridCol w:w="3310"/>
        <w:gridCol w:w="3310"/>
      </w:tblGrid>
      <w:tr w:rsidR="00110B94" w:rsidRPr="0047735B" w:rsidTr="00110B94">
        <w:trPr>
          <w:trHeight w:val="828"/>
          <w:jc w:val="center"/>
        </w:trPr>
        <w:tc>
          <w:tcPr>
            <w:tcW w:w="3310" w:type="dxa"/>
          </w:tcPr>
          <w:p w:rsidR="00110B94" w:rsidRPr="00CB7289" w:rsidRDefault="00110B94" w:rsidP="00D01D69">
            <w:pPr>
              <w:pStyle w:val="normal1"/>
              <w:tabs>
                <w:tab w:val="clear" w:pos="1411"/>
              </w:tabs>
              <w:rPr>
                <w:bCs/>
              </w:rPr>
            </w:pPr>
            <w:r w:rsidRPr="00CB7289">
              <w:rPr>
                <w:bCs/>
              </w:rPr>
              <w:t>(Andrew Macrae)</w:t>
            </w:r>
          </w:p>
          <w:p w:rsidR="00110B94" w:rsidRDefault="009F7CFD" w:rsidP="00D01D69">
            <w:pPr>
              <w:jc w:val="center"/>
              <w:rPr>
                <w:b w:val="0"/>
                <w:bCs/>
                <w:sz w:val="28"/>
              </w:rPr>
            </w:pPr>
            <w:r>
              <w:rPr>
                <w:b w:val="0"/>
                <w:bCs/>
                <w:sz w:val="28"/>
              </w:rPr>
              <w:t>Acting Chief Judge</w:t>
            </w:r>
          </w:p>
          <w:p w:rsidR="009F7CFD" w:rsidRPr="00CB7289" w:rsidRDefault="009F7CFD" w:rsidP="00D01D69">
            <w:pPr>
              <w:jc w:val="center"/>
              <w:rPr>
                <w:b w:val="0"/>
                <w:bCs/>
                <w:sz w:val="28"/>
              </w:rPr>
            </w:pPr>
            <w:r>
              <w:rPr>
                <w:b w:val="0"/>
                <w:bCs/>
                <w:sz w:val="28"/>
              </w:rPr>
              <w:t>of the High Court</w:t>
            </w:r>
          </w:p>
        </w:tc>
        <w:tc>
          <w:tcPr>
            <w:tcW w:w="3310" w:type="dxa"/>
          </w:tcPr>
          <w:p w:rsidR="00110B94" w:rsidRPr="00CB7289" w:rsidRDefault="00725C95" w:rsidP="00D01D69">
            <w:pPr>
              <w:pStyle w:val="normal1"/>
              <w:tabs>
                <w:tab w:val="clear" w:pos="1411"/>
              </w:tabs>
            </w:pPr>
            <w:r>
              <w:t>(</w:t>
            </w:r>
            <w:r w:rsidR="00160296">
              <w:t>Kevin Zervos</w:t>
            </w:r>
            <w:r>
              <w:t>)</w:t>
            </w:r>
          </w:p>
          <w:p w:rsidR="00110B94" w:rsidRPr="00CB7289" w:rsidRDefault="00725C95" w:rsidP="00D01D69">
            <w:pPr>
              <w:jc w:val="center"/>
              <w:rPr>
                <w:b w:val="0"/>
                <w:bCs/>
                <w:sz w:val="28"/>
              </w:rPr>
            </w:pPr>
            <w:r>
              <w:rPr>
                <w:b w:val="0"/>
                <w:bCs/>
                <w:sz w:val="28"/>
              </w:rPr>
              <w:t>Justice of Appeal</w:t>
            </w:r>
          </w:p>
        </w:tc>
        <w:tc>
          <w:tcPr>
            <w:tcW w:w="3310" w:type="dxa"/>
          </w:tcPr>
          <w:p w:rsidR="00110B94" w:rsidRDefault="00110B94" w:rsidP="00D01D69">
            <w:pPr>
              <w:pStyle w:val="normal1"/>
              <w:tabs>
                <w:tab w:val="clear" w:pos="1411"/>
              </w:tabs>
            </w:pPr>
            <w:r>
              <w:t>(</w:t>
            </w:r>
            <w:r w:rsidR="00160296">
              <w:t>Maggie Poon</w:t>
            </w:r>
            <w:r>
              <w:t>)</w:t>
            </w:r>
          </w:p>
          <w:p w:rsidR="00110B94" w:rsidRPr="006E72BD" w:rsidRDefault="00725C95" w:rsidP="00110B94">
            <w:pPr>
              <w:pStyle w:val="normal1"/>
              <w:tabs>
                <w:tab w:val="clear" w:pos="1411"/>
              </w:tabs>
            </w:pPr>
            <w:r>
              <w:t>Justice of Appeal</w:t>
            </w:r>
          </w:p>
        </w:tc>
      </w:tr>
    </w:tbl>
    <w:p w:rsidR="00047411" w:rsidRPr="00E97D09" w:rsidRDefault="00047411" w:rsidP="003C6F57">
      <w:pPr>
        <w:spacing w:before="240"/>
        <w:ind w:left="360" w:hanging="360"/>
        <w:rPr>
          <w:b w:val="0"/>
          <w:bCs/>
          <w:sz w:val="28"/>
          <w:szCs w:val="28"/>
          <w:lang w:val="en-US"/>
        </w:rPr>
      </w:pPr>
    </w:p>
    <w:p w:rsidR="00160296" w:rsidRPr="00E97D09" w:rsidRDefault="00160296" w:rsidP="00E97D09">
      <w:pPr>
        <w:keepLines/>
        <w:tabs>
          <w:tab w:val="left" w:pos="3240"/>
        </w:tabs>
        <w:kinsoku/>
        <w:overflowPunct/>
        <w:snapToGrid/>
        <w:ind w:left="360" w:hanging="360"/>
        <w:rPr>
          <w:b w:val="0"/>
          <w:snapToGrid/>
          <w:sz w:val="28"/>
          <w:szCs w:val="28"/>
        </w:rPr>
      </w:pPr>
      <w:r w:rsidRPr="00E97D09">
        <w:rPr>
          <w:b w:val="0"/>
          <w:snapToGrid/>
          <w:sz w:val="28"/>
          <w:szCs w:val="28"/>
        </w:rPr>
        <w:t xml:space="preserve">Mr Derek Lau SADPP and Mr Derek Wong SPP, of the Department </w:t>
      </w:r>
      <w:r w:rsidRPr="00E97D09">
        <w:rPr>
          <w:snapToGrid/>
          <w:sz w:val="28"/>
          <w:szCs w:val="28"/>
        </w:rPr>
        <w:t>‍</w:t>
      </w:r>
      <w:r w:rsidRPr="00E97D09">
        <w:rPr>
          <w:b w:val="0"/>
          <w:snapToGrid/>
          <w:sz w:val="28"/>
          <w:szCs w:val="28"/>
        </w:rPr>
        <w:t xml:space="preserve">of </w:t>
      </w:r>
      <w:r w:rsidRPr="00E97D09">
        <w:rPr>
          <w:snapToGrid/>
          <w:sz w:val="28"/>
          <w:szCs w:val="28"/>
        </w:rPr>
        <w:t>‍</w:t>
      </w:r>
      <w:r w:rsidRPr="00E97D09">
        <w:rPr>
          <w:b w:val="0"/>
          <w:snapToGrid/>
          <w:sz w:val="28"/>
          <w:szCs w:val="28"/>
        </w:rPr>
        <w:t>Justice, for the Respondent</w:t>
      </w:r>
    </w:p>
    <w:p w:rsidR="00160296" w:rsidRPr="00E97D09" w:rsidRDefault="00160296" w:rsidP="00E97D09">
      <w:pPr>
        <w:keepLines/>
        <w:tabs>
          <w:tab w:val="left" w:pos="3240"/>
        </w:tabs>
        <w:kinsoku/>
        <w:overflowPunct/>
        <w:snapToGrid/>
        <w:rPr>
          <w:b w:val="0"/>
          <w:snapToGrid/>
          <w:sz w:val="28"/>
          <w:szCs w:val="28"/>
        </w:rPr>
      </w:pPr>
    </w:p>
    <w:p w:rsidR="000D635A" w:rsidRPr="000D635A" w:rsidRDefault="000D635A" w:rsidP="000D635A">
      <w:pPr>
        <w:keepLines/>
        <w:tabs>
          <w:tab w:val="left" w:pos="3240"/>
        </w:tabs>
        <w:kinsoku/>
        <w:overflowPunct/>
        <w:snapToGrid/>
        <w:ind w:left="360" w:hanging="360"/>
        <w:rPr>
          <w:b w:val="0"/>
          <w:bCs/>
          <w:snapToGrid/>
          <w:sz w:val="28"/>
          <w:szCs w:val="28"/>
        </w:rPr>
      </w:pPr>
      <w:r w:rsidRPr="000D635A">
        <w:rPr>
          <w:b w:val="0"/>
          <w:bCs/>
          <w:snapToGrid/>
          <w:sz w:val="28"/>
          <w:szCs w:val="28"/>
        </w:rPr>
        <w:t>Mr Andrew Bruce SC and Mr Martin Li, instructed by Johnnie Yam, Jacky Lee &amp; Co, assigned by the Director of Legal Aid and Mr Allen Judge (on a pro-bono basis), instructed by Johnnie Yam, Jacky Lee &amp; Co, for the Applicant</w:t>
      </w:r>
    </w:p>
    <w:p w:rsidR="00160296" w:rsidRPr="00E97D09" w:rsidRDefault="00160296" w:rsidP="000D635A">
      <w:pPr>
        <w:keepLines/>
        <w:tabs>
          <w:tab w:val="left" w:pos="3240"/>
        </w:tabs>
        <w:kinsoku/>
        <w:overflowPunct/>
        <w:snapToGrid/>
        <w:ind w:left="360" w:hanging="360"/>
        <w:rPr>
          <w:b w:val="0"/>
          <w:bCs/>
          <w:snapToGrid/>
          <w:sz w:val="28"/>
          <w:szCs w:val="28"/>
        </w:rPr>
      </w:pPr>
    </w:p>
    <w:sectPr w:rsidR="00160296" w:rsidRPr="00E97D09" w:rsidSect="0040198A">
      <w:headerReference w:type="even" r:id="rId13"/>
      <w:headerReference w:type="default" r:id="rId14"/>
      <w:footerReference w:type="even" r:id="rId15"/>
      <w:footerReference w:type="default" r:id="rId16"/>
      <w:headerReference w:type="first" r:id="rId17"/>
      <w:footerReference w:type="first" r:id="rId18"/>
      <w:pgSz w:w="11906" w:h="16838" w:code="9"/>
      <w:pgMar w:top="1440" w:right="1800" w:bottom="1440" w:left="180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2">
      <wne:acd wne:acdName="acd0"/>
    </wne:keymap>
    <wne:keymap wne:kcmPrimary="0263">
      <wne:acd wne:acdName="acd1"/>
    </wne:keymap>
  </wne:keymaps>
  <wne:toolbars>
    <wne:acdManifest>
      <wne:acdEntry wne:acdName="acd0"/>
      <wne:acdEntry wne:acdName="acd1"/>
    </wne:acdManifest>
  </wne:toolbars>
  <wne:acds>
    <wne:acd wne:argValue="AgBqAC0AaABlAGEAZABpAG4AZwA=" wne:acdName="acd0" wne:fciIndexBasedOn="0065"/>
    <wne:acd wne:argValue="AgBqAC0AcQB1AG8AdABh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F31" w:rsidRDefault="00774F31">
      <w:r>
        <w:separator/>
      </w:r>
    </w:p>
  </w:endnote>
  <w:endnote w:type="continuationSeparator" w:id="0">
    <w:p w:rsidR="00774F31" w:rsidRDefault="0077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6ED" w:rsidRDefault="00CB1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6ED" w:rsidRDefault="00CB16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6ED" w:rsidRDefault="00CB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F31" w:rsidRDefault="00774F31">
      <w:r>
        <w:separator/>
      </w:r>
    </w:p>
  </w:footnote>
  <w:footnote w:type="continuationSeparator" w:id="0">
    <w:p w:rsidR="00774F31" w:rsidRDefault="00774F31">
      <w:r>
        <w:continuationSeparator/>
      </w:r>
    </w:p>
  </w:footnote>
  <w:footnote w:id="1">
    <w:p w:rsidR="00CB16ED" w:rsidRPr="00271022" w:rsidRDefault="00CB16ED" w:rsidP="006C4B2A">
      <w:pPr>
        <w:pStyle w:val="FootnoteText"/>
        <w:tabs>
          <w:tab w:val="clear" w:pos="274"/>
          <w:tab w:val="left" w:pos="360"/>
        </w:tabs>
      </w:pPr>
      <w:r>
        <w:rPr>
          <w:rStyle w:val="FootnoteReference"/>
        </w:rPr>
        <w:footnoteRef/>
      </w:r>
      <w:r>
        <w:t xml:space="preserve"> </w:t>
      </w:r>
      <w:r>
        <w:tab/>
      </w:r>
      <w:r w:rsidRPr="00271022">
        <w:rPr>
          <w:i/>
        </w:rPr>
        <w:t>HKSAR v Huang Ruifang</w:t>
      </w:r>
      <w:r>
        <w:t xml:space="preserve"> [2022] 1 HKLRD 1090.</w:t>
      </w:r>
    </w:p>
  </w:footnote>
  <w:footnote w:id="2">
    <w:p w:rsidR="00CB16ED" w:rsidRPr="00715F09" w:rsidRDefault="00CB16ED" w:rsidP="0077435A">
      <w:pPr>
        <w:pStyle w:val="FootnoteText"/>
        <w:tabs>
          <w:tab w:val="clear" w:pos="274"/>
          <w:tab w:val="left" w:pos="360"/>
        </w:tabs>
      </w:pPr>
      <w:r>
        <w:rPr>
          <w:rStyle w:val="FootnoteReference"/>
        </w:rPr>
        <w:footnoteRef/>
      </w:r>
      <w:r>
        <w:t xml:space="preserve"> </w:t>
      </w:r>
      <w:r>
        <w:tab/>
      </w:r>
      <w:r w:rsidRPr="00715F09">
        <w:rPr>
          <w:i/>
        </w:rPr>
        <w:t>HKSAR v Huang Ruifang</w:t>
      </w:r>
      <w:r>
        <w:t xml:space="preserve"> [2021] HKCA 11, at [3]-[21].</w:t>
      </w:r>
    </w:p>
  </w:footnote>
  <w:footnote w:id="3">
    <w:p w:rsidR="00CB16ED" w:rsidRPr="007D069D" w:rsidRDefault="00CB16ED" w:rsidP="0077435A">
      <w:pPr>
        <w:pStyle w:val="FootnoteText"/>
        <w:tabs>
          <w:tab w:val="clear" w:pos="274"/>
          <w:tab w:val="left" w:pos="360"/>
        </w:tabs>
      </w:pPr>
      <w:r>
        <w:rPr>
          <w:rStyle w:val="FootnoteReference"/>
        </w:rPr>
        <w:footnoteRef/>
      </w:r>
      <w:r>
        <w:t xml:space="preserve"> </w:t>
      </w:r>
      <w:r>
        <w:tab/>
      </w:r>
      <w:r w:rsidRPr="007D069D">
        <w:rPr>
          <w:i/>
        </w:rPr>
        <w:t>HKSAR v Huang Ruifang</w:t>
      </w:r>
      <w:r>
        <w:rPr>
          <w:i/>
        </w:rPr>
        <w:t xml:space="preserve"> (No 2)</w:t>
      </w:r>
      <w:r>
        <w:t xml:space="preserve"> [2024] 4 HKLRD 848.</w:t>
      </w:r>
    </w:p>
  </w:footnote>
  <w:footnote w:id="4">
    <w:p w:rsidR="00CB16ED" w:rsidRPr="00AA5B6D" w:rsidRDefault="00CB16ED" w:rsidP="0046009A">
      <w:pPr>
        <w:pStyle w:val="FootnoteText"/>
        <w:tabs>
          <w:tab w:val="clear" w:pos="274"/>
          <w:tab w:val="left" w:pos="360"/>
        </w:tabs>
      </w:pPr>
      <w:r>
        <w:rPr>
          <w:rStyle w:val="FootnoteReference"/>
        </w:rPr>
        <w:footnoteRef/>
      </w:r>
      <w:r>
        <w:t xml:space="preserve"> </w:t>
      </w:r>
      <w:r>
        <w:tab/>
      </w:r>
      <w:r w:rsidRPr="00AA5B6D">
        <w:rPr>
          <w:i/>
        </w:rPr>
        <w:t>HKSAR v Abdallah</w:t>
      </w:r>
      <w:r>
        <w:t xml:space="preserve"> [2009] 2 HKLRD 437.</w:t>
      </w:r>
    </w:p>
  </w:footnote>
  <w:footnote w:id="5">
    <w:p w:rsidR="00CB16ED" w:rsidRPr="00A7177C" w:rsidRDefault="00CB16ED" w:rsidP="0077435A">
      <w:pPr>
        <w:pStyle w:val="FootnoteText"/>
        <w:tabs>
          <w:tab w:val="clear" w:pos="274"/>
          <w:tab w:val="left" w:pos="360"/>
        </w:tabs>
      </w:pPr>
      <w:r>
        <w:rPr>
          <w:rStyle w:val="FootnoteReference"/>
        </w:rPr>
        <w:footnoteRef/>
      </w:r>
      <w:r>
        <w:t xml:space="preserve"> </w:t>
      </w:r>
      <w:r>
        <w:tab/>
      </w:r>
      <w:r w:rsidRPr="00A7177C">
        <w:rPr>
          <w:i/>
        </w:rPr>
        <w:t>HKSAR v Herry Jane Yusuph</w:t>
      </w:r>
      <w:r>
        <w:t xml:space="preserve"> [2021] 1 HKLRD 290.</w:t>
      </w:r>
    </w:p>
  </w:footnote>
  <w:footnote w:id="6">
    <w:p w:rsidR="00CB16ED" w:rsidRPr="00A7177C" w:rsidRDefault="00CB16ED" w:rsidP="0077435A">
      <w:pPr>
        <w:pStyle w:val="FootnoteText"/>
        <w:tabs>
          <w:tab w:val="clear" w:pos="274"/>
          <w:tab w:val="left" w:pos="360"/>
        </w:tabs>
      </w:pPr>
      <w:r>
        <w:rPr>
          <w:rStyle w:val="FootnoteReference"/>
        </w:rPr>
        <w:footnoteRef/>
      </w:r>
      <w:r>
        <w:t xml:space="preserve"> </w:t>
      </w:r>
      <w:r>
        <w:tab/>
      </w:r>
      <w:r w:rsidRPr="007068C8">
        <w:rPr>
          <w:i/>
        </w:rPr>
        <w:t>HKSAR v Lee Ming Ho</w:t>
      </w:r>
      <w:r>
        <w:t xml:space="preserve"> [2024] 1 HKLRD 1186.</w:t>
      </w:r>
    </w:p>
  </w:footnote>
  <w:footnote w:id="7">
    <w:p w:rsidR="00CB16ED" w:rsidRPr="00A7177C" w:rsidRDefault="00CB16ED" w:rsidP="0077435A">
      <w:pPr>
        <w:pStyle w:val="FootnoteText"/>
        <w:tabs>
          <w:tab w:val="clear" w:pos="274"/>
          <w:tab w:val="left" w:pos="360"/>
        </w:tabs>
      </w:pPr>
      <w:r>
        <w:rPr>
          <w:rStyle w:val="FootnoteReference"/>
        </w:rPr>
        <w:footnoteRef/>
      </w:r>
      <w:r>
        <w:t xml:space="preserve"> </w:t>
      </w:r>
      <w:r>
        <w:tab/>
      </w:r>
      <w:r w:rsidRPr="007068C8">
        <w:rPr>
          <w:i/>
        </w:rPr>
        <w:t>HKSAR v Raman Kapusamy</w:t>
      </w:r>
      <w:r>
        <w:t xml:space="preserve"> [2024] 2 HKLRD 955.</w:t>
      </w:r>
    </w:p>
  </w:footnote>
  <w:footnote w:id="8">
    <w:p w:rsidR="00CB16ED" w:rsidRDefault="00CB16ED" w:rsidP="0077435A">
      <w:pPr>
        <w:pStyle w:val="FootnoteText"/>
        <w:tabs>
          <w:tab w:val="clear" w:pos="274"/>
          <w:tab w:val="left" w:pos="360"/>
        </w:tabs>
        <w:ind w:left="360" w:hanging="360"/>
        <w:jc w:val="both"/>
      </w:pPr>
      <w:r>
        <w:rPr>
          <w:rStyle w:val="FootnoteReference"/>
        </w:rPr>
        <w:footnoteRef/>
      </w:r>
      <w:r>
        <w:t xml:space="preserve"> </w:t>
      </w:r>
      <w:r>
        <w:tab/>
      </w:r>
      <w:r w:rsidRPr="007068C8">
        <w:rPr>
          <w:i/>
        </w:rPr>
        <w:t>HKSAR v Sum Ka Wa</w:t>
      </w:r>
      <w:r>
        <w:t xml:space="preserve"> </w:t>
      </w:r>
      <w:r w:rsidRPr="002A5F5A">
        <w:t>[2024] 4 HKLRD 777</w:t>
      </w:r>
      <w:r>
        <w:t xml:space="preserve">. </w:t>
      </w:r>
    </w:p>
  </w:footnote>
  <w:footnote w:id="9">
    <w:p w:rsidR="00CB16ED" w:rsidRPr="007068C8" w:rsidRDefault="00CB16ED" w:rsidP="0077435A">
      <w:pPr>
        <w:pStyle w:val="FootnoteText"/>
        <w:tabs>
          <w:tab w:val="clear" w:pos="274"/>
          <w:tab w:val="left" w:pos="360"/>
        </w:tabs>
        <w:rPr>
          <w:lang w:val="en-US"/>
        </w:rPr>
      </w:pPr>
      <w:r>
        <w:rPr>
          <w:rStyle w:val="FootnoteReference"/>
        </w:rPr>
        <w:footnoteRef/>
      </w:r>
      <w:r>
        <w:t xml:space="preserve"> </w:t>
      </w:r>
      <w:r>
        <w:rPr>
          <w:lang w:val="en-US"/>
        </w:rPr>
        <w:tab/>
      </w:r>
      <w:r w:rsidRPr="007068C8">
        <w:rPr>
          <w:i/>
          <w:lang w:val="en-US"/>
        </w:rPr>
        <w:t>Huang Ruifang (No 2)</w:t>
      </w:r>
      <w:r>
        <w:rPr>
          <w:lang w:val="en-US"/>
        </w:rPr>
        <w:t>, at [163].</w:t>
      </w:r>
    </w:p>
  </w:footnote>
  <w:footnote w:id="10">
    <w:p w:rsidR="00CB16ED" w:rsidRPr="00956D95" w:rsidRDefault="00CB16ED" w:rsidP="0046009A">
      <w:pPr>
        <w:pStyle w:val="FootnoteText"/>
        <w:tabs>
          <w:tab w:val="clear" w:pos="274"/>
          <w:tab w:val="left" w:pos="360"/>
        </w:tabs>
      </w:pPr>
      <w:r>
        <w:rPr>
          <w:rStyle w:val="FootnoteReference"/>
        </w:rPr>
        <w:footnoteRef/>
      </w:r>
      <w:r>
        <w:t xml:space="preserve"> </w:t>
      </w:r>
      <w:r>
        <w:tab/>
      </w:r>
      <w:r w:rsidRPr="00956D95">
        <w:rPr>
          <w:i/>
        </w:rPr>
        <w:t>Ibid.</w:t>
      </w:r>
      <w:r>
        <w:t>, at [164].</w:t>
      </w:r>
    </w:p>
  </w:footnote>
  <w:footnote w:id="11">
    <w:p w:rsidR="00CB16ED" w:rsidRPr="006F62D7" w:rsidRDefault="00CB16ED" w:rsidP="00AC2D2C">
      <w:pPr>
        <w:pStyle w:val="FootnoteText"/>
        <w:tabs>
          <w:tab w:val="clear" w:pos="274"/>
          <w:tab w:val="left" w:pos="360"/>
        </w:tabs>
        <w:ind w:left="360" w:hanging="360"/>
        <w:jc w:val="both"/>
      </w:pPr>
      <w:r>
        <w:rPr>
          <w:rStyle w:val="FootnoteReference"/>
        </w:rPr>
        <w:footnoteRef/>
      </w:r>
      <w:r>
        <w:t xml:space="preserve"> </w:t>
      </w:r>
      <w:r>
        <w:tab/>
        <w:t xml:space="preserve">By way of a notice of motion, the applicant has also applied for a certificate to appeal her conviction to the Court of Final Appeal out of time.  Such application has been directed to be dealt with in a separate hearing.  </w:t>
      </w:r>
    </w:p>
  </w:footnote>
  <w:footnote w:id="12">
    <w:p w:rsidR="00CB16ED" w:rsidRPr="00AA5B6D" w:rsidRDefault="00CB16ED" w:rsidP="00C02CBE">
      <w:pPr>
        <w:pStyle w:val="FootnoteText"/>
        <w:tabs>
          <w:tab w:val="clear" w:pos="274"/>
          <w:tab w:val="left" w:pos="360"/>
        </w:tabs>
        <w:ind w:left="360" w:hanging="360"/>
        <w:jc w:val="both"/>
        <w:rPr>
          <w:lang w:val="en-US"/>
        </w:rPr>
      </w:pPr>
      <w:r>
        <w:rPr>
          <w:rStyle w:val="FootnoteReference"/>
        </w:rPr>
        <w:footnoteRef/>
      </w:r>
      <w:r>
        <w:t xml:space="preserve"> </w:t>
      </w:r>
      <w:r>
        <w:rPr>
          <w:lang w:val="en-US"/>
        </w:rPr>
        <w:tab/>
      </w:r>
      <w:r w:rsidRPr="00AA5B6D">
        <w:rPr>
          <w:i/>
          <w:lang w:val="en-US"/>
        </w:rPr>
        <w:t>R v Lau Tak-ming</w:t>
      </w:r>
      <w:r>
        <w:rPr>
          <w:lang w:val="en-US"/>
        </w:rPr>
        <w:t xml:space="preserve"> [1990] 2 HKLR 370. The heroin guidelines were</w:t>
      </w:r>
      <w:r w:rsidR="00D948C1">
        <w:rPr>
          <w:lang w:val="en-US"/>
        </w:rPr>
        <w:t xml:space="preserve"> subsequently</w:t>
      </w:r>
      <w:r>
        <w:rPr>
          <w:lang w:val="en-US"/>
        </w:rPr>
        <w:t xml:space="preserve"> applied to cocaine by the Court in </w:t>
      </w:r>
      <w:r w:rsidRPr="004F0093">
        <w:rPr>
          <w:i/>
          <w:lang w:val="en-US"/>
        </w:rPr>
        <w:t>Attorney General v Pedro Nel Rojas</w:t>
      </w:r>
      <w:r>
        <w:rPr>
          <w:lang w:val="en-US"/>
        </w:rPr>
        <w:t xml:space="preserve"> [1994] 2 HKCLR 69.</w:t>
      </w:r>
    </w:p>
  </w:footnote>
  <w:footnote w:id="13">
    <w:p w:rsidR="00CB16ED" w:rsidRPr="002A30BA" w:rsidRDefault="00CB16ED" w:rsidP="0077435A">
      <w:pPr>
        <w:pStyle w:val="FootnoteText"/>
        <w:tabs>
          <w:tab w:val="clear" w:pos="274"/>
          <w:tab w:val="left" w:pos="360"/>
        </w:tabs>
      </w:pPr>
      <w:r>
        <w:rPr>
          <w:rStyle w:val="FootnoteReference"/>
        </w:rPr>
        <w:footnoteRef/>
      </w:r>
      <w:r>
        <w:t xml:space="preserve"> </w:t>
      </w:r>
      <w:r>
        <w:tab/>
      </w:r>
      <w:r w:rsidRPr="002A30BA">
        <w:rPr>
          <w:i/>
        </w:rPr>
        <w:t>HKSAR v Tam Yi Chun</w:t>
      </w:r>
      <w:r>
        <w:t xml:space="preserve"> [2014] 3 HKLRD 691.</w:t>
      </w:r>
    </w:p>
  </w:footnote>
  <w:footnote w:id="14">
    <w:p w:rsidR="00CB16ED" w:rsidRPr="00AF0700" w:rsidRDefault="00CB16ED" w:rsidP="00E94300">
      <w:pPr>
        <w:pStyle w:val="FootnoteText"/>
        <w:tabs>
          <w:tab w:val="clear" w:pos="274"/>
          <w:tab w:val="left" w:pos="360"/>
        </w:tabs>
      </w:pPr>
      <w:r>
        <w:rPr>
          <w:rStyle w:val="FootnoteReference"/>
        </w:rPr>
        <w:footnoteRef/>
      </w:r>
      <w:r>
        <w:t xml:space="preserve"> </w:t>
      </w:r>
      <w:r>
        <w:tab/>
      </w:r>
      <w:r w:rsidRPr="00AF0700">
        <w:rPr>
          <w:i/>
        </w:rPr>
        <w:t>Ibid.</w:t>
      </w:r>
      <w:r>
        <w:t>, at [32] and [34].</w:t>
      </w:r>
    </w:p>
  </w:footnote>
  <w:footnote w:id="15">
    <w:p w:rsidR="00CB16ED" w:rsidRPr="00D163EE" w:rsidRDefault="00CB16ED" w:rsidP="00AC2D2C">
      <w:pPr>
        <w:pStyle w:val="FootnoteText"/>
        <w:tabs>
          <w:tab w:val="clear" w:pos="274"/>
          <w:tab w:val="left" w:pos="360"/>
        </w:tabs>
        <w:ind w:left="360" w:right="-154" w:hanging="360"/>
        <w:jc w:val="both"/>
      </w:pPr>
      <w:r>
        <w:rPr>
          <w:rStyle w:val="FootnoteReference"/>
        </w:rPr>
        <w:footnoteRef/>
      </w:r>
      <w:r>
        <w:t xml:space="preserve"> </w:t>
      </w:r>
      <w:r>
        <w:tab/>
      </w:r>
      <w:r>
        <w:rPr>
          <w:rFonts w:hint="eastAsia"/>
        </w:rPr>
        <w:t>It</w:t>
      </w:r>
      <w:r>
        <w:t xml:space="preserve"> was a random stop check, according to the evidence of a </w:t>
      </w:r>
      <w:r w:rsidR="00D948C1">
        <w:t>C</w:t>
      </w:r>
      <w:r>
        <w:t>ustoms officer</w:t>
      </w:r>
      <w:r w:rsidR="00D948C1">
        <w:t>: see</w:t>
      </w:r>
      <w:r>
        <w:t xml:space="preserve"> </w:t>
      </w:r>
      <w:r w:rsidRPr="00745A46">
        <w:t>Appeal Bundle (“AB”)</w:t>
      </w:r>
      <w:r>
        <w:t>, p 60D-</w:t>
      </w:r>
      <w:r w:rsidRPr="00160296">
        <w:rPr>
          <w:b/>
        </w:rPr>
        <w:t>‍</w:t>
      </w:r>
      <w:r>
        <w:t xml:space="preserve">G. </w:t>
      </w:r>
    </w:p>
  </w:footnote>
  <w:footnote w:id="16">
    <w:p w:rsidR="00CB16ED" w:rsidRPr="008121B0" w:rsidRDefault="00CB16ED" w:rsidP="00AC2D2C">
      <w:pPr>
        <w:pStyle w:val="FootnoteText"/>
        <w:tabs>
          <w:tab w:val="clear" w:pos="274"/>
          <w:tab w:val="left" w:pos="360"/>
        </w:tabs>
        <w:ind w:left="360" w:hanging="360"/>
        <w:jc w:val="both"/>
      </w:pPr>
      <w:r>
        <w:rPr>
          <w:rStyle w:val="FootnoteReference"/>
        </w:rPr>
        <w:footnoteRef/>
      </w:r>
      <w:r>
        <w:t xml:space="preserve"> </w:t>
      </w:r>
      <w:r>
        <w:tab/>
        <w:t>Admitted Facts at [2]-[17</w:t>
      </w:r>
      <w:r w:rsidRPr="00745A46">
        <w:t>] &amp; [</w:t>
      </w:r>
      <w:r>
        <w:t>31</w:t>
      </w:r>
      <w:r w:rsidRPr="00745A46">
        <w:t xml:space="preserve">], </w:t>
      </w:r>
      <w:r>
        <w:t>AB,</w:t>
      </w:r>
      <w:r w:rsidRPr="00745A46">
        <w:t xml:space="preserve"> pp </w:t>
      </w:r>
      <w:r>
        <w:t>8-13 &amp; 33.</w:t>
      </w:r>
    </w:p>
  </w:footnote>
  <w:footnote w:id="17">
    <w:p w:rsidR="00CB16ED" w:rsidRPr="0039318A" w:rsidRDefault="00CB16ED" w:rsidP="00AC2D2C">
      <w:pPr>
        <w:pStyle w:val="FootnoteText"/>
        <w:tabs>
          <w:tab w:val="clear" w:pos="274"/>
          <w:tab w:val="left" w:pos="360"/>
        </w:tabs>
        <w:ind w:left="360" w:hanging="360"/>
        <w:jc w:val="both"/>
      </w:pPr>
      <w:r>
        <w:rPr>
          <w:rStyle w:val="FootnoteReference"/>
        </w:rPr>
        <w:footnoteRef/>
      </w:r>
      <w:r>
        <w:t xml:space="preserve"> </w:t>
      </w:r>
      <w:r>
        <w:tab/>
        <w:t>Admitted Facts at [15], [21], [23]</w:t>
      </w:r>
      <w:r w:rsidRPr="00745A46">
        <w:t xml:space="preserve">, </w:t>
      </w:r>
      <w:r>
        <w:t>AB,</w:t>
      </w:r>
      <w:r w:rsidRPr="00745A46">
        <w:t xml:space="preserve"> pp </w:t>
      </w:r>
      <w:r>
        <w:t xml:space="preserve">12, 16, 19; AB, pp 37B-G, 65M-69I, 77M-78N. </w:t>
      </w:r>
    </w:p>
  </w:footnote>
  <w:footnote w:id="18">
    <w:p w:rsidR="00CB16ED" w:rsidRDefault="00CB16ED" w:rsidP="00AC2D2C">
      <w:pPr>
        <w:pStyle w:val="FootnoteText"/>
        <w:tabs>
          <w:tab w:val="clear" w:pos="274"/>
          <w:tab w:val="left" w:pos="360"/>
        </w:tabs>
        <w:jc w:val="both"/>
      </w:pPr>
      <w:r>
        <w:rPr>
          <w:rStyle w:val="FootnoteReference"/>
        </w:rPr>
        <w:footnoteRef/>
      </w:r>
      <w:r>
        <w:t xml:space="preserve"> </w:t>
      </w:r>
      <w:r>
        <w:tab/>
        <w:t xml:space="preserve">AB, p 77M-N; p 101C-E. </w:t>
      </w:r>
    </w:p>
  </w:footnote>
  <w:footnote w:id="19">
    <w:p w:rsidR="00CB16ED" w:rsidRDefault="00CB16ED" w:rsidP="00AC2D2C">
      <w:pPr>
        <w:pStyle w:val="FootnoteText"/>
        <w:tabs>
          <w:tab w:val="clear" w:pos="274"/>
          <w:tab w:val="left" w:pos="360"/>
        </w:tabs>
        <w:ind w:left="360" w:hanging="360"/>
      </w:pPr>
      <w:r>
        <w:rPr>
          <w:rStyle w:val="FootnoteReference"/>
        </w:rPr>
        <w:footnoteRef/>
      </w:r>
      <w:r>
        <w:t xml:space="preserve"> </w:t>
      </w:r>
      <w:r>
        <w:tab/>
        <w:t>AB, p 102G-K.</w:t>
      </w:r>
    </w:p>
  </w:footnote>
  <w:footnote w:id="20">
    <w:p w:rsidR="00CB16ED" w:rsidRPr="00C63403" w:rsidRDefault="00CB16ED" w:rsidP="00AC2D2C">
      <w:pPr>
        <w:pStyle w:val="FootnoteText"/>
        <w:tabs>
          <w:tab w:val="clear" w:pos="274"/>
          <w:tab w:val="left" w:pos="360"/>
        </w:tabs>
        <w:ind w:left="360" w:hanging="360"/>
      </w:pPr>
      <w:r>
        <w:rPr>
          <w:rStyle w:val="FootnoteReference"/>
        </w:rPr>
        <w:footnoteRef/>
      </w:r>
      <w:r>
        <w:t xml:space="preserve"> </w:t>
      </w:r>
      <w:r>
        <w:tab/>
      </w:r>
      <w:r w:rsidRPr="00BF22F6">
        <w:rPr>
          <w:rFonts w:hint="eastAsia"/>
          <w:i/>
        </w:rPr>
        <w:t>H</w:t>
      </w:r>
      <w:r w:rsidRPr="00BF22F6">
        <w:rPr>
          <w:i/>
        </w:rPr>
        <w:t xml:space="preserve">KSAR v </w:t>
      </w:r>
      <w:r>
        <w:rPr>
          <w:i/>
        </w:rPr>
        <w:t xml:space="preserve">Abdallah </w:t>
      </w:r>
      <w:r>
        <w:t>[2009] 2 H</w:t>
      </w:r>
      <w:r>
        <w:rPr>
          <w:rFonts w:hint="eastAsia"/>
        </w:rPr>
        <w:t>KLRD</w:t>
      </w:r>
      <w:r>
        <w:t xml:space="preserve"> 437. </w:t>
      </w:r>
    </w:p>
  </w:footnote>
  <w:footnote w:id="21">
    <w:p w:rsidR="00CB16ED" w:rsidRDefault="00CB16ED" w:rsidP="00AC2D2C">
      <w:pPr>
        <w:pStyle w:val="FootnoteText"/>
        <w:tabs>
          <w:tab w:val="clear" w:pos="274"/>
          <w:tab w:val="left" w:pos="360"/>
        </w:tabs>
      </w:pPr>
      <w:r>
        <w:rPr>
          <w:rStyle w:val="FootnoteReference"/>
        </w:rPr>
        <w:footnoteRef/>
      </w:r>
      <w:r>
        <w:t xml:space="preserve"> </w:t>
      </w:r>
      <w:r>
        <w:tab/>
      </w:r>
      <w:r w:rsidRPr="0016216F">
        <w:rPr>
          <w:rFonts w:eastAsia="PMingLiU"/>
          <w:i/>
          <w:lang w:eastAsia="zh-TW"/>
        </w:rPr>
        <w:t>HKSAR v Fong Yau Heung</w:t>
      </w:r>
      <w:r>
        <w:rPr>
          <w:rFonts w:eastAsia="PMingLiU"/>
          <w:lang w:eastAsia="zh-TW"/>
        </w:rPr>
        <w:t xml:space="preserve"> [2022] 2 HKLRD 99</w:t>
      </w:r>
    </w:p>
  </w:footnote>
  <w:footnote w:id="22">
    <w:p w:rsidR="00CB16ED" w:rsidRPr="00E348DB" w:rsidRDefault="00CB16ED" w:rsidP="00E94300">
      <w:pPr>
        <w:pStyle w:val="FootnoteText"/>
        <w:tabs>
          <w:tab w:val="clear" w:pos="274"/>
          <w:tab w:val="left" w:pos="360"/>
        </w:tabs>
        <w:rPr>
          <w:lang w:val="en-US"/>
        </w:rPr>
      </w:pPr>
      <w:r>
        <w:rPr>
          <w:rStyle w:val="FootnoteReference"/>
        </w:rPr>
        <w:footnoteRef/>
      </w:r>
      <w:r>
        <w:t xml:space="preserve"> </w:t>
      </w:r>
      <w:r>
        <w:rPr>
          <w:lang w:val="en-US"/>
        </w:rPr>
        <w:tab/>
      </w:r>
      <w:r w:rsidRPr="00E348DB">
        <w:rPr>
          <w:i/>
          <w:lang w:val="en-US"/>
        </w:rPr>
        <w:t>R v Chan Chi-ming</w:t>
      </w:r>
      <w:r>
        <w:rPr>
          <w:lang w:val="en-US"/>
        </w:rPr>
        <w:t xml:space="preserve"> [1979] HKLR 491.</w:t>
      </w:r>
    </w:p>
  </w:footnote>
  <w:footnote w:id="23">
    <w:p w:rsidR="00CB16ED" w:rsidRDefault="00CB16ED" w:rsidP="00AC2D2C">
      <w:pPr>
        <w:pStyle w:val="FootnoteText"/>
        <w:tabs>
          <w:tab w:val="clear" w:pos="274"/>
          <w:tab w:val="left" w:pos="360"/>
        </w:tabs>
      </w:pPr>
      <w:r>
        <w:rPr>
          <w:rStyle w:val="FootnoteReference"/>
        </w:rPr>
        <w:footnoteRef/>
      </w:r>
      <w:r>
        <w:t xml:space="preserve"> </w:t>
      </w:r>
      <w:r>
        <w:tab/>
      </w:r>
      <w:r w:rsidRPr="002A5F5A">
        <w:rPr>
          <w:i/>
        </w:rPr>
        <w:t>Lee Ming Ho</w:t>
      </w:r>
      <w:r>
        <w:t xml:space="preserve">, at [65]-[67]. </w:t>
      </w:r>
    </w:p>
  </w:footnote>
  <w:footnote w:id="24">
    <w:p w:rsidR="00CB16ED" w:rsidRDefault="00CB16ED" w:rsidP="00AC2D2C">
      <w:pPr>
        <w:pStyle w:val="FootnoteText"/>
        <w:tabs>
          <w:tab w:val="clear" w:pos="274"/>
          <w:tab w:val="left" w:pos="360"/>
        </w:tabs>
        <w:ind w:left="360" w:hanging="360"/>
      </w:pPr>
      <w:r>
        <w:rPr>
          <w:rStyle w:val="FootnoteReference"/>
        </w:rPr>
        <w:footnoteRef/>
      </w:r>
      <w:r>
        <w:t xml:space="preserve"> </w:t>
      </w:r>
      <w:r>
        <w:tab/>
      </w:r>
      <w:r w:rsidRPr="007F1992">
        <w:rPr>
          <w:i/>
        </w:rPr>
        <w:t>R v Cheng Yeung</w:t>
      </w:r>
      <w:r>
        <w:t xml:space="preserve"> [1989] 2 HKLR 258, at 264G. </w:t>
      </w:r>
    </w:p>
  </w:footnote>
  <w:footnote w:id="25">
    <w:p w:rsidR="00CB16ED" w:rsidRPr="00B11D3F" w:rsidRDefault="00CB16ED" w:rsidP="00AC2D2C">
      <w:pPr>
        <w:pStyle w:val="FootnoteText"/>
        <w:tabs>
          <w:tab w:val="clear" w:pos="274"/>
          <w:tab w:val="left" w:pos="360"/>
        </w:tabs>
        <w:ind w:left="360" w:hanging="360"/>
      </w:pPr>
      <w:r>
        <w:rPr>
          <w:rStyle w:val="FootnoteReference"/>
        </w:rPr>
        <w:footnoteRef/>
      </w:r>
      <w:r>
        <w:t xml:space="preserve"> </w:t>
      </w:r>
      <w:r>
        <w:tab/>
      </w:r>
      <w:r w:rsidRPr="00B11D3F">
        <w:rPr>
          <w:i/>
          <w:iCs/>
        </w:rPr>
        <w:t>HKSAR v Hau Chun</w:t>
      </w:r>
      <w:r>
        <w:rPr>
          <w:i/>
          <w:iCs/>
        </w:rPr>
        <w:t xml:space="preserve"> H</w:t>
      </w:r>
      <w:r w:rsidRPr="00B11D3F">
        <w:rPr>
          <w:i/>
          <w:iCs/>
        </w:rPr>
        <w:t>in</w:t>
      </w:r>
      <w:r>
        <w:rPr>
          <w:i/>
          <w:iCs/>
        </w:rPr>
        <w:t xml:space="preserve"> </w:t>
      </w:r>
      <w:r>
        <w:rPr>
          <w:iCs/>
        </w:rPr>
        <w:t xml:space="preserve">[2016] HKCA 529 (Unrep., 4 November 2016). </w:t>
      </w:r>
    </w:p>
  </w:footnote>
  <w:footnote w:id="26">
    <w:p w:rsidR="00CB16ED" w:rsidRDefault="00CB16ED" w:rsidP="00AC2D2C">
      <w:pPr>
        <w:pStyle w:val="FootnoteText"/>
        <w:tabs>
          <w:tab w:val="clear" w:pos="274"/>
          <w:tab w:val="left" w:pos="360"/>
        </w:tabs>
        <w:ind w:left="360" w:hanging="360"/>
      </w:pPr>
      <w:r>
        <w:rPr>
          <w:rStyle w:val="FootnoteReference"/>
        </w:rPr>
        <w:footnoteRef/>
      </w:r>
      <w:r>
        <w:t xml:space="preserve"> </w:t>
      </w:r>
      <w:r>
        <w:tab/>
        <w:t xml:space="preserve">A normal starting point of 5 years’ imprisonment. </w:t>
      </w:r>
    </w:p>
  </w:footnote>
  <w:footnote w:id="27">
    <w:p w:rsidR="00CB16ED" w:rsidRDefault="00CB16ED" w:rsidP="00AC2D2C">
      <w:pPr>
        <w:pStyle w:val="FootnoteText"/>
        <w:tabs>
          <w:tab w:val="clear" w:pos="274"/>
          <w:tab w:val="left" w:pos="360"/>
        </w:tabs>
        <w:jc w:val="both"/>
      </w:pPr>
      <w:r>
        <w:rPr>
          <w:rStyle w:val="FootnoteReference"/>
        </w:rPr>
        <w:footnoteRef/>
      </w:r>
      <w:r>
        <w:t xml:space="preserve"> </w:t>
      </w:r>
      <w:r>
        <w:tab/>
        <w:t xml:space="preserve">A normal starting point of 3-12 years’ imprisonment. </w:t>
      </w:r>
    </w:p>
  </w:footnote>
  <w:footnote w:id="28">
    <w:p w:rsidR="00CB16ED" w:rsidRDefault="00CB16ED" w:rsidP="00AC2D2C">
      <w:pPr>
        <w:pStyle w:val="FootnoteText"/>
        <w:tabs>
          <w:tab w:val="clear" w:pos="274"/>
          <w:tab w:val="left" w:pos="360"/>
        </w:tabs>
        <w:ind w:left="360" w:hanging="360"/>
        <w:jc w:val="both"/>
      </w:pPr>
      <w:r>
        <w:rPr>
          <w:rStyle w:val="FootnoteReference"/>
        </w:rPr>
        <w:footnoteRef/>
      </w:r>
      <w:r>
        <w:t xml:space="preserve"> </w:t>
      </w:r>
      <w:r>
        <w:tab/>
        <w:t xml:space="preserve">A normal starting point of 5 years’ imprisonment where a dangerous weapon is displayed and 7 </w:t>
      </w:r>
      <w:r w:rsidRPr="00F71CFC">
        <w:rPr>
          <w:b/>
        </w:rPr>
        <w:t>‍</w:t>
      </w:r>
      <w:r>
        <w:t xml:space="preserve">years’ </w:t>
      </w:r>
      <w:r w:rsidRPr="00F71CFC">
        <w:rPr>
          <w:b/>
        </w:rPr>
        <w:t>‍</w:t>
      </w:r>
      <w:r>
        <w:t xml:space="preserve">imprisonment where actual violence is inflicted.  </w:t>
      </w:r>
    </w:p>
  </w:footnote>
  <w:footnote w:id="29">
    <w:p w:rsidR="00CB16ED" w:rsidRDefault="00CB16ED" w:rsidP="00F71CFC">
      <w:pPr>
        <w:pStyle w:val="FootnoteText"/>
        <w:tabs>
          <w:tab w:val="clear" w:pos="274"/>
          <w:tab w:val="left" w:pos="360"/>
        </w:tabs>
        <w:ind w:left="360" w:hanging="360"/>
        <w:jc w:val="both"/>
      </w:pPr>
      <w:r>
        <w:rPr>
          <w:rStyle w:val="FootnoteReference"/>
        </w:rPr>
        <w:footnoteRef/>
      </w:r>
      <w:r>
        <w:t xml:space="preserve"> </w:t>
      </w:r>
      <w:r>
        <w:tab/>
        <w:t xml:space="preserve">A normal starting point of 3-9 years’ imprisonment for manslaughter by provocation </w:t>
      </w:r>
      <w:r>
        <w:rPr>
          <w:color w:val="000000"/>
          <w:szCs w:val="28"/>
        </w:rPr>
        <w:t xml:space="preserve">in a domestic context. </w:t>
      </w:r>
    </w:p>
  </w:footnote>
  <w:footnote w:id="30">
    <w:p w:rsidR="00CB16ED" w:rsidRDefault="00CB16ED" w:rsidP="00AC2D2C">
      <w:pPr>
        <w:pStyle w:val="FootnoteText"/>
        <w:tabs>
          <w:tab w:val="clear" w:pos="274"/>
          <w:tab w:val="left" w:pos="360"/>
        </w:tabs>
        <w:jc w:val="both"/>
      </w:pPr>
      <w:r>
        <w:rPr>
          <w:rStyle w:val="FootnoteReference"/>
        </w:rPr>
        <w:footnoteRef/>
      </w:r>
      <w:r>
        <w:t xml:space="preserve"> </w:t>
      </w:r>
      <w:r>
        <w:tab/>
        <w:t xml:space="preserve">A normal starting point exceeding 20 years’ imprisonment. </w:t>
      </w:r>
    </w:p>
  </w:footnote>
  <w:footnote w:id="31">
    <w:p w:rsidR="00CB16ED" w:rsidRDefault="00CB16ED" w:rsidP="00AC2D2C">
      <w:pPr>
        <w:pStyle w:val="FootnoteText"/>
        <w:tabs>
          <w:tab w:val="clear" w:pos="274"/>
          <w:tab w:val="left" w:pos="360"/>
        </w:tabs>
        <w:jc w:val="both"/>
      </w:pPr>
      <w:r>
        <w:rPr>
          <w:rStyle w:val="FootnoteReference"/>
        </w:rPr>
        <w:footnoteRef/>
      </w:r>
      <w:r>
        <w:t xml:space="preserve"> </w:t>
      </w:r>
      <w:r>
        <w:tab/>
        <w:t xml:space="preserve">A normal starting point of 3-9 years’ imprisonment. </w:t>
      </w:r>
    </w:p>
  </w:footnote>
  <w:footnote w:id="32">
    <w:p w:rsidR="00CB16ED" w:rsidRDefault="00CB16ED" w:rsidP="00AC2D2C">
      <w:pPr>
        <w:pStyle w:val="FootnoteText"/>
        <w:tabs>
          <w:tab w:val="clear" w:pos="274"/>
          <w:tab w:val="left" w:pos="360"/>
        </w:tabs>
        <w:jc w:val="both"/>
      </w:pPr>
      <w:r>
        <w:rPr>
          <w:rStyle w:val="FootnoteReference"/>
        </w:rPr>
        <w:footnoteRef/>
      </w:r>
      <w:r>
        <w:t xml:space="preserve"> </w:t>
      </w:r>
      <w:r>
        <w:tab/>
      </w:r>
      <w:r>
        <w:rPr>
          <w:rFonts w:hint="eastAsia"/>
        </w:rPr>
        <w:t>Out</w:t>
      </w:r>
      <w:r>
        <w:t>line of Submissions Concerning Sentence, at [57]; A Short Response by the Applicant, at [6].</w:t>
      </w:r>
    </w:p>
  </w:footnote>
  <w:footnote w:id="33">
    <w:p w:rsidR="00CB16ED" w:rsidRPr="00260085" w:rsidRDefault="00CB16ED" w:rsidP="00E94300">
      <w:pPr>
        <w:pStyle w:val="FootnoteText"/>
        <w:tabs>
          <w:tab w:val="clear" w:pos="274"/>
          <w:tab w:val="left" w:pos="360"/>
        </w:tabs>
        <w:ind w:left="360" w:hanging="360"/>
        <w:jc w:val="both"/>
      </w:pPr>
      <w:r>
        <w:rPr>
          <w:rStyle w:val="FootnoteReference"/>
        </w:rPr>
        <w:footnoteRef/>
      </w:r>
      <w:r>
        <w:t xml:space="preserve"> </w:t>
      </w:r>
      <w:r>
        <w:tab/>
      </w:r>
      <w:r w:rsidRPr="00260085">
        <w:rPr>
          <w:i/>
        </w:rPr>
        <w:t>HKSAR v Barragan Herrero Jose Antonio</w:t>
      </w:r>
      <w:r w:rsidRPr="00260085">
        <w:t xml:space="preserve"> [2021] HKCFI 1609 </w:t>
      </w:r>
      <w:r>
        <w:t>(</w:t>
      </w:r>
      <w:r w:rsidRPr="00260085">
        <w:t>DHCJ McWalters</w:t>
      </w:r>
      <w:r>
        <w:t xml:space="preserve">); </w:t>
      </w:r>
      <w:r w:rsidRPr="00260085">
        <w:rPr>
          <w:i/>
        </w:rPr>
        <w:t xml:space="preserve">HKSAR v Kwan </w:t>
      </w:r>
      <w:r w:rsidRPr="00260085">
        <w:t>‍</w:t>
      </w:r>
      <w:r w:rsidRPr="00260085">
        <w:rPr>
          <w:i/>
        </w:rPr>
        <w:t>Wai Fan</w:t>
      </w:r>
      <w:r>
        <w:t xml:space="preserve"> [2021] HKCFI 2036 (</w:t>
      </w:r>
      <w:r w:rsidRPr="00260085">
        <w:t>DHCJ McWalters</w:t>
      </w:r>
      <w:r>
        <w:t xml:space="preserve">); </w:t>
      </w:r>
      <w:r w:rsidRPr="00260085">
        <w:rPr>
          <w:i/>
        </w:rPr>
        <w:t xml:space="preserve">HKSAR v Limbu </w:t>
      </w:r>
      <w:r w:rsidRPr="00260085">
        <w:t>‍</w:t>
      </w:r>
      <w:r w:rsidRPr="00260085">
        <w:rPr>
          <w:i/>
        </w:rPr>
        <w:t>John</w:t>
      </w:r>
      <w:r w:rsidRPr="00260085">
        <w:t xml:space="preserve"> [2021] HKCFI 2022 (DHCJ McWalters)</w:t>
      </w:r>
      <w:r>
        <w:t xml:space="preserve">; </w:t>
      </w:r>
      <w:r w:rsidRPr="00260085">
        <w:rPr>
          <w:i/>
        </w:rPr>
        <w:t>HKSAR v Tang Wing Han Sean</w:t>
      </w:r>
      <w:r>
        <w:t xml:space="preserve"> [2021] HKCFI 2528 (DHCJ McWalters); </w:t>
      </w:r>
      <w:r w:rsidRPr="00260085">
        <w:rPr>
          <w:i/>
        </w:rPr>
        <w:t>HKSAR v Lau Chung Shun</w:t>
      </w:r>
      <w:r>
        <w:t xml:space="preserve"> [2021] HKCFI 2674 (</w:t>
      </w:r>
      <w:r w:rsidRPr="00260085">
        <w:t>DHCJ McWalters</w:t>
      </w:r>
      <w:r>
        <w:rPr>
          <w:b/>
        </w:rPr>
        <w:t xml:space="preserve">); </w:t>
      </w:r>
      <w:r w:rsidRPr="00260085">
        <w:rPr>
          <w:i/>
        </w:rPr>
        <w:t>HKSAR v Yip Yung Sang</w:t>
      </w:r>
      <w:r w:rsidRPr="00260085">
        <w:t xml:space="preserve"> [2021] HKCFI 1600 (DHCJ McWalters</w:t>
      </w:r>
      <w:r>
        <w:t xml:space="preserve">); </w:t>
      </w:r>
      <w:r w:rsidRPr="00260085">
        <w:rPr>
          <w:i/>
        </w:rPr>
        <w:t>HKSAR v Chan Ho Kwai</w:t>
      </w:r>
      <w:r>
        <w:t xml:space="preserve"> [2021] HKCFI 2938 (DHCJ McWalters); </w:t>
      </w:r>
      <w:r w:rsidRPr="00260085">
        <w:rPr>
          <w:i/>
        </w:rPr>
        <w:t>HKSAR v Chu Yick Yin</w:t>
      </w:r>
      <w:r>
        <w:t xml:space="preserve"> [2021] HKCFI 2939 (DHCJ McWalters); </w:t>
      </w:r>
      <w:r w:rsidRPr="00260085">
        <w:rPr>
          <w:i/>
        </w:rPr>
        <w:t>HKSAR v Suen Yuk Hang</w:t>
      </w:r>
      <w:r>
        <w:t xml:space="preserve"> [2021] HKCFI 2940 (DHCJ McWalters); </w:t>
      </w:r>
      <w:r w:rsidRPr="00260085">
        <w:rPr>
          <w:i/>
        </w:rPr>
        <w:t>HKSAR v Cheng Man Kit</w:t>
      </w:r>
      <w:r>
        <w:t xml:space="preserve"> [2021] HKCFI 3032(DHCJ McWalters); </w:t>
      </w:r>
      <w:r w:rsidRPr="00260085">
        <w:rPr>
          <w:i/>
        </w:rPr>
        <w:t>HKSAR v Camara Kandja</w:t>
      </w:r>
      <w:r>
        <w:t xml:space="preserve"> [2021] HKCFI 3825 (DHCJ Derek Chan, SC); </w:t>
      </w:r>
      <w:r w:rsidRPr="00260085">
        <w:rPr>
          <w:i/>
        </w:rPr>
        <w:t>HKSAR v Wu Guoyi</w:t>
      </w:r>
      <w:r>
        <w:t xml:space="preserve"> [2022] HKCFI 105 (DHCJ Derek Chan, SC); </w:t>
      </w:r>
      <w:r w:rsidRPr="00E94300">
        <w:rPr>
          <w:i/>
        </w:rPr>
        <w:t>HKSAR v Chang Ching Lam</w:t>
      </w:r>
      <w:r>
        <w:t xml:space="preserve"> [2022] HKCFI 1026 (DHCJ </w:t>
      </w:r>
      <w:r w:rsidRPr="00260085">
        <w:t>‍</w:t>
      </w:r>
      <w:r>
        <w:t xml:space="preserve">Derek Chan, SC); </w:t>
      </w:r>
      <w:r w:rsidRPr="00E94300">
        <w:rPr>
          <w:i/>
        </w:rPr>
        <w:t>HKSAR v Sithole Mandisa Nolizwe</w:t>
      </w:r>
      <w:r>
        <w:t xml:space="preserve"> [2022] HKCFI 2905 (Recorder </w:t>
      </w:r>
      <w:r w:rsidRPr="00260085">
        <w:t>‍</w:t>
      </w:r>
      <w:r>
        <w:t xml:space="preserve">Derek </w:t>
      </w:r>
      <w:r w:rsidRPr="00260085">
        <w:t>‍</w:t>
      </w:r>
      <w:r>
        <w:t xml:space="preserve">Chan, SC); </w:t>
      </w:r>
      <w:r w:rsidRPr="00E94300">
        <w:rPr>
          <w:i/>
        </w:rPr>
        <w:t>HKSAR v Proietti Stefan</w:t>
      </w:r>
      <w:r>
        <w:t xml:space="preserve"> [2022] HKCFI 3589 (Recorder Derek Chan, SC); </w:t>
      </w:r>
      <w:r w:rsidRPr="00E94300">
        <w:rPr>
          <w:i/>
        </w:rPr>
        <w:t>HKSAR v Shum Tsun Lok</w:t>
      </w:r>
      <w:r>
        <w:t xml:space="preserve"> [2023] HKCFI 935 (Recorder Maggie Wong, SC).</w:t>
      </w:r>
    </w:p>
  </w:footnote>
  <w:footnote w:id="34">
    <w:p w:rsidR="00CB16ED" w:rsidRPr="005C508B" w:rsidRDefault="00CB16ED" w:rsidP="006C4B2A">
      <w:pPr>
        <w:pStyle w:val="FootnoteText"/>
        <w:tabs>
          <w:tab w:val="clear" w:pos="274"/>
          <w:tab w:val="left" w:pos="360"/>
        </w:tabs>
      </w:pPr>
      <w:r>
        <w:rPr>
          <w:rStyle w:val="FootnoteReference"/>
        </w:rPr>
        <w:footnoteRef/>
      </w:r>
      <w:r>
        <w:t xml:space="preserve"> </w:t>
      </w:r>
      <w:r>
        <w:tab/>
      </w:r>
      <w:r w:rsidRPr="00F82260">
        <w:rPr>
          <w:i/>
        </w:rPr>
        <w:t>Lee Ming Ho</w:t>
      </w:r>
      <w:r>
        <w:t>, at [83]-[86].</w:t>
      </w:r>
    </w:p>
  </w:footnote>
  <w:footnote w:id="35">
    <w:p w:rsidR="00CB16ED" w:rsidRPr="00C24AD0" w:rsidRDefault="00CB16ED" w:rsidP="007A6E8F">
      <w:pPr>
        <w:pStyle w:val="FootnoteText"/>
        <w:tabs>
          <w:tab w:val="clear" w:pos="274"/>
          <w:tab w:val="left" w:pos="360"/>
        </w:tabs>
      </w:pPr>
      <w:r>
        <w:rPr>
          <w:rStyle w:val="FootnoteReference"/>
        </w:rPr>
        <w:footnoteRef/>
      </w:r>
      <w:r>
        <w:t xml:space="preserve"> </w:t>
      </w:r>
      <w:r>
        <w:tab/>
      </w:r>
      <w:r w:rsidRPr="00C24AD0">
        <w:rPr>
          <w:i/>
        </w:rPr>
        <w:t>Lau Tak-ming</w:t>
      </w:r>
      <w:r>
        <w:t>, at 386G.</w:t>
      </w:r>
    </w:p>
  </w:footnote>
  <w:footnote w:id="36">
    <w:p w:rsidR="00CB16ED" w:rsidRDefault="00CB16ED" w:rsidP="00AC2D2C">
      <w:pPr>
        <w:pStyle w:val="FootnoteText"/>
        <w:tabs>
          <w:tab w:val="clear" w:pos="274"/>
          <w:tab w:val="left" w:pos="360"/>
        </w:tabs>
      </w:pPr>
      <w:r>
        <w:rPr>
          <w:rStyle w:val="FootnoteReference"/>
        </w:rPr>
        <w:footnoteRef/>
      </w:r>
      <w:r>
        <w:t xml:space="preserve"> </w:t>
      </w:r>
      <w:r>
        <w:tab/>
      </w:r>
      <w:r w:rsidRPr="002A5F5A">
        <w:rPr>
          <w:i/>
        </w:rPr>
        <w:t>Lee Ming Ho</w:t>
      </w:r>
      <w:r>
        <w:t xml:space="preserve">, at [68]. </w:t>
      </w:r>
    </w:p>
  </w:footnote>
  <w:footnote w:id="37">
    <w:p w:rsidR="00CB16ED" w:rsidRDefault="00CB16ED" w:rsidP="00AC2D2C">
      <w:pPr>
        <w:pStyle w:val="FootnoteText"/>
        <w:tabs>
          <w:tab w:val="clear" w:pos="274"/>
          <w:tab w:val="left" w:pos="360"/>
        </w:tabs>
      </w:pPr>
      <w:r>
        <w:rPr>
          <w:rStyle w:val="FootnoteReference"/>
        </w:rPr>
        <w:footnoteRef/>
      </w:r>
      <w:r>
        <w:t xml:space="preserve"> </w:t>
      </w:r>
      <w:r>
        <w:tab/>
      </w:r>
      <w:r w:rsidRPr="00F367D6">
        <w:rPr>
          <w:i/>
        </w:rPr>
        <w:t>Secretary for Justice v</w:t>
      </w:r>
      <w:r>
        <w:t xml:space="preserve"> </w:t>
      </w:r>
      <w:r w:rsidRPr="00EB0A13">
        <w:rPr>
          <w:i/>
        </w:rPr>
        <w:t>Hii Siew Cheng</w:t>
      </w:r>
      <w:r>
        <w:t xml:space="preserve"> [2009] 1 HKLRD 1. </w:t>
      </w:r>
    </w:p>
  </w:footnote>
  <w:footnote w:id="38">
    <w:p w:rsidR="00CB16ED" w:rsidRPr="00D52DC3" w:rsidRDefault="00CB16ED" w:rsidP="00DA3B92">
      <w:pPr>
        <w:pStyle w:val="FootnoteText"/>
        <w:tabs>
          <w:tab w:val="clear" w:pos="274"/>
          <w:tab w:val="left" w:pos="360"/>
        </w:tabs>
        <w:rPr>
          <w:lang w:val="en-US"/>
        </w:rPr>
      </w:pPr>
      <w:r>
        <w:rPr>
          <w:rStyle w:val="FootnoteReference"/>
        </w:rPr>
        <w:footnoteRef/>
      </w:r>
      <w:r>
        <w:t xml:space="preserve"> </w:t>
      </w:r>
      <w:r>
        <w:rPr>
          <w:lang w:val="en-US"/>
        </w:rPr>
        <w:tab/>
      </w:r>
      <w:r w:rsidRPr="00D52DC3">
        <w:rPr>
          <w:i/>
          <w:lang w:val="en-US"/>
        </w:rPr>
        <w:t>Ibid.</w:t>
      </w:r>
      <w:r>
        <w:rPr>
          <w:lang w:val="en-US"/>
        </w:rPr>
        <w:t>, at [105].</w:t>
      </w:r>
    </w:p>
  </w:footnote>
  <w:footnote w:id="39">
    <w:p w:rsidR="00CB16ED" w:rsidRPr="003E5CDD" w:rsidRDefault="00CB16ED" w:rsidP="007A6E8F">
      <w:pPr>
        <w:pStyle w:val="FootnoteText"/>
        <w:tabs>
          <w:tab w:val="clear" w:pos="274"/>
          <w:tab w:val="left" w:pos="360"/>
        </w:tabs>
      </w:pPr>
      <w:r>
        <w:rPr>
          <w:rStyle w:val="FootnoteReference"/>
        </w:rPr>
        <w:footnoteRef/>
      </w:r>
      <w:r>
        <w:t xml:space="preserve"> </w:t>
      </w:r>
      <w:r>
        <w:tab/>
      </w:r>
      <w:r w:rsidRPr="003E5CDD">
        <w:rPr>
          <w:i/>
        </w:rPr>
        <w:t>Abdallah</w:t>
      </w:r>
      <w:r>
        <w:t>, at [37]-[38].</w:t>
      </w:r>
    </w:p>
  </w:footnote>
  <w:footnote w:id="40">
    <w:p w:rsidR="00CB16ED" w:rsidRDefault="00CB16ED" w:rsidP="00AC2D2C">
      <w:pPr>
        <w:pStyle w:val="FootnoteText"/>
        <w:tabs>
          <w:tab w:val="clear" w:pos="274"/>
          <w:tab w:val="left" w:pos="360"/>
        </w:tabs>
      </w:pPr>
      <w:r>
        <w:rPr>
          <w:rStyle w:val="FootnoteReference"/>
        </w:rPr>
        <w:footnoteRef/>
      </w:r>
      <w:r>
        <w:t xml:space="preserve"> </w:t>
      </w:r>
      <w:r>
        <w:tab/>
      </w:r>
      <w:r w:rsidRPr="002A5F5A">
        <w:rPr>
          <w:i/>
        </w:rPr>
        <w:t>Raman Kapusamy</w:t>
      </w:r>
      <w:r>
        <w:t xml:space="preserve">, at [73]. </w:t>
      </w:r>
    </w:p>
  </w:footnote>
  <w:footnote w:id="41">
    <w:p w:rsidR="00CB16ED" w:rsidRPr="003F778A" w:rsidRDefault="00CB16ED" w:rsidP="007A6E8F">
      <w:pPr>
        <w:pStyle w:val="FootnoteText"/>
        <w:tabs>
          <w:tab w:val="clear" w:pos="274"/>
          <w:tab w:val="left" w:pos="360"/>
        </w:tabs>
      </w:pPr>
      <w:r>
        <w:rPr>
          <w:rStyle w:val="FootnoteReference"/>
        </w:rPr>
        <w:footnoteRef/>
      </w:r>
      <w:r>
        <w:t xml:space="preserve"> </w:t>
      </w:r>
      <w:r>
        <w:tab/>
      </w:r>
      <w:r w:rsidRPr="003F778A">
        <w:rPr>
          <w:i/>
        </w:rPr>
        <w:t>HKSAR v Michalakopoulos Theodoros</w:t>
      </w:r>
      <w:r>
        <w:t xml:space="preserve"> [2025] 1 HKLRD 1.</w:t>
      </w:r>
    </w:p>
  </w:footnote>
  <w:footnote w:id="42">
    <w:p w:rsidR="00CB16ED" w:rsidRPr="009D6450" w:rsidRDefault="00CB16ED" w:rsidP="004A52CE">
      <w:pPr>
        <w:pStyle w:val="FootnoteText"/>
        <w:tabs>
          <w:tab w:val="clear" w:pos="274"/>
          <w:tab w:val="left" w:pos="360"/>
        </w:tabs>
      </w:pPr>
      <w:r>
        <w:rPr>
          <w:rStyle w:val="FootnoteReference"/>
        </w:rPr>
        <w:footnoteRef/>
      </w:r>
      <w:r>
        <w:t xml:space="preserve"> </w:t>
      </w:r>
      <w:r>
        <w:tab/>
      </w:r>
      <w:r>
        <w:rPr>
          <w:i/>
        </w:rPr>
        <w:t>Chan Chi-ming</w:t>
      </w:r>
      <w:r w:rsidRPr="009D6450">
        <w:rPr>
          <w:i/>
        </w:rPr>
        <w:t>.</w:t>
      </w:r>
      <w:r>
        <w:t>, at p 492.</w:t>
      </w:r>
    </w:p>
  </w:footnote>
  <w:footnote w:id="43">
    <w:p w:rsidR="00CB16ED" w:rsidRPr="008B0588" w:rsidRDefault="00CB16ED" w:rsidP="004A52CE">
      <w:pPr>
        <w:pStyle w:val="FootnoteText"/>
        <w:tabs>
          <w:tab w:val="clear" w:pos="274"/>
          <w:tab w:val="left" w:pos="360"/>
        </w:tabs>
      </w:pPr>
      <w:r>
        <w:rPr>
          <w:rStyle w:val="FootnoteReference"/>
        </w:rPr>
        <w:footnoteRef/>
      </w:r>
      <w:r>
        <w:t xml:space="preserve"> </w:t>
      </w:r>
      <w:r>
        <w:tab/>
      </w:r>
      <w:r w:rsidRPr="00E348DB">
        <w:rPr>
          <w:i/>
        </w:rPr>
        <w:t>Lee Ming Ho</w:t>
      </w:r>
      <w:r>
        <w:t>, at [48].</w:t>
      </w:r>
    </w:p>
  </w:footnote>
  <w:footnote w:id="44">
    <w:p w:rsidR="00CB16ED" w:rsidRPr="002219A9" w:rsidRDefault="00CB16ED" w:rsidP="004A52CE">
      <w:pPr>
        <w:pStyle w:val="FootnoteText"/>
        <w:tabs>
          <w:tab w:val="clear" w:pos="274"/>
          <w:tab w:val="left" w:pos="360"/>
        </w:tabs>
      </w:pPr>
      <w:r>
        <w:rPr>
          <w:rStyle w:val="FootnoteReference"/>
        </w:rPr>
        <w:footnoteRef/>
      </w:r>
      <w:r>
        <w:t xml:space="preserve"> </w:t>
      </w:r>
      <w:r>
        <w:tab/>
      </w:r>
      <w:r w:rsidRPr="002219A9">
        <w:rPr>
          <w:i/>
        </w:rPr>
        <w:t>Ibid.</w:t>
      </w:r>
      <w:r>
        <w:t>, at [48].</w:t>
      </w:r>
    </w:p>
  </w:footnote>
  <w:footnote w:id="45">
    <w:p w:rsidR="00CB16ED" w:rsidRPr="00C629B4" w:rsidRDefault="00CB16ED" w:rsidP="004A52CE">
      <w:pPr>
        <w:pStyle w:val="FootnoteText"/>
        <w:tabs>
          <w:tab w:val="clear" w:pos="274"/>
          <w:tab w:val="left" w:pos="360"/>
        </w:tabs>
      </w:pPr>
      <w:r>
        <w:rPr>
          <w:rStyle w:val="FootnoteReference"/>
        </w:rPr>
        <w:footnoteRef/>
      </w:r>
      <w:r>
        <w:t xml:space="preserve"> </w:t>
      </w:r>
      <w:r>
        <w:tab/>
      </w:r>
      <w:r w:rsidRPr="00C629B4">
        <w:rPr>
          <w:i/>
        </w:rPr>
        <w:t>Attorney General v Leung Pang-chiu</w:t>
      </w:r>
      <w:r>
        <w:t xml:space="preserve"> [1986] HKLR 608</w:t>
      </w:r>
    </w:p>
  </w:footnote>
  <w:footnote w:id="46">
    <w:p w:rsidR="00CB16ED" w:rsidRPr="00831298" w:rsidRDefault="00CB16ED" w:rsidP="004A52CE">
      <w:pPr>
        <w:pStyle w:val="FootnoteText"/>
        <w:tabs>
          <w:tab w:val="clear" w:pos="274"/>
          <w:tab w:val="left" w:pos="360"/>
        </w:tabs>
      </w:pPr>
      <w:r>
        <w:rPr>
          <w:rStyle w:val="FootnoteReference"/>
        </w:rPr>
        <w:footnoteRef/>
      </w:r>
      <w:r>
        <w:t xml:space="preserve"> </w:t>
      </w:r>
      <w:r>
        <w:tab/>
      </w:r>
      <w:r w:rsidRPr="00831298">
        <w:rPr>
          <w:i/>
        </w:rPr>
        <w:t>R v Martinez</w:t>
      </w:r>
      <w:r>
        <w:t>, The Times Law Reports, 24 November 1984.</w:t>
      </w:r>
    </w:p>
  </w:footnote>
  <w:footnote w:id="47">
    <w:p w:rsidR="00CB16ED" w:rsidRPr="005A27FD" w:rsidRDefault="00CB16ED" w:rsidP="004A52CE">
      <w:pPr>
        <w:pStyle w:val="FootnoteText"/>
        <w:tabs>
          <w:tab w:val="clear" w:pos="274"/>
          <w:tab w:val="left" w:pos="360"/>
        </w:tabs>
      </w:pPr>
      <w:r>
        <w:rPr>
          <w:rStyle w:val="FootnoteReference"/>
        </w:rPr>
        <w:footnoteRef/>
      </w:r>
      <w:r>
        <w:t xml:space="preserve"> </w:t>
      </w:r>
      <w:r>
        <w:tab/>
        <w:t>The quantities of dangerous drugs mentioned are gross weights.</w:t>
      </w:r>
    </w:p>
  </w:footnote>
  <w:footnote w:id="48">
    <w:p w:rsidR="00CB16ED" w:rsidRPr="008C045F" w:rsidRDefault="00CB16ED" w:rsidP="00335EB8">
      <w:pPr>
        <w:pStyle w:val="FootnoteText"/>
        <w:tabs>
          <w:tab w:val="clear" w:pos="274"/>
          <w:tab w:val="left" w:pos="360"/>
        </w:tabs>
      </w:pPr>
      <w:r>
        <w:rPr>
          <w:rStyle w:val="FootnoteReference"/>
        </w:rPr>
        <w:footnoteRef/>
      </w:r>
      <w:r>
        <w:t xml:space="preserve"> </w:t>
      </w:r>
      <w:r>
        <w:tab/>
        <w:t>HCCC No 87 of 1983.</w:t>
      </w:r>
    </w:p>
  </w:footnote>
  <w:footnote w:id="49">
    <w:p w:rsidR="00CB16ED" w:rsidRPr="004523BE" w:rsidRDefault="00CB16ED" w:rsidP="004A52CE">
      <w:pPr>
        <w:pStyle w:val="FootnoteText"/>
        <w:tabs>
          <w:tab w:val="clear" w:pos="274"/>
          <w:tab w:val="left" w:pos="360"/>
        </w:tabs>
      </w:pPr>
      <w:r>
        <w:rPr>
          <w:rStyle w:val="FootnoteReference"/>
        </w:rPr>
        <w:footnoteRef/>
      </w:r>
      <w:r>
        <w:t xml:space="preserve"> </w:t>
      </w:r>
      <w:r>
        <w:tab/>
      </w:r>
      <w:r w:rsidRPr="004523BE">
        <w:rPr>
          <w:i/>
        </w:rPr>
        <w:t>Attorney General v Ching Kwok-hung</w:t>
      </w:r>
      <w:r>
        <w:t xml:space="preserve"> [1991] 2 HKLR 125.</w:t>
      </w:r>
    </w:p>
  </w:footnote>
  <w:footnote w:id="50">
    <w:p w:rsidR="00CB16ED" w:rsidRPr="004523BE" w:rsidRDefault="00CB16ED" w:rsidP="004A52CE">
      <w:pPr>
        <w:pStyle w:val="FootnoteText"/>
        <w:tabs>
          <w:tab w:val="clear" w:pos="274"/>
          <w:tab w:val="left" w:pos="360"/>
        </w:tabs>
      </w:pPr>
      <w:r>
        <w:rPr>
          <w:rStyle w:val="FootnoteReference"/>
        </w:rPr>
        <w:footnoteRef/>
      </w:r>
      <w:r>
        <w:t xml:space="preserve"> </w:t>
      </w:r>
      <w:r>
        <w:tab/>
      </w:r>
      <w:r w:rsidRPr="004523BE">
        <w:rPr>
          <w:i/>
        </w:rPr>
        <w:t>Ibid.</w:t>
      </w:r>
      <w:r>
        <w:t>, at p128.</w:t>
      </w:r>
    </w:p>
  </w:footnote>
  <w:footnote w:id="51">
    <w:p w:rsidR="00CB16ED" w:rsidRPr="003E0163" w:rsidRDefault="00CB16ED" w:rsidP="0046009A">
      <w:pPr>
        <w:pStyle w:val="FootnoteText"/>
        <w:tabs>
          <w:tab w:val="clear" w:pos="274"/>
          <w:tab w:val="left" w:pos="360"/>
        </w:tabs>
      </w:pPr>
      <w:r>
        <w:rPr>
          <w:rStyle w:val="FootnoteReference"/>
        </w:rPr>
        <w:footnoteRef/>
      </w:r>
      <w:r>
        <w:t xml:space="preserve"> </w:t>
      </w:r>
      <w:r>
        <w:tab/>
      </w:r>
      <w:r w:rsidRPr="003E0163">
        <w:rPr>
          <w:i/>
        </w:rPr>
        <w:t>Lau Tak-ming</w:t>
      </w:r>
      <w:r>
        <w:t>, at p385H.</w:t>
      </w:r>
    </w:p>
  </w:footnote>
  <w:footnote w:id="52">
    <w:p w:rsidR="00CB16ED" w:rsidRPr="00140442" w:rsidRDefault="00CB16ED" w:rsidP="004A52CE">
      <w:pPr>
        <w:pStyle w:val="FootnoteText"/>
        <w:tabs>
          <w:tab w:val="clear" w:pos="274"/>
          <w:tab w:val="left" w:pos="360"/>
        </w:tabs>
      </w:pPr>
      <w:r>
        <w:rPr>
          <w:rStyle w:val="FootnoteReference"/>
        </w:rPr>
        <w:footnoteRef/>
      </w:r>
      <w:r>
        <w:t xml:space="preserve"> </w:t>
      </w:r>
      <w:r>
        <w:tab/>
      </w:r>
      <w:r w:rsidRPr="00140442">
        <w:rPr>
          <w:i/>
        </w:rPr>
        <w:t>Attorney General v Chan Chi Man</w:t>
      </w:r>
      <w:r>
        <w:t xml:space="preserve"> [1987] HKLR 221.</w:t>
      </w:r>
    </w:p>
  </w:footnote>
  <w:footnote w:id="53">
    <w:p w:rsidR="00CB16ED" w:rsidRPr="00140442" w:rsidRDefault="00CB16ED" w:rsidP="004A52CE">
      <w:pPr>
        <w:pStyle w:val="FootnoteText"/>
        <w:tabs>
          <w:tab w:val="clear" w:pos="274"/>
          <w:tab w:val="left" w:pos="360"/>
        </w:tabs>
      </w:pPr>
      <w:r>
        <w:rPr>
          <w:rStyle w:val="FootnoteReference"/>
        </w:rPr>
        <w:footnoteRef/>
      </w:r>
      <w:r>
        <w:t xml:space="preserve"> </w:t>
      </w:r>
      <w:r>
        <w:tab/>
      </w:r>
      <w:r w:rsidRPr="00163CE2">
        <w:rPr>
          <w:i/>
        </w:rPr>
        <w:t>Attorney General v Tuen Shui Ming</w:t>
      </w:r>
      <w:r>
        <w:t xml:space="preserve"> [1995] 2 HKC 798.</w:t>
      </w:r>
    </w:p>
  </w:footnote>
  <w:footnote w:id="54">
    <w:p w:rsidR="00CB16ED" w:rsidRPr="00BE3D11" w:rsidRDefault="00CB16ED" w:rsidP="004A52CE">
      <w:pPr>
        <w:pStyle w:val="FootnoteText"/>
        <w:tabs>
          <w:tab w:val="clear" w:pos="274"/>
          <w:tab w:val="left" w:pos="360"/>
        </w:tabs>
        <w:rPr>
          <w:lang w:val="fr-FR"/>
        </w:rPr>
      </w:pPr>
      <w:r>
        <w:rPr>
          <w:rStyle w:val="FootnoteReference"/>
        </w:rPr>
        <w:footnoteRef/>
      </w:r>
      <w:r w:rsidRPr="00BE3D11">
        <w:rPr>
          <w:lang w:val="fr-FR"/>
        </w:rPr>
        <w:t xml:space="preserve"> </w:t>
      </w:r>
      <w:r w:rsidRPr="00BE3D11">
        <w:rPr>
          <w:lang w:val="fr-FR"/>
        </w:rPr>
        <w:tab/>
      </w:r>
      <w:r w:rsidRPr="00BE3D11">
        <w:rPr>
          <w:i/>
          <w:lang w:val="fr-FR"/>
        </w:rPr>
        <w:t xml:space="preserve">HKSAR v Nguyen Thang Loi </w:t>
      </w:r>
      <w:r w:rsidRPr="00BE3D11">
        <w:rPr>
          <w:lang w:val="fr-FR"/>
        </w:rPr>
        <w:t>[2023] 1 HKLRD 1329.</w:t>
      </w:r>
    </w:p>
  </w:footnote>
  <w:footnote w:id="55">
    <w:p w:rsidR="00CB16ED" w:rsidRPr="00FD3093" w:rsidRDefault="00CB16ED" w:rsidP="0046009A">
      <w:pPr>
        <w:pStyle w:val="FootnoteText"/>
        <w:tabs>
          <w:tab w:val="clear" w:pos="274"/>
          <w:tab w:val="left" w:pos="360"/>
        </w:tabs>
        <w:rPr>
          <w:lang w:val="en-US"/>
        </w:rPr>
      </w:pPr>
      <w:r>
        <w:rPr>
          <w:rStyle w:val="FootnoteReference"/>
        </w:rPr>
        <w:footnoteRef/>
      </w:r>
      <w:r>
        <w:t xml:space="preserve"> </w:t>
      </w:r>
      <w:r>
        <w:rPr>
          <w:lang w:val="en-US"/>
        </w:rPr>
        <w:tab/>
      </w:r>
      <w:r w:rsidRPr="00FD3093">
        <w:rPr>
          <w:i/>
          <w:lang w:val="en-US"/>
        </w:rPr>
        <w:t>HKSAR v Ko Wai Shing</w:t>
      </w:r>
      <w:r>
        <w:rPr>
          <w:lang w:val="en-US"/>
        </w:rPr>
        <w:t xml:space="preserve"> [2012] 5 HKLRD 725.</w:t>
      </w:r>
    </w:p>
  </w:footnote>
  <w:footnote w:id="56">
    <w:p w:rsidR="00CB16ED" w:rsidRPr="003918F8" w:rsidRDefault="00CB16ED" w:rsidP="00BE3D11">
      <w:pPr>
        <w:pStyle w:val="FootnoteText"/>
        <w:tabs>
          <w:tab w:val="clear" w:pos="274"/>
          <w:tab w:val="left" w:pos="360"/>
        </w:tabs>
      </w:pPr>
      <w:r>
        <w:rPr>
          <w:rStyle w:val="FootnoteReference"/>
        </w:rPr>
        <w:footnoteRef/>
      </w:r>
      <w:r>
        <w:t xml:space="preserve"> </w:t>
      </w:r>
      <w:r>
        <w:tab/>
      </w:r>
      <w:r w:rsidRPr="003918F8">
        <w:rPr>
          <w:i/>
        </w:rPr>
        <w:t>Lee Ming Ho</w:t>
      </w:r>
      <w:r>
        <w:t>, at [52]-[70].</w:t>
      </w:r>
    </w:p>
  </w:footnote>
  <w:footnote w:id="57">
    <w:p w:rsidR="00CB16ED" w:rsidRPr="00C0033C" w:rsidRDefault="00CB16ED" w:rsidP="00BE3D11">
      <w:pPr>
        <w:pStyle w:val="FootnoteText"/>
        <w:tabs>
          <w:tab w:val="clear" w:pos="274"/>
          <w:tab w:val="left" w:pos="360"/>
        </w:tabs>
      </w:pPr>
      <w:r>
        <w:rPr>
          <w:rStyle w:val="FootnoteReference"/>
        </w:rPr>
        <w:footnoteRef/>
      </w:r>
      <w:r>
        <w:t xml:space="preserve"> </w:t>
      </w:r>
      <w:r>
        <w:tab/>
      </w:r>
      <w:r w:rsidRPr="00BE3D11">
        <w:rPr>
          <w:i/>
        </w:rPr>
        <w:t>Ibid</w:t>
      </w:r>
      <w:r>
        <w:t>., at [66]-[67].</w:t>
      </w:r>
    </w:p>
  </w:footnote>
  <w:footnote w:id="58">
    <w:p w:rsidR="00CB16ED" w:rsidRPr="00BE3D11" w:rsidRDefault="00CB16ED" w:rsidP="002D5F97">
      <w:pPr>
        <w:pStyle w:val="FootnoteText"/>
        <w:tabs>
          <w:tab w:val="clear" w:pos="274"/>
          <w:tab w:val="left" w:pos="360"/>
        </w:tabs>
        <w:ind w:left="360" w:hanging="360"/>
      </w:pPr>
      <w:r>
        <w:rPr>
          <w:rStyle w:val="FootnoteReference"/>
        </w:rPr>
        <w:footnoteRef/>
      </w:r>
      <w:r>
        <w:t xml:space="preserve"> </w:t>
      </w:r>
      <w:r>
        <w:tab/>
      </w:r>
      <w:r w:rsidRPr="00546DAD">
        <w:rPr>
          <w:i/>
        </w:rPr>
        <w:t>HKSAR v Leung Wai Man</w:t>
      </w:r>
      <w:r>
        <w:t xml:space="preserve"> ( Unrep., CACC 24/2007, [2010] 1 HKLRD C2, 7 December 2009), [6]-[10], </w:t>
      </w:r>
      <w:r>
        <w:rPr>
          <w:i/>
        </w:rPr>
        <w:t>per</w:t>
      </w:r>
      <w:r>
        <w:t xml:space="preserve"> McMahon J.</w:t>
      </w:r>
    </w:p>
  </w:footnote>
  <w:footnote w:id="59">
    <w:p w:rsidR="00CB16ED" w:rsidRPr="000B2A23" w:rsidRDefault="00CB16ED" w:rsidP="00335EB8">
      <w:pPr>
        <w:pStyle w:val="FootnoteText"/>
        <w:tabs>
          <w:tab w:val="clear" w:pos="274"/>
          <w:tab w:val="left" w:pos="360"/>
        </w:tabs>
        <w:ind w:left="360" w:hanging="360"/>
        <w:jc w:val="both"/>
      </w:pPr>
      <w:r>
        <w:rPr>
          <w:rStyle w:val="FootnoteReference"/>
        </w:rPr>
        <w:footnoteRef/>
      </w:r>
      <w:r>
        <w:t xml:space="preserve"> </w:t>
      </w:r>
      <w:r>
        <w:tab/>
      </w:r>
      <w:r w:rsidRPr="00546DAD">
        <w:rPr>
          <w:i/>
        </w:rPr>
        <w:t>HKSAR v Kilima Abubakar Abbas</w:t>
      </w:r>
      <w:r>
        <w:t xml:space="preserve"> [2018] 5 HKLRD 88, at [45], </w:t>
      </w:r>
      <w:r>
        <w:rPr>
          <w:i/>
        </w:rPr>
        <w:t>per</w:t>
      </w:r>
      <w:r>
        <w:t xml:space="preserve"> Lunn V-P; and [148], </w:t>
      </w:r>
      <w:r>
        <w:rPr>
          <w:i/>
        </w:rPr>
        <w:t>per</w:t>
      </w:r>
      <w:r>
        <w:t xml:space="preserve"> </w:t>
      </w:r>
      <w:r w:rsidRPr="00335EB8">
        <w:rPr>
          <w:b/>
          <w:i/>
          <w:iCs/>
        </w:rPr>
        <w:t>‍</w:t>
      </w:r>
      <w:r>
        <w:t>McWalters JA.</w:t>
      </w:r>
    </w:p>
  </w:footnote>
  <w:footnote w:id="60">
    <w:p w:rsidR="00CB16ED" w:rsidRPr="000B2A23" w:rsidRDefault="00CB16ED" w:rsidP="000B2A23">
      <w:pPr>
        <w:pStyle w:val="FootnoteText"/>
        <w:tabs>
          <w:tab w:val="clear" w:pos="274"/>
          <w:tab w:val="left" w:pos="360"/>
        </w:tabs>
      </w:pPr>
      <w:r>
        <w:rPr>
          <w:rStyle w:val="FootnoteReference"/>
        </w:rPr>
        <w:footnoteRef/>
      </w:r>
      <w:r>
        <w:t xml:space="preserve"> </w:t>
      </w:r>
      <w:r>
        <w:tab/>
      </w:r>
      <w:r w:rsidRPr="00546DAD">
        <w:rPr>
          <w:i/>
        </w:rPr>
        <w:t>HKSAR v Godson Ugochukwu Okoro</w:t>
      </w:r>
      <w:r>
        <w:t xml:space="preserve"> [2019] 2 HKLRD 451, [52], </w:t>
      </w:r>
      <w:r>
        <w:rPr>
          <w:i/>
        </w:rPr>
        <w:t>per</w:t>
      </w:r>
      <w:r>
        <w:t xml:space="preserve"> Zervos JA.</w:t>
      </w:r>
    </w:p>
  </w:footnote>
  <w:footnote w:id="61">
    <w:p w:rsidR="00CB16ED" w:rsidRPr="000B2A23" w:rsidRDefault="00CB16ED" w:rsidP="000B2A23">
      <w:pPr>
        <w:pStyle w:val="FootnoteText"/>
        <w:tabs>
          <w:tab w:val="clear" w:pos="274"/>
          <w:tab w:val="left" w:pos="360"/>
        </w:tabs>
      </w:pPr>
      <w:r>
        <w:rPr>
          <w:rStyle w:val="FootnoteReference"/>
        </w:rPr>
        <w:footnoteRef/>
      </w:r>
      <w:r>
        <w:t xml:space="preserve"> </w:t>
      </w:r>
      <w:r>
        <w:tab/>
      </w:r>
      <w:r w:rsidRPr="00546DAD">
        <w:rPr>
          <w:i/>
        </w:rPr>
        <w:t>Abdallah</w:t>
      </w:r>
      <w:r>
        <w:t xml:space="preserve">, at [37]-[38], </w:t>
      </w:r>
      <w:r>
        <w:rPr>
          <w:i/>
        </w:rPr>
        <w:t>per</w:t>
      </w:r>
      <w:r>
        <w:t xml:space="preserve"> Stuart-Moore VP.</w:t>
      </w:r>
    </w:p>
  </w:footnote>
  <w:footnote w:id="62">
    <w:p w:rsidR="00CB16ED" w:rsidRPr="000B2A23" w:rsidRDefault="00CB16ED" w:rsidP="000B2A23">
      <w:pPr>
        <w:pStyle w:val="FootnoteText"/>
        <w:tabs>
          <w:tab w:val="clear" w:pos="274"/>
          <w:tab w:val="left" w:pos="360"/>
        </w:tabs>
      </w:pPr>
      <w:r>
        <w:rPr>
          <w:rStyle w:val="FootnoteReference"/>
        </w:rPr>
        <w:footnoteRef/>
      </w:r>
      <w:r>
        <w:t xml:space="preserve"> </w:t>
      </w:r>
      <w:r>
        <w:tab/>
      </w:r>
      <w:r w:rsidRPr="00546DAD">
        <w:rPr>
          <w:i/>
        </w:rPr>
        <w:t>Kilima Abubakar Abbas</w:t>
      </w:r>
      <w:r>
        <w:t>, at [148].</w:t>
      </w:r>
    </w:p>
  </w:footnote>
  <w:footnote w:id="63">
    <w:p w:rsidR="00CB16ED" w:rsidRPr="000B2A23" w:rsidRDefault="00CB16ED" w:rsidP="000B2A23">
      <w:pPr>
        <w:pStyle w:val="FootnoteText"/>
        <w:tabs>
          <w:tab w:val="clear" w:pos="274"/>
          <w:tab w:val="left" w:pos="360"/>
        </w:tabs>
        <w:ind w:left="360" w:hanging="360"/>
        <w:jc w:val="both"/>
      </w:pPr>
      <w:r>
        <w:rPr>
          <w:rStyle w:val="FootnoteReference"/>
        </w:rPr>
        <w:footnoteRef/>
      </w:r>
      <w:r>
        <w:t xml:space="preserve"> </w:t>
      </w:r>
      <w:r>
        <w:tab/>
        <w:t xml:space="preserve">One case, </w:t>
      </w:r>
      <w:r w:rsidRPr="000B2A23">
        <w:rPr>
          <w:i/>
        </w:rPr>
        <w:t>HKSAR v Wong Ka Ho &amp; Anor</w:t>
      </w:r>
      <w:r>
        <w:t xml:space="preserve"> [2021] HKCFI 494, was concerned with a combination of over 80 kilogrammes of cocaine and ketamine.</w:t>
      </w:r>
    </w:p>
  </w:footnote>
  <w:footnote w:id="64">
    <w:p w:rsidR="00CB16ED" w:rsidRPr="002747FB" w:rsidRDefault="00CB16ED" w:rsidP="002747FB">
      <w:pPr>
        <w:pStyle w:val="FootnoteText"/>
        <w:tabs>
          <w:tab w:val="clear" w:pos="274"/>
          <w:tab w:val="left" w:pos="360"/>
        </w:tabs>
      </w:pPr>
      <w:r>
        <w:rPr>
          <w:rStyle w:val="FootnoteReference"/>
        </w:rPr>
        <w:footnoteRef/>
      </w:r>
      <w:r>
        <w:t xml:space="preserve"> </w:t>
      </w:r>
      <w:r>
        <w:tab/>
        <w:t xml:space="preserve">See Footnote 3 of </w:t>
      </w:r>
      <w:r>
        <w:rPr>
          <w:i/>
        </w:rPr>
        <w:t>Lee Ming Ho</w:t>
      </w:r>
      <w:r>
        <w:t>.</w:t>
      </w:r>
    </w:p>
  </w:footnote>
  <w:footnote w:id="65">
    <w:p w:rsidR="00CB16ED" w:rsidRPr="00F774E3" w:rsidRDefault="00CB16ED" w:rsidP="000B2A23">
      <w:pPr>
        <w:pStyle w:val="FootnoteText"/>
        <w:tabs>
          <w:tab w:val="clear" w:pos="274"/>
          <w:tab w:val="left" w:pos="360"/>
        </w:tabs>
        <w:ind w:left="360" w:hanging="360"/>
        <w:jc w:val="both"/>
      </w:pPr>
      <w:r>
        <w:rPr>
          <w:rStyle w:val="FootnoteReference"/>
        </w:rPr>
        <w:footnoteRef/>
      </w:r>
      <w:r>
        <w:t xml:space="preserve"> </w:t>
      </w:r>
      <w:r>
        <w:tab/>
      </w:r>
      <w:r w:rsidRPr="00F774E3">
        <w:rPr>
          <w:i/>
        </w:rPr>
        <w:t>Ibid.</w:t>
      </w:r>
      <w:r>
        <w:t>, at [26].</w:t>
      </w:r>
    </w:p>
  </w:footnote>
  <w:footnote w:id="66">
    <w:p w:rsidR="00CB16ED" w:rsidRPr="00C15103" w:rsidRDefault="00CB16ED" w:rsidP="007B2256">
      <w:pPr>
        <w:pStyle w:val="FootnoteText"/>
        <w:tabs>
          <w:tab w:val="clear" w:pos="274"/>
          <w:tab w:val="left" w:pos="360"/>
        </w:tabs>
      </w:pPr>
      <w:r>
        <w:rPr>
          <w:rStyle w:val="FootnoteReference"/>
        </w:rPr>
        <w:footnoteRef/>
      </w:r>
      <w:r>
        <w:t xml:space="preserve"> </w:t>
      </w:r>
      <w:r>
        <w:tab/>
      </w:r>
      <w:r w:rsidRPr="00C15103">
        <w:rPr>
          <w:i/>
        </w:rPr>
        <w:t>R v Lau Lun-fu</w:t>
      </w:r>
      <w:r>
        <w:t xml:space="preserve"> (Unrep., CACC 443/1987, 15 February 1989), at p 3.</w:t>
      </w:r>
    </w:p>
  </w:footnote>
  <w:footnote w:id="67">
    <w:p w:rsidR="00CB16ED" w:rsidRPr="00E63CA5" w:rsidRDefault="00CB16ED" w:rsidP="007B2256">
      <w:pPr>
        <w:pStyle w:val="FootnoteText"/>
        <w:tabs>
          <w:tab w:val="clear" w:pos="274"/>
          <w:tab w:val="left" w:pos="360"/>
        </w:tabs>
      </w:pPr>
      <w:r>
        <w:rPr>
          <w:rStyle w:val="FootnoteReference"/>
        </w:rPr>
        <w:footnoteRef/>
      </w:r>
      <w:r>
        <w:t xml:space="preserve"> </w:t>
      </w:r>
      <w:r>
        <w:tab/>
      </w:r>
      <w:r w:rsidRPr="00E63CA5">
        <w:rPr>
          <w:i/>
        </w:rPr>
        <w:t>Attorney General v Dil Bahadur Gurung</w:t>
      </w:r>
      <w:r>
        <w:t xml:space="preserve"> [1994] 2 HKC 476.</w:t>
      </w:r>
    </w:p>
  </w:footnote>
  <w:footnote w:id="68">
    <w:p w:rsidR="00CB16ED" w:rsidRPr="00E63CA5" w:rsidRDefault="00CB16ED" w:rsidP="007B2256">
      <w:pPr>
        <w:pStyle w:val="FootnoteText"/>
        <w:tabs>
          <w:tab w:val="clear" w:pos="274"/>
          <w:tab w:val="left" w:pos="360"/>
        </w:tabs>
      </w:pPr>
      <w:r>
        <w:rPr>
          <w:rStyle w:val="FootnoteReference"/>
        </w:rPr>
        <w:footnoteRef/>
      </w:r>
      <w:r>
        <w:t xml:space="preserve"> </w:t>
      </w:r>
      <w:r>
        <w:tab/>
      </w:r>
      <w:r w:rsidRPr="00E63CA5">
        <w:rPr>
          <w:i/>
        </w:rPr>
        <w:t>Ibid.</w:t>
      </w:r>
      <w:r>
        <w:t>, at 482C-D.</w:t>
      </w:r>
    </w:p>
  </w:footnote>
  <w:footnote w:id="69">
    <w:p w:rsidR="00CB16ED" w:rsidRPr="007F02B2" w:rsidRDefault="00CB16ED" w:rsidP="001F3081">
      <w:pPr>
        <w:pStyle w:val="FootnoteText"/>
        <w:tabs>
          <w:tab w:val="clear" w:pos="274"/>
          <w:tab w:val="left" w:pos="360"/>
        </w:tabs>
      </w:pPr>
      <w:r>
        <w:rPr>
          <w:rStyle w:val="FootnoteReference"/>
        </w:rPr>
        <w:footnoteRef/>
      </w:r>
      <w:r>
        <w:t xml:space="preserve"> </w:t>
      </w:r>
      <w:r>
        <w:tab/>
      </w:r>
      <w:r w:rsidRPr="007F02B2">
        <w:rPr>
          <w:i/>
        </w:rPr>
        <w:t>The State of Western Australia v Edwards</w:t>
      </w:r>
      <w:r>
        <w:t xml:space="preserve"> [2022] WASCA 141.</w:t>
      </w:r>
    </w:p>
  </w:footnote>
  <w:footnote w:id="70">
    <w:p w:rsidR="00CB16ED" w:rsidRPr="007F02B2" w:rsidRDefault="00CB16ED" w:rsidP="001F3081">
      <w:pPr>
        <w:pStyle w:val="FootnoteText"/>
        <w:tabs>
          <w:tab w:val="clear" w:pos="274"/>
          <w:tab w:val="left" w:pos="360"/>
        </w:tabs>
      </w:pPr>
      <w:r>
        <w:rPr>
          <w:rStyle w:val="FootnoteReference"/>
        </w:rPr>
        <w:footnoteRef/>
      </w:r>
      <w:r>
        <w:t xml:space="preserve"> </w:t>
      </w:r>
      <w:r>
        <w:tab/>
      </w:r>
      <w:r w:rsidRPr="007F02B2">
        <w:rPr>
          <w:i/>
        </w:rPr>
        <w:t>Wong v The Queen</w:t>
      </w:r>
      <w:r>
        <w:t xml:space="preserve"> (2001) 207 CLR 584.</w:t>
      </w:r>
    </w:p>
  </w:footnote>
  <w:footnote w:id="71">
    <w:p w:rsidR="00CB16ED" w:rsidRPr="00452A5B" w:rsidRDefault="00CB16ED" w:rsidP="001F3081">
      <w:pPr>
        <w:pStyle w:val="FootnoteText"/>
        <w:tabs>
          <w:tab w:val="clear" w:pos="274"/>
          <w:tab w:val="left" w:pos="360"/>
        </w:tabs>
      </w:pPr>
      <w:r>
        <w:rPr>
          <w:rStyle w:val="FootnoteReference"/>
        </w:rPr>
        <w:footnoteRef/>
      </w:r>
      <w:r>
        <w:t xml:space="preserve"> </w:t>
      </w:r>
      <w:r>
        <w:tab/>
      </w:r>
      <w:r w:rsidRPr="00452A5B">
        <w:rPr>
          <w:i/>
        </w:rPr>
        <w:t>The State of Western Australia v Edwards</w:t>
      </w:r>
      <w:r>
        <w:t>, at [40].</w:t>
      </w:r>
    </w:p>
  </w:footnote>
  <w:footnote w:id="72">
    <w:p w:rsidR="00CB16ED" w:rsidRPr="00452A5B" w:rsidRDefault="00CB16ED" w:rsidP="001F3081">
      <w:pPr>
        <w:pStyle w:val="FootnoteText"/>
        <w:tabs>
          <w:tab w:val="clear" w:pos="274"/>
          <w:tab w:val="left" w:pos="360"/>
        </w:tabs>
      </w:pPr>
      <w:r>
        <w:rPr>
          <w:rStyle w:val="FootnoteReference"/>
        </w:rPr>
        <w:footnoteRef/>
      </w:r>
      <w:r>
        <w:t xml:space="preserve"> </w:t>
      </w:r>
      <w:r>
        <w:tab/>
      </w:r>
      <w:r w:rsidRPr="00452A5B">
        <w:rPr>
          <w:i/>
        </w:rPr>
        <w:t>Ibid.</w:t>
      </w:r>
      <w:r>
        <w:t>, at [41]-[42].</w:t>
      </w:r>
    </w:p>
  </w:footnote>
  <w:footnote w:id="73">
    <w:p w:rsidR="00CB16ED" w:rsidRPr="00335EB8" w:rsidRDefault="00CB16ED" w:rsidP="001F3081">
      <w:pPr>
        <w:pStyle w:val="FootnoteText"/>
        <w:tabs>
          <w:tab w:val="clear" w:pos="274"/>
          <w:tab w:val="left" w:pos="360"/>
        </w:tabs>
        <w:ind w:left="360" w:hanging="360"/>
        <w:jc w:val="both"/>
      </w:pPr>
      <w:r>
        <w:rPr>
          <w:rStyle w:val="FootnoteReference"/>
        </w:rPr>
        <w:footnoteRef/>
      </w:r>
      <w:r>
        <w:t xml:space="preserve"> </w:t>
      </w:r>
      <w:r>
        <w:tab/>
      </w:r>
      <w:r w:rsidRPr="00EE6174">
        <w:t>That is, the extent to which increases in the severity of sentences for a kind of offence, without any change in the perceived risk of apprehension and conviction, increases the general deterrent effect of those sentences.</w:t>
      </w:r>
    </w:p>
  </w:footnote>
  <w:footnote w:id="74">
    <w:p w:rsidR="00CB16ED" w:rsidRPr="00A46B82" w:rsidRDefault="00CB16ED" w:rsidP="007B2256">
      <w:pPr>
        <w:pStyle w:val="FootnoteText"/>
        <w:tabs>
          <w:tab w:val="clear" w:pos="274"/>
          <w:tab w:val="left" w:pos="360"/>
        </w:tabs>
      </w:pPr>
      <w:r>
        <w:rPr>
          <w:rStyle w:val="FootnoteReference"/>
        </w:rPr>
        <w:footnoteRef/>
      </w:r>
      <w:r>
        <w:t xml:space="preserve"> </w:t>
      </w:r>
      <w:r>
        <w:tab/>
      </w:r>
      <w:r w:rsidRPr="00E63CA5">
        <w:rPr>
          <w:i/>
        </w:rPr>
        <w:t>Cheng Yeung</w:t>
      </w:r>
      <w:r>
        <w:t>, at p264F-H.</w:t>
      </w:r>
    </w:p>
  </w:footnote>
  <w:footnote w:id="75">
    <w:p w:rsidR="00CB16ED" w:rsidRPr="00E63CA5" w:rsidRDefault="00CB16ED" w:rsidP="007B2256">
      <w:pPr>
        <w:pStyle w:val="FootnoteText"/>
        <w:tabs>
          <w:tab w:val="clear" w:pos="274"/>
          <w:tab w:val="left" w:pos="360"/>
        </w:tabs>
      </w:pPr>
      <w:r>
        <w:rPr>
          <w:rStyle w:val="FootnoteReference"/>
        </w:rPr>
        <w:footnoteRef/>
      </w:r>
      <w:r>
        <w:t xml:space="preserve"> </w:t>
      </w:r>
      <w:r>
        <w:tab/>
      </w:r>
      <w:r w:rsidRPr="00E63CA5">
        <w:rPr>
          <w:i/>
        </w:rPr>
        <w:t>Ibid.</w:t>
      </w:r>
      <w:r>
        <w:t>, at p264H-I.</w:t>
      </w:r>
    </w:p>
  </w:footnote>
  <w:footnote w:id="76">
    <w:p w:rsidR="00CB16ED" w:rsidRPr="000E6497" w:rsidRDefault="00CB16ED" w:rsidP="005D6AF5">
      <w:pPr>
        <w:pStyle w:val="FootnoteText"/>
        <w:tabs>
          <w:tab w:val="clear" w:pos="274"/>
          <w:tab w:val="left" w:pos="360"/>
        </w:tabs>
      </w:pPr>
      <w:r>
        <w:rPr>
          <w:rStyle w:val="FootnoteReference"/>
        </w:rPr>
        <w:footnoteRef/>
      </w:r>
      <w:r>
        <w:t xml:space="preserve"> </w:t>
      </w:r>
      <w:r>
        <w:tab/>
      </w:r>
      <w:r w:rsidRPr="000E6497">
        <w:rPr>
          <w:i/>
        </w:rPr>
        <w:t>Kilima Abubakar Abbas</w:t>
      </w:r>
      <w:r>
        <w:t>, at [71].</w:t>
      </w:r>
    </w:p>
  </w:footnote>
  <w:footnote w:id="77">
    <w:p w:rsidR="00CB16ED" w:rsidRPr="008E6D52" w:rsidRDefault="00CB16ED" w:rsidP="008E6D52">
      <w:pPr>
        <w:pStyle w:val="FootnoteText"/>
        <w:tabs>
          <w:tab w:val="clear" w:pos="274"/>
          <w:tab w:val="left" w:pos="360"/>
        </w:tabs>
        <w:ind w:left="360" w:hanging="360"/>
        <w:jc w:val="both"/>
      </w:pPr>
      <w:r>
        <w:rPr>
          <w:rStyle w:val="FootnoteReference"/>
        </w:rPr>
        <w:footnoteRef/>
      </w:r>
      <w:r>
        <w:t xml:space="preserve"> </w:t>
      </w:r>
      <w:r>
        <w:tab/>
      </w:r>
      <w:r w:rsidRPr="008E6D52">
        <w:t>See </w:t>
      </w:r>
      <w:r w:rsidRPr="008E6D52">
        <w:rPr>
          <w:i/>
          <w:iCs/>
        </w:rPr>
        <w:t xml:space="preserve">HKSAR v Chan Ka Yiu </w:t>
      </w:r>
      <w:r w:rsidRPr="008E6D52">
        <w:t>[2018]</w:t>
      </w:r>
      <w:r>
        <w:t xml:space="preserve"> 4 HKC 591</w:t>
      </w:r>
      <w:r w:rsidRPr="008E6D52">
        <w:t>.</w:t>
      </w:r>
      <w:r>
        <w:t xml:space="preserve"> </w:t>
      </w:r>
      <w:r w:rsidRPr="008E6D52">
        <w:t xml:space="preserve"> The drugs, in respect of which statistics were provided to the court by the res</w:t>
      </w:r>
      <w:r w:rsidR="00D91B98">
        <w:t>pondent on that occasion, were h</w:t>
      </w:r>
      <w:r w:rsidRPr="008E6D52">
        <w:t xml:space="preserve">eroin, </w:t>
      </w:r>
      <w:r w:rsidR="00D91B98">
        <w:t>c</w:t>
      </w:r>
      <w:r w:rsidRPr="008E6D52">
        <w:t xml:space="preserve">ocaine, </w:t>
      </w:r>
      <w:r w:rsidR="00D91B98">
        <w:t>“Ice”, k</w:t>
      </w:r>
      <w:r w:rsidRPr="008E6D52">
        <w:t xml:space="preserve">etamine, </w:t>
      </w:r>
      <w:r w:rsidR="00D91B98">
        <w:t>e</w:t>
      </w:r>
      <w:r w:rsidRPr="008E6D52">
        <w:t>cstasy and</w:t>
      </w:r>
      <w:r w:rsidR="00D91B98">
        <w:t xml:space="preserve"> c</w:t>
      </w:r>
      <w:r w:rsidRPr="008E6D52">
        <w:t>annabis.</w:t>
      </w:r>
    </w:p>
  </w:footnote>
  <w:footnote w:id="78">
    <w:p w:rsidR="00CB16ED" w:rsidRPr="00DF52A8" w:rsidRDefault="00CB16ED" w:rsidP="00773289">
      <w:pPr>
        <w:pStyle w:val="FootnoteText"/>
        <w:tabs>
          <w:tab w:val="clear" w:pos="274"/>
          <w:tab w:val="left" w:pos="360"/>
        </w:tabs>
      </w:pPr>
      <w:r>
        <w:rPr>
          <w:rStyle w:val="FootnoteReference"/>
        </w:rPr>
        <w:footnoteRef/>
      </w:r>
      <w:r>
        <w:t xml:space="preserve"> </w:t>
      </w:r>
      <w:r>
        <w:tab/>
      </w:r>
      <w:r w:rsidRPr="00DF52A8">
        <w:rPr>
          <w:i/>
        </w:rPr>
        <w:t>Ching Kwok-hung</w:t>
      </w:r>
      <w:r>
        <w:t>, at 130A-B.</w:t>
      </w:r>
    </w:p>
  </w:footnote>
  <w:footnote w:id="79">
    <w:p w:rsidR="00CB16ED" w:rsidRPr="00795201" w:rsidRDefault="00CB16ED" w:rsidP="00773289">
      <w:pPr>
        <w:pStyle w:val="FootnoteText"/>
        <w:tabs>
          <w:tab w:val="clear" w:pos="274"/>
          <w:tab w:val="left" w:pos="360"/>
        </w:tabs>
        <w:rPr>
          <w:lang w:val="en-US"/>
        </w:rPr>
      </w:pPr>
      <w:r>
        <w:rPr>
          <w:rStyle w:val="FootnoteReference"/>
        </w:rPr>
        <w:footnoteRef/>
      </w:r>
      <w:r>
        <w:t xml:space="preserve"> </w:t>
      </w:r>
      <w:r>
        <w:rPr>
          <w:lang w:val="en-US"/>
        </w:rPr>
        <w:tab/>
      </w:r>
      <w:r>
        <w:rPr>
          <w:i/>
          <w:lang w:val="en-US"/>
        </w:rPr>
        <w:t>Tam Yi C</w:t>
      </w:r>
      <w:r w:rsidRPr="00795201">
        <w:rPr>
          <w:i/>
          <w:lang w:val="en-US"/>
        </w:rPr>
        <w:t>hun</w:t>
      </w:r>
      <w:r>
        <w:rPr>
          <w:lang w:val="en-US"/>
        </w:rPr>
        <w:t>, at [26]-[27].</w:t>
      </w:r>
    </w:p>
  </w:footnote>
  <w:footnote w:id="80">
    <w:p w:rsidR="00CB16ED" w:rsidRPr="00DF52A8" w:rsidRDefault="00CB16ED" w:rsidP="00773289">
      <w:pPr>
        <w:pStyle w:val="FootnoteText"/>
        <w:tabs>
          <w:tab w:val="clear" w:pos="274"/>
          <w:tab w:val="left" w:pos="360"/>
        </w:tabs>
      </w:pPr>
      <w:r>
        <w:rPr>
          <w:rStyle w:val="FootnoteReference"/>
        </w:rPr>
        <w:footnoteRef/>
      </w:r>
      <w:r>
        <w:t xml:space="preserve"> </w:t>
      </w:r>
      <w:r>
        <w:tab/>
      </w:r>
      <w:r w:rsidRPr="00DF52A8">
        <w:rPr>
          <w:i/>
        </w:rPr>
        <w:t>Tam Yi Chun</w:t>
      </w:r>
      <w:r>
        <w:t>, at [28].</w:t>
      </w:r>
    </w:p>
  </w:footnote>
  <w:footnote w:id="81">
    <w:p w:rsidR="00CB16ED" w:rsidRPr="00A455EB" w:rsidRDefault="00CB16ED" w:rsidP="00773289">
      <w:pPr>
        <w:pStyle w:val="FootnoteText"/>
        <w:tabs>
          <w:tab w:val="clear" w:pos="274"/>
          <w:tab w:val="left" w:pos="360"/>
        </w:tabs>
      </w:pPr>
      <w:r>
        <w:rPr>
          <w:rStyle w:val="FootnoteReference"/>
        </w:rPr>
        <w:footnoteRef/>
      </w:r>
      <w:r>
        <w:t xml:space="preserve"> </w:t>
      </w:r>
      <w:r>
        <w:tab/>
      </w:r>
      <w:r w:rsidRPr="00A455EB">
        <w:rPr>
          <w:i/>
        </w:rPr>
        <w:t>Ibid.</w:t>
      </w:r>
      <w:r>
        <w:t>, at [31].</w:t>
      </w:r>
    </w:p>
  </w:footnote>
  <w:footnote w:id="82">
    <w:p w:rsidR="00CB16ED" w:rsidRPr="00DD20C8" w:rsidRDefault="00CB16ED" w:rsidP="00047411">
      <w:pPr>
        <w:pStyle w:val="FootnoteText"/>
        <w:tabs>
          <w:tab w:val="clear" w:pos="274"/>
          <w:tab w:val="left" w:pos="360"/>
        </w:tabs>
        <w:rPr>
          <w:lang w:val="en-US"/>
        </w:rPr>
      </w:pPr>
      <w:r>
        <w:rPr>
          <w:rStyle w:val="FootnoteReference"/>
        </w:rPr>
        <w:footnoteRef/>
      </w:r>
      <w:r>
        <w:t xml:space="preserve"> </w:t>
      </w:r>
      <w:r>
        <w:rPr>
          <w:lang w:val="en-US"/>
        </w:rPr>
        <w:tab/>
      </w:r>
      <w:r w:rsidRPr="00DD20C8">
        <w:rPr>
          <w:i/>
          <w:lang w:val="en-US"/>
        </w:rPr>
        <w:t>HKSAR v Hong Chang Chi</w:t>
      </w:r>
      <w:r>
        <w:rPr>
          <w:lang w:val="en-US"/>
        </w:rPr>
        <w:t xml:space="preserve"> [2002] 1 HKLRD 486, at [21].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6ED" w:rsidRDefault="00CB16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6ED" w:rsidRDefault="00CB16ED" w:rsidP="007C481B">
    <w:pPr>
      <w:tabs>
        <w:tab w:val="center" w:pos="4153"/>
        <w:tab w:val="left" w:pos="6877"/>
      </w:tabs>
      <w:jc w:val="left"/>
      <w:rPr>
        <w:rStyle w:val="PageNumber"/>
        <w:b w:val="0"/>
        <w:bCs w:val="0"/>
        <w:sz w:val="28"/>
      </w:rPr>
    </w:pPr>
    <w:r>
      <w:rPr>
        <w:noProof/>
        <w:lang w:val="en-US"/>
      </w:rPr>
      <mc:AlternateContent>
        <mc:Choice Requires="wps">
          <w:drawing>
            <wp:anchor distT="0" distB="0" distL="114300" distR="114300" simplePos="0" relativeHeight="251657216" behindDoc="0" locked="0" layoutInCell="1" allowOverlap="1" wp14:anchorId="0655F62C" wp14:editId="2AD1AEDB">
              <wp:simplePos x="0" y="0"/>
              <wp:positionH relativeFrom="page">
                <wp:align>right</wp:align>
              </wp:positionH>
              <wp:positionV relativeFrom="paragraph">
                <wp:posOffset>38735</wp:posOffset>
              </wp:positionV>
              <wp:extent cx="552450" cy="1009967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16ED" w:rsidRDefault="00CB16ED" w:rsidP="008244DC">
                          <w:pPr>
                            <w:ind w:left="-90"/>
                          </w:pPr>
                          <w:r>
                            <w:rPr>
                              <w:rFonts w:hint="eastAsia"/>
                            </w:rPr>
                            <w:t>A</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pPr>
                          <w:r>
                            <w:rPr>
                              <w:rFonts w:hint="eastAsia"/>
                            </w:rPr>
                            <w:t>B</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C</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pPr>
                          <w:r>
                            <w:rPr>
                              <w:rFonts w:hint="eastAsia"/>
                            </w:rPr>
                            <w:t>D</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E</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pPr>
                          <w:r>
                            <w:rPr>
                              <w:rFonts w:hint="eastAsia"/>
                            </w:rPr>
                            <w:t>F</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G</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H</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I</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J</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K</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L</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M</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N</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O</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P</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Q</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R</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S</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T</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U</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5F62C" id="_x0000_t202" coordsize="21600,21600" o:spt="202" path="m,l,21600r21600,l21600,xe">
              <v:stroke joinstyle="miter"/>
              <v:path gradientshapeok="t" o:connecttype="rect"/>
            </v:shapetype>
            <v:shape id="Text Box 5" o:spid="_x0000_s1026" type="#_x0000_t202" style="position:absolute;margin-left:-7.7pt;margin-top:3.05pt;width:43.5pt;height:795.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" stroked="f">
              <v:textbox>
                <w:txbxContent>
                  <w:p w:rsidR="00171B88" w:rsidRDefault="00171B88" w:rsidP="008244DC">
                    <w:pPr>
                      <w:ind w:left="-90"/>
                    </w:pPr>
                    <w:r>
                      <w:rPr>
                        <w:rFonts w:hint="eastAsia"/>
                      </w:rPr>
                      <w:t>A</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pPr>
                    <w:r>
                      <w:rPr>
                        <w:rFonts w:hint="eastAsia"/>
                      </w:rPr>
                      <w:t>B</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C</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pPr>
                    <w:r>
                      <w:rPr>
                        <w:rFonts w:hint="eastAsia"/>
                      </w:rPr>
                      <w:t>D</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E</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pPr>
                    <w:r>
                      <w:rPr>
                        <w:rFonts w:hint="eastAsia"/>
                      </w:rPr>
                      <w:t>F</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G</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H</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I</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J</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K</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L</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M</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N</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O</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P</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Q</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R</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S</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T</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U</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pPr>
                    <w:r>
                      <w:rPr>
                        <w:rFonts w:hint="eastAsia"/>
                      </w:rPr>
                      <w:t>V</w:t>
                    </w:r>
                  </w:p>
                </w:txbxContent>
              </v:textbox>
              <w10:wrap anchorx="page"/>
            </v:shape>
          </w:pict>
        </mc:Fallback>
      </mc:AlternateContent>
    </w:r>
    <w:r>
      <w:rPr>
        <w:rStyle w:val="PageNumber"/>
        <w:b w:val="0"/>
        <w:bCs w:val="0"/>
        <w:sz w:val="28"/>
      </w:rPr>
      <w:tab/>
    </w:r>
    <w:r>
      <w:rPr>
        <w:noProof/>
        <w:lang w:val="en-US"/>
      </w:rPr>
      <mc:AlternateContent>
        <mc:Choice Requires="wps">
          <w:drawing>
            <wp:anchor distT="0" distB="0" distL="114300" distR="114300" simplePos="0" relativeHeight="251656192" behindDoc="0" locked="0" layoutInCell="1" allowOverlap="1" wp14:anchorId="2C11F0DE" wp14:editId="47523383">
              <wp:simplePos x="0" y="0"/>
              <wp:positionH relativeFrom="column">
                <wp:posOffset>-903946</wp:posOffset>
              </wp:positionH>
              <wp:positionV relativeFrom="paragraph">
                <wp:posOffset>45720</wp:posOffset>
              </wp:positionV>
              <wp:extent cx="356755" cy="9982835"/>
              <wp:effectExtent l="0" t="0" r="571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755" cy="998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16ED" w:rsidRDefault="00CB16ED">
                          <w:r>
                            <w:rPr>
                              <w:rFonts w:hint="eastAsia"/>
                            </w:rPr>
                            <w:t>A</w:t>
                          </w:r>
                        </w:p>
                        <w:p w:rsidR="00CB16ED" w:rsidRDefault="00CB16ED">
                          <w:pPr>
                            <w:rPr>
                              <w:sz w:val="10"/>
                            </w:rPr>
                          </w:pPr>
                        </w:p>
                        <w:p w:rsidR="00CB16ED" w:rsidRDefault="00CB16ED">
                          <w:pPr>
                            <w:rPr>
                              <w:sz w:val="16"/>
                            </w:rPr>
                          </w:pPr>
                        </w:p>
                        <w:p w:rsidR="00CB16ED" w:rsidRDefault="00CB16ED">
                          <w:pPr>
                            <w:rPr>
                              <w:sz w:val="16"/>
                            </w:rPr>
                          </w:pPr>
                        </w:p>
                        <w:p w:rsidR="00CB16ED" w:rsidRDefault="00CB16ED">
                          <w:r>
                            <w:rPr>
                              <w:rFonts w:hint="eastAsia"/>
                            </w:rPr>
                            <w:t>B</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C</w:t>
                          </w:r>
                        </w:p>
                        <w:p w:rsidR="00CB16ED" w:rsidRDefault="00CB16ED">
                          <w:pPr>
                            <w:rPr>
                              <w:sz w:val="10"/>
                            </w:rPr>
                          </w:pPr>
                        </w:p>
                        <w:p w:rsidR="00CB16ED" w:rsidRDefault="00CB16ED">
                          <w:pPr>
                            <w:rPr>
                              <w:sz w:val="16"/>
                            </w:rPr>
                          </w:pPr>
                        </w:p>
                        <w:p w:rsidR="00CB16ED" w:rsidRDefault="00CB16ED">
                          <w:pPr>
                            <w:rPr>
                              <w:sz w:val="16"/>
                            </w:rPr>
                          </w:pPr>
                        </w:p>
                        <w:p w:rsidR="00CB16ED" w:rsidRDefault="00CB16ED">
                          <w:r>
                            <w:rPr>
                              <w:rFonts w:hint="eastAsia"/>
                            </w:rPr>
                            <w:t>D</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E</w:t>
                          </w:r>
                        </w:p>
                        <w:p w:rsidR="00CB16ED" w:rsidRDefault="00CB16ED">
                          <w:pPr>
                            <w:rPr>
                              <w:sz w:val="10"/>
                            </w:rPr>
                          </w:pPr>
                        </w:p>
                        <w:p w:rsidR="00CB16ED" w:rsidRDefault="00CB16ED">
                          <w:pPr>
                            <w:rPr>
                              <w:sz w:val="16"/>
                            </w:rPr>
                          </w:pPr>
                        </w:p>
                        <w:p w:rsidR="00CB16ED" w:rsidRDefault="00CB16ED">
                          <w:pPr>
                            <w:rPr>
                              <w:sz w:val="16"/>
                            </w:rPr>
                          </w:pPr>
                        </w:p>
                        <w:p w:rsidR="00CB16ED" w:rsidRDefault="00CB16ED">
                          <w:r>
                            <w:rPr>
                              <w:rFonts w:hint="eastAsia"/>
                            </w:rPr>
                            <w:t>F</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G</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H</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I</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J</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K</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L</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M</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N</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O</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P</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Q</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R</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S</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T</w:t>
                          </w:r>
                        </w:p>
                        <w:p w:rsidR="00CB16ED" w:rsidRDefault="00CB16ED">
                          <w:pPr>
                            <w:rPr>
                              <w:sz w:val="10"/>
                            </w:rPr>
                          </w:pPr>
                        </w:p>
                        <w:p w:rsidR="00CB16ED" w:rsidRDefault="00CB16ED">
                          <w:pPr>
                            <w:rPr>
                              <w:sz w:val="16"/>
                            </w:rPr>
                          </w:pPr>
                        </w:p>
                        <w:p w:rsidR="00CB16ED" w:rsidRDefault="00CB16ED">
                          <w:pPr>
                            <w:rPr>
                              <w:sz w:val="16"/>
                            </w:rPr>
                          </w:pPr>
                        </w:p>
                        <w:p w:rsidR="00CB16ED" w:rsidRDefault="00CB16ED">
                          <w:pPr>
                            <w:rPr>
                              <w:sz w:val="16"/>
                            </w:rPr>
                          </w:pPr>
                          <w:r>
                            <w:rPr>
                              <w:rFonts w:hint="eastAsia"/>
                            </w:rPr>
                            <w:t>U</w:t>
                          </w:r>
                        </w:p>
                        <w:p w:rsidR="00CB16ED" w:rsidRDefault="00CB16ED">
                          <w:pPr>
                            <w:rPr>
                              <w:sz w:val="10"/>
                            </w:rPr>
                          </w:pPr>
                        </w:p>
                        <w:p w:rsidR="00CB16ED" w:rsidRDefault="00CB16ED">
                          <w:pPr>
                            <w:rPr>
                              <w:sz w:val="16"/>
                            </w:rPr>
                          </w:pPr>
                        </w:p>
                        <w:p w:rsidR="00CB16ED" w:rsidRDefault="00CB16ED">
                          <w:pPr>
                            <w:rPr>
                              <w:sz w:val="16"/>
                            </w:rPr>
                          </w:pPr>
                        </w:p>
                        <w:p w:rsidR="00CB16ED" w:rsidRDefault="00CB16ED">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1F0DE" id="Text Box 4" o:spid="_x0000_s1027" type="#_x0000_t202" style="position:absolute;margin-left:-71.2pt;margin-top:3.6pt;width:28.1pt;height:78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" stroked="f">
              <v:textbox>
                <w:txbxContent>
                  <w:p w:rsidR="00171B88" w:rsidRDefault="00171B88">
                    <w:r>
                      <w:rPr>
                        <w:rFonts w:hint="eastAsia"/>
                      </w:rPr>
                      <w:t>A</w:t>
                    </w:r>
                  </w:p>
                  <w:p w:rsidR="00171B88" w:rsidRDefault="00171B88">
                    <w:pPr>
                      <w:rPr>
                        <w:sz w:val="10"/>
                      </w:rPr>
                    </w:pPr>
                  </w:p>
                  <w:p w:rsidR="00171B88" w:rsidRDefault="00171B88">
                    <w:pPr>
                      <w:rPr>
                        <w:sz w:val="16"/>
                      </w:rPr>
                    </w:pPr>
                  </w:p>
                  <w:p w:rsidR="00171B88" w:rsidRDefault="00171B88">
                    <w:pPr>
                      <w:rPr>
                        <w:sz w:val="16"/>
                      </w:rPr>
                    </w:pPr>
                  </w:p>
                  <w:p w:rsidR="00171B88" w:rsidRDefault="00171B88">
                    <w:r>
                      <w:rPr>
                        <w:rFonts w:hint="eastAsia"/>
                      </w:rPr>
                      <w:t>B</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C</w:t>
                    </w:r>
                  </w:p>
                  <w:p w:rsidR="00171B88" w:rsidRDefault="00171B88">
                    <w:pPr>
                      <w:rPr>
                        <w:sz w:val="10"/>
                      </w:rPr>
                    </w:pPr>
                  </w:p>
                  <w:p w:rsidR="00171B88" w:rsidRDefault="00171B88">
                    <w:pPr>
                      <w:rPr>
                        <w:sz w:val="16"/>
                      </w:rPr>
                    </w:pPr>
                  </w:p>
                  <w:p w:rsidR="00171B88" w:rsidRDefault="00171B88">
                    <w:pPr>
                      <w:rPr>
                        <w:sz w:val="16"/>
                      </w:rPr>
                    </w:pPr>
                  </w:p>
                  <w:p w:rsidR="00171B88" w:rsidRDefault="00171B88">
                    <w:r>
                      <w:rPr>
                        <w:rFonts w:hint="eastAsia"/>
                      </w:rPr>
                      <w:t>D</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E</w:t>
                    </w:r>
                  </w:p>
                  <w:p w:rsidR="00171B88" w:rsidRDefault="00171B88">
                    <w:pPr>
                      <w:rPr>
                        <w:sz w:val="10"/>
                      </w:rPr>
                    </w:pPr>
                  </w:p>
                  <w:p w:rsidR="00171B88" w:rsidRDefault="00171B88">
                    <w:pPr>
                      <w:rPr>
                        <w:sz w:val="16"/>
                      </w:rPr>
                    </w:pPr>
                  </w:p>
                  <w:p w:rsidR="00171B88" w:rsidRDefault="00171B88">
                    <w:pPr>
                      <w:rPr>
                        <w:sz w:val="16"/>
                      </w:rPr>
                    </w:pPr>
                  </w:p>
                  <w:p w:rsidR="00171B88" w:rsidRDefault="00171B88">
                    <w:r>
                      <w:rPr>
                        <w:rFonts w:hint="eastAsia"/>
                      </w:rPr>
                      <w:t>F</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G</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H</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I</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J</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K</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L</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M</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N</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O</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P</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Q</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R</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S</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T</w:t>
                    </w:r>
                  </w:p>
                  <w:p w:rsidR="00171B88" w:rsidRDefault="00171B88">
                    <w:pPr>
                      <w:rPr>
                        <w:sz w:val="10"/>
                      </w:rPr>
                    </w:pPr>
                  </w:p>
                  <w:p w:rsidR="00171B88" w:rsidRDefault="00171B88">
                    <w:pPr>
                      <w:rPr>
                        <w:sz w:val="16"/>
                      </w:rPr>
                    </w:pPr>
                  </w:p>
                  <w:p w:rsidR="00171B88" w:rsidRDefault="00171B88">
                    <w:pPr>
                      <w:rPr>
                        <w:sz w:val="16"/>
                      </w:rPr>
                    </w:pPr>
                  </w:p>
                  <w:p w:rsidR="00171B88" w:rsidRDefault="00171B88">
                    <w:pPr>
                      <w:rPr>
                        <w:sz w:val="16"/>
                      </w:rPr>
                    </w:pPr>
                    <w:r>
                      <w:rPr>
                        <w:rFonts w:hint="eastAsia"/>
                      </w:rPr>
                      <w:t>U</w:t>
                    </w:r>
                  </w:p>
                  <w:p w:rsidR="00171B88" w:rsidRDefault="00171B88">
                    <w:pPr>
                      <w:rPr>
                        <w:sz w:val="10"/>
                      </w:rPr>
                    </w:pPr>
                  </w:p>
                  <w:p w:rsidR="00171B88" w:rsidRDefault="00171B88">
                    <w:pPr>
                      <w:rPr>
                        <w:sz w:val="16"/>
                      </w:rPr>
                    </w:pPr>
                  </w:p>
                  <w:p w:rsidR="00171B88" w:rsidRDefault="00171B88">
                    <w:pPr>
                      <w:rPr>
                        <w:sz w:val="16"/>
                      </w:rPr>
                    </w:pPr>
                  </w:p>
                  <w:p w:rsidR="00171B88" w:rsidRDefault="00171B88">
                    <w:r>
                      <w:rPr>
                        <w:rFonts w:hint="eastAsia"/>
                      </w:rPr>
                      <w:t>V</w:t>
                    </w:r>
                  </w:p>
                </w:txbxContent>
              </v:textbox>
            </v:shape>
          </w:pict>
        </mc:Fallback>
      </mc:AlternateContent>
    </w:r>
    <w:r>
      <w:rPr>
        <w:rStyle w:val="PageNumber"/>
        <w:rFonts w:hint="eastAsia"/>
        <w:b w:val="0"/>
        <w:bCs w:val="0"/>
        <w:sz w:val="28"/>
      </w:rPr>
      <w:t xml:space="preserve">-  </w:t>
    </w:r>
    <w:r>
      <w:rPr>
        <w:rStyle w:val="PageNumber"/>
        <w:b w:val="0"/>
        <w:bCs w:val="0"/>
        <w:sz w:val="28"/>
      </w:rPr>
      <w:fldChar w:fldCharType="begin"/>
    </w:r>
    <w:r>
      <w:rPr>
        <w:rStyle w:val="PageNumber"/>
        <w:b w:val="0"/>
        <w:bCs w:val="0"/>
        <w:sz w:val="28"/>
      </w:rPr>
      <w:instrText xml:space="preserve"> PAGE </w:instrText>
    </w:r>
    <w:r>
      <w:rPr>
        <w:rStyle w:val="PageNumber"/>
        <w:b w:val="0"/>
        <w:bCs w:val="0"/>
        <w:sz w:val="28"/>
      </w:rPr>
      <w:fldChar w:fldCharType="separate"/>
    </w:r>
    <w:r w:rsidR="004A5D2A">
      <w:rPr>
        <w:rStyle w:val="PageNumber"/>
        <w:b w:val="0"/>
        <w:bCs w:val="0"/>
        <w:noProof/>
        <w:sz w:val="28"/>
      </w:rPr>
      <w:t>2</w:t>
    </w:r>
    <w:r>
      <w:rPr>
        <w:rStyle w:val="PageNumber"/>
        <w:b w:val="0"/>
        <w:bCs w:val="0"/>
        <w:sz w:val="28"/>
      </w:rPr>
      <w:fldChar w:fldCharType="end"/>
    </w:r>
    <w:r>
      <w:rPr>
        <w:rStyle w:val="PageNumber"/>
        <w:rFonts w:hint="eastAsia"/>
        <w:b w:val="0"/>
        <w:bCs w:val="0"/>
        <w:sz w:val="28"/>
      </w:rPr>
      <w:t xml:space="preserve">  -</w:t>
    </w:r>
    <w:r>
      <w:rPr>
        <w:rStyle w:val="PageNumber"/>
        <w:b w:val="0"/>
        <w:bCs w:val="0"/>
        <w:sz w:val="2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6ED" w:rsidRDefault="00CB16ED">
    <w:r>
      <w:rPr>
        <w:noProof/>
        <w:lang w:val="en-US"/>
      </w:rPr>
      <mc:AlternateContent>
        <mc:Choice Requires="wps">
          <w:drawing>
            <wp:anchor distT="0" distB="0" distL="114300" distR="114300" simplePos="0" relativeHeight="251659264" behindDoc="0" locked="0" layoutInCell="1" allowOverlap="1" wp14:anchorId="34B775C9" wp14:editId="7D2E7416">
              <wp:simplePos x="0" y="0"/>
              <wp:positionH relativeFrom="page">
                <wp:posOffset>6998325</wp:posOffset>
              </wp:positionH>
              <wp:positionV relativeFrom="paragraph">
                <wp:posOffset>43180</wp:posOffset>
              </wp:positionV>
              <wp:extent cx="629920" cy="10099675"/>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16ED" w:rsidRDefault="00CB16ED" w:rsidP="008244DC">
                          <w:pPr>
                            <w:ind w:left="-90"/>
                          </w:pPr>
                          <w:r>
                            <w:rPr>
                              <w:rFonts w:hint="eastAsia"/>
                            </w:rPr>
                            <w:t>A</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pStyle w:val="Heading6"/>
                            <w:ind w:left="-90"/>
                          </w:pPr>
                          <w:r>
                            <w:rPr>
                              <w:rFonts w:hint="eastAsia"/>
                            </w:rPr>
                            <w:t>B</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C</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pPr>
                          <w:r>
                            <w:rPr>
                              <w:rFonts w:hint="eastAsia"/>
                            </w:rPr>
                            <w:t>D</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E</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pPr>
                          <w:r>
                            <w:rPr>
                              <w:rFonts w:hint="eastAsia"/>
                            </w:rPr>
                            <w:t>F</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G</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H</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I</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J</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K</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L</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M</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N</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O</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P</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Q</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R</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S</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T</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rPr>
                              <w:sz w:val="16"/>
                            </w:rPr>
                          </w:pPr>
                          <w:r>
                            <w:rPr>
                              <w:rFonts w:hint="eastAsia"/>
                            </w:rPr>
                            <w:t>U</w:t>
                          </w:r>
                        </w:p>
                        <w:p w:rsidR="00CB16ED" w:rsidRDefault="00CB16ED" w:rsidP="008244DC">
                          <w:pPr>
                            <w:ind w:left="-90"/>
                            <w:rPr>
                              <w:sz w:val="10"/>
                            </w:rPr>
                          </w:pPr>
                        </w:p>
                        <w:p w:rsidR="00CB16ED" w:rsidRDefault="00CB16ED" w:rsidP="008244DC">
                          <w:pPr>
                            <w:ind w:left="-90"/>
                            <w:rPr>
                              <w:sz w:val="16"/>
                            </w:rPr>
                          </w:pPr>
                        </w:p>
                        <w:p w:rsidR="00CB16ED" w:rsidRDefault="00CB16ED" w:rsidP="008244DC">
                          <w:pPr>
                            <w:ind w:left="-90"/>
                            <w:rPr>
                              <w:sz w:val="16"/>
                            </w:rPr>
                          </w:pPr>
                        </w:p>
                        <w:p w:rsidR="00CB16ED" w:rsidRDefault="00CB16ED"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75C9" id="_x0000_t202" coordsize="21600,21600" o:spt="202" path="m,l,21600r21600,l21600,xe">
              <v:stroke joinstyle="miter"/>
              <v:path gradientshapeok="t" o:connecttype="rect"/>
            </v:shapetype>
            <v:shape id="Text Box 13" o:spid="_x0000_s1028" type="#_x0000_t202" style="position:absolute;left:0;text-align:left;margin-left:551.05pt;margin-top:3.4pt;width:49.6pt;height:79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BthQIAABg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" stroked="f">
              <v:textbox>
                <w:txbxContent>
                  <w:p w:rsidR="00171B88" w:rsidRDefault="00171B88" w:rsidP="008244DC">
                    <w:pPr>
                      <w:ind w:left="-90"/>
                    </w:pPr>
                    <w:r>
                      <w:rPr>
                        <w:rFonts w:hint="eastAsia"/>
                      </w:rPr>
                      <w:t>A</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pStyle w:val="Heading6"/>
                      <w:ind w:left="-90"/>
                    </w:pPr>
                    <w:r>
                      <w:rPr>
                        <w:rFonts w:hint="eastAsia"/>
                      </w:rPr>
                      <w:t>B</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C</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pPr>
                    <w:r>
                      <w:rPr>
                        <w:rFonts w:hint="eastAsia"/>
                      </w:rPr>
                      <w:t>D</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E</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pPr>
                    <w:r>
                      <w:rPr>
                        <w:rFonts w:hint="eastAsia"/>
                      </w:rPr>
                      <w:t>F</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G</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H</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I</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J</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K</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L</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M</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N</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O</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P</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Q</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R</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S</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T</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rPr>
                        <w:sz w:val="16"/>
                      </w:rPr>
                    </w:pPr>
                    <w:r>
                      <w:rPr>
                        <w:rFonts w:hint="eastAsia"/>
                      </w:rPr>
                      <w:t>U</w:t>
                    </w:r>
                  </w:p>
                  <w:p w:rsidR="00171B88" w:rsidRDefault="00171B88" w:rsidP="008244DC">
                    <w:pPr>
                      <w:ind w:left="-90"/>
                      <w:rPr>
                        <w:sz w:val="10"/>
                      </w:rPr>
                    </w:pPr>
                  </w:p>
                  <w:p w:rsidR="00171B88" w:rsidRDefault="00171B88" w:rsidP="008244DC">
                    <w:pPr>
                      <w:ind w:left="-90"/>
                      <w:rPr>
                        <w:sz w:val="16"/>
                      </w:rPr>
                    </w:pPr>
                  </w:p>
                  <w:p w:rsidR="00171B88" w:rsidRDefault="00171B88" w:rsidP="008244DC">
                    <w:pPr>
                      <w:ind w:left="-90"/>
                      <w:rPr>
                        <w:sz w:val="16"/>
                      </w:rPr>
                    </w:pPr>
                  </w:p>
                  <w:p w:rsidR="00171B88" w:rsidRDefault="00171B88" w:rsidP="008244DC">
                    <w:pPr>
                      <w:ind w:left="-90"/>
                    </w:pPr>
                    <w:r>
                      <w:rPr>
                        <w:rFonts w:hint="eastAsia"/>
                      </w:rPr>
                      <w:t>V</w:t>
                    </w:r>
                  </w:p>
                </w:txbxContent>
              </v:textbox>
              <w10:wrap anchorx="page"/>
            </v:shape>
          </w:pict>
        </mc:Fallback>
      </mc:AlternateContent>
    </w:r>
    <w:r>
      <w:rPr>
        <w:noProof/>
        <w:lang w:val="en-US"/>
      </w:rPr>
      <mc:AlternateContent>
        <mc:Choice Requires="wps">
          <w:drawing>
            <wp:anchor distT="0" distB="0" distL="114300" distR="114300" simplePos="0" relativeHeight="251658240" behindDoc="0" locked="0" layoutInCell="1" allowOverlap="1" wp14:anchorId="49C31674" wp14:editId="5C413243">
              <wp:simplePos x="0" y="0"/>
              <wp:positionH relativeFrom="column">
                <wp:posOffset>-909955</wp:posOffset>
              </wp:positionH>
              <wp:positionV relativeFrom="paragraph">
                <wp:posOffset>45720</wp:posOffset>
              </wp:positionV>
              <wp:extent cx="405765" cy="10097135"/>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16ED" w:rsidRDefault="00CB16ED" w:rsidP="0087327F">
                          <w:r>
                            <w:rPr>
                              <w:rFonts w:hint="eastAsia"/>
                            </w:rPr>
                            <w:t>A</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r>
                            <w:rPr>
                              <w:rFonts w:hint="eastAsia"/>
                            </w:rPr>
                            <w:t>B</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C</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r>
                            <w:rPr>
                              <w:rFonts w:hint="eastAsia"/>
                            </w:rPr>
                            <w:t>D</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E</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r>
                            <w:rPr>
                              <w:rFonts w:hint="eastAsia"/>
                            </w:rPr>
                            <w:t>F</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G</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H</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I</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J</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K</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L</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M</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N</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O</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P</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Q</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R</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S</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T</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pPr>
                            <w:rPr>
                              <w:sz w:val="16"/>
                            </w:rPr>
                          </w:pPr>
                          <w:r>
                            <w:rPr>
                              <w:rFonts w:hint="eastAsia"/>
                            </w:rPr>
                            <w:t>U</w:t>
                          </w:r>
                        </w:p>
                        <w:p w:rsidR="00CB16ED" w:rsidRDefault="00CB16ED" w:rsidP="0087327F">
                          <w:pPr>
                            <w:rPr>
                              <w:sz w:val="10"/>
                            </w:rPr>
                          </w:pPr>
                        </w:p>
                        <w:p w:rsidR="00CB16ED" w:rsidRDefault="00CB16ED" w:rsidP="0087327F">
                          <w:pPr>
                            <w:rPr>
                              <w:sz w:val="16"/>
                            </w:rPr>
                          </w:pPr>
                        </w:p>
                        <w:p w:rsidR="00CB16ED" w:rsidRDefault="00CB16ED" w:rsidP="0087327F">
                          <w:pPr>
                            <w:rPr>
                              <w:sz w:val="16"/>
                            </w:rPr>
                          </w:pPr>
                        </w:p>
                        <w:p w:rsidR="00CB16ED" w:rsidRDefault="00CB16ED" w:rsidP="0087327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31674" id="Text Box 12" o:spid="_x0000_s1029" type="#_x0000_t202" style="position:absolute;left:0;text-align:left;margin-left:-71.65pt;margin-top:3.6pt;width:31.95pt;height:79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" stroked="f">
              <v:textbox>
                <w:txbxContent>
                  <w:p w:rsidR="00171B88" w:rsidRDefault="00171B88" w:rsidP="0087327F">
                    <w:r>
                      <w:rPr>
                        <w:rFonts w:hint="eastAsia"/>
                      </w:rPr>
                      <w:t>A</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r>
                      <w:rPr>
                        <w:rFonts w:hint="eastAsia"/>
                      </w:rPr>
                      <w:t>B</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C</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r>
                      <w:rPr>
                        <w:rFonts w:hint="eastAsia"/>
                      </w:rPr>
                      <w:t>D</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E</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r>
                      <w:rPr>
                        <w:rFonts w:hint="eastAsia"/>
                      </w:rPr>
                      <w:t>F</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G</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H</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I</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J</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K</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L</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M</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N</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O</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P</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Q</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R</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S</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T</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pPr>
                      <w:rPr>
                        <w:sz w:val="16"/>
                      </w:rPr>
                    </w:pPr>
                    <w:r>
                      <w:rPr>
                        <w:rFonts w:hint="eastAsia"/>
                      </w:rPr>
                      <w:t>U</w:t>
                    </w:r>
                  </w:p>
                  <w:p w:rsidR="00171B88" w:rsidRDefault="00171B88" w:rsidP="0087327F">
                    <w:pPr>
                      <w:rPr>
                        <w:sz w:val="10"/>
                      </w:rPr>
                    </w:pPr>
                  </w:p>
                  <w:p w:rsidR="00171B88" w:rsidRDefault="00171B88" w:rsidP="0087327F">
                    <w:pPr>
                      <w:rPr>
                        <w:sz w:val="16"/>
                      </w:rPr>
                    </w:pPr>
                  </w:p>
                  <w:p w:rsidR="00171B88" w:rsidRDefault="00171B88" w:rsidP="0087327F">
                    <w:pPr>
                      <w:rPr>
                        <w:sz w:val="16"/>
                      </w:rPr>
                    </w:pPr>
                  </w:p>
                  <w:p w:rsidR="00171B88" w:rsidRDefault="00171B88" w:rsidP="0087327F">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807C993C"/>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3B778D7"/>
    <w:multiLevelType w:val="hybridMultilevel"/>
    <w:tmpl w:val="B6CC45EA"/>
    <w:lvl w:ilvl="0" w:tplc="38300E24">
      <w:start w:val="1"/>
      <w:numFmt w:val="decimal"/>
      <w:pStyle w:val="T-Draft"/>
      <w:lvlText w:val="%1."/>
      <w:lvlJc w:val="left"/>
      <w:pPr>
        <w:ind w:left="0" w:firstLine="0"/>
      </w:pPr>
      <w:rPr>
        <w:rFonts w:hint="eastAsia"/>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296F7B"/>
    <w:multiLevelType w:val="hybridMultilevel"/>
    <w:tmpl w:val="1834CD2E"/>
    <w:lvl w:ilvl="0" w:tplc="FFFFFFFF">
      <w:start w:val="1"/>
      <w:numFmt w:val="decimal"/>
      <w:lvlText w:val="%1."/>
      <w:lvlJc w:val="left"/>
      <w:pPr>
        <w:ind w:left="0" w:firstLine="0"/>
      </w:pPr>
      <w:rPr>
        <w:rFonts w:hint="eastAsia"/>
        <w:i w:val="0"/>
      </w:r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EC16A6"/>
    <w:multiLevelType w:val="multilevel"/>
    <w:tmpl w:val="F8883D02"/>
    <w:numStyleLink w:val="1i"/>
  </w:abstractNum>
  <w:abstractNum w:abstractNumId="4" w15:restartNumberingAfterBreak="0">
    <w:nsid w:val="210C12F8"/>
    <w:multiLevelType w:val="hybridMultilevel"/>
    <w:tmpl w:val="68FE3B7E"/>
    <w:lvl w:ilvl="0" w:tplc="527CC09C">
      <w:start w:val="1"/>
      <w:numFmt w:val="decimal"/>
      <w:lvlText w:val="%1."/>
      <w:lvlJc w:val="left"/>
      <w:pPr>
        <w:ind w:left="0" w:firstLine="0"/>
      </w:pPr>
      <w:rPr>
        <w:rFonts w:hint="eastAsia"/>
        <w:i w:val="0"/>
      </w:rPr>
    </w:lvl>
    <w:lvl w:ilvl="1" w:tplc="6EFA0D38">
      <w:start w:val="1"/>
      <w:numFmt w:val="decimal"/>
      <w:lvlText w:val="(%2)"/>
      <w:lvlJc w:val="left"/>
      <w:pPr>
        <w:ind w:left="1440" w:hanging="360"/>
      </w:pPr>
      <w:rPr>
        <w:rFonts w:hint="eastAsia"/>
      </w:rPr>
    </w:lvl>
    <w:lvl w:ilvl="2" w:tplc="5962558E">
      <w:start w:val="1"/>
      <w:numFmt w:val="lowerLetter"/>
      <w:lvlText w:val="(%3)"/>
      <w:lvlJc w:val="left"/>
      <w:pPr>
        <w:ind w:left="2160" w:hanging="180"/>
      </w:pPr>
      <w:rPr>
        <w:rFonts w:hint="eastAsi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D2546"/>
    <w:multiLevelType w:val="multilevel"/>
    <w:tmpl w:val="84E4A6E2"/>
    <w:styleLink w:val="Iia"/>
    <w:lvl w:ilvl="0">
      <w:start w:val="1"/>
      <w:numFmt w:val="upperRoman"/>
      <w:lvlText w:val="(%1)"/>
      <w:lvlJc w:val="right"/>
      <w:pPr>
        <w:tabs>
          <w:tab w:val="num" w:pos="1440"/>
        </w:tabs>
        <w:ind w:left="144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Letter"/>
      <w:lvlText w:val="(%3)"/>
      <w:lvlJc w:val="right"/>
      <w:pPr>
        <w:tabs>
          <w:tab w:val="num" w:pos="2880"/>
        </w:tabs>
        <w:ind w:left="28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2FAB66D7"/>
    <w:multiLevelType w:val="hybridMultilevel"/>
    <w:tmpl w:val="3D400E48"/>
    <w:lvl w:ilvl="0" w:tplc="EE640F1C">
      <w:start w:val="1"/>
      <w:numFmt w:val="decimal"/>
      <w:lvlText w:val="%1."/>
      <w:lvlJc w:val="left"/>
      <w:pPr>
        <w:ind w:left="720" w:hanging="360"/>
      </w:pPr>
      <w:rPr>
        <w:rFonts w:hint="eastAsia"/>
      </w:rPr>
    </w:lvl>
    <w:lvl w:ilvl="1" w:tplc="5962558E">
      <w:start w:val="1"/>
      <w:numFmt w:val="lowerLetter"/>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B6788"/>
    <w:multiLevelType w:val="multilevel"/>
    <w:tmpl w:val="7C64A4D4"/>
    <w:styleLink w:val="1a"/>
    <w:lvl w:ilvl="0">
      <w:start w:val="1"/>
      <w:numFmt w:val="decimal"/>
      <w:lvlText w:val="(%1)"/>
      <w:lvlJc w:val="right"/>
      <w:pPr>
        <w:tabs>
          <w:tab w:val="num" w:pos="1440"/>
        </w:tabs>
        <w:ind w:left="1440" w:hanging="432"/>
      </w:pPr>
      <w:rPr>
        <w:rFonts w:hint="eastAsia"/>
      </w:rPr>
    </w:lvl>
    <w:lvl w:ilvl="1">
      <w:start w:val="1"/>
      <w:numFmt w:val="lowerLetter"/>
      <w:lvlText w:val="(%2)"/>
      <w:lvlJc w:val="right"/>
      <w:pPr>
        <w:tabs>
          <w:tab w:val="num" w:pos="2160"/>
        </w:tabs>
        <w:ind w:left="2160" w:hanging="288"/>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3791720E"/>
    <w:multiLevelType w:val="hybridMultilevel"/>
    <w:tmpl w:val="502861B8"/>
    <w:lvl w:ilvl="0" w:tplc="FFFFFFFF">
      <w:start w:val="1"/>
      <w:numFmt w:val="decimal"/>
      <w:lvlText w:val="%1."/>
      <w:lvlJc w:val="left"/>
      <w:pPr>
        <w:ind w:left="0" w:firstLine="0"/>
      </w:pPr>
      <w:rPr>
        <w:rFonts w:hint="eastAsia"/>
        <w:i w:val="0"/>
      </w:rPr>
    </w:lvl>
    <w:lvl w:ilvl="1" w:tplc="6EFA0D38">
      <w:start w:val="1"/>
      <w:numFmt w:val="decimal"/>
      <w:lvlText w:val="(%2)"/>
      <w:lvlJc w:val="left"/>
      <w:pPr>
        <w:ind w:left="1440" w:hanging="36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967D59"/>
    <w:multiLevelType w:val="multilevel"/>
    <w:tmpl w:val="C1E86EA0"/>
    <w:lvl w:ilvl="0">
      <w:start w:val="1"/>
      <w:numFmt w:val="decimal"/>
      <w:pStyle w:val="Sublevel11"/>
      <w:lvlText w:val="%1."/>
      <w:lvlJc w:val="left"/>
      <w:pPr>
        <w:ind w:left="567" w:hanging="567"/>
      </w:pPr>
      <w:rPr>
        <w:rFonts w:hint="default"/>
      </w:rPr>
    </w:lvl>
    <w:lvl w:ilvl="1">
      <w:start w:val="1"/>
      <w:numFmt w:val="decimal"/>
      <w:pStyle w:val="Sublevel2-a"/>
      <w:lvlText w:val="(%2)"/>
      <w:lvlJc w:val="left"/>
      <w:pPr>
        <w:ind w:left="737" w:hanging="510"/>
      </w:pPr>
      <w:rPr>
        <w:rFonts w:hint="default"/>
      </w:rPr>
    </w:lvl>
    <w:lvl w:ilvl="2">
      <w:start w:val="1"/>
      <w:numFmt w:val="lowerLetter"/>
      <w:pStyle w:val="Sublevel3i"/>
      <w:lvlText w:val="(%3)"/>
      <w:lvlJc w:val="left"/>
      <w:pPr>
        <w:tabs>
          <w:tab w:val="num" w:pos="1361"/>
        </w:tabs>
        <w:ind w:left="1077" w:hanging="510"/>
      </w:pPr>
      <w:rPr>
        <w:rFonts w:hint="default"/>
      </w:rPr>
    </w:lvl>
    <w:lvl w:ilvl="3">
      <w:start w:val="1"/>
      <w:numFmt w:val="lowerRoman"/>
      <w:pStyle w:val="Sublevel4"/>
      <w:lvlText w:val="(%4)"/>
      <w:lvlJc w:val="left"/>
      <w:pPr>
        <w:tabs>
          <w:tab w:val="num" w:pos="1871"/>
        </w:tabs>
        <w:ind w:left="1418" w:hanging="5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A1D201A"/>
    <w:multiLevelType w:val="hybridMultilevel"/>
    <w:tmpl w:val="6FFA4306"/>
    <w:lvl w:ilvl="0" w:tplc="FFFFFFFF">
      <w:start w:val="1"/>
      <w:numFmt w:val="decimal"/>
      <w:lvlText w:val="%1."/>
      <w:lvlJc w:val="left"/>
      <w:pPr>
        <w:ind w:left="0" w:firstLine="0"/>
      </w:pPr>
      <w:rPr>
        <w:rFonts w:hint="eastAsia"/>
        <w:i w:val="0"/>
      </w:rPr>
    </w:lvl>
    <w:lvl w:ilvl="1" w:tplc="1D4C3758">
      <w:start w:val="1"/>
      <w:numFmt w:val="lowerRoman"/>
      <w:lvlText w:val="(%2)"/>
      <w:lvlJc w:val="left"/>
      <w:pPr>
        <w:ind w:left="1440" w:hanging="36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12" w15:restartNumberingAfterBreak="0">
    <w:nsid w:val="3F3E7D53"/>
    <w:multiLevelType w:val="hybridMultilevel"/>
    <w:tmpl w:val="6302A144"/>
    <w:lvl w:ilvl="0" w:tplc="EE640F1C">
      <w:start w:val="1"/>
      <w:numFmt w:val="decimal"/>
      <w:lvlText w:val="%1."/>
      <w:lvlJc w:val="left"/>
      <w:pPr>
        <w:ind w:left="720" w:hanging="360"/>
      </w:pPr>
      <w:rPr>
        <w:rFonts w:hint="eastAsia"/>
      </w:rPr>
    </w:lvl>
    <w:lvl w:ilvl="1" w:tplc="5962558E">
      <w:start w:val="1"/>
      <w:numFmt w:val="lowerLetter"/>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D229B"/>
    <w:multiLevelType w:val="multilevel"/>
    <w:tmpl w:val="F8883D02"/>
    <w:styleLink w:val="1i"/>
    <w:lvl w:ilvl="0">
      <w:start w:val="1"/>
      <w:numFmt w:val="decimal"/>
      <w:lvlText w:val="(%1)"/>
      <w:lvlJc w:val="right"/>
      <w:pPr>
        <w:tabs>
          <w:tab w:val="num" w:pos="1260"/>
        </w:tabs>
        <w:ind w:left="126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4B485ADB"/>
    <w:multiLevelType w:val="multilevel"/>
    <w:tmpl w:val="7C64A4D4"/>
    <w:numStyleLink w:val="1a"/>
  </w:abstractNum>
  <w:abstractNum w:abstractNumId="15" w15:restartNumberingAfterBreak="0">
    <w:nsid w:val="4F70399F"/>
    <w:multiLevelType w:val="multilevel"/>
    <w:tmpl w:val="7C64A4D4"/>
    <w:numStyleLink w:val="1a"/>
  </w:abstractNum>
  <w:abstractNum w:abstractNumId="16" w15:restartNumberingAfterBreak="0">
    <w:nsid w:val="528D25DA"/>
    <w:multiLevelType w:val="hybridMultilevel"/>
    <w:tmpl w:val="69B262FA"/>
    <w:lvl w:ilvl="0" w:tplc="6CF69A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D90807"/>
    <w:multiLevelType w:val="multilevel"/>
    <w:tmpl w:val="84E4A6E2"/>
    <w:numStyleLink w:val="Iia"/>
  </w:abstractNum>
  <w:abstractNum w:abstractNumId="18"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abstractNum w:abstractNumId="19" w15:restartNumberingAfterBreak="0">
    <w:nsid w:val="680F5C17"/>
    <w:multiLevelType w:val="hybridMultilevel"/>
    <w:tmpl w:val="FCF26C7A"/>
    <w:lvl w:ilvl="0" w:tplc="CC92B7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35FF1"/>
    <w:multiLevelType w:val="hybridMultilevel"/>
    <w:tmpl w:val="C3B6DA2A"/>
    <w:lvl w:ilvl="0" w:tplc="EE640F1C">
      <w:start w:val="1"/>
      <w:numFmt w:val="decimal"/>
      <w:lvlText w:val="%1."/>
      <w:lvlJc w:val="left"/>
      <w:pPr>
        <w:ind w:left="720" w:hanging="360"/>
      </w:pPr>
      <w:rPr>
        <w:rFonts w:hint="eastAsia"/>
      </w:rPr>
    </w:lvl>
    <w:lvl w:ilvl="1" w:tplc="5962558E">
      <w:start w:val="1"/>
      <w:numFmt w:val="lowerLetter"/>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E3753"/>
    <w:multiLevelType w:val="hybridMultilevel"/>
    <w:tmpl w:val="AE4E52B8"/>
    <w:lvl w:ilvl="0" w:tplc="FFFFFFFF">
      <w:start w:val="1"/>
      <w:numFmt w:val="decimal"/>
      <w:lvlText w:val="%1."/>
      <w:lvlJc w:val="left"/>
      <w:pPr>
        <w:ind w:left="0" w:firstLine="0"/>
      </w:pPr>
      <w:rPr>
        <w:rFonts w:hint="eastAsia"/>
        <w:i w:val="0"/>
      </w:rPr>
    </w:lvl>
    <w:lvl w:ilvl="1" w:tplc="6EFA0D38">
      <w:start w:val="1"/>
      <w:numFmt w:val="decimal"/>
      <w:lvlText w:val="(%2)"/>
      <w:lvlJc w:val="left"/>
      <w:pPr>
        <w:ind w:left="1440" w:hanging="36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8"/>
  </w:num>
  <w:num w:numId="2">
    <w:abstractNumId w:val="11"/>
  </w:num>
  <w:num w:numId="3">
    <w:abstractNumId w:val="0"/>
  </w:num>
  <w:num w:numId="4">
    <w:abstractNumId w:val="1"/>
  </w:num>
  <w:num w:numId="5">
    <w:abstractNumId w:val="9"/>
  </w:num>
  <w:num w:numId="6">
    <w:abstractNumId w:val="7"/>
  </w:num>
  <w:num w:numId="7">
    <w:abstractNumId w:val="14"/>
  </w:num>
  <w:num w:numId="8">
    <w:abstractNumId w:val="13"/>
  </w:num>
  <w:num w:numId="9">
    <w:abstractNumId w:val="3"/>
  </w:num>
  <w:num w:numId="10">
    <w:abstractNumId w:val="5"/>
  </w:num>
  <w:num w:numId="11">
    <w:abstractNumId w:val="17"/>
  </w:num>
  <w:num w:numId="12">
    <w:abstractNumId w:val="15"/>
  </w:num>
  <w:num w:numId="13">
    <w:abstractNumId w:val="4"/>
  </w:num>
  <w:num w:numId="14">
    <w:abstractNumId w:val="2"/>
  </w:num>
  <w:num w:numId="15">
    <w:abstractNumId w:val="10"/>
  </w:num>
  <w:num w:numId="16">
    <w:abstractNumId w:val="8"/>
  </w:num>
  <w:num w:numId="17">
    <w:abstractNumId w:val="6"/>
  </w:num>
  <w:num w:numId="18">
    <w:abstractNumId w:val="21"/>
  </w:num>
  <w:num w:numId="19">
    <w:abstractNumId w:val="20"/>
  </w:num>
  <w:num w:numId="20">
    <w:abstractNumId w:val="12"/>
  </w:num>
  <w:num w:numId="21">
    <w:abstractNumId w:val="16"/>
  </w:num>
  <w:num w:numId="22">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defaultTabStop w:val="72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58"/>
    <w:rsid w:val="00000F3A"/>
    <w:rsid w:val="00003A46"/>
    <w:rsid w:val="000050B7"/>
    <w:rsid w:val="0000516C"/>
    <w:rsid w:val="000058FB"/>
    <w:rsid w:val="00011A8A"/>
    <w:rsid w:val="00012F63"/>
    <w:rsid w:val="0001356E"/>
    <w:rsid w:val="00013BA4"/>
    <w:rsid w:val="000143C6"/>
    <w:rsid w:val="000166B7"/>
    <w:rsid w:val="00016D1E"/>
    <w:rsid w:val="000172B7"/>
    <w:rsid w:val="00023E23"/>
    <w:rsid w:val="00023F38"/>
    <w:rsid w:val="00030B0F"/>
    <w:rsid w:val="00033154"/>
    <w:rsid w:val="00035491"/>
    <w:rsid w:val="0003606D"/>
    <w:rsid w:val="000368AD"/>
    <w:rsid w:val="0003790E"/>
    <w:rsid w:val="00040A9E"/>
    <w:rsid w:val="000431AB"/>
    <w:rsid w:val="00043D1D"/>
    <w:rsid w:val="00044AF0"/>
    <w:rsid w:val="00046869"/>
    <w:rsid w:val="00047411"/>
    <w:rsid w:val="000521F3"/>
    <w:rsid w:val="00056EA1"/>
    <w:rsid w:val="00057071"/>
    <w:rsid w:val="000606C7"/>
    <w:rsid w:val="000654E9"/>
    <w:rsid w:val="00067627"/>
    <w:rsid w:val="000711C0"/>
    <w:rsid w:val="0007218A"/>
    <w:rsid w:val="0007343F"/>
    <w:rsid w:val="00074936"/>
    <w:rsid w:val="000753E3"/>
    <w:rsid w:val="0007598E"/>
    <w:rsid w:val="00075DD8"/>
    <w:rsid w:val="00081268"/>
    <w:rsid w:val="0008180B"/>
    <w:rsid w:val="00081CC6"/>
    <w:rsid w:val="00085832"/>
    <w:rsid w:val="00086337"/>
    <w:rsid w:val="00086827"/>
    <w:rsid w:val="0008745D"/>
    <w:rsid w:val="00090D47"/>
    <w:rsid w:val="000929CE"/>
    <w:rsid w:val="00092DF8"/>
    <w:rsid w:val="00093882"/>
    <w:rsid w:val="000938F2"/>
    <w:rsid w:val="00093F41"/>
    <w:rsid w:val="000956EE"/>
    <w:rsid w:val="0009741D"/>
    <w:rsid w:val="000A0B09"/>
    <w:rsid w:val="000A3DA0"/>
    <w:rsid w:val="000A402C"/>
    <w:rsid w:val="000A6337"/>
    <w:rsid w:val="000A6DAF"/>
    <w:rsid w:val="000A7E7F"/>
    <w:rsid w:val="000A7FDA"/>
    <w:rsid w:val="000B09F3"/>
    <w:rsid w:val="000B2889"/>
    <w:rsid w:val="000B2A23"/>
    <w:rsid w:val="000B3B14"/>
    <w:rsid w:val="000B7B03"/>
    <w:rsid w:val="000B7FAC"/>
    <w:rsid w:val="000C1EC8"/>
    <w:rsid w:val="000C3068"/>
    <w:rsid w:val="000C4FAB"/>
    <w:rsid w:val="000C5E63"/>
    <w:rsid w:val="000C6360"/>
    <w:rsid w:val="000C6D29"/>
    <w:rsid w:val="000C6F10"/>
    <w:rsid w:val="000C7111"/>
    <w:rsid w:val="000C792C"/>
    <w:rsid w:val="000C7938"/>
    <w:rsid w:val="000C7B58"/>
    <w:rsid w:val="000C7E83"/>
    <w:rsid w:val="000D0874"/>
    <w:rsid w:val="000D3254"/>
    <w:rsid w:val="000D50D6"/>
    <w:rsid w:val="000D635A"/>
    <w:rsid w:val="000D7D32"/>
    <w:rsid w:val="000E0DAE"/>
    <w:rsid w:val="000E1449"/>
    <w:rsid w:val="000E25CD"/>
    <w:rsid w:val="000E54F7"/>
    <w:rsid w:val="000E6497"/>
    <w:rsid w:val="000E6F63"/>
    <w:rsid w:val="000E719B"/>
    <w:rsid w:val="000F01F3"/>
    <w:rsid w:val="000F11A1"/>
    <w:rsid w:val="000F1532"/>
    <w:rsid w:val="000F46CD"/>
    <w:rsid w:val="000F5016"/>
    <w:rsid w:val="000F6E97"/>
    <w:rsid w:val="001004CD"/>
    <w:rsid w:val="001035BD"/>
    <w:rsid w:val="001040D6"/>
    <w:rsid w:val="001067FC"/>
    <w:rsid w:val="00106CFD"/>
    <w:rsid w:val="00110B94"/>
    <w:rsid w:val="00111020"/>
    <w:rsid w:val="00111D70"/>
    <w:rsid w:val="001205FB"/>
    <w:rsid w:val="001250DF"/>
    <w:rsid w:val="00127C14"/>
    <w:rsid w:val="00130BA6"/>
    <w:rsid w:val="00130E04"/>
    <w:rsid w:val="0013160D"/>
    <w:rsid w:val="00131896"/>
    <w:rsid w:val="00132A7F"/>
    <w:rsid w:val="001400C1"/>
    <w:rsid w:val="00140442"/>
    <w:rsid w:val="0014211A"/>
    <w:rsid w:val="0014546D"/>
    <w:rsid w:val="00145BA1"/>
    <w:rsid w:val="00152988"/>
    <w:rsid w:val="00152A92"/>
    <w:rsid w:val="00153291"/>
    <w:rsid w:val="00154982"/>
    <w:rsid w:val="00160296"/>
    <w:rsid w:val="001605E1"/>
    <w:rsid w:val="00162B8D"/>
    <w:rsid w:val="00162DC3"/>
    <w:rsid w:val="00163B93"/>
    <w:rsid w:val="00163CE2"/>
    <w:rsid w:val="00164109"/>
    <w:rsid w:val="00167812"/>
    <w:rsid w:val="001719B8"/>
    <w:rsid w:val="00171B88"/>
    <w:rsid w:val="00172426"/>
    <w:rsid w:val="00172B5E"/>
    <w:rsid w:val="00176E3C"/>
    <w:rsid w:val="00177A4F"/>
    <w:rsid w:val="00183A1A"/>
    <w:rsid w:val="00183C3D"/>
    <w:rsid w:val="00184EF7"/>
    <w:rsid w:val="00185002"/>
    <w:rsid w:val="00185E9D"/>
    <w:rsid w:val="001874F2"/>
    <w:rsid w:val="00193703"/>
    <w:rsid w:val="0019782A"/>
    <w:rsid w:val="001A09DB"/>
    <w:rsid w:val="001A131E"/>
    <w:rsid w:val="001A3AF3"/>
    <w:rsid w:val="001A45CC"/>
    <w:rsid w:val="001A4E63"/>
    <w:rsid w:val="001A5794"/>
    <w:rsid w:val="001A5D61"/>
    <w:rsid w:val="001A653E"/>
    <w:rsid w:val="001B1A87"/>
    <w:rsid w:val="001B319A"/>
    <w:rsid w:val="001B3AFE"/>
    <w:rsid w:val="001B533D"/>
    <w:rsid w:val="001B7BA8"/>
    <w:rsid w:val="001C0085"/>
    <w:rsid w:val="001C1EB9"/>
    <w:rsid w:val="001C323E"/>
    <w:rsid w:val="001C5348"/>
    <w:rsid w:val="001C5D43"/>
    <w:rsid w:val="001D1B41"/>
    <w:rsid w:val="001D1CB4"/>
    <w:rsid w:val="001D2208"/>
    <w:rsid w:val="001D306B"/>
    <w:rsid w:val="001D3F8B"/>
    <w:rsid w:val="001D6F2B"/>
    <w:rsid w:val="001D70BC"/>
    <w:rsid w:val="001E0776"/>
    <w:rsid w:val="001E1E01"/>
    <w:rsid w:val="001E20A9"/>
    <w:rsid w:val="001E2C29"/>
    <w:rsid w:val="001E2DEA"/>
    <w:rsid w:val="001E6D73"/>
    <w:rsid w:val="001E75AF"/>
    <w:rsid w:val="001F08AF"/>
    <w:rsid w:val="001F0D4F"/>
    <w:rsid w:val="001F3081"/>
    <w:rsid w:val="001F4C2F"/>
    <w:rsid w:val="001F511C"/>
    <w:rsid w:val="002045C7"/>
    <w:rsid w:val="0020514F"/>
    <w:rsid w:val="0020749D"/>
    <w:rsid w:val="00216208"/>
    <w:rsid w:val="002166DB"/>
    <w:rsid w:val="00216DF9"/>
    <w:rsid w:val="0021759F"/>
    <w:rsid w:val="002219A9"/>
    <w:rsid w:val="00221E08"/>
    <w:rsid w:val="00223579"/>
    <w:rsid w:val="00223F1A"/>
    <w:rsid w:val="00226A54"/>
    <w:rsid w:val="00230FB8"/>
    <w:rsid w:val="00231318"/>
    <w:rsid w:val="002319FD"/>
    <w:rsid w:val="00231AB7"/>
    <w:rsid w:val="00235458"/>
    <w:rsid w:val="00235E96"/>
    <w:rsid w:val="002371D3"/>
    <w:rsid w:val="00237DF7"/>
    <w:rsid w:val="00240A52"/>
    <w:rsid w:val="002414F4"/>
    <w:rsid w:val="0024246A"/>
    <w:rsid w:val="00242EDA"/>
    <w:rsid w:val="0024484E"/>
    <w:rsid w:val="002448F8"/>
    <w:rsid w:val="00245971"/>
    <w:rsid w:val="00245F64"/>
    <w:rsid w:val="00246737"/>
    <w:rsid w:val="00252110"/>
    <w:rsid w:val="00252F3E"/>
    <w:rsid w:val="00260085"/>
    <w:rsid w:val="00260E1F"/>
    <w:rsid w:val="0026167D"/>
    <w:rsid w:val="00262F90"/>
    <w:rsid w:val="0026421C"/>
    <w:rsid w:val="00265999"/>
    <w:rsid w:val="00265A1E"/>
    <w:rsid w:val="002662CF"/>
    <w:rsid w:val="002670F4"/>
    <w:rsid w:val="002672D8"/>
    <w:rsid w:val="002700B9"/>
    <w:rsid w:val="002707DD"/>
    <w:rsid w:val="00271022"/>
    <w:rsid w:val="002720EB"/>
    <w:rsid w:val="002747FB"/>
    <w:rsid w:val="00274CBF"/>
    <w:rsid w:val="0027797E"/>
    <w:rsid w:val="00284B86"/>
    <w:rsid w:val="00284D2D"/>
    <w:rsid w:val="00287B2B"/>
    <w:rsid w:val="00291EDA"/>
    <w:rsid w:val="00292999"/>
    <w:rsid w:val="002970BA"/>
    <w:rsid w:val="002979E3"/>
    <w:rsid w:val="00297C34"/>
    <w:rsid w:val="002A0FC4"/>
    <w:rsid w:val="002A30BA"/>
    <w:rsid w:val="002A36C7"/>
    <w:rsid w:val="002A3EEE"/>
    <w:rsid w:val="002A58BA"/>
    <w:rsid w:val="002A6A79"/>
    <w:rsid w:val="002B087E"/>
    <w:rsid w:val="002B39A2"/>
    <w:rsid w:val="002B56DB"/>
    <w:rsid w:val="002B6959"/>
    <w:rsid w:val="002B6EB5"/>
    <w:rsid w:val="002C0414"/>
    <w:rsid w:val="002C283B"/>
    <w:rsid w:val="002C5B01"/>
    <w:rsid w:val="002C6BE1"/>
    <w:rsid w:val="002C6C01"/>
    <w:rsid w:val="002C7444"/>
    <w:rsid w:val="002C7BA5"/>
    <w:rsid w:val="002D13DE"/>
    <w:rsid w:val="002D1DC9"/>
    <w:rsid w:val="002D29A8"/>
    <w:rsid w:val="002D589D"/>
    <w:rsid w:val="002D5F97"/>
    <w:rsid w:val="002E2127"/>
    <w:rsid w:val="002E4DA7"/>
    <w:rsid w:val="002E5D20"/>
    <w:rsid w:val="002E5F2A"/>
    <w:rsid w:val="002F0749"/>
    <w:rsid w:val="002F177E"/>
    <w:rsid w:val="002F2D62"/>
    <w:rsid w:val="002F557F"/>
    <w:rsid w:val="002F74EE"/>
    <w:rsid w:val="00304C98"/>
    <w:rsid w:val="00307DBF"/>
    <w:rsid w:val="003162A0"/>
    <w:rsid w:val="00317703"/>
    <w:rsid w:val="003222DD"/>
    <w:rsid w:val="003325F0"/>
    <w:rsid w:val="00333012"/>
    <w:rsid w:val="00334383"/>
    <w:rsid w:val="00334A07"/>
    <w:rsid w:val="00335AC9"/>
    <w:rsid w:val="00335EB8"/>
    <w:rsid w:val="00335EDC"/>
    <w:rsid w:val="003364FE"/>
    <w:rsid w:val="00345F4E"/>
    <w:rsid w:val="003465AE"/>
    <w:rsid w:val="003515C1"/>
    <w:rsid w:val="00352CF9"/>
    <w:rsid w:val="00353101"/>
    <w:rsid w:val="00353898"/>
    <w:rsid w:val="00354F4B"/>
    <w:rsid w:val="003555EE"/>
    <w:rsid w:val="003557F5"/>
    <w:rsid w:val="00355E03"/>
    <w:rsid w:val="00355FFF"/>
    <w:rsid w:val="0035699D"/>
    <w:rsid w:val="003604EF"/>
    <w:rsid w:val="003616DE"/>
    <w:rsid w:val="0036364A"/>
    <w:rsid w:val="00363FC1"/>
    <w:rsid w:val="00365632"/>
    <w:rsid w:val="003672F7"/>
    <w:rsid w:val="00370ED1"/>
    <w:rsid w:val="00384387"/>
    <w:rsid w:val="00386E58"/>
    <w:rsid w:val="00390EC6"/>
    <w:rsid w:val="003918F8"/>
    <w:rsid w:val="00391F50"/>
    <w:rsid w:val="00395084"/>
    <w:rsid w:val="003963DF"/>
    <w:rsid w:val="00396536"/>
    <w:rsid w:val="00396610"/>
    <w:rsid w:val="00397A0F"/>
    <w:rsid w:val="003A016D"/>
    <w:rsid w:val="003A13C4"/>
    <w:rsid w:val="003A33B7"/>
    <w:rsid w:val="003A3D1A"/>
    <w:rsid w:val="003A40C2"/>
    <w:rsid w:val="003A6806"/>
    <w:rsid w:val="003A7ABB"/>
    <w:rsid w:val="003B186B"/>
    <w:rsid w:val="003B5CE4"/>
    <w:rsid w:val="003C07C5"/>
    <w:rsid w:val="003C44BF"/>
    <w:rsid w:val="003C63EA"/>
    <w:rsid w:val="003C6F57"/>
    <w:rsid w:val="003C6FBA"/>
    <w:rsid w:val="003C7EFF"/>
    <w:rsid w:val="003D041F"/>
    <w:rsid w:val="003D0BA3"/>
    <w:rsid w:val="003D0FE6"/>
    <w:rsid w:val="003D241B"/>
    <w:rsid w:val="003D3A44"/>
    <w:rsid w:val="003D76A8"/>
    <w:rsid w:val="003E0163"/>
    <w:rsid w:val="003E201D"/>
    <w:rsid w:val="003E24A6"/>
    <w:rsid w:val="003E41BC"/>
    <w:rsid w:val="003E5369"/>
    <w:rsid w:val="003E5CDD"/>
    <w:rsid w:val="003E5DB2"/>
    <w:rsid w:val="003E61FA"/>
    <w:rsid w:val="003E7500"/>
    <w:rsid w:val="003F3729"/>
    <w:rsid w:val="003F52A2"/>
    <w:rsid w:val="003F5922"/>
    <w:rsid w:val="003F778A"/>
    <w:rsid w:val="0040198A"/>
    <w:rsid w:val="00407E55"/>
    <w:rsid w:val="004102AB"/>
    <w:rsid w:val="004111C2"/>
    <w:rsid w:val="00411885"/>
    <w:rsid w:val="0042007A"/>
    <w:rsid w:val="004209A5"/>
    <w:rsid w:val="00420FC9"/>
    <w:rsid w:val="00422106"/>
    <w:rsid w:val="004226EE"/>
    <w:rsid w:val="00431BEE"/>
    <w:rsid w:val="00434EEB"/>
    <w:rsid w:val="004409C9"/>
    <w:rsid w:val="004410C9"/>
    <w:rsid w:val="00441132"/>
    <w:rsid w:val="004421FA"/>
    <w:rsid w:val="00447189"/>
    <w:rsid w:val="004517B9"/>
    <w:rsid w:val="004523BE"/>
    <w:rsid w:val="00452A5B"/>
    <w:rsid w:val="00452CF7"/>
    <w:rsid w:val="004540B7"/>
    <w:rsid w:val="0046009A"/>
    <w:rsid w:val="00461E37"/>
    <w:rsid w:val="00464A2D"/>
    <w:rsid w:val="004656A3"/>
    <w:rsid w:val="004667CD"/>
    <w:rsid w:val="004707D8"/>
    <w:rsid w:val="00472117"/>
    <w:rsid w:val="004731A5"/>
    <w:rsid w:val="004735A9"/>
    <w:rsid w:val="00473854"/>
    <w:rsid w:val="00473FB5"/>
    <w:rsid w:val="00474634"/>
    <w:rsid w:val="00475763"/>
    <w:rsid w:val="00475A61"/>
    <w:rsid w:val="0047735B"/>
    <w:rsid w:val="0047790F"/>
    <w:rsid w:val="004807C8"/>
    <w:rsid w:val="00483AF9"/>
    <w:rsid w:val="0048549E"/>
    <w:rsid w:val="0048567E"/>
    <w:rsid w:val="00486E58"/>
    <w:rsid w:val="00490F1C"/>
    <w:rsid w:val="00492775"/>
    <w:rsid w:val="00492AD4"/>
    <w:rsid w:val="00492E6F"/>
    <w:rsid w:val="00492FF8"/>
    <w:rsid w:val="00493489"/>
    <w:rsid w:val="00494064"/>
    <w:rsid w:val="00494CC8"/>
    <w:rsid w:val="00496D98"/>
    <w:rsid w:val="004A1CCE"/>
    <w:rsid w:val="004A20B2"/>
    <w:rsid w:val="004A2EBB"/>
    <w:rsid w:val="004A3C6F"/>
    <w:rsid w:val="004A52CE"/>
    <w:rsid w:val="004A5D2A"/>
    <w:rsid w:val="004B0862"/>
    <w:rsid w:val="004B1B72"/>
    <w:rsid w:val="004B3442"/>
    <w:rsid w:val="004B398C"/>
    <w:rsid w:val="004B48B3"/>
    <w:rsid w:val="004B6605"/>
    <w:rsid w:val="004C0FE9"/>
    <w:rsid w:val="004C1BEF"/>
    <w:rsid w:val="004C2CCD"/>
    <w:rsid w:val="004C3F3B"/>
    <w:rsid w:val="004C4009"/>
    <w:rsid w:val="004C5A44"/>
    <w:rsid w:val="004D12FA"/>
    <w:rsid w:val="004D284B"/>
    <w:rsid w:val="004D2DC9"/>
    <w:rsid w:val="004D4729"/>
    <w:rsid w:val="004D544D"/>
    <w:rsid w:val="004D71BD"/>
    <w:rsid w:val="004D71D5"/>
    <w:rsid w:val="004E1233"/>
    <w:rsid w:val="004E14F8"/>
    <w:rsid w:val="004E1A7C"/>
    <w:rsid w:val="004E62C0"/>
    <w:rsid w:val="004E630A"/>
    <w:rsid w:val="004E65A9"/>
    <w:rsid w:val="004F0093"/>
    <w:rsid w:val="004F0333"/>
    <w:rsid w:val="004F068C"/>
    <w:rsid w:val="004F43AB"/>
    <w:rsid w:val="004F7EE5"/>
    <w:rsid w:val="005033AD"/>
    <w:rsid w:val="00505CA8"/>
    <w:rsid w:val="00506CAA"/>
    <w:rsid w:val="005076C4"/>
    <w:rsid w:val="00512ADF"/>
    <w:rsid w:val="0051486F"/>
    <w:rsid w:val="005157F1"/>
    <w:rsid w:val="00515E9B"/>
    <w:rsid w:val="0051666A"/>
    <w:rsid w:val="00520423"/>
    <w:rsid w:val="00520771"/>
    <w:rsid w:val="00521A7A"/>
    <w:rsid w:val="00522E90"/>
    <w:rsid w:val="0052743E"/>
    <w:rsid w:val="005304A8"/>
    <w:rsid w:val="00532E36"/>
    <w:rsid w:val="00534911"/>
    <w:rsid w:val="00537C1E"/>
    <w:rsid w:val="005420CB"/>
    <w:rsid w:val="00543A6D"/>
    <w:rsid w:val="00544DA7"/>
    <w:rsid w:val="005463B2"/>
    <w:rsid w:val="00546DAD"/>
    <w:rsid w:val="00550672"/>
    <w:rsid w:val="00552532"/>
    <w:rsid w:val="005578C0"/>
    <w:rsid w:val="00560A9D"/>
    <w:rsid w:val="00561A1B"/>
    <w:rsid w:val="0056243E"/>
    <w:rsid w:val="0056302A"/>
    <w:rsid w:val="0056551F"/>
    <w:rsid w:val="00565D40"/>
    <w:rsid w:val="00566CD8"/>
    <w:rsid w:val="00570B66"/>
    <w:rsid w:val="00570E7C"/>
    <w:rsid w:val="00571C6F"/>
    <w:rsid w:val="00571D6A"/>
    <w:rsid w:val="0057224A"/>
    <w:rsid w:val="00574D2B"/>
    <w:rsid w:val="0057593B"/>
    <w:rsid w:val="00575D8C"/>
    <w:rsid w:val="0057628A"/>
    <w:rsid w:val="005778AF"/>
    <w:rsid w:val="005858D2"/>
    <w:rsid w:val="0058667F"/>
    <w:rsid w:val="00586FC8"/>
    <w:rsid w:val="0058711C"/>
    <w:rsid w:val="00587DA0"/>
    <w:rsid w:val="005904A2"/>
    <w:rsid w:val="005927E0"/>
    <w:rsid w:val="00592D6C"/>
    <w:rsid w:val="005939D5"/>
    <w:rsid w:val="00593C0A"/>
    <w:rsid w:val="0059414E"/>
    <w:rsid w:val="005973D3"/>
    <w:rsid w:val="005A1417"/>
    <w:rsid w:val="005A1F2B"/>
    <w:rsid w:val="005A27FD"/>
    <w:rsid w:val="005A29C2"/>
    <w:rsid w:val="005B1326"/>
    <w:rsid w:val="005B1E73"/>
    <w:rsid w:val="005B295A"/>
    <w:rsid w:val="005C01E9"/>
    <w:rsid w:val="005C3266"/>
    <w:rsid w:val="005C3420"/>
    <w:rsid w:val="005C4EE1"/>
    <w:rsid w:val="005C508B"/>
    <w:rsid w:val="005C6688"/>
    <w:rsid w:val="005D0A11"/>
    <w:rsid w:val="005D2BD0"/>
    <w:rsid w:val="005D2DD9"/>
    <w:rsid w:val="005D6AF5"/>
    <w:rsid w:val="005D7797"/>
    <w:rsid w:val="005E1B8A"/>
    <w:rsid w:val="005E1CB7"/>
    <w:rsid w:val="005E2318"/>
    <w:rsid w:val="005F1500"/>
    <w:rsid w:val="005F15CD"/>
    <w:rsid w:val="005F2163"/>
    <w:rsid w:val="005F3076"/>
    <w:rsid w:val="005F5BA7"/>
    <w:rsid w:val="005F688C"/>
    <w:rsid w:val="005F6971"/>
    <w:rsid w:val="005F6C8C"/>
    <w:rsid w:val="005F727E"/>
    <w:rsid w:val="00600DA8"/>
    <w:rsid w:val="00601579"/>
    <w:rsid w:val="0060337E"/>
    <w:rsid w:val="0060477F"/>
    <w:rsid w:val="006048B1"/>
    <w:rsid w:val="00605010"/>
    <w:rsid w:val="0060579B"/>
    <w:rsid w:val="00607B19"/>
    <w:rsid w:val="00607D12"/>
    <w:rsid w:val="00612766"/>
    <w:rsid w:val="006148B1"/>
    <w:rsid w:val="006215ED"/>
    <w:rsid w:val="0062228D"/>
    <w:rsid w:val="006235F9"/>
    <w:rsid w:val="006244C8"/>
    <w:rsid w:val="006247F6"/>
    <w:rsid w:val="00624F79"/>
    <w:rsid w:val="00627160"/>
    <w:rsid w:val="00630240"/>
    <w:rsid w:val="00630CA5"/>
    <w:rsid w:val="00633529"/>
    <w:rsid w:val="00633B58"/>
    <w:rsid w:val="00643D22"/>
    <w:rsid w:val="00647082"/>
    <w:rsid w:val="00647815"/>
    <w:rsid w:val="00647D38"/>
    <w:rsid w:val="0065087F"/>
    <w:rsid w:val="00650CF2"/>
    <w:rsid w:val="00650D00"/>
    <w:rsid w:val="00651136"/>
    <w:rsid w:val="00651A62"/>
    <w:rsid w:val="00651F4B"/>
    <w:rsid w:val="00653227"/>
    <w:rsid w:val="00653963"/>
    <w:rsid w:val="00657759"/>
    <w:rsid w:val="006615B9"/>
    <w:rsid w:val="00662121"/>
    <w:rsid w:val="00663D03"/>
    <w:rsid w:val="006648E1"/>
    <w:rsid w:val="00664E56"/>
    <w:rsid w:val="00666E17"/>
    <w:rsid w:val="00667EDC"/>
    <w:rsid w:val="00667F73"/>
    <w:rsid w:val="006707C5"/>
    <w:rsid w:val="006749F4"/>
    <w:rsid w:val="006811A7"/>
    <w:rsid w:val="00687D45"/>
    <w:rsid w:val="006905F4"/>
    <w:rsid w:val="00690FCB"/>
    <w:rsid w:val="006917E5"/>
    <w:rsid w:val="0069277F"/>
    <w:rsid w:val="00692AEB"/>
    <w:rsid w:val="00693F9A"/>
    <w:rsid w:val="0069500B"/>
    <w:rsid w:val="006A0D89"/>
    <w:rsid w:val="006A2661"/>
    <w:rsid w:val="006A31CF"/>
    <w:rsid w:val="006A3666"/>
    <w:rsid w:val="006A455B"/>
    <w:rsid w:val="006B1F41"/>
    <w:rsid w:val="006B24C8"/>
    <w:rsid w:val="006B3568"/>
    <w:rsid w:val="006B441F"/>
    <w:rsid w:val="006B5CD0"/>
    <w:rsid w:val="006B659D"/>
    <w:rsid w:val="006B7D67"/>
    <w:rsid w:val="006C0797"/>
    <w:rsid w:val="006C0DDF"/>
    <w:rsid w:val="006C13BB"/>
    <w:rsid w:val="006C49D4"/>
    <w:rsid w:val="006C4B2A"/>
    <w:rsid w:val="006C4F98"/>
    <w:rsid w:val="006C5801"/>
    <w:rsid w:val="006C6079"/>
    <w:rsid w:val="006C76A0"/>
    <w:rsid w:val="006D081A"/>
    <w:rsid w:val="006D0E60"/>
    <w:rsid w:val="006D2C5A"/>
    <w:rsid w:val="006D37BB"/>
    <w:rsid w:val="006D4D1C"/>
    <w:rsid w:val="006D4F53"/>
    <w:rsid w:val="006D504D"/>
    <w:rsid w:val="006E22F7"/>
    <w:rsid w:val="006E237D"/>
    <w:rsid w:val="006E320B"/>
    <w:rsid w:val="006E3CFE"/>
    <w:rsid w:val="006E6A90"/>
    <w:rsid w:val="006E72BD"/>
    <w:rsid w:val="006F075C"/>
    <w:rsid w:val="006F18ED"/>
    <w:rsid w:val="006F20F4"/>
    <w:rsid w:val="006F269F"/>
    <w:rsid w:val="006F3646"/>
    <w:rsid w:val="006F3724"/>
    <w:rsid w:val="006F58A0"/>
    <w:rsid w:val="007012F3"/>
    <w:rsid w:val="0070157F"/>
    <w:rsid w:val="00703923"/>
    <w:rsid w:val="00704341"/>
    <w:rsid w:val="007047EB"/>
    <w:rsid w:val="00704AE7"/>
    <w:rsid w:val="007068C8"/>
    <w:rsid w:val="00707E49"/>
    <w:rsid w:val="00712F04"/>
    <w:rsid w:val="00714A41"/>
    <w:rsid w:val="00714C6B"/>
    <w:rsid w:val="00714D8B"/>
    <w:rsid w:val="00715CA3"/>
    <w:rsid w:val="00715E66"/>
    <w:rsid w:val="00715F09"/>
    <w:rsid w:val="00716016"/>
    <w:rsid w:val="0071633D"/>
    <w:rsid w:val="007167C8"/>
    <w:rsid w:val="00722373"/>
    <w:rsid w:val="00724990"/>
    <w:rsid w:val="00725B7D"/>
    <w:rsid w:val="00725C95"/>
    <w:rsid w:val="00731364"/>
    <w:rsid w:val="007319F1"/>
    <w:rsid w:val="0073372C"/>
    <w:rsid w:val="007349F3"/>
    <w:rsid w:val="00736596"/>
    <w:rsid w:val="00740F82"/>
    <w:rsid w:val="007423DF"/>
    <w:rsid w:val="007423E4"/>
    <w:rsid w:val="00743831"/>
    <w:rsid w:val="007444E0"/>
    <w:rsid w:val="00754740"/>
    <w:rsid w:val="00760313"/>
    <w:rsid w:val="0076102A"/>
    <w:rsid w:val="007645F7"/>
    <w:rsid w:val="00766A92"/>
    <w:rsid w:val="007703AE"/>
    <w:rsid w:val="007709BC"/>
    <w:rsid w:val="00773289"/>
    <w:rsid w:val="00773920"/>
    <w:rsid w:val="00773A81"/>
    <w:rsid w:val="0077435A"/>
    <w:rsid w:val="00774BB4"/>
    <w:rsid w:val="00774F31"/>
    <w:rsid w:val="00775648"/>
    <w:rsid w:val="00777137"/>
    <w:rsid w:val="007771F5"/>
    <w:rsid w:val="007775EA"/>
    <w:rsid w:val="00780A8C"/>
    <w:rsid w:val="0078136B"/>
    <w:rsid w:val="00782CF4"/>
    <w:rsid w:val="0078676D"/>
    <w:rsid w:val="00787299"/>
    <w:rsid w:val="00787460"/>
    <w:rsid w:val="00787DCB"/>
    <w:rsid w:val="00791DFE"/>
    <w:rsid w:val="007921D4"/>
    <w:rsid w:val="0079375A"/>
    <w:rsid w:val="00795201"/>
    <w:rsid w:val="0079560C"/>
    <w:rsid w:val="007A04A0"/>
    <w:rsid w:val="007A3360"/>
    <w:rsid w:val="007A6E8F"/>
    <w:rsid w:val="007B10B9"/>
    <w:rsid w:val="007B1C16"/>
    <w:rsid w:val="007B2256"/>
    <w:rsid w:val="007B7A4A"/>
    <w:rsid w:val="007C0021"/>
    <w:rsid w:val="007C084E"/>
    <w:rsid w:val="007C0E00"/>
    <w:rsid w:val="007C3068"/>
    <w:rsid w:val="007C481B"/>
    <w:rsid w:val="007C513C"/>
    <w:rsid w:val="007C62C7"/>
    <w:rsid w:val="007C664C"/>
    <w:rsid w:val="007C6A8C"/>
    <w:rsid w:val="007C6FAB"/>
    <w:rsid w:val="007C76B9"/>
    <w:rsid w:val="007D0452"/>
    <w:rsid w:val="007D069D"/>
    <w:rsid w:val="007D14CA"/>
    <w:rsid w:val="007D3C45"/>
    <w:rsid w:val="007D4CAF"/>
    <w:rsid w:val="007D6A45"/>
    <w:rsid w:val="007D73FC"/>
    <w:rsid w:val="007D754C"/>
    <w:rsid w:val="007E0329"/>
    <w:rsid w:val="007E406B"/>
    <w:rsid w:val="007E6FA3"/>
    <w:rsid w:val="007F0216"/>
    <w:rsid w:val="007F02B2"/>
    <w:rsid w:val="007F03E4"/>
    <w:rsid w:val="007F0412"/>
    <w:rsid w:val="007F1992"/>
    <w:rsid w:val="007F1E03"/>
    <w:rsid w:val="007F28BF"/>
    <w:rsid w:val="007F5629"/>
    <w:rsid w:val="007F78E6"/>
    <w:rsid w:val="00801203"/>
    <w:rsid w:val="00801AF4"/>
    <w:rsid w:val="00802DFC"/>
    <w:rsid w:val="00803A23"/>
    <w:rsid w:val="00803D7B"/>
    <w:rsid w:val="0080605F"/>
    <w:rsid w:val="0080646B"/>
    <w:rsid w:val="00806631"/>
    <w:rsid w:val="008109FF"/>
    <w:rsid w:val="008130A3"/>
    <w:rsid w:val="0081493C"/>
    <w:rsid w:val="00817DC6"/>
    <w:rsid w:val="0082053C"/>
    <w:rsid w:val="008244DC"/>
    <w:rsid w:val="00831298"/>
    <w:rsid w:val="00833D64"/>
    <w:rsid w:val="008365FC"/>
    <w:rsid w:val="00837FEC"/>
    <w:rsid w:val="0084067D"/>
    <w:rsid w:val="00840861"/>
    <w:rsid w:val="008427AA"/>
    <w:rsid w:val="008442A1"/>
    <w:rsid w:val="00845DAC"/>
    <w:rsid w:val="008465C3"/>
    <w:rsid w:val="008500F6"/>
    <w:rsid w:val="00851E92"/>
    <w:rsid w:val="0085307D"/>
    <w:rsid w:val="00853A07"/>
    <w:rsid w:val="00854298"/>
    <w:rsid w:val="008546CF"/>
    <w:rsid w:val="00857584"/>
    <w:rsid w:val="00857AD6"/>
    <w:rsid w:val="00857E5F"/>
    <w:rsid w:val="00860987"/>
    <w:rsid w:val="00860AF9"/>
    <w:rsid w:val="00860DA7"/>
    <w:rsid w:val="00865722"/>
    <w:rsid w:val="00865B81"/>
    <w:rsid w:val="00867766"/>
    <w:rsid w:val="00867C67"/>
    <w:rsid w:val="00871A20"/>
    <w:rsid w:val="0087327F"/>
    <w:rsid w:val="008735BE"/>
    <w:rsid w:val="00874CB3"/>
    <w:rsid w:val="00876312"/>
    <w:rsid w:val="00877748"/>
    <w:rsid w:val="00882CF8"/>
    <w:rsid w:val="0088406A"/>
    <w:rsid w:val="0088514C"/>
    <w:rsid w:val="00885F81"/>
    <w:rsid w:val="00886FCD"/>
    <w:rsid w:val="0088708A"/>
    <w:rsid w:val="00887FC4"/>
    <w:rsid w:val="008922DB"/>
    <w:rsid w:val="00897EEE"/>
    <w:rsid w:val="008A0716"/>
    <w:rsid w:val="008A08F2"/>
    <w:rsid w:val="008A3AA8"/>
    <w:rsid w:val="008A66D9"/>
    <w:rsid w:val="008A7BDA"/>
    <w:rsid w:val="008B0588"/>
    <w:rsid w:val="008B0952"/>
    <w:rsid w:val="008B0A75"/>
    <w:rsid w:val="008B0C5C"/>
    <w:rsid w:val="008B1A8A"/>
    <w:rsid w:val="008B6753"/>
    <w:rsid w:val="008B6809"/>
    <w:rsid w:val="008C045F"/>
    <w:rsid w:val="008C0A9D"/>
    <w:rsid w:val="008C22AC"/>
    <w:rsid w:val="008C24B6"/>
    <w:rsid w:val="008C2BD5"/>
    <w:rsid w:val="008C5EC9"/>
    <w:rsid w:val="008C6025"/>
    <w:rsid w:val="008D197F"/>
    <w:rsid w:val="008D20EB"/>
    <w:rsid w:val="008D4696"/>
    <w:rsid w:val="008D532D"/>
    <w:rsid w:val="008D789B"/>
    <w:rsid w:val="008E0152"/>
    <w:rsid w:val="008E3597"/>
    <w:rsid w:val="008E47D5"/>
    <w:rsid w:val="008E4EEB"/>
    <w:rsid w:val="008E6D52"/>
    <w:rsid w:val="008F3F99"/>
    <w:rsid w:val="00901215"/>
    <w:rsid w:val="009021A0"/>
    <w:rsid w:val="009024E9"/>
    <w:rsid w:val="00902992"/>
    <w:rsid w:val="00904065"/>
    <w:rsid w:val="0090480E"/>
    <w:rsid w:val="00911E06"/>
    <w:rsid w:val="00912160"/>
    <w:rsid w:val="009124FA"/>
    <w:rsid w:val="009129AF"/>
    <w:rsid w:val="0091678F"/>
    <w:rsid w:val="009174CD"/>
    <w:rsid w:val="00924B6E"/>
    <w:rsid w:val="00925B5C"/>
    <w:rsid w:val="00927240"/>
    <w:rsid w:val="00931BC5"/>
    <w:rsid w:val="00931D46"/>
    <w:rsid w:val="0093212E"/>
    <w:rsid w:val="00932CAB"/>
    <w:rsid w:val="009350C6"/>
    <w:rsid w:val="00936DFF"/>
    <w:rsid w:val="00940E47"/>
    <w:rsid w:val="009425B3"/>
    <w:rsid w:val="0094264F"/>
    <w:rsid w:val="00944061"/>
    <w:rsid w:val="009440F1"/>
    <w:rsid w:val="00944607"/>
    <w:rsid w:val="00945FE6"/>
    <w:rsid w:val="00947124"/>
    <w:rsid w:val="0095160E"/>
    <w:rsid w:val="00953450"/>
    <w:rsid w:val="00953D1C"/>
    <w:rsid w:val="00954DD2"/>
    <w:rsid w:val="00956D95"/>
    <w:rsid w:val="00963607"/>
    <w:rsid w:val="009648BC"/>
    <w:rsid w:val="009655B7"/>
    <w:rsid w:val="0096623F"/>
    <w:rsid w:val="009678FA"/>
    <w:rsid w:val="00970749"/>
    <w:rsid w:val="0097170D"/>
    <w:rsid w:val="00971A05"/>
    <w:rsid w:val="00972210"/>
    <w:rsid w:val="009722FF"/>
    <w:rsid w:val="009739AC"/>
    <w:rsid w:val="00974720"/>
    <w:rsid w:val="00974C86"/>
    <w:rsid w:val="009756E8"/>
    <w:rsid w:val="009811A1"/>
    <w:rsid w:val="00986AD4"/>
    <w:rsid w:val="00987548"/>
    <w:rsid w:val="00990799"/>
    <w:rsid w:val="00993B10"/>
    <w:rsid w:val="00994705"/>
    <w:rsid w:val="0099564C"/>
    <w:rsid w:val="00995749"/>
    <w:rsid w:val="009A1714"/>
    <w:rsid w:val="009A28CC"/>
    <w:rsid w:val="009A3C19"/>
    <w:rsid w:val="009A4A81"/>
    <w:rsid w:val="009A5035"/>
    <w:rsid w:val="009A5627"/>
    <w:rsid w:val="009A5DCC"/>
    <w:rsid w:val="009A7636"/>
    <w:rsid w:val="009B135C"/>
    <w:rsid w:val="009B20A5"/>
    <w:rsid w:val="009B3C36"/>
    <w:rsid w:val="009B73B1"/>
    <w:rsid w:val="009B7B40"/>
    <w:rsid w:val="009C0FFD"/>
    <w:rsid w:val="009C1E32"/>
    <w:rsid w:val="009C23F2"/>
    <w:rsid w:val="009C2432"/>
    <w:rsid w:val="009C2B2F"/>
    <w:rsid w:val="009C3B4E"/>
    <w:rsid w:val="009C44A4"/>
    <w:rsid w:val="009C4832"/>
    <w:rsid w:val="009C4C43"/>
    <w:rsid w:val="009C5C0B"/>
    <w:rsid w:val="009C685E"/>
    <w:rsid w:val="009C6984"/>
    <w:rsid w:val="009D1662"/>
    <w:rsid w:val="009D3318"/>
    <w:rsid w:val="009D5E6E"/>
    <w:rsid w:val="009D6450"/>
    <w:rsid w:val="009E090F"/>
    <w:rsid w:val="009E30BE"/>
    <w:rsid w:val="009E7E74"/>
    <w:rsid w:val="009F04F8"/>
    <w:rsid w:val="009F553A"/>
    <w:rsid w:val="009F6C82"/>
    <w:rsid w:val="009F7CFD"/>
    <w:rsid w:val="00A039A1"/>
    <w:rsid w:val="00A03C2B"/>
    <w:rsid w:val="00A0593F"/>
    <w:rsid w:val="00A103F4"/>
    <w:rsid w:val="00A10709"/>
    <w:rsid w:val="00A1089D"/>
    <w:rsid w:val="00A117DB"/>
    <w:rsid w:val="00A12D66"/>
    <w:rsid w:val="00A13C7F"/>
    <w:rsid w:val="00A1560E"/>
    <w:rsid w:val="00A20C09"/>
    <w:rsid w:val="00A22124"/>
    <w:rsid w:val="00A22D7F"/>
    <w:rsid w:val="00A272EC"/>
    <w:rsid w:val="00A30A43"/>
    <w:rsid w:val="00A32381"/>
    <w:rsid w:val="00A333D4"/>
    <w:rsid w:val="00A34406"/>
    <w:rsid w:val="00A34A07"/>
    <w:rsid w:val="00A3653A"/>
    <w:rsid w:val="00A36575"/>
    <w:rsid w:val="00A4218F"/>
    <w:rsid w:val="00A4363F"/>
    <w:rsid w:val="00A44D33"/>
    <w:rsid w:val="00A455EB"/>
    <w:rsid w:val="00A46B82"/>
    <w:rsid w:val="00A475CF"/>
    <w:rsid w:val="00A477BF"/>
    <w:rsid w:val="00A47F4D"/>
    <w:rsid w:val="00A5075C"/>
    <w:rsid w:val="00A5222F"/>
    <w:rsid w:val="00A535BF"/>
    <w:rsid w:val="00A53901"/>
    <w:rsid w:val="00A539FF"/>
    <w:rsid w:val="00A570D5"/>
    <w:rsid w:val="00A5714B"/>
    <w:rsid w:val="00A60B0D"/>
    <w:rsid w:val="00A662CC"/>
    <w:rsid w:val="00A66483"/>
    <w:rsid w:val="00A66877"/>
    <w:rsid w:val="00A7177C"/>
    <w:rsid w:val="00A718C2"/>
    <w:rsid w:val="00A71903"/>
    <w:rsid w:val="00A71F04"/>
    <w:rsid w:val="00A73E6F"/>
    <w:rsid w:val="00A7739A"/>
    <w:rsid w:val="00A84E14"/>
    <w:rsid w:val="00A87F98"/>
    <w:rsid w:val="00A95387"/>
    <w:rsid w:val="00A96896"/>
    <w:rsid w:val="00A96DAD"/>
    <w:rsid w:val="00A97FCE"/>
    <w:rsid w:val="00AA07D7"/>
    <w:rsid w:val="00AA5569"/>
    <w:rsid w:val="00AA5B6D"/>
    <w:rsid w:val="00AA7C24"/>
    <w:rsid w:val="00AB1EBB"/>
    <w:rsid w:val="00AB2217"/>
    <w:rsid w:val="00AB3F84"/>
    <w:rsid w:val="00AB3FB5"/>
    <w:rsid w:val="00AB583F"/>
    <w:rsid w:val="00AB72A8"/>
    <w:rsid w:val="00AC04F1"/>
    <w:rsid w:val="00AC24E5"/>
    <w:rsid w:val="00AC2D2C"/>
    <w:rsid w:val="00AC3522"/>
    <w:rsid w:val="00AC474C"/>
    <w:rsid w:val="00AD31D6"/>
    <w:rsid w:val="00AD6DE1"/>
    <w:rsid w:val="00AD7F54"/>
    <w:rsid w:val="00AE0AF6"/>
    <w:rsid w:val="00AE2B86"/>
    <w:rsid w:val="00AE33F8"/>
    <w:rsid w:val="00AE3C80"/>
    <w:rsid w:val="00AE3ECD"/>
    <w:rsid w:val="00AE40AE"/>
    <w:rsid w:val="00AE560D"/>
    <w:rsid w:val="00AF0700"/>
    <w:rsid w:val="00AF35A4"/>
    <w:rsid w:val="00AF3F07"/>
    <w:rsid w:val="00AF538D"/>
    <w:rsid w:val="00AF5725"/>
    <w:rsid w:val="00B01D2A"/>
    <w:rsid w:val="00B02671"/>
    <w:rsid w:val="00B03ADC"/>
    <w:rsid w:val="00B04056"/>
    <w:rsid w:val="00B0515F"/>
    <w:rsid w:val="00B05AF6"/>
    <w:rsid w:val="00B11196"/>
    <w:rsid w:val="00B11E23"/>
    <w:rsid w:val="00B15B08"/>
    <w:rsid w:val="00B16341"/>
    <w:rsid w:val="00B179A7"/>
    <w:rsid w:val="00B17E87"/>
    <w:rsid w:val="00B205B2"/>
    <w:rsid w:val="00B20FB8"/>
    <w:rsid w:val="00B246FB"/>
    <w:rsid w:val="00B24B14"/>
    <w:rsid w:val="00B272B7"/>
    <w:rsid w:val="00B32754"/>
    <w:rsid w:val="00B33D9C"/>
    <w:rsid w:val="00B3535A"/>
    <w:rsid w:val="00B3685C"/>
    <w:rsid w:val="00B40086"/>
    <w:rsid w:val="00B41118"/>
    <w:rsid w:val="00B4162D"/>
    <w:rsid w:val="00B41F90"/>
    <w:rsid w:val="00B4260E"/>
    <w:rsid w:val="00B4311A"/>
    <w:rsid w:val="00B4326D"/>
    <w:rsid w:val="00B44CEA"/>
    <w:rsid w:val="00B46FAF"/>
    <w:rsid w:val="00B47FD4"/>
    <w:rsid w:val="00B52B93"/>
    <w:rsid w:val="00B54A7E"/>
    <w:rsid w:val="00B563A3"/>
    <w:rsid w:val="00B5792D"/>
    <w:rsid w:val="00B57AA9"/>
    <w:rsid w:val="00B60202"/>
    <w:rsid w:val="00B61758"/>
    <w:rsid w:val="00B627D5"/>
    <w:rsid w:val="00B70D2E"/>
    <w:rsid w:val="00B711FC"/>
    <w:rsid w:val="00B717A6"/>
    <w:rsid w:val="00B73604"/>
    <w:rsid w:val="00B73939"/>
    <w:rsid w:val="00B74226"/>
    <w:rsid w:val="00B75882"/>
    <w:rsid w:val="00B7761F"/>
    <w:rsid w:val="00B80387"/>
    <w:rsid w:val="00B810A2"/>
    <w:rsid w:val="00B828CC"/>
    <w:rsid w:val="00B91671"/>
    <w:rsid w:val="00B91FF6"/>
    <w:rsid w:val="00B92146"/>
    <w:rsid w:val="00B9312B"/>
    <w:rsid w:val="00B97B72"/>
    <w:rsid w:val="00BA1CF3"/>
    <w:rsid w:val="00BA46B5"/>
    <w:rsid w:val="00BA58DA"/>
    <w:rsid w:val="00BA5B54"/>
    <w:rsid w:val="00BA6DDE"/>
    <w:rsid w:val="00BA7851"/>
    <w:rsid w:val="00BB0621"/>
    <w:rsid w:val="00BB2F1D"/>
    <w:rsid w:val="00BB5C73"/>
    <w:rsid w:val="00BB776C"/>
    <w:rsid w:val="00BB7BF3"/>
    <w:rsid w:val="00BB7DB4"/>
    <w:rsid w:val="00BC1F46"/>
    <w:rsid w:val="00BC362E"/>
    <w:rsid w:val="00BD021C"/>
    <w:rsid w:val="00BD07D5"/>
    <w:rsid w:val="00BD1898"/>
    <w:rsid w:val="00BD2E1B"/>
    <w:rsid w:val="00BE2DBC"/>
    <w:rsid w:val="00BE3D11"/>
    <w:rsid w:val="00BE58AD"/>
    <w:rsid w:val="00BE7469"/>
    <w:rsid w:val="00BE79B3"/>
    <w:rsid w:val="00BF12AD"/>
    <w:rsid w:val="00BF2E43"/>
    <w:rsid w:val="00BF5CA0"/>
    <w:rsid w:val="00BF62EA"/>
    <w:rsid w:val="00BF6CA9"/>
    <w:rsid w:val="00BF6FC4"/>
    <w:rsid w:val="00BF7D7D"/>
    <w:rsid w:val="00C0033C"/>
    <w:rsid w:val="00C02808"/>
    <w:rsid w:val="00C02CBE"/>
    <w:rsid w:val="00C106DE"/>
    <w:rsid w:val="00C12252"/>
    <w:rsid w:val="00C12ED5"/>
    <w:rsid w:val="00C15103"/>
    <w:rsid w:val="00C16756"/>
    <w:rsid w:val="00C207F9"/>
    <w:rsid w:val="00C22552"/>
    <w:rsid w:val="00C22DB8"/>
    <w:rsid w:val="00C23283"/>
    <w:rsid w:val="00C24735"/>
    <w:rsid w:val="00C24AD0"/>
    <w:rsid w:val="00C2720C"/>
    <w:rsid w:val="00C27AD0"/>
    <w:rsid w:val="00C3318A"/>
    <w:rsid w:val="00C36537"/>
    <w:rsid w:val="00C4026D"/>
    <w:rsid w:val="00C403BC"/>
    <w:rsid w:val="00C41EF1"/>
    <w:rsid w:val="00C45709"/>
    <w:rsid w:val="00C5682A"/>
    <w:rsid w:val="00C578A9"/>
    <w:rsid w:val="00C6200A"/>
    <w:rsid w:val="00C621D3"/>
    <w:rsid w:val="00C629B4"/>
    <w:rsid w:val="00C62D26"/>
    <w:rsid w:val="00C651CB"/>
    <w:rsid w:val="00C706D5"/>
    <w:rsid w:val="00C721D2"/>
    <w:rsid w:val="00C77E85"/>
    <w:rsid w:val="00C84A6C"/>
    <w:rsid w:val="00C85A6F"/>
    <w:rsid w:val="00C91C5C"/>
    <w:rsid w:val="00C92561"/>
    <w:rsid w:val="00C95763"/>
    <w:rsid w:val="00C957DC"/>
    <w:rsid w:val="00C976FC"/>
    <w:rsid w:val="00CA34F5"/>
    <w:rsid w:val="00CA4252"/>
    <w:rsid w:val="00CB0862"/>
    <w:rsid w:val="00CB16ED"/>
    <w:rsid w:val="00CB25F5"/>
    <w:rsid w:val="00CB30AE"/>
    <w:rsid w:val="00CB3197"/>
    <w:rsid w:val="00CB7931"/>
    <w:rsid w:val="00CC1A89"/>
    <w:rsid w:val="00CC36E5"/>
    <w:rsid w:val="00CC3A3B"/>
    <w:rsid w:val="00CC5AE7"/>
    <w:rsid w:val="00CC62E3"/>
    <w:rsid w:val="00CD0B96"/>
    <w:rsid w:val="00CD2F61"/>
    <w:rsid w:val="00CD3C10"/>
    <w:rsid w:val="00CD406E"/>
    <w:rsid w:val="00CD558A"/>
    <w:rsid w:val="00CD5935"/>
    <w:rsid w:val="00CD61C9"/>
    <w:rsid w:val="00CD747D"/>
    <w:rsid w:val="00CE014F"/>
    <w:rsid w:val="00CE65E5"/>
    <w:rsid w:val="00CF3ED2"/>
    <w:rsid w:val="00CF3FB1"/>
    <w:rsid w:val="00CF60AA"/>
    <w:rsid w:val="00D0051E"/>
    <w:rsid w:val="00D00F18"/>
    <w:rsid w:val="00D01D69"/>
    <w:rsid w:val="00D03381"/>
    <w:rsid w:val="00D03DA0"/>
    <w:rsid w:val="00D041D3"/>
    <w:rsid w:val="00D04E1D"/>
    <w:rsid w:val="00D122B5"/>
    <w:rsid w:val="00D169AB"/>
    <w:rsid w:val="00D240AE"/>
    <w:rsid w:val="00D24191"/>
    <w:rsid w:val="00D2624C"/>
    <w:rsid w:val="00D26890"/>
    <w:rsid w:val="00D27961"/>
    <w:rsid w:val="00D3251A"/>
    <w:rsid w:val="00D32924"/>
    <w:rsid w:val="00D3398E"/>
    <w:rsid w:val="00D345A9"/>
    <w:rsid w:val="00D345BA"/>
    <w:rsid w:val="00D355CD"/>
    <w:rsid w:val="00D45FB2"/>
    <w:rsid w:val="00D47287"/>
    <w:rsid w:val="00D477CF"/>
    <w:rsid w:val="00D51AF6"/>
    <w:rsid w:val="00D52DC3"/>
    <w:rsid w:val="00D537E9"/>
    <w:rsid w:val="00D556F9"/>
    <w:rsid w:val="00D56561"/>
    <w:rsid w:val="00D57FB2"/>
    <w:rsid w:val="00D57FF9"/>
    <w:rsid w:val="00D61252"/>
    <w:rsid w:val="00D659AA"/>
    <w:rsid w:val="00D66D3D"/>
    <w:rsid w:val="00D70A57"/>
    <w:rsid w:val="00D70CBC"/>
    <w:rsid w:val="00D81626"/>
    <w:rsid w:val="00D81699"/>
    <w:rsid w:val="00D83588"/>
    <w:rsid w:val="00D84CF9"/>
    <w:rsid w:val="00D850B4"/>
    <w:rsid w:val="00D858F0"/>
    <w:rsid w:val="00D85A4A"/>
    <w:rsid w:val="00D91B49"/>
    <w:rsid w:val="00D91B98"/>
    <w:rsid w:val="00D91D7E"/>
    <w:rsid w:val="00D948C1"/>
    <w:rsid w:val="00D9542D"/>
    <w:rsid w:val="00D971C5"/>
    <w:rsid w:val="00DA120F"/>
    <w:rsid w:val="00DA2B13"/>
    <w:rsid w:val="00DA30B4"/>
    <w:rsid w:val="00DA3B92"/>
    <w:rsid w:val="00DA4A61"/>
    <w:rsid w:val="00DA78FA"/>
    <w:rsid w:val="00DB011F"/>
    <w:rsid w:val="00DB418E"/>
    <w:rsid w:val="00DB6571"/>
    <w:rsid w:val="00DB7E86"/>
    <w:rsid w:val="00DC0714"/>
    <w:rsid w:val="00DC07B6"/>
    <w:rsid w:val="00DC5325"/>
    <w:rsid w:val="00DC5A9B"/>
    <w:rsid w:val="00DC66E1"/>
    <w:rsid w:val="00DC7C41"/>
    <w:rsid w:val="00DC7FDD"/>
    <w:rsid w:val="00DD20C8"/>
    <w:rsid w:val="00DD33D5"/>
    <w:rsid w:val="00DD383F"/>
    <w:rsid w:val="00DD5538"/>
    <w:rsid w:val="00DD7D66"/>
    <w:rsid w:val="00DE083C"/>
    <w:rsid w:val="00DE28B9"/>
    <w:rsid w:val="00DE3F51"/>
    <w:rsid w:val="00DE4639"/>
    <w:rsid w:val="00DE5BF3"/>
    <w:rsid w:val="00DF0609"/>
    <w:rsid w:val="00DF42EC"/>
    <w:rsid w:val="00DF52A8"/>
    <w:rsid w:val="00E01337"/>
    <w:rsid w:val="00E01419"/>
    <w:rsid w:val="00E015E9"/>
    <w:rsid w:val="00E05982"/>
    <w:rsid w:val="00E0726E"/>
    <w:rsid w:val="00E10745"/>
    <w:rsid w:val="00E10E3B"/>
    <w:rsid w:val="00E14078"/>
    <w:rsid w:val="00E15C02"/>
    <w:rsid w:val="00E15F93"/>
    <w:rsid w:val="00E2002D"/>
    <w:rsid w:val="00E23B1D"/>
    <w:rsid w:val="00E23D20"/>
    <w:rsid w:val="00E26324"/>
    <w:rsid w:val="00E2718B"/>
    <w:rsid w:val="00E30F22"/>
    <w:rsid w:val="00E31B2B"/>
    <w:rsid w:val="00E348DB"/>
    <w:rsid w:val="00E3514E"/>
    <w:rsid w:val="00E3789F"/>
    <w:rsid w:val="00E42324"/>
    <w:rsid w:val="00E42470"/>
    <w:rsid w:val="00E42C11"/>
    <w:rsid w:val="00E43A5D"/>
    <w:rsid w:val="00E46269"/>
    <w:rsid w:val="00E470AA"/>
    <w:rsid w:val="00E4715B"/>
    <w:rsid w:val="00E55285"/>
    <w:rsid w:val="00E56294"/>
    <w:rsid w:val="00E5666E"/>
    <w:rsid w:val="00E56A02"/>
    <w:rsid w:val="00E57C1F"/>
    <w:rsid w:val="00E620F4"/>
    <w:rsid w:val="00E631C3"/>
    <w:rsid w:val="00E63CA5"/>
    <w:rsid w:val="00E6765D"/>
    <w:rsid w:val="00E70605"/>
    <w:rsid w:val="00E734E5"/>
    <w:rsid w:val="00E73671"/>
    <w:rsid w:val="00E77946"/>
    <w:rsid w:val="00E83214"/>
    <w:rsid w:val="00E85F32"/>
    <w:rsid w:val="00E86DAC"/>
    <w:rsid w:val="00E90911"/>
    <w:rsid w:val="00E9149D"/>
    <w:rsid w:val="00E94300"/>
    <w:rsid w:val="00E94491"/>
    <w:rsid w:val="00E95309"/>
    <w:rsid w:val="00E95873"/>
    <w:rsid w:val="00E95D19"/>
    <w:rsid w:val="00E965FA"/>
    <w:rsid w:val="00E97D09"/>
    <w:rsid w:val="00EA2325"/>
    <w:rsid w:val="00EA2C09"/>
    <w:rsid w:val="00EA3396"/>
    <w:rsid w:val="00EA360D"/>
    <w:rsid w:val="00EA41EB"/>
    <w:rsid w:val="00EA4CEB"/>
    <w:rsid w:val="00EA50D5"/>
    <w:rsid w:val="00EA7C1F"/>
    <w:rsid w:val="00EB0A13"/>
    <w:rsid w:val="00EB246E"/>
    <w:rsid w:val="00EB31F9"/>
    <w:rsid w:val="00EB3689"/>
    <w:rsid w:val="00EB3CAF"/>
    <w:rsid w:val="00EB4102"/>
    <w:rsid w:val="00EB5917"/>
    <w:rsid w:val="00EB7497"/>
    <w:rsid w:val="00EB75B3"/>
    <w:rsid w:val="00EC1F68"/>
    <w:rsid w:val="00EC63A9"/>
    <w:rsid w:val="00EC734F"/>
    <w:rsid w:val="00ED1762"/>
    <w:rsid w:val="00ED1AA3"/>
    <w:rsid w:val="00ED3A52"/>
    <w:rsid w:val="00ED5A00"/>
    <w:rsid w:val="00ED7469"/>
    <w:rsid w:val="00EE0BB5"/>
    <w:rsid w:val="00EE1A56"/>
    <w:rsid w:val="00EE26C3"/>
    <w:rsid w:val="00EE6174"/>
    <w:rsid w:val="00EE6AEE"/>
    <w:rsid w:val="00EF0AC7"/>
    <w:rsid w:val="00EF4474"/>
    <w:rsid w:val="00EF4A78"/>
    <w:rsid w:val="00F01238"/>
    <w:rsid w:val="00F013D1"/>
    <w:rsid w:val="00F01E03"/>
    <w:rsid w:val="00F01F96"/>
    <w:rsid w:val="00F03BC0"/>
    <w:rsid w:val="00F1151E"/>
    <w:rsid w:val="00F116FB"/>
    <w:rsid w:val="00F12AFF"/>
    <w:rsid w:val="00F14231"/>
    <w:rsid w:val="00F155A0"/>
    <w:rsid w:val="00F1624F"/>
    <w:rsid w:val="00F16390"/>
    <w:rsid w:val="00F211BF"/>
    <w:rsid w:val="00F22FE3"/>
    <w:rsid w:val="00F24B33"/>
    <w:rsid w:val="00F258C6"/>
    <w:rsid w:val="00F317D6"/>
    <w:rsid w:val="00F31922"/>
    <w:rsid w:val="00F31DFA"/>
    <w:rsid w:val="00F32AA1"/>
    <w:rsid w:val="00F338DB"/>
    <w:rsid w:val="00F351C5"/>
    <w:rsid w:val="00F3624F"/>
    <w:rsid w:val="00F367D6"/>
    <w:rsid w:val="00F37A7A"/>
    <w:rsid w:val="00F41097"/>
    <w:rsid w:val="00F43C31"/>
    <w:rsid w:val="00F443D7"/>
    <w:rsid w:val="00F478B9"/>
    <w:rsid w:val="00F52054"/>
    <w:rsid w:val="00F555B2"/>
    <w:rsid w:val="00F61387"/>
    <w:rsid w:val="00F62DFC"/>
    <w:rsid w:val="00F668E5"/>
    <w:rsid w:val="00F67730"/>
    <w:rsid w:val="00F67A1A"/>
    <w:rsid w:val="00F70D93"/>
    <w:rsid w:val="00F71795"/>
    <w:rsid w:val="00F71CFC"/>
    <w:rsid w:val="00F73490"/>
    <w:rsid w:val="00F7699C"/>
    <w:rsid w:val="00F774E3"/>
    <w:rsid w:val="00F77C31"/>
    <w:rsid w:val="00F82260"/>
    <w:rsid w:val="00F8251C"/>
    <w:rsid w:val="00F82A4F"/>
    <w:rsid w:val="00F82F31"/>
    <w:rsid w:val="00F832EA"/>
    <w:rsid w:val="00F84C47"/>
    <w:rsid w:val="00F863DC"/>
    <w:rsid w:val="00F93BF9"/>
    <w:rsid w:val="00F96150"/>
    <w:rsid w:val="00FA0583"/>
    <w:rsid w:val="00FA12F2"/>
    <w:rsid w:val="00FA1C1B"/>
    <w:rsid w:val="00FA5CF4"/>
    <w:rsid w:val="00FA785D"/>
    <w:rsid w:val="00FB022C"/>
    <w:rsid w:val="00FB0AB3"/>
    <w:rsid w:val="00FB19BB"/>
    <w:rsid w:val="00FB2CA6"/>
    <w:rsid w:val="00FB3088"/>
    <w:rsid w:val="00FC278B"/>
    <w:rsid w:val="00FD0ED5"/>
    <w:rsid w:val="00FD28CD"/>
    <w:rsid w:val="00FD3093"/>
    <w:rsid w:val="00FD418B"/>
    <w:rsid w:val="00FD47A3"/>
    <w:rsid w:val="00FD4F3D"/>
    <w:rsid w:val="00FD706D"/>
    <w:rsid w:val="00FE05C5"/>
    <w:rsid w:val="00FE0A72"/>
    <w:rsid w:val="00FE40C8"/>
    <w:rsid w:val="00FE447F"/>
    <w:rsid w:val="00FE4958"/>
    <w:rsid w:val="00FE4CC5"/>
    <w:rsid w:val="00FE603B"/>
    <w:rsid w:val="00FF0B46"/>
    <w:rsid w:val="00FF0B4A"/>
    <w:rsid w:val="00FF2430"/>
    <w:rsid w:val="00FF3FEF"/>
    <w:rsid w:val="00FF6BD1"/>
    <w:rsid w:val="00FF7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94E2851-6D22-4F3D-A814-A0333F40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E74"/>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9E7E74"/>
    <w:pPr>
      <w:keepNext/>
      <w:spacing w:after="120"/>
      <w:jc w:val="center"/>
      <w:outlineLvl w:val="0"/>
    </w:pPr>
    <w:rPr>
      <w:rFonts w:eastAsia="宋体"/>
    </w:rPr>
  </w:style>
  <w:style w:type="paragraph" w:styleId="Heading2">
    <w:name w:val="heading 2"/>
    <w:basedOn w:val="Normal"/>
    <w:next w:val="NormalIndent"/>
    <w:qFormat/>
    <w:rsid w:val="009E7E74"/>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9E7E74"/>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9E7E74"/>
    <w:pPr>
      <w:keepNext/>
      <w:tabs>
        <w:tab w:val="left" w:pos="720"/>
      </w:tabs>
      <w:jc w:val="right"/>
      <w:outlineLvl w:val="3"/>
    </w:pPr>
    <w:rPr>
      <w:rFonts w:eastAsia="宋体"/>
      <w:b w:val="0"/>
    </w:rPr>
  </w:style>
  <w:style w:type="paragraph" w:styleId="Heading5">
    <w:name w:val="heading 5"/>
    <w:basedOn w:val="Normal"/>
    <w:next w:val="NormalIndent"/>
    <w:qFormat/>
    <w:rsid w:val="009E7E74"/>
    <w:pPr>
      <w:keepNext/>
      <w:tabs>
        <w:tab w:val="left" w:pos="720"/>
      </w:tabs>
      <w:jc w:val="left"/>
      <w:outlineLvl w:val="4"/>
    </w:pPr>
    <w:rPr>
      <w:rFonts w:eastAsia="宋体"/>
      <w:b w:val="0"/>
    </w:rPr>
  </w:style>
  <w:style w:type="paragraph" w:styleId="Heading6">
    <w:name w:val="heading 6"/>
    <w:basedOn w:val="Normal"/>
    <w:next w:val="Normal"/>
    <w:qFormat/>
    <w:rsid w:val="009E7E74"/>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9E7E74"/>
    <w:pPr>
      <w:widowControl w:val="0"/>
      <w:textAlignment w:val="top"/>
    </w:pPr>
    <w:rPr>
      <w:rFonts w:eastAsia="PMingLiU"/>
    </w:rPr>
  </w:style>
  <w:style w:type="paragraph" w:styleId="Footer">
    <w:name w:val="footer"/>
    <w:basedOn w:val="Normal"/>
    <w:semiHidden/>
    <w:rsid w:val="009E7E74"/>
    <w:pPr>
      <w:tabs>
        <w:tab w:val="center" w:pos="4153"/>
        <w:tab w:val="right" w:pos="8306"/>
      </w:tabs>
    </w:pPr>
  </w:style>
  <w:style w:type="paragraph" w:styleId="Header">
    <w:name w:val="header"/>
    <w:basedOn w:val="Normal"/>
    <w:semiHidden/>
    <w:rsid w:val="009E7E74"/>
    <w:pPr>
      <w:jc w:val="center"/>
    </w:pPr>
    <w:rPr>
      <w:b w:val="0"/>
      <w:sz w:val="24"/>
    </w:rPr>
  </w:style>
  <w:style w:type="paragraph" w:customStyle="1" w:styleId="normal1">
    <w:name w:val="normal1"/>
    <w:basedOn w:val="Normal"/>
    <w:rsid w:val="009E7E74"/>
    <w:pPr>
      <w:tabs>
        <w:tab w:val="left" w:pos="1411"/>
      </w:tabs>
      <w:jc w:val="center"/>
    </w:pPr>
    <w:rPr>
      <w:b w:val="0"/>
      <w:sz w:val="28"/>
    </w:rPr>
  </w:style>
  <w:style w:type="paragraph" w:customStyle="1" w:styleId="normal2">
    <w:name w:val="normal2"/>
    <w:rsid w:val="009E7E74"/>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9E7E74"/>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9E7E74"/>
    <w:pPr>
      <w:spacing w:after="240"/>
      <w:jc w:val="right"/>
    </w:pPr>
    <w:rPr>
      <w:caps/>
    </w:rPr>
  </w:style>
  <w:style w:type="paragraph" w:customStyle="1" w:styleId="j-subparagraph">
    <w:name w:val="j-subparagraph"/>
    <w:basedOn w:val="Normal"/>
    <w:rsid w:val="009E7E74"/>
    <w:pPr>
      <w:tabs>
        <w:tab w:val="left" w:pos="1440"/>
      </w:tabs>
      <w:kinsoku/>
      <w:overflowPunct/>
      <w:autoSpaceDE/>
      <w:autoSpaceDN/>
      <w:adjustRightInd/>
      <w:spacing w:before="120" w:line="360" w:lineRule="auto"/>
      <w:ind w:left="2160" w:hanging="720"/>
    </w:pPr>
    <w:rPr>
      <w:rFonts w:eastAsia="宋体"/>
      <w:b w:val="0"/>
      <w:snapToGrid/>
      <w:kern w:val="2"/>
      <w:sz w:val="28"/>
    </w:rPr>
  </w:style>
  <w:style w:type="character" w:styleId="PageNumber">
    <w:name w:val="page number"/>
    <w:semiHidden/>
    <w:rsid w:val="009E7E74"/>
    <w:rPr>
      <w:bCs/>
      <w:szCs w:val="24"/>
    </w:rPr>
  </w:style>
  <w:style w:type="paragraph" w:customStyle="1" w:styleId="j-draft">
    <w:name w:val="j-draft"/>
    <w:basedOn w:val="Normal"/>
    <w:rsid w:val="006215ED"/>
    <w:pPr>
      <w:numPr>
        <w:numId w:val="2"/>
      </w:numPr>
      <w:tabs>
        <w:tab w:val="left" w:pos="1418"/>
      </w:tabs>
      <w:spacing w:before="360" w:line="360" w:lineRule="auto"/>
    </w:pPr>
    <w:rPr>
      <w:b w:val="0"/>
      <w:sz w:val="28"/>
    </w:rPr>
  </w:style>
  <w:style w:type="paragraph" w:customStyle="1" w:styleId="j-heading">
    <w:name w:val="j-heading"/>
    <w:basedOn w:val="Heading4"/>
    <w:next w:val="j-draft"/>
    <w:rsid w:val="00245F64"/>
    <w:pPr>
      <w:tabs>
        <w:tab w:val="clear" w:pos="720"/>
      </w:tabs>
      <w:spacing w:before="360" w:line="360" w:lineRule="auto"/>
      <w:jc w:val="left"/>
    </w:pPr>
    <w:rPr>
      <w:i/>
      <w:sz w:val="28"/>
    </w:rPr>
  </w:style>
  <w:style w:type="paragraph" w:customStyle="1" w:styleId="j-quotation">
    <w:name w:val="j-quotation"/>
    <w:next w:val="BodyText"/>
    <w:rsid w:val="006215ED"/>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styleId="BodyText">
    <w:name w:val="Body Text"/>
    <w:basedOn w:val="j-draft"/>
    <w:next w:val="j-draft"/>
    <w:semiHidden/>
    <w:rsid w:val="009E7E74"/>
    <w:pPr>
      <w:numPr>
        <w:numId w:val="0"/>
      </w:numPr>
      <w:tabs>
        <w:tab w:val="clear" w:pos="1418"/>
      </w:tabs>
    </w:pPr>
  </w:style>
  <w:style w:type="paragraph" w:customStyle="1" w:styleId="j-final">
    <w:name w:val="j-final"/>
    <w:basedOn w:val="Normal"/>
    <w:rsid w:val="009E7E74"/>
    <w:pPr>
      <w:numPr>
        <w:numId w:val="1"/>
      </w:numPr>
      <w:tabs>
        <w:tab w:val="clear" w:pos="360"/>
        <w:tab w:val="left" w:pos="1440"/>
      </w:tabs>
      <w:kinsoku/>
      <w:overflowPunct/>
      <w:autoSpaceDE/>
      <w:autoSpaceDN/>
      <w:adjustRightInd/>
      <w:spacing w:before="360" w:line="360" w:lineRule="auto"/>
    </w:pPr>
    <w:rPr>
      <w:rFonts w:eastAsia="宋体"/>
      <w:b w:val="0"/>
      <w:snapToGrid/>
      <w:kern w:val="2"/>
      <w:sz w:val="28"/>
    </w:rPr>
  </w:style>
  <w:style w:type="paragraph" w:customStyle="1" w:styleId="Style1">
    <w:name w:val="Style1"/>
    <w:basedOn w:val="j-quotation"/>
    <w:rsid w:val="009E7E74"/>
    <w:pPr>
      <w:kinsoku/>
      <w:overflowPunct/>
      <w:autoSpaceDE/>
      <w:autoSpaceDN/>
      <w:adjustRightInd/>
      <w:spacing w:before="0" w:after="0"/>
      <w:ind w:left="0" w:right="0"/>
    </w:pPr>
    <w:rPr>
      <w:kern w:val="2"/>
      <w:sz w:val="28"/>
      <w:lang w:eastAsia="zh-CN"/>
    </w:rPr>
  </w:style>
  <w:style w:type="paragraph" w:customStyle="1" w:styleId="J-BodyText">
    <w:name w:val="J-Body Text"/>
    <w:basedOn w:val="Normal"/>
    <w:next w:val="Normal"/>
    <w:rsid w:val="009E7E74"/>
    <w:pPr>
      <w:keepNext/>
      <w:widowControl w:val="0"/>
      <w:spacing w:after="240"/>
      <w:ind w:left="720" w:hanging="720"/>
      <w:textAlignment w:val="baseline"/>
    </w:pPr>
    <w:rPr>
      <w:rFonts w:eastAsia="PMingLiU"/>
      <w:b w:val="0"/>
      <w:sz w:val="28"/>
    </w:rPr>
  </w:style>
  <w:style w:type="paragraph" w:styleId="NormalWeb">
    <w:name w:val="Normal (Web)"/>
    <w:basedOn w:val="Normal"/>
    <w:uiPriority w:val="99"/>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Quote1">
    <w:name w:val="Quote1"/>
    <w:basedOn w:val="Normal"/>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altd">
    <w:name w:val="altd"/>
    <w:basedOn w:val="Normal"/>
    <w:rsid w:val="009E7E74"/>
    <w:pPr>
      <w:tabs>
        <w:tab w:val="left" w:pos="1418"/>
        <w:tab w:val="left" w:pos="2268"/>
        <w:tab w:val="left" w:pos="3119"/>
        <w:tab w:val="center" w:pos="4320"/>
        <w:tab w:val="right" w:pos="9072"/>
      </w:tabs>
      <w:kinsoku/>
      <w:adjustRightInd/>
      <w:spacing w:before="600" w:line="600" w:lineRule="exact"/>
      <w:ind w:firstLine="1411"/>
      <w:jc w:val="left"/>
    </w:pPr>
    <w:rPr>
      <w:b w:val="0"/>
      <w:snapToGrid/>
      <w:sz w:val="28"/>
    </w:rPr>
  </w:style>
  <w:style w:type="paragraph" w:customStyle="1" w:styleId="Draft">
    <w:name w:val="Draft"/>
    <w:basedOn w:val="Normal"/>
    <w:rsid w:val="009E7E74"/>
    <w:pPr>
      <w:tabs>
        <w:tab w:val="left" w:pos="1440"/>
        <w:tab w:val="center" w:pos="4320"/>
        <w:tab w:val="right" w:pos="9072"/>
      </w:tabs>
      <w:kinsoku/>
      <w:overflowPunct/>
      <w:autoSpaceDE/>
      <w:autoSpaceDN/>
      <w:adjustRightInd/>
      <w:spacing w:line="600" w:lineRule="exact"/>
      <w:jc w:val="left"/>
    </w:pPr>
    <w:rPr>
      <w:rFonts w:eastAsia="宋体"/>
      <w:b w:val="0"/>
      <w:snapToGrid/>
      <w:sz w:val="28"/>
    </w:rPr>
  </w:style>
  <w:style w:type="paragraph" w:customStyle="1" w:styleId="Final">
    <w:name w:val="Final"/>
    <w:basedOn w:val="Draft"/>
    <w:rsid w:val="009E7E74"/>
    <w:pPr>
      <w:spacing w:line="360" w:lineRule="auto"/>
    </w:pPr>
  </w:style>
  <w:style w:type="paragraph" w:customStyle="1" w:styleId="Quotation">
    <w:name w:val="Quotation"/>
    <w:basedOn w:val="Normal"/>
    <w:rsid w:val="009E7E74"/>
    <w:pPr>
      <w:tabs>
        <w:tab w:val="left" w:pos="1440"/>
        <w:tab w:val="left" w:pos="1872"/>
        <w:tab w:val="left" w:pos="2304"/>
        <w:tab w:val="center" w:pos="4320"/>
        <w:tab w:val="right" w:pos="9072"/>
      </w:tabs>
      <w:kinsoku/>
      <w:overflowPunct/>
      <w:autoSpaceDE/>
      <w:autoSpaceDN/>
      <w:adjustRightInd/>
      <w:spacing w:before="240"/>
      <w:ind w:left="1440" w:right="720"/>
      <w:jc w:val="left"/>
    </w:pPr>
    <w:rPr>
      <w:rFonts w:eastAsia="宋体"/>
      <w:b w:val="0"/>
      <w:snapToGrid/>
      <w:kern w:val="2"/>
      <w:sz w:val="24"/>
    </w:rPr>
  </w:style>
  <w:style w:type="paragraph" w:customStyle="1" w:styleId="hspace">
    <w:name w:val="hspace"/>
    <w:basedOn w:val="Draft"/>
    <w:rsid w:val="009E7E74"/>
  </w:style>
  <w:style w:type="paragraph" w:styleId="BodyTextIndent">
    <w:name w:val="Body Text Indent"/>
    <w:basedOn w:val="Normal"/>
    <w:semiHidden/>
    <w:rsid w:val="009E7E74"/>
    <w:pPr>
      <w:tabs>
        <w:tab w:val="center" w:pos="5740"/>
      </w:tabs>
      <w:ind w:left="300" w:hanging="300"/>
    </w:pPr>
    <w:rPr>
      <w:b w:val="0"/>
      <w:bCs/>
      <w:sz w:val="28"/>
    </w:rPr>
  </w:style>
  <w:style w:type="character" w:styleId="CommentReference">
    <w:name w:val="annotation reference"/>
    <w:semiHidden/>
    <w:rsid w:val="009E7E74"/>
    <w:rPr>
      <w:sz w:val="16"/>
      <w:szCs w:val="16"/>
    </w:rPr>
  </w:style>
  <w:style w:type="paragraph" w:styleId="CommentText">
    <w:name w:val="annotation text"/>
    <w:basedOn w:val="Normal"/>
    <w:semiHidden/>
    <w:rsid w:val="009E7E74"/>
  </w:style>
  <w:style w:type="paragraph" w:customStyle="1" w:styleId="T-Head">
    <w:name w:val="T-Head"/>
    <w:basedOn w:val="Normal"/>
    <w:next w:val="Normal"/>
    <w:rsid w:val="009E7E74"/>
    <w:pPr>
      <w:keepNext/>
      <w:kinsoku/>
      <w:overflowPunct/>
      <w:autoSpaceDE/>
      <w:autoSpaceDN/>
      <w:adjustRightInd/>
      <w:snapToGrid/>
      <w:spacing w:before="480" w:line="360" w:lineRule="auto"/>
    </w:pPr>
    <w:rPr>
      <w:rFonts w:eastAsia="宋体"/>
      <w:b w:val="0"/>
      <w:i/>
      <w:snapToGrid/>
      <w:kern w:val="2"/>
      <w:sz w:val="28"/>
      <w:u w:val="single"/>
      <w:lang w:val="en-US"/>
    </w:rPr>
  </w:style>
  <w:style w:type="paragraph" w:styleId="FootnoteText">
    <w:name w:val="footnote text"/>
    <w:basedOn w:val="Normal"/>
    <w:link w:val="FootnoteTextChar"/>
    <w:unhideWhenUsed/>
    <w:rsid w:val="00586FC8"/>
    <w:pPr>
      <w:tabs>
        <w:tab w:val="left" w:pos="274"/>
      </w:tabs>
      <w:kinsoku/>
      <w:overflowPunct/>
      <w:autoSpaceDE/>
      <w:autoSpaceDN/>
      <w:adjustRightInd/>
      <w:snapToGrid/>
      <w:jc w:val="left"/>
    </w:pPr>
    <w:rPr>
      <w:rFonts w:eastAsia="宋体"/>
      <w:b w:val="0"/>
      <w:snapToGrid/>
    </w:rPr>
  </w:style>
  <w:style w:type="character" w:customStyle="1" w:styleId="FootnoteTextChar">
    <w:name w:val="Footnote Text Char"/>
    <w:link w:val="FootnoteText"/>
    <w:rsid w:val="00586FC8"/>
    <w:rPr>
      <w:lang w:val="en-GB"/>
    </w:rPr>
  </w:style>
  <w:style w:type="character" w:styleId="FootnoteReference">
    <w:name w:val="footnote reference"/>
    <w:unhideWhenUsed/>
    <w:rsid w:val="003555EE"/>
    <w:rPr>
      <w:vertAlign w:val="superscript"/>
    </w:rPr>
  </w:style>
  <w:style w:type="paragraph" w:styleId="EndnoteText">
    <w:name w:val="endnote text"/>
    <w:basedOn w:val="Normal"/>
    <w:link w:val="EndnoteTextChar"/>
    <w:uiPriority w:val="99"/>
    <w:semiHidden/>
    <w:unhideWhenUsed/>
    <w:rsid w:val="002C5B01"/>
  </w:style>
  <w:style w:type="character" w:customStyle="1" w:styleId="EndnoteTextChar">
    <w:name w:val="Endnote Text Char"/>
    <w:link w:val="EndnoteText"/>
    <w:uiPriority w:val="99"/>
    <w:semiHidden/>
    <w:rsid w:val="002C5B01"/>
    <w:rPr>
      <w:rFonts w:eastAsia="MingLiU"/>
      <w:b/>
      <w:snapToGrid w:val="0"/>
      <w:lang w:val="en-GB"/>
    </w:rPr>
  </w:style>
  <w:style w:type="character" w:styleId="EndnoteReference">
    <w:name w:val="endnote reference"/>
    <w:uiPriority w:val="99"/>
    <w:semiHidden/>
    <w:unhideWhenUsed/>
    <w:rsid w:val="002C5B01"/>
    <w:rPr>
      <w:vertAlign w:val="superscript"/>
    </w:rPr>
  </w:style>
  <w:style w:type="paragraph" w:customStyle="1" w:styleId="sh">
    <w:name w:val="sh"/>
    <w:basedOn w:val="Normal"/>
    <w:rsid w:val="00292999"/>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character" w:styleId="Hyperlink">
    <w:name w:val="Hyperlink"/>
    <w:uiPriority w:val="99"/>
    <w:unhideWhenUsed/>
    <w:rsid w:val="004F7EE5"/>
    <w:rPr>
      <w:color w:val="0000FF"/>
      <w:u w:val="single"/>
    </w:rPr>
  </w:style>
  <w:style w:type="paragraph" w:customStyle="1" w:styleId="ar-draft">
    <w:name w:val="ar-draft"/>
    <w:basedOn w:val="Normal"/>
    <w:qFormat/>
    <w:rsid w:val="004F0333"/>
    <w:pPr>
      <w:numPr>
        <w:numId w:val="3"/>
      </w:numPr>
      <w:tabs>
        <w:tab w:val="left" w:pos="1440"/>
      </w:tabs>
      <w:kinsoku/>
      <w:overflowPunct/>
      <w:autoSpaceDE/>
      <w:autoSpaceDN/>
      <w:adjustRightInd/>
      <w:spacing w:before="360" w:line="360" w:lineRule="auto"/>
    </w:pPr>
    <w:rPr>
      <w:b w:val="0"/>
      <w:snapToGrid/>
      <w:sz w:val="28"/>
    </w:rPr>
  </w:style>
  <w:style w:type="paragraph" w:customStyle="1" w:styleId="ar-heading1">
    <w:name w:val="ar-heading1"/>
    <w:basedOn w:val="Normal"/>
    <w:rsid w:val="004F0333"/>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ar-quotation">
    <w:name w:val="ar-quotation"/>
    <w:basedOn w:val="Normal"/>
    <w:rsid w:val="0014546D"/>
    <w:pPr>
      <w:tabs>
        <w:tab w:val="left" w:pos="1440"/>
        <w:tab w:val="left" w:pos="2160"/>
      </w:tabs>
      <w:kinsoku/>
      <w:overflowPunct/>
      <w:autoSpaceDE/>
      <w:autoSpaceDN/>
      <w:adjustRightInd/>
      <w:spacing w:before="240"/>
      <w:ind w:left="1440" w:right="734"/>
    </w:pPr>
    <w:rPr>
      <w:b w:val="0"/>
      <w:snapToGrid/>
      <w:sz w:val="24"/>
    </w:rPr>
  </w:style>
  <w:style w:type="paragraph" w:customStyle="1" w:styleId="T-Draft">
    <w:name w:val="T-Draft"/>
    <w:basedOn w:val="Normal"/>
    <w:rsid w:val="001E2DEA"/>
    <w:pPr>
      <w:numPr>
        <w:numId w:val="4"/>
      </w:numPr>
      <w:tabs>
        <w:tab w:val="left" w:pos="1440"/>
      </w:tabs>
      <w:kinsoku/>
      <w:overflowPunct/>
      <w:autoSpaceDE/>
      <w:autoSpaceDN/>
      <w:adjustRightInd/>
      <w:spacing w:before="360" w:line="360" w:lineRule="auto"/>
    </w:pPr>
    <w:rPr>
      <w:rFonts w:eastAsia="宋体"/>
      <w:b w:val="0"/>
      <w:snapToGrid/>
      <w:sz w:val="28"/>
    </w:rPr>
  </w:style>
  <w:style w:type="paragraph" w:styleId="BalloonText">
    <w:name w:val="Balloon Text"/>
    <w:basedOn w:val="Normal"/>
    <w:link w:val="BalloonTextChar"/>
    <w:uiPriority w:val="99"/>
    <w:semiHidden/>
    <w:unhideWhenUsed/>
    <w:rsid w:val="00D32924"/>
    <w:rPr>
      <w:rFonts w:ascii="Tahoma" w:hAnsi="Tahoma" w:cs="Tahoma"/>
      <w:sz w:val="16"/>
      <w:szCs w:val="16"/>
    </w:rPr>
  </w:style>
  <w:style w:type="character" w:customStyle="1" w:styleId="BalloonTextChar">
    <w:name w:val="Balloon Text Char"/>
    <w:link w:val="BalloonText"/>
    <w:uiPriority w:val="99"/>
    <w:semiHidden/>
    <w:rsid w:val="00D32924"/>
    <w:rPr>
      <w:rFonts w:ascii="Tahoma" w:eastAsia="MingLiU" w:hAnsi="Tahoma" w:cs="Tahoma"/>
      <w:b/>
      <w:snapToGrid w:val="0"/>
      <w:sz w:val="16"/>
      <w:szCs w:val="16"/>
      <w:lang w:val="en-GB"/>
    </w:rPr>
  </w:style>
  <w:style w:type="paragraph" w:styleId="ListParagraph">
    <w:name w:val="List Paragraph"/>
    <w:basedOn w:val="Normal"/>
    <w:uiPriority w:val="34"/>
    <w:qFormat/>
    <w:rsid w:val="00D32924"/>
    <w:pPr>
      <w:kinsoku/>
      <w:overflowPunct/>
      <w:autoSpaceDE/>
      <w:autoSpaceDN/>
      <w:adjustRightInd/>
      <w:snapToGrid/>
      <w:spacing w:after="200" w:line="276" w:lineRule="auto"/>
      <w:ind w:left="720"/>
      <w:contextualSpacing/>
      <w:jc w:val="left"/>
    </w:pPr>
    <w:rPr>
      <w:rFonts w:ascii="Calibri" w:eastAsia="宋体" w:hAnsi="Calibri"/>
      <w:b w:val="0"/>
      <w:snapToGrid/>
      <w:sz w:val="22"/>
      <w:szCs w:val="22"/>
      <w:lang w:eastAsia="zh-TW"/>
    </w:rPr>
  </w:style>
  <w:style w:type="character" w:styleId="Emphasis">
    <w:name w:val="Emphasis"/>
    <w:uiPriority w:val="20"/>
    <w:qFormat/>
    <w:rsid w:val="00D32924"/>
    <w:rPr>
      <w:i/>
      <w:iCs/>
    </w:rPr>
  </w:style>
  <w:style w:type="character" w:styleId="Strong">
    <w:name w:val="Strong"/>
    <w:uiPriority w:val="22"/>
    <w:qFormat/>
    <w:rsid w:val="00D32924"/>
    <w:rPr>
      <w:b/>
      <w:bCs/>
    </w:rPr>
  </w:style>
  <w:style w:type="character" w:customStyle="1" w:styleId="Chi">
    <w:name w:val="Chi"/>
    <w:uiPriority w:val="1"/>
    <w:rsid w:val="00BA1CF3"/>
    <w:rPr>
      <w:spacing w:val="10"/>
    </w:rPr>
  </w:style>
  <w:style w:type="table" w:customStyle="1" w:styleId="PartiesTable">
    <w:name w:val="Parties Table"/>
    <w:basedOn w:val="TableNormal"/>
    <w:rsid w:val="00BA1CF3"/>
    <w:pPr>
      <w:jc w:val="center"/>
    </w:pPr>
    <w:rPr>
      <w:sz w:val="28"/>
      <w:lang w:eastAsia="en-US"/>
    </w:rPr>
    <w:tblPr>
      <w:jc w:val="center"/>
      <w:tblCellMar>
        <w:left w:w="115" w:type="dxa"/>
        <w:bottom w:w="120" w:type="dxa"/>
        <w:right w:w="115" w:type="dxa"/>
      </w:tblCellMar>
    </w:tblPr>
    <w:trPr>
      <w:cantSplit/>
      <w:jc w:val="center"/>
    </w:trPr>
    <w:tblStylePr w:type="lastCol">
      <w:pPr>
        <w:wordWrap/>
        <w:jc w:val="right"/>
      </w:pPr>
    </w:tblStylePr>
  </w:style>
  <w:style w:type="table" w:customStyle="1" w:styleId="URTable">
    <w:name w:val="U&amp;R Table"/>
    <w:basedOn w:val="TableNormal"/>
    <w:rsid w:val="00774BB4"/>
    <w:pPr>
      <w:tabs>
        <w:tab w:val="left" w:pos="360"/>
      </w:tabs>
      <w:ind w:left="360" w:hanging="360"/>
    </w:pPr>
    <w:rPr>
      <w:sz w:val="28"/>
      <w:lang w:eastAsia="en-US"/>
    </w:rPr>
    <w:tblPr>
      <w:jc w:val="center"/>
      <w:tblCellMar>
        <w:left w:w="115" w:type="dxa"/>
        <w:bottom w:w="200" w:type="dxa"/>
        <w:right w:w="115" w:type="dxa"/>
      </w:tblCellMar>
    </w:tblPr>
    <w:trPr>
      <w:cantSplit/>
      <w:jc w:val="center"/>
    </w:trPr>
    <w:tblStylePr w:type="firstRow">
      <w:pPr>
        <w:wordWrap/>
        <w:ind w:leftChars="0" w:left="0" w:rightChars="0" w:right="0" w:firstLineChars="0" w:firstLine="0"/>
        <w:jc w:val="center"/>
      </w:pPr>
      <w:tblPr/>
      <w:tcPr>
        <w:tcMar>
          <w:top w:w="1440" w:type="dxa"/>
          <w:left w:w="0" w:type="nil"/>
          <w:bottom w:w="720" w:type="dxa"/>
          <w:right w:w="0" w:type="nil"/>
        </w:tcMar>
      </w:tcPr>
    </w:tblStylePr>
  </w:style>
  <w:style w:type="paragraph" w:styleId="BlockText">
    <w:name w:val="Block Text"/>
    <w:basedOn w:val="Normal"/>
    <w:semiHidden/>
    <w:rsid w:val="001874F2"/>
    <w:pPr>
      <w:kinsoku/>
      <w:overflowPunct/>
      <w:autoSpaceDE/>
      <w:autoSpaceDN/>
      <w:adjustRightInd/>
      <w:snapToGrid/>
      <w:spacing w:after="120"/>
      <w:ind w:left="1440" w:right="1440"/>
    </w:pPr>
    <w:rPr>
      <w:rFonts w:eastAsia="宋体"/>
      <w:b w:val="0"/>
      <w:snapToGrid/>
      <w:kern w:val="2"/>
      <w:sz w:val="28"/>
    </w:rPr>
  </w:style>
  <w:style w:type="paragraph" w:customStyle="1" w:styleId="paraundersub-heading">
    <w:name w:val="para under sub-heading"/>
    <w:basedOn w:val="Normal"/>
    <w:next w:val="Normal"/>
    <w:rsid w:val="00877748"/>
    <w:pPr>
      <w:tabs>
        <w:tab w:val="num" w:pos="360"/>
      </w:tabs>
      <w:kinsoku/>
      <w:overflowPunct/>
      <w:autoSpaceDE/>
      <w:autoSpaceDN/>
      <w:adjustRightInd/>
      <w:spacing w:before="120" w:line="360" w:lineRule="auto"/>
    </w:pPr>
    <w:rPr>
      <w:rFonts w:eastAsia="宋体"/>
      <w:b w:val="0"/>
      <w:snapToGrid/>
      <w:sz w:val="28"/>
    </w:rPr>
  </w:style>
  <w:style w:type="paragraph" w:customStyle="1" w:styleId="Sublevel2-a">
    <w:name w:val="Sublevel 2 - a"/>
    <w:basedOn w:val="Normal"/>
    <w:link w:val="Sublevel2-aChar"/>
    <w:qFormat/>
    <w:rsid w:val="00FF3FEF"/>
    <w:pPr>
      <w:numPr>
        <w:ilvl w:val="1"/>
        <w:numId w:val="5"/>
      </w:numPr>
      <w:suppressAutoHyphens/>
      <w:kinsoku/>
      <w:overflowPunct/>
      <w:autoSpaceDE/>
      <w:autoSpaceDN/>
      <w:adjustRightInd/>
      <w:snapToGrid/>
      <w:spacing w:after="120"/>
    </w:pPr>
    <w:rPr>
      <w:rFonts w:eastAsia="PMingLiU"/>
      <w:b w:val="0"/>
      <w:snapToGrid/>
      <w:sz w:val="26"/>
      <w:szCs w:val="24"/>
      <w:lang w:val="en-US" w:eastAsia="zh-TW"/>
    </w:rPr>
  </w:style>
  <w:style w:type="paragraph" w:customStyle="1" w:styleId="Sublevel11">
    <w:name w:val="Sublevel 1 (1)"/>
    <w:basedOn w:val="Normal"/>
    <w:link w:val="Sublevel11Char"/>
    <w:qFormat/>
    <w:rsid w:val="00FF3FEF"/>
    <w:pPr>
      <w:numPr>
        <w:numId w:val="5"/>
      </w:numPr>
      <w:suppressAutoHyphens/>
      <w:kinsoku/>
      <w:overflowPunct/>
      <w:autoSpaceDE/>
      <w:autoSpaceDN/>
      <w:adjustRightInd/>
      <w:snapToGrid/>
      <w:spacing w:after="320" w:line="360" w:lineRule="auto"/>
      <w:ind w:left="562" w:hanging="562"/>
    </w:pPr>
    <w:rPr>
      <w:rFonts w:eastAsia="PMingLiU"/>
      <w:b w:val="0"/>
      <w:snapToGrid/>
      <w:sz w:val="26"/>
      <w:szCs w:val="24"/>
      <w:lang w:val="en-US" w:eastAsia="zh-TW"/>
    </w:rPr>
  </w:style>
  <w:style w:type="character" w:customStyle="1" w:styleId="Sublevel2-aChar">
    <w:name w:val="Sublevel 2 - a Char"/>
    <w:link w:val="Sublevel2-a"/>
    <w:rsid w:val="00FF3FEF"/>
    <w:rPr>
      <w:rFonts w:eastAsia="PMingLiU"/>
      <w:sz w:val="26"/>
      <w:szCs w:val="24"/>
      <w:lang w:eastAsia="zh-TW"/>
    </w:rPr>
  </w:style>
  <w:style w:type="paragraph" w:customStyle="1" w:styleId="Sublevel3i">
    <w:name w:val="Sublevel 3 (i)"/>
    <w:basedOn w:val="Normal"/>
    <w:qFormat/>
    <w:rsid w:val="00FF3FEF"/>
    <w:pPr>
      <w:numPr>
        <w:ilvl w:val="2"/>
        <w:numId w:val="5"/>
      </w:numPr>
      <w:tabs>
        <w:tab w:val="clear" w:pos="1361"/>
        <w:tab w:val="num" w:pos="1080"/>
      </w:tabs>
      <w:suppressAutoHyphens/>
      <w:kinsoku/>
      <w:overflowPunct/>
      <w:autoSpaceDE/>
      <w:autoSpaceDN/>
      <w:adjustRightInd/>
      <w:snapToGrid/>
      <w:spacing w:after="120"/>
    </w:pPr>
    <w:rPr>
      <w:rFonts w:eastAsia="PMingLiU"/>
      <w:b w:val="0"/>
      <w:snapToGrid/>
      <w:sz w:val="26"/>
      <w:szCs w:val="24"/>
      <w:lang w:val="en-US" w:eastAsia="zh-HK"/>
    </w:rPr>
  </w:style>
  <w:style w:type="character" w:customStyle="1" w:styleId="Sublevel11Char">
    <w:name w:val="Sublevel 1 (1) Char"/>
    <w:link w:val="Sublevel11"/>
    <w:rsid w:val="00FF3FEF"/>
    <w:rPr>
      <w:rFonts w:eastAsia="PMingLiU"/>
      <w:sz w:val="26"/>
      <w:szCs w:val="24"/>
      <w:lang w:eastAsia="zh-TW"/>
    </w:rPr>
  </w:style>
  <w:style w:type="paragraph" w:customStyle="1" w:styleId="Sublevel4">
    <w:name w:val="Sublevel 4"/>
    <w:basedOn w:val="Normal"/>
    <w:qFormat/>
    <w:rsid w:val="00FF3FEF"/>
    <w:pPr>
      <w:numPr>
        <w:ilvl w:val="3"/>
        <w:numId w:val="5"/>
      </w:numPr>
      <w:suppressAutoHyphens/>
      <w:kinsoku/>
      <w:overflowPunct/>
      <w:autoSpaceDE/>
      <w:autoSpaceDN/>
      <w:adjustRightInd/>
      <w:snapToGrid/>
      <w:spacing w:after="120"/>
      <w:ind w:left="1417" w:hanging="510"/>
    </w:pPr>
    <w:rPr>
      <w:rFonts w:eastAsia="PMingLiU"/>
      <w:b w:val="0"/>
      <w:snapToGrid/>
      <w:sz w:val="26"/>
      <w:szCs w:val="24"/>
      <w:lang w:val="en-US" w:eastAsia="zh-TW"/>
    </w:rPr>
  </w:style>
  <w:style w:type="numbering" w:customStyle="1" w:styleId="1a">
    <w:name w:val="(1)(a)"/>
    <w:uiPriority w:val="99"/>
    <w:rsid w:val="00506CAA"/>
    <w:pPr>
      <w:numPr>
        <w:numId w:val="6"/>
      </w:numPr>
    </w:pPr>
  </w:style>
  <w:style w:type="numbering" w:customStyle="1" w:styleId="1i">
    <w:name w:val="(1)(i)"/>
    <w:uiPriority w:val="99"/>
    <w:rsid w:val="00F155A0"/>
    <w:pPr>
      <w:numPr>
        <w:numId w:val="8"/>
      </w:numPr>
    </w:pPr>
  </w:style>
  <w:style w:type="numbering" w:customStyle="1" w:styleId="Iia">
    <w:name w:val="(I)(i)(a)"/>
    <w:uiPriority w:val="99"/>
    <w:rsid w:val="00716016"/>
    <w:pPr>
      <w:numPr>
        <w:numId w:val="10"/>
      </w:numPr>
    </w:pPr>
  </w:style>
  <w:style w:type="table" w:styleId="TableGrid">
    <w:name w:val="Table Grid"/>
    <w:basedOn w:val="TableNormal"/>
    <w:uiPriority w:val="59"/>
    <w:rsid w:val="00F5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752371">
      <w:bodyDiv w:val="1"/>
      <w:marLeft w:val="0"/>
      <w:marRight w:val="0"/>
      <w:marTop w:val="0"/>
      <w:marBottom w:val="0"/>
      <w:divBdr>
        <w:top w:val="none" w:sz="0" w:space="0" w:color="auto"/>
        <w:left w:val="none" w:sz="0" w:space="0" w:color="auto"/>
        <w:bottom w:val="none" w:sz="0" w:space="0" w:color="auto"/>
        <w:right w:val="none" w:sz="0" w:space="0" w:color="auto"/>
      </w:divBdr>
      <w:divsChild>
        <w:div w:id="1850371314">
          <w:marLeft w:val="0"/>
          <w:marRight w:val="0"/>
          <w:marTop w:val="0"/>
          <w:marBottom w:val="150"/>
          <w:divBdr>
            <w:top w:val="none" w:sz="0" w:space="0" w:color="auto"/>
            <w:left w:val="none" w:sz="0" w:space="0" w:color="auto"/>
            <w:bottom w:val="none" w:sz="0" w:space="0" w:color="auto"/>
            <w:right w:val="none" w:sz="0" w:space="0" w:color="auto"/>
          </w:divBdr>
          <w:divsChild>
            <w:div w:id="611282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64009246">
      <w:bodyDiv w:val="1"/>
      <w:marLeft w:val="0"/>
      <w:marRight w:val="0"/>
      <w:marTop w:val="0"/>
      <w:marBottom w:val="0"/>
      <w:divBdr>
        <w:top w:val="none" w:sz="0" w:space="0" w:color="auto"/>
        <w:left w:val="none" w:sz="0" w:space="0" w:color="auto"/>
        <w:bottom w:val="none" w:sz="0" w:space="0" w:color="auto"/>
        <w:right w:val="none" w:sz="0" w:space="0" w:color="auto"/>
      </w:divBdr>
    </w:div>
    <w:div w:id="1587222748">
      <w:bodyDiv w:val="1"/>
      <w:marLeft w:val="0"/>
      <w:marRight w:val="0"/>
      <w:marTop w:val="0"/>
      <w:marBottom w:val="0"/>
      <w:divBdr>
        <w:top w:val="none" w:sz="0" w:space="0" w:color="auto"/>
        <w:left w:val="none" w:sz="0" w:space="0" w:color="auto"/>
        <w:bottom w:val="none" w:sz="0" w:space="0" w:color="auto"/>
        <w:right w:val="none" w:sz="0" w:space="0" w:color="auto"/>
      </w:divBdr>
    </w:div>
    <w:div w:id="1707634131">
      <w:bodyDiv w:val="1"/>
      <w:marLeft w:val="0"/>
      <w:marRight w:val="0"/>
      <w:marTop w:val="0"/>
      <w:marBottom w:val="0"/>
      <w:divBdr>
        <w:top w:val="none" w:sz="0" w:space="0" w:color="auto"/>
        <w:left w:val="none" w:sz="0" w:space="0" w:color="auto"/>
        <w:bottom w:val="none" w:sz="0" w:space="0" w:color="auto"/>
        <w:right w:val="none" w:sz="0" w:space="0" w:color="auto"/>
      </w:divBdr>
      <w:divsChild>
        <w:div w:id="1366369655">
          <w:marLeft w:val="0"/>
          <w:marRight w:val="0"/>
          <w:marTop w:val="0"/>
          <w:marBottom w:val="0"/>
          <w:divBdr>
            <w:top w:val="none" w:sz="0" w:space="0" w:color="auto"/>
            <w:left w:val="none" w:sz="0" w:space="0" w:color="auto"/>
            <w:bottom w:val="none" w:sz="0" w:space="0" w:color="auto"/>
            <w:right w:val="none" w:sz="0" w:space="0" w:color="auto"/>
          </w:divBdr>
        </w:div>
      </w:divsChild>
    </w:div>
    <w:div w:id="196649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hklii.org/en/cases/hkca/2018/602?hl=HKSAR%20v%20Kilima%20Abubakar%20Abba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D:\Users\WaiPo%20Chan\Desktop\Updated%20graphs%20.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WaiPo%20Chan\Desktop\Updated%20graphs%20.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sers\WaiPo%20Chan\Desktop\Updated%20graphs%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5.253956613562624E-3"/>
                  <c:y val="2.0451960937700859E-3"/>
                </c:manualLayout>
              </c:layout>
              <c:tx>
                <c:rich>
                  <a:bodyPr/>
                  <a:lstStyle/>
                  <a:p>
                    <a:r>
                      <a:rPr lang="en-US"/>
                      <a:t>2 Years / Above 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CFB-4133-9C29-A644E11FB65B}"/>
                </c:ext>
              </c:extLst>
            </c:dLbl>
            <c:dLbl>
              <c:idx val="1"/>
              <c:layout>
                <c:manualLayout>
                  <c:x val="-3.3640441626408058E-3"/>
                  <c:y val="-5.7281878825152135E-4"/>
                </c:manualLayout>
              </c:layout>
              <c:tx>
                <c:rich>
                  <a:bodyPr/>
                  <a:lstStyle/>
                  <a:p>
                    <a:r>
                      <a:rPr lang="en-US"/>
                      <a:t>5 Years / 10g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CFB-4133-9C29-A644E11FB65B}"/>
                </c:ext>
              </c:extLst>
            </c:dLbl>
            <c:dLbl>
              <c:idx val="2"/>
              <c:layout>
                <c:manualLayout>
                  <c:x val="-3.3640441626408232E-3"/>
                  <c:y val="2.2037007115294147E-3"/>
                </c:manualLayout>
              </c:layout>
              <c:tx>
                <c:rich>
                  <a:bodyPr/>
                  <a:lstStyle/>
                  <a:p>
                    <a:r>
                      <a:rPr lang="en-US"/>
                      <a:t>8 Years / 50g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CFB-4133-9C29-A644E11FB65B}"/>
                </c:ext>
              </c:extLst>
            </c:dLbl>
            <c:dLbl>
              <c:idx val="3"/>
              <c:layout>
                <c:manualLayout>
                  <c:x val="-2.0033071979771266E-3"/>
                  <c:y val="5.2972294468291263E-3"/>
                </c:manualLayout>
              </c:layout>
              <c:tx>
                <c:rich>
                  <a:bodyPr/>
                  <a:lstStyle/>
                  <a:p>
                    <a:r>
                      <a:rPr lang="en-US"/>
                      <a:t>12 Years / 200g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CFB-4133-9C29-A644E11FB65B}"/>
                </c:ext>
              </c:extLst>
            </c:dLbl>
            <c:dLbl>
              <c:idx val="4"/>
              <c:layout>
                <c:manualLayout>
                  <c:x val="-1.1339474705532539E-4"/>
                  <c:y val="4.6634670414101636E-3"/>
                </c:manualLayout>
              </c:layout>
              <c:tx>
                <c:rich>
                  <a:bodyPr/>
                  <a:lstStyle/>
                  <a:p>
                    <a:r>
                      <a:rPr lang="en-US"/>
                      <a:t>15 Years / 400g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CFB-4133-9C29-A644E11FB65B}"/>
                </c:ext>
              </c:extLst>
            </c:dLbl>
            <c:dLbl>
              <c:idx val="5"/>
              <c:layout>
                <c:manualLayout>
                  <c:x val="3.6664301547882769E-3"/>
                  <c:y val="7.9155003944690258E-3"/>
                </c:manualLayout>
              </c:layout>
              <c:tx>
                <c:rich>
                  <a:bodyPr/>
                  <a:lstStyle/>
                  <a:p>
                    <a:r>
                      <a:rPr lang="en-US"/>
                      <a:t>20 Years / 600g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CFB-4133-9C29-A644E11FB65B}"/>
                </c:ext>
              </c:extLst>
            </c:dLbl>
            <c:dLbl>
              <c:idx val="6"/>
              <c:layout>
                <c:manualLayout>
                  <c:x val="1.7765177038664931E-3"/>
                  <c:y val="1.4102813930686622E-2"/>
                </c:manualLayout>
              </c:layout>
              <c:tx>
                <c:rich>
                  <a:bodyPr/>
                  <a:lstStyle/>
                  <a:p>
                    <a:r>
                      <a:rPr lang="en-US"/>
                      <a:t>23 Years / 1,200 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CFB-4133-9C29-A644E11FB65B}"/>
                </c:ext>
              </c:extLst>
            </c:dLbl>
            <c:dLbl>
              <c:idx val="7"/>
              <c:layout>
                <c:manualLayout>
                  <c:x val="-1.3342781903507916E-2"/>
                  <c:y val="3.6074780378920777E-2"/>
                </c:manualLayout>
              </c:layout>
              <c:tx>
                <c:rich>
                  <a:bodyPr/>
                  <a:lstStyle/>
                  <a:p>
                    <a:r>
                      <a:rPr lang="en-US"/>
                      <a:t>26 Years / 4,000g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CFB-4133-9C29-A644E11FB65B}"/>
                </c:ext>
              </c:extLst>
            </c:dLbl>
            <c:dLbl>
              <c:idx val="8"/>
              <c:layout>
                <c:manualLayout>
                  <c:x val="-1.1339474705530807E-4"/>
                  <c:y val="3.9168309114220347E-2"/>
                </c:manualLayout>
              </c:layout>
              <c:tx>
                <c:rich>
                  <a:bodyPr/>
                  <a:lstStyle/>
                  <a:p>
                    <a:r>
                      <a:rPr lang="en-US"/>
                      <a:t>30 Years / 15,000g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CFB-4133-9C29-A644E11FB6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'Lau Tak Ming'!$A$2:$A$10</c:f>
              <c:numCache>
                <c:formatCode>General</c:formatCode>
                <c:ptCount val="9"/>
                <c:pt idx="0">
                  <c:v>0.1</c:v>
                </c:pt>
                <c:pt idx="1">
                  <c:v>10</c:v>
                </c:pt>
                <c:pt idx="2">
                  <c:v>50</c:v>
                </c:pt>
                <c:pt idx="3">
                  <c:v>200</c:v>
                </c:pt>
                <c:pt idx="4">
                  <c:v>400</c:v>
                </c:pt>
                <c:pt idx="5">
                  <c:v>600</c:v>
                </c:pt>
                <c:pt idx="6">
                  <c:v>1200</c:v>
                </c:pt>
                <c:pt idx="7">
                  <c:v>4000</c:v>
                </c:pt>
                <c:pt idx="8">
                  <c:v>15000</c:v>
                </c:pt>
              </c:numCache>
            </c:numRef>
          </c:xVal>
          <c:yVal>
            <c:numRef>
              <c:f>'Lau Tak Ming'!$B$2:$B$10</c:f>
              <c:numCache>
                <c:formatCode>General</c:formatCode>
                <c:ptCount val="9"/>
                <c:pt idx="0">
                  <c:v>2</c:v>
                </c:pt>
                <c:pt idx="1">
                  <c:v>5</c:v>
                </c:pt>
                <c:pt idx="2">
                  <c:v>8</c:v>
                </c:pt>
                <c:pt idx="3">
                  <c:v>12</c:v>
                </c:pt>
                <c:pt idx="4">
                  <c:v>15</c:v>
                </c:pt>
                <c:pt idx="5">
                  <c:v>20</c:v>
                </c:pt>
                <c:pt idx="6">
                  <c:v>23</c:v>
                </c:pt>
                <c:pt idx="7">
                  <c:v>26</c:v>
                </c:pt>
                <c:pt idx="8">
                  <c:v>30</c:v>
                </c:pt>
              </c:numCache>
            </c:numRef>
          </c:yVal>
          <c:smooth val="1"/>
          <c:extLst>
            <c:ext xmlns:c16="http://schemas.microsoft.com/office/drawing/2014/chart" uri="{C3380CC4-5D6E-409C-BE32-E72D297353CC}">
              <c16:uniqueId val="{00000009-5CFB-4133-9C29-A644E11FB65B}"/>
            </c:ext>
          </c:extLst>
        </c:ser>
        <c:dLbls>
          <c:showLegendKey val="0"/>
          <c:showVal val="0"/>
          <c:showCatName val="0"/>
          <c:showSerName val="0"/>
          <c:showPercent val="0"/>
          <c:showBubbleSize val="0"/>
        </c:dLbls>
        <c:axId val="962914832"/>
        <c:axId val="1"/>
      </c:scatterChart>
      <c:valAx>
        <c:axId val="962914832"/>
        <c:scaling>
          <c:orientation val="minMax"/>
          <c:max val="15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(Grammes)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crossBetween val="midCat"/>
        <c:majorUnit val="5000"/>
      </c:valAx>
      <c:valAx>
        <c:axId val="1"/>
        <c:scaling>
          <c:orientation val="minMax"/>
          <c:max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Imprisonment (Years)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914832"/>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cap="rnd">
              <a:solidFill>
                <a:schemeClr val="accent6"/>
              </a:solidFill>
              <a:round/>
            </a:ln>
            <a:effectLst/>
          </c:spPr>
          <c:marker>
            <c:symbol val="circle"/>
            <c:size val="5"/>
            <c:spPr>
              <a:solidFill>
                <a:schemeClr val="accent6"/>
              </a:solidFill>
              <a:ln w="22225">
                <a:solidFill>
                  <a:schemeClr val="accent6"/>
                </a:solidFill>
              </a:ln>
              <a:effectLst/>
            </c:spPr>
          </c:marker>
          <c:dLbls>
            <c:dLbl>
              <c:idx val="0"/>
              <c:tx>
                <c:rich>
                  <a:bodyPr/>
                  <a:lstStyle/>
                  <a:p>
                    <a:r>
                      <a:rPr lang="en-US"/>
                      <a:t>2 Years / Above 0g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060-43A4-BC99-0C7006B56501}"/>
                </c:ext>
              </c:extLst>
            </c:dLbl>
            <c:dLbl>
              <c:idx val="1"/>
              <c:tx>
                <c:rich>
                  <a:bodyPr/>
                  <a:lstStyle/>
                  <a:p>
                    <a:r>
                      <a:rPr lang="en-US"/>
                      <a:t>5 Years / 10g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060-43A4-BC99-0C7006B56501}"/>
                </c:ext>
              </c:extLst>
            </c:dLbl>
            <c:dLbl>
              <c:idx val="2"/>
              <c:tx>
                <c:rich>
                  <a:bodyPr/>
                  <a:lstStyle/>
                  <a:p>
                    <a:r>
                      <a:rPr lang="en-US"/>
                      <a:t>8 Years / 50g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060-43A4-BC99-0C7006B56501}"/>
                </c:ext>
              </c:extLst>
            </c:dLbl>
            <c:dLbl>
              <c:idx val="3"/>
              <c:tx>
                <c:rich>
                  <a:bodyPr/>
                  <a:lstStyle/>
                  <a:p>
                    <a:r>
                      <a:rPr lang="en-US"/>
                      <a:t>12 Years / 200g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060-43A4-BC99-0C7006B56501}"/>
                </c:ext>
              </c:extLst>
            </c:dLbl>
            <c:dLbl>
              <c:idx val="4"/>
              <c:layout>
                <c:manualLayout>
                  <c:x val="-1.9938141976670787E-17"/>
                  <c:y val="1.1331444759206799E-2"/>
                </c:manualLayout>
              </c:layout>
              <c:tx>
                <c:rich>
                  <a:bodyPr/>
                  <a:lstStyle/>
                  <a:p>
                    <a:r>
                      <a:rPr lang="en-US"/>
                      <a:t>16 Years / 500g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060-43A4-BC99-0C7006B56501}"/>
                </c:ext>
              </c:extLst>
            </c:dLbl>
            <c:dLbl>
              <c:idx val="5"/>
              <c:layout>
                <c:manualLayout>
                  <c:x val="-4.2022963455630282E-3"/>
                  <c:y val="1.0496273537212813E-2"/>
                </c:manualLayout>
              </c:layout>
              <c:tx>
                <c:rich>
                  <a:bodyPr/>
                  <a:lstStyle/>
                  <a:p>
                    <a:r>
                      <a:rPr lang="en-US"/>
                      <a:t>20 Years / 1,500g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060-43A4-BC99-0C7006B56501}"/>
                </c:ext>
              </c:extLst>
            </c:dLbl>
            <c:dLbl>
              <c:idx val="6"/>
              <c:layout>
                <c:manualLayout>
                  <c:x val="9.1268383873757738E-3"/>
                  <c:y val="2.6527765718783028E-2"/>
                </c:manualLayout>
              </c:layout>
              <c:tx>
                <c:rich>
                  <a:bodyPr/>
                  <a:lstStyle/>
                  <a:p>
                    <a:r>
                      <a:rPr lang="en-US"/>
                      <a:t>24 Years / 5,000g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060-43A4-BC99-0C7006B56501}"/>
                </c:ext>
              </c:extLst>
            </c:dLbl>
            <c:dLbl>
              <c:idx val="7"/>
              <c:layout>
                <c:manualLayout>
                  <c:x val="-1.4164305949008499E-2"/>
                  <c:y val="4.5278553443442039E-2"/>
                </c:manualLayout>
              </c:layout>
              <c:tx>
                <c:rich>
                  <a:bodyPr/>
                  <a:lstStyle/>
                  <a:p>
                    <a:r>
                      <a:rPr lang="en-US"/>
                      <a:t>27 Years / 15,000g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060-43A4-BC99-0C7006B56501}"/>
                </c:ext>
              </c:extLst>
            </c:dLbl>
            <c:dLbl>
              <c:idx val="8"/>
              <c:layout>
                <c:manualLayout>
                  <c:x val="-1.0831979620184737E-2"/>
                  <c:y val="5.778972162860848E-2"/>
                </c:manualLayout>
              </c:layout>
              <c:tx>
                <c:rich>
                  <a:bodyPr/>
                  <a:lstStyle/>
                  <a:p>
                    <a:r>
                      <a:rPr lang="en-US"/>
                      <a:t>30 Years / 30,000g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060-43A4-BC99-0C7006B56501}"/>
                </c:ext>
              </c:extLst>
            </c:dLbl>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Cocaine!$A$2:$A$10</c:f>
              <c:numCache>
                <c:formatCode>General</c:formatCode>
                <c:ptCount val="9"/>
                <c:pt idx="0">
                  <c:v>0.1</c:v>
                </c:pt>
                <c:pt idx="1">
                  <c:v>10</c:v>
                </c:pt>
                <c:pt idx="2">
                  <c:v>50</c:v>
                </c:pt>
                <c:pt idx="3">
                  <c:v>200</c:v>
                </c:pt>
                <c:pt idx="4">
                  <c:v>500</c:v>
                </c:pt>
                <c:pt idx="5">
                  <c:v>1500</c:v>
                </c:pt>
                <c:pt idx="6">
                  <c:v>5000</c:v>
                </c:pt>
                <c:pt idx="7">
                  <c:v>15000</c:v>
                </c:pt>
                <c:pt idx="8">
                  <c:v>30000</c:v>
                </c:pt>
              </c:numCache>
            </c:numRef>
          </c:xVal>
          <c:yVal>
            <c:numRef>
              <c:f>Cocaine!$B$2:$B$10</c:f>
              <c:numCache>
                <c:formatCode>General</c:formatCode>
                <c:ptCount val="9"/>
                <c:pt idx="0">
                  <c:v>2</c:v>
                </c:pt>
                <c:pt idx="1">
                  <c:v>5</c:v>
                </c:pt>
                <c:pt idx="2">
                  <c:v>8</c:v>
                </c:pt>
                <c:pt idx="3">
                  <c:v>12</c:v>
                </c:pt>
                <c:pt idx="4">
                  <c:v>16</c:v>
                </c:pt>
                <c:pt idx="5">
                  <c:v>20</c:v>
                </c:pt>
                <c:pt idx="6">
                  <c:v>24</c:v>
                </c:pt>
                <c:pt idx="7">
                  <c:v>27</c:v>
                </c:pt>
                <c:pt idx="8">
                  <c:v>30</c:v>
                </c:pt>
              </c:numCache>
            </c:numRef>
          </c:yVal>
          <c:smooth val="1"/>
          <c:extLst>
            <c:ext xmlns:c16="http://schemas.microsoft.com/office/drawing/2014/chart" uri="{C3380CC4-5D6E-409C-BE32-E72D297353CC}">
              <c16:uniqueId val="{00000009-9060-43A4-BC99-0C7006B56501}"/>
            </c:ext>
          </c:extLst>
        </c:ser>
        <c:dLbls>
          <c:showLegendKey val="0"/>
          <c:showVal val="0"/>
          <c:showCatName val="0"/>
          <c:showSerName val="0"/>
          <c:showPercent val="0"/>
          <c:showBubbleSize val="0"/>
        </c:dLbls>
        <c:axId val="962917744"/>
        <c:axId val="1"/>
      </c:scatterChart>
      <c:valAx>
        <c:axId val="962917744"/>
        <c:scaling>
          <c:orientation val="minMax"/>
          <c:max val="3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(Grammes)</a:t>
                </a:r>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crossBetween val="midCat"/>
      </c:valAx>
      <c:valAx>
        <c:axId val="1"/>
        <c:scaling>
          <c:orientation val="minMax"/>
          <c:max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Imprisonment (Years)</a:t>
                </a:r>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917744"/>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2225" cap="rnd">
              <a:solidFill>
                <a:schemeClr val="accent2"/>
              </a:solidFill>
              <a:round/>
            </a:ln>
            <a:effectLst/>
          </c:spPr>
          <c:marker>
            <c:symbol val="circle"/>
            <c:size val="5"/>
            <c:spPr>
              <a:solidFill>
                <a:schemeClr val="accent2"/>
              </a:solidFill>
              <a:ln w="25400">
                <a:solidFill>
                  <a:schemeClr val="accent2"/>
                </a:solidFill>
              </a:ln>
              <a:effectLst/>
            </c:spPr>
          </c:marker>
          <c:dPt>
            <c:idx val="4"/>
            <c:marker>
              <c:spPr>
                <a:solidFill>
                  <a:schemeClr val="accent2"/>
                </a:solidFill>
                <a:ln w="25400">
                  <a:solidFill>
                    <a:schemeClr val="accent2"/>
                  </a:solidFill>
                </a:ln>
                <a:effectLst>
                  <a:outerShdw blurRad="50800" dist="50800" dir="5400000" sx="5000" sy="5000" algn="ctr" rotWithShape="0">
                    <a:srgbClr val="000000">
                      <a:alpha val="43137"/>
                    </a:srgbClr>
                  </a:outerShdw>
                </a:effectLst>
              </c:spPr>
            </c:marker>
            <c:bubble3D val="0"/>
            <c:spPr>
              <a:ln w="22225" cap="rnd">
                <a:solidFill>
                  <a:schemeClr val="accent2"/>
                </a:solidFill>
                <a:round/>
              </a:ln>
              <a:effectLst>
                <a:outerShdw blurRad="50800" dist="50800" dir="5400000" sx="5000" sy="5000" algn="ctr" rotWithShape="0">
                  <a:srgbClr val="000000">
                    <a:alpha val="43137"/>
                  </a:srgbClr>
                </a:outerShdw>
              </a:effectLst>
            </c:spPr>
            <c:extLst>
              <c:ext xmlns:c16="http://schemas.microsoft.com/office/drawing/2014/chart" uri="{C3380CC4-5D6E-409C-BE32-E72D297353CC}">
                <c16:uniqueId val="{00000001-14B8-41A2-9476-2E738B76F826}"/>
              </c:ext>
            </c:extLst>
          </c:dPt>
          <c:dPt>
            <c:idx val="5"/>
            <c:marker>
              <c:spPr>
                <a:solidFill>
                  <a:schemeClr val="accent2">
                    <a:alpha val="95000"/>
                  </a:schemeClr>
                </a:solidFill>
                <a:ln w="25400" cap="sq" cmpd="sng">
                  <a:solidFill>
                    <a:schemeClr val="accent2"/>
                  </a:solidFill>
                </a:ln>
                <a:effectLst>
                  <a:outerShdw blurRad="50800" dir="18000000" sx="4000" sy="4000" algn="ctr" rotWithShape="0">
                    <a:srgbClr val="000000">
                      <a:alpha val="43137"/>
                    </a:srgbClr>
                  </a:outerShdw>
                </a:effectLst>
              </c:spPr>
            </c:marker>
            <c:bubble3D val="0"/>
            <c:spPr>
              <a:ln w="22225" cap="rnd">
                <a:solidFill>
                  <a:schemeClr val="accent2">
                    <a:alpha val="90000"/>
                  </a:schemeClr>
                </a:solidFill>
                <a:round/>
              </a:ln>
              <a:effectLst>
                <a:outerShdw blurRad="50800" dir="18000000" sx="4000" sy="4000" algn="ctr" rotWithShape="0">
                  <a:srgbClr val="000000">
                    <a:alpha val="43137"/>
                  </a:srgbClr>
                </a:outerShdw>
              </a:effectLst>
            </c:spPr>
            <c:extLst>
              <c:ext xmlns:c16="http://schemas.microsoft.com/office/drawing/2014/chart" uri="{C3380CC4-5D6E-409C-BE32-E72D297353CC}">
                <c16:uniqueId val="{00000003-14B8-41A2-9476-2E738B76F826}"/>
              </c:ext>
            </c:extLst>
          </c:dPt>
          <c:dLbls>
            <c:dLbl>
              <c:idx val="0"/>
              <c:tx>
                <c:rich>
                  <a:bodyPr/>
                  <a:lstStyle/>
                  <a:p>
                    <a:r>
                      <a:rPr lang="en-US"/>
                      <a:t>3 Years / Above 0g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4B8-41A2-9476-2E738B76F826}"/>
                </c:ext>
              </c:extLst>
            </c:dLbl>
            <c:dLbl>
              <c:idx val="1"/>
              <c:layout>
                <c:manualLayout>
                  <c:x val="3.5928870316685973E-4"/>
                  <c:y val="1.4986706791076316E-7"/>
                </c:manualLayout>
              </c:layout>
              <c:tx>
                <c:rich>
                  <a:bodyPr/>
                  <a:lstStyle/>
                  <a:p>
                    <a:r>
                      <a:rPr lang="en-US"/>
                      <a:t>7 Years / 10g</a:t>
                    </a:r>
                  </a:p>
                </c:rich>
              </c:tx>
              <c:dLblPos val="r"/>
              <c:showLegendKey val="0"/>
              <c:showVal val="0"/>
              <c:showCatName val="0"/>
              <c:showSerName val="0"/>
              <c:showPercent val="0"/>
              <c:showBubbleSize val="0"/>
              <c:extLst>
                <c:ext xmlns:c15="http://schemas.microsoft.com/office/drawing/2012/chart" uri="{CE6537A1-D6FC-4f65-9D91-7224C49458BB}">
                  <c15:layout>
                    <c:manualLayout>
                      <c:w val="0.12841319528052011"/>
                      <c:h val="5.3235779863261279E-2"/>
                    </c:manualLayout>
                  </c15:layout>
                </c:ext>
                <c:ext xmlns:c16="http://schemas.microsoft.com/office/drawing/2014/chart" uri="{C3380CC4-5D6E-409C-BE32-E72D297353CC}">
                  <c16:uniqueId val="{00000005-14B8-41A2-9476-2E738B76F826}"/>
                </c:ext>
              </c:extLst>
            </c:dLbl>
            <c:dLbl>
              <c:idx val="2"/>
              <c:layout>
                <c:manualLayout>
                  <c:x val="0"/>
                  <c:y val="0"/>
                </c:manualLayout>
              </c:layout>
              <c:tx>
                <c:rich>
                  <a:bodyPr/>
                  <a:lstStyle/>
                  <a:p>
                    <a:r>
                      <a:rPr lang="en-US"/>
                      <a:t>11 Years / 70g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4B8-41A2-9476-2E738B76F826}"/>
                </c:ext>
              </c:extLst>
            </c:dLbl>
            <c:dLbl>
              <c:idx val="3"/>
              <c:layout>
                <c:manualLayout>
                  <c:x val="0"/>
                  <c:y val="-7.3076729146329333E-17"/>
                </c:manualLayout>
              </c:layout>
              <c:tx>
                <c:rich>
                  <a:bodyPr/>
                  <a:lstStyle/>
                  <a:p>
                    <a:r>
                      <a:rPr lang="en-US"/>
                      <a:t>15 Years / 300g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4B8-41A2-9476-2E738B76F826}"/>
                </c:ext>
              </c:extLst>
            </c:dLbl>
            <c:dLbl>
              <c:idx val="4"/>
              <c:layout>
                <c:manualLayout>
                  <c:x val="-1.1584912083377184E-17"/>
                  <c:y val="3.9860494546331074E-3"/>
                </c:manualLayout>
              </c:layout>
              <c:tx>
                <c:rich>
                  <a:bodyPr/>
                  <a:lstStyle/>
                  <a:p>
                    <a:r>
                      <a:rPr lang="en-US"/>
                      <a:t>18 Years / 600g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4B8-41A2-9476-2E738B76F826}"/>
                </c:ext>
              </c:extLst>
            </c:dLbl>
            <c:dLbl>
              <c:idx val="5"/>
              <c:layout>
                <c:manualLayout>
                  <c:x val="1.2638231905385594E-2"/>
                  <c:y val="-3.9860494546331074E-3"/>
                </c:manualLayout>
              </c:layout>
              <c:tx>
                <c:rich>
                  <a:bodyPr/>
                  <a:lstStyle/>
                  <a:p>
                    <a:r>
                      <a:rPr lang="en-US"/>
                      <a:t>20 Years / 1,</a:t>
                    </a:r>
                    <a:r>
                      <a:rPr lang="en-US" altLang="zh-TW"/>
                      <a:t>5</a:t>
                    </a:r>
                    <a:r>
                      <a:rPr lang="en-US"/>
                      <a:t>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4B8-41A2-9476-2E738B76F826}"/>
                </c:ext>
              </c:extLst>
            </c:dLbl>
            <c:dLbl>
              <c:idx val="6"/>
              <c:layout>
                <c:manualLayout>
                  <c:x val="7.5111921425065854E-3"/>
                  <c:y val="1.6961316708360499E-2"/>
                </c:manualLayout>
              </c:layout>
              <c:tx>
                <c:rich>
                  <a:bodyPr/>
                  <a:lstStyle/>
                  <a:p>
                    <a:r>
                      <a:rPr lang="en-US"/>
                      <a:t>24 Years / 5,000g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4B8-41A2-9476-2E738B76F826}"/>
                </c:ext>
              </c:extLst>
            </c:dLbl>
            <c:dLbl>
              <c:idx val="7"/>
              <c:layout>
                <c:manualLayout>
                  <c:x val="-1.0110585524308494E-2"/>
                  <c:y val="4.7832593455597296E-2"/>
                </c:manualLayout>
              </c:layout>
              <c:tx>
                <c:rich>
                  <a:bodyPr/>
                  <a:lstStyle/>
                  <a:p>
                    <a:r>
                      <a:rPr lang="en-US"/>
                      <a:t>27 Years / 15,000g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4B8-41A2-9476-2E738B76F826}"/>
                </c:ext>
              </c:extLst>
            </c:dLbl>
            <c:dLbl>
              <c:idx val="8"/>
              <c:layout>
                <c:manualLayout>
                  <c:x val="-2.780411019184836E-2"/>
                  <c:y val="6.3776791274129691E-2"/>
                </c:manualLayout>
              </c:layout>
              <c:tx>
                <c:rich>
                  <a:bodyPr/>
                  <a:lstStyle/>
                  <a:p>
                    <a:r>
                      <a:rPr lang="en-US"/>
                      <a:t>30 Years / 30,000g</a:t>
                    </a:r>
                  </a:p>
                </c:rich>
              </c:tx>
              <c:dLblPos val="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14B8-41A2-9476-2E738B76F826}"/>
                </c:ext>
              </c:extLst>
            </c:dLbl>
            <c:spPr>
              <a:noFill/>
              <a:ln w="25400">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ICE!$A$4:$A$12</c:f>
              <c:numCache>
                <c:formatCode>General</c:formatCode>
                <c:ptCount val="9"/>
                <c:pt idx="0">
                  <c:v>0.1</c:v>
                </c:pt>
                <c:pt idx="1">
                  <c:v>10</c:v>
                </c:pt>
                <c:pt idx="2">
                  <c:v>70</c:v>
                </c:pt>
                <c:pt idx="3">
                  <c:v>300</c:v>
                </c:pt>
                <c:pt idx="4">
                  <c:v>600</c:v>
                </c:pt>
                <c:pt idx="5">
                  <c:v>1500</c:v>
                </c:pt>
                <c:pt idx="6">
                  <c:v>5000</c:v>
                </c:pt>
                <c:pt idx="7">
                  <c:v>15000</c:v>
                </c:pt>
                <c:pt idx="8">
                  <c:v>30000</c:v>
                </c:pt>
              </c:numCache>
            </c:numRef>
          </c:xVal>
          <c:yVal>
            <c:numRef>
              <c:f>ICE!$B$4:$B$12</c:f>
              <c:numCache>
                <c:formatCode>General</c:formatCode>
                <c:ptCount val="9"/>
                <c:pt idx="0">
                  <c:v>3</c:v>
                </c:pt>
                <c:pt idx="1">
                  <c:v>7</c:v>
                </c:pt>
                <c:pt idx="2">
                  <c:v>11</c:v>
                </c:pt>
                <c:pt idx="3">
                  <c:v>15</c:v>
                </c:pt>
                <c:pt idx="4">
                  <c:v>18</c:v>
                </c:pt>
                <c:pt idx="5">
                  <c:v>20</c:v>
                </c:pt>
                <c:pt idx="6">
                  <c:v>24</c:v>
                </c:pt>
                <c:pt idx="7">
                  <c:v>27</c:v>
                </c:pt>
                <c:pt idx="8">
                  <c:v>30</c:v>
                </c:pt>
              </c:numCache>
            </c:numRef>
          </c:yVal>
          <c:smooth val="1"/>
          <c:extLst>
            <c:ext xmlns:c16="http://schemas.microsoft.com/office/drawing/2014/chart" uri="{C3380CC4-5D6E-409C-BE32-E72D297353CC}">
              <c16:uniqueId val="{0000000B-14B8-41A2-9476-2E738B76F826}"/>
            </c:ext>
          </c:extLst>
        </c:ser>
        <c:dLbls>
          <c:showLegendKey val="0"/>
          <c:showVal val="0"/>
          <c:showCatName val="0"/>
          <c:showSerName val="0"/>
          <c:showPercent val="0"/>
          <c:showBubbleSize val="0"/>
        </c:dLbls>
        <c:axId val="962916912"/>
        <c:axId val="1"/>
      </c:scatterChart>
      <c:valAx>
        <c:axId val="962916912"/>
        <c:scaling>
          <c:orientation val="minMax"/>
          <c:max val="3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(Grammes)</a:t>
                </a:r>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crossBetween val="midCat"/>
      </c:valAx>
      <c:valAx>
        <c:axId val="1"/>
        <c:scaling>
          <c:orientation val="minMax"/>
          <c:max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Imprisonment (Years)</a:t>
                </a:r>
              </a:p>
            </c:rich>
          </c:tx>
          <c:overlay val="0"/>
          <c:spPr>
            <a:noFill/>
            <a:ln w="25400">
              <a:noFill/>
            </a:ln>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916912"/>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50800" dir="5400000" sx="3000" sy="3000" algn="ctr" rotWithShape="0">
        <a:srgbClr val="000000">
          <a:alpha val="43137"/>
        </a:srgbClr>
      </a:outerShdw>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784D2-6B5E-43EB-AD45-F6469DDB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8571</Words>
  <Characters>48855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57312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ManWah Lam</dc:creator>
  <cp:keywords/>
  <cp:lastModifiedBy>Windows User</cp:lastModifiedBy>
  <cp:revision>3</cp:revision>
  <cp:lastPrinted>2025-02-24T04:33:00Z</cp:lastPrinted>
  <dcterms:created xsi:type="dcterms:W3CDTF">2025-03-05T02:08:00Z</dcterms:created>
  <dcterms:modified xsi:type="dcterms:W3CDTF">2025-03-05T02:08:00Z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