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43C" w:rsidRPr="0049743C" w:rsidRDefault="0049743C" w:rsidP="00882042">
      <w:pPr>
        <w:pStyle w:val="Heading3"/>
        <w:spacing w:before="0" w:after="0" w:line="240" w:lineRule="auto"/>
        <w:ind w:right="-43"/>
        <w:jc w:val="right"/>
        <w:rPr>
          <w:rFonts w:ascii="Times New Roman" w:hAnsi="Times New Roman"/>
          <w:b w:val="0"/>
          <w:sz w:val="28"/>
          <w:szCs w:val="28"/>
        </w:rPr>
      </w:pPr>
      <w:bookmarkStart w:id="0" w:name="_GoBack"/>
      <w:bookmarkEnd w:id="0"/>
      <w:r w:rsidRPr="0049743C">
        <w:rPr>
          <w:rFonts w:ascii="Times New Roman" w:hAnsi="Times New Roman" w:hint="eastAsia"/>
          <w:b w:val="0"/>
          <w:sz w:val="28"/>
          <w:szCs w:val="28"/>
          <w:lang w:eastAsia="zh-CN"/>
        </w:rPr>
        <w:t>FA</w:t>
      </w:r>
      <w:r w:rsidRPr="0049743C">
        <w:rPr>
          <w:rFonts w:ascii="Times New Roman" w:hAnsi="Times New Roman"/>
          <w:b w:val="0"/>
          <w:sz w:val="28"/>
          <w:szCs w:val="28"/>
          <w:lang w:eastAsia="zh-CN"/>
        </w:rPr>
        <w:t>CC</w:t>
      </w:r>
      <w:r w:rsidRPr="0049743C">
        <w:rPr>
          <w:rFonts w:ascii="Times New Roman" w:hAnsi="Times New Roman" w:hint="eastAsia"/>
          <w:b w:val="0"/>
          <w:sz w:val="28"/>
          <w:szCs w:val="28"/>
          <w:lang w:eastAsia="zh-CN"/>
        </w:rPr>
        <w:t xml:space="preserve"> No</w:t>
      </w:r>
      <w:r w:rsidRPr="0049743C">
        <w:rPr>
          <w:rFonts w:ascii="Times New Roman" w:hAnsi="Times New Roman"/>
          <w:b w:val="0"/>
          <w:sz w:val="28"/>
          <w:szCs w:val="28"/>
          <w:lang w:eastAsia="zh-CN"/>
        </w:rPr>
        <w:t xml:space="preserve"> 9</w:t>
      </w:r>
      <w:r w:rsidRPr="0049743C">
        <w:rPr>
          <w:rFonts w:ascii="Times New Roman" w:hAnsi="Times New Roman"/>
          <w:b w:val="0"/>
          <w:sz w:val="28"/>
          <w:szCs w:val="28"/>
        </w:rPr>
        <w:t xml:space="preserve"> of 2024</w:t>
      </w:r>
    </w:p>
    <w:p w:rsidR="0049743C" w:rsidRPr="0049743C" w:rsidRDefault="0049743C" w:rsidP="00882042">
      <w:pPr>
        <w:ind w:left="5760"/>
        <w:jc w:val="right"/>
        <w:rPr>
          <w:sz w:val="28"/>
          <w:szCs w:val="28"/>
        </w:rPr>
      </w:pPr>
      <w:r w:rsidRPr="0049743C">
        <w:rPr>
          <w:sz w:val="28"/>
          <w:szCs w:val="28"/>
        </w:rPr>
        <w:t xml:space="preserve">      [202</w:t>
      </w:r>
      <w:r w:rsidR="00A86F90">
        <w:rPr>
          <w:sz w:val="28"/>
          <w:szCs w:val="28"/>
        </w:rPr>
        <w:t>5</w:t>
      </w:r>
      <w:r w:rsidRPr="0049743C">
        <w:rPr>
          <w:sz w:val="28"/>
          <w:szCs w:val="28"/>
        </w:rPr>
        <w:t xml:space="preserve">] HKCFA </w:t>
      </w:r>
      <w:r w:rsidR="00A86F90">
        <w:rPr>
          <w:sz w:val="28"/>
          <w:szCs w:val="28"/>
        </w:rPr>
        <w:t>1</w:t>
      </w:r>
    </w:p>
    <w:p w:rsidR="0049743C" w:rsidRPr="0049743C" w:rsidRDefault="0049743C" w:rsidP="00882042">
      <w:pPr>
        <w:pStyle w:val="Normal3"/>
        <w:ind w:right="560"/>
        <w:jc w:val="left"/>
        <w:rPr>
          <w:rFonts w:eastAsia="宋体"/>
          <w:szCs w:val="28"/>
        </w:rPr>
      </w:pPr>
    </w:p>
    <w:p w:rsidR="0049743C" w:rsidRPr="0049743C" w:rsidRDefault="0049743C" w:rsidP="00882042">
      <w:pPr>
        <w:pStyle w:val="NormalMF"/>
        <w:rPr>
          <w:sz w:val="28"/>
          <w:szCs w:val="28"/>
        </w:rPr>
      </w:pPr>
      <w:r w:rsidRPr="0049743C">
        <w:rPr>
          <w:sz w:val="28"/>
          <w:szCs w:val="28"/>
        </w:rPr>
        <w:t>IN THE COURT OF FINAL APPEAL OF THE</w:t>
      </w:r>
    </w:p>
    <w:p w:rsidR="0049743C" w:rsidRPr="0049743C" w:rsidRDefault="0049743C" w:rsidP="00882042">
      <w:pPr>
        <w:pStyle w:val="NormalMF"/>
        <w:rPr>
          <w:sz w:val="28"/>
          <w:szCs w:val="28"/>
        </w:rPr>
      </w:pPr>
      <w:r w:rsidRPr="0049743C">
        <w:rPr>
          <w:sz w:val="28"/>
          <w:szCs w:val="28"/>
        </w:rPr>
        <w:t>HONG KONG SPECIAL ADMINISTRATIVE REGION</w:t>
      </w:r>
    </w:p>
    <w:p w:rsidR="0049743C" w:rsidRPr="0049743C" w:rsidRDefault="0049743C" w:rsidP="00882042">
      <w:pPr>
        <w:pStyle w:val="NormalMF"/>
        <w:rPr>
          <w:sz w:val="28"/>
          <w:szCs w:val="28"/>
        </w:rPr>
      </w:pPr>
    </w:p>
    <w:p w:rsidR="0049743C" w:rsidRPr="0049743C" w:rsidRDefault="0049743C" w:rsidP="00882042">
      <w:pPr>
        <w:pStyle w:val="MF"/>
        <w:rPr>
          <w:b/>
          <w:bCs/>
          <w:szCs w:val="28"/>
        </w:rPr>
      </w:pPr>
      <w:r w:rsidRPr="0049743C">
        <w:rPr>
          <w:rFonts w:eastAsia="宋体"/>
          <w:b/>
          <w:bCs/>
          <w:szCs w:val="28"/>
        </w:rPr>
        <w:t>FINAL APPEAL</w:t>
      </w:r>
      <w:r w:rsidRPr="0049743C">
        <w:rPr>
          <w:rFonts w:eastAsia="宋体" w:hint="eastAsia"/>
          <w:b/>
          <w:bCs/>
          <w:szCs w:val="28"/>
        </w:rPr>
        <w:t xml:space="preserve"> nO</w:t>
      </w:r>
      <w:r w:rsidRPr="0049743C">
        <w:rPr>
          <w:rFonts w:eastAsia="宋体"/>
          <w:b/>
          <w:bCs/>
          <w:szCs w:val="28"/>
        </w:rPr>
        <w:t xml:space="preserve"> 9</w:t>
      </w:r>
      <w:r w:rsidRPr="0049743C">
        <w:rPr>
          <w:b/>
          <w:bCs/>
          <w:szCs w:val="28"/>
        </w:rPr>
        <w:t xml:space="preserve"> OF 2024 (CRIMINAL)</w:t>
      </w:r>
    </w:p>
    <w:p w:rsidR="0049743C" w:rsidRPr="0049743C" w:rsidRDefault="0049743C" w:rsidP="00882042">
      <w:pPr>
        <w:pStyle w:val="MF"/>
        <w:tabs>
          <w:tab w:val="clear" w:pos="1440"/>
        </w:tabs>
        <w:rPr>
          <w:szCs w:val="28"/>
        </w:rPr>
      </w:pPr>
      <w:r w:rsidRPr="0049743C">
        <w:rPr>
          <w:szCs w:val="28"/>
        </w:rPr>
        <w:t xml:space="preserve">(ON </w:t>
      </w:r>
      <w:r w:rsidRPr="0049743C">
        <w:rPr>
          <w:rFonts w:eastAsia="宋体" w:hint="eastAsia"/>
          <w:szCs w:val="28"/>
        </w:rPr>
        <w:t xml:space="preserve">APPEAL FROM </w:t>
      </w:r>
      <w:r w:rsidRPr="0049743C">
        <w:rPr>
          <w:rFonts w:eastAsia="宋体"/>
          <w:szCs w:val="28"/>
        </w:rPr>
        <w:t xml:space="preserve">CACC </w:t>
      </w:r>
      <w:r w:rsidRPr="0049743C">
        <w:rPr>
          <w:rFonts w:eastAsia="宋体" w:hint="eastAsia"/>
          <w:szCs w:val="28"/>
        </w:rPr>
        <w:t>NO</w:t>
      </w:r>
      <w:r w:rsidRPr="0049743C">
        <w:rPr>
          <w:rFonts w:eastAsia="宋体"/>
          <w:szCs w:val="28"/>
        </w:rPr>
        <w:t xml:space="preserve"> 210</w:t>
      </w:r>
      <w:r w:rsidRPr="0049743C">
        <w:rPr>
          <w:rFonts w:eastAsia="宋体" w:hint="eastAsia"/>
          <w:szCs w:val="28"/>
        </w:rPr>
        <w:t xml:space="preserve"> OF 20</w:t>
      </w:r>
      <w:r w:rsidRPr="0049743C">
        <w:rPr>
          <w:rFonts w:eastAsia="宋体"/>
          <w:szCs w:val="28"/>
        </w:rPr>
        <w:t>18</w:t>
      </w:r>
      <w:r w:rsidRPr="0049743C">
        <w:rPr>
          <w:szCs w:val="28"/>
        </w:rPr>
        <w:t>)</w:t>
      </w:r>
    </w:p>
    <w:p w:rsidR="0049743C" w:rsidRPr="0049743C" w:rsidRDefault="0049743C" w:rsidP="00882042">
      <w:pPr>
        <w:pStyle w:val="MF"/>
        <w:rPr>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tblGrid>
      <w:tr w:rsidR="0049743C" w:rsidRPr="0049743C" w:rsidTr="00882042">
        <w:trPr>
          <w:jc w:val="center"/>
        </w:trPr>
        <w:tc>
          <w:tcPr>
            <w:tcW w:w="4176" w:type="dxa"/>
            <w:tcBorders>
              <w:top w:val="nil"/>
              <w:left w:val="nil"/>
              <w:right w:val="nil"/>
            </w:tcBorders>
            <w:shd w:val="clear" w:color="auto" w:fill="auto"/>
          </w:tcPr>
          <w:p w:rsidR="0049743C" w:rsidRPr="0049743C" w:rsidRDefault="0049743C" w:rsidP="0049743C">
            <w:pPr>
              <w:pStyle w:val="MF"/>
              <w:rPr>
                <w:szCs w:val="28"/>
                <w:lang w:eastAsia="zh-TW"/>
              </w:rPr>
            </w:pPr>
          </w:p>
        </w:tc>
      </w:tr>
    </w:tbl>
    <w:p w:rsidR="0049743C" w:rsidRPr="0049743C" w:rsidRDefault="0049743C" w:rsidP="00882042">
      <w:pPr>
        <w:pStyle w:val="MF"/>
        <w:rPr>
          <w:szCs w:val="28"/>
          <w:lang w:eastAsia="zh-TW"/>
        </w:rPr>
      </w:pPr>
    </w:p>
    <w:p w:rsidR="0049743C" w:rsidRPr="0049743C" w:rsidRDefault="0049743C" w:rsidP="00882042">
      <w:pPr>
        <w:tabs>
          <w:tab w:val="left" w:pos="5040"/>
        </w:tabs>
        <w:spacing w:after="0" w:line="240" w:lineRule="auto"/>
        <w:rPr>
          <w:color w:val="000000"/>
          <w:sz w:val="28"/>
          <w:szCs w:val="28"/>
        </w:rPr>
      </w:pPr>
    </w:p>
    <w:p w:rsidR="0049743C" w:rsidRPr="0049743C" w:rsidRDefault="0049743C" w:rsidP="00882042">
      <w:pPr>
        <w:spacing w:after="0" w:line="240" w:lineRule="auto"/>
        <w:rPr>
          <w:color w:val="000000"/>
          <w:sz w:val="28"/>
          <w:szCs w:val="28"/>
        </w:rPr>
      </w:pPr>
      <w:r w:rsidRPr="0049743C">
        <w:rPr>
          <w:sz w:val="28"/>
          <w:szCs w:val="28"/>
        </w:rPr>
        <w:t>B</w:t>
      </w:r>
      <w:r w:rsidRPr="0049743C">
        <w:rPr>
          <w:rFonts w:hint="eastAsia"/>
          <w:sz w:val="28"/>
          <w:szCs w:val="28"/>
        </w:rPr>
        <w:t>ETWEEN</w:t>
      </w:r>
      <w:r w:rsidRPr="0049743C">
        <w:rPr>
          <w:color w:val="000000"/>
          <w:sz w:val="28"/>
          <w:szCs w:val="28"/>
        </w:rPr>
        <w:t xml:space="preserve"> </w:t>
      </w:r>
    </w:p>
    <w:p w:rsidR="0049743C" w:rsidRPr="0049743C" w:rsidRDefault="0049743C" w:rsidP="00882042">
      <w:pPr>
        <w:spacing w:after="0" w:line="240" w:lineRule="auto"/>
        <w:rPr>
          <w:color w:val="000000"/>
          <w:sz w:val="28"/>
          <w:szCs w:val="28"/>
        </w:rPr>
      </w:pPr>
    </w:p>
    <w:tbl>
      <w:tblPr>
        <w:tblW w:w="0" w:type="auto"/>
        <w:tblLook w:val="04A0" w:firstRow="1" w:lastRow="0" w:firstColumn="1" w:lastColumn="0" w:noHBand="0" w:noVBand="1"/>
      </w:tblPr>
      <w:tblGrid>
        <w:gridCol w:w="1838"/>
        <w:gridCol w:w="4833"/>
        <w:gridCol w:w="1969"/>
      </w:tblGrid>
      <w:tr w:rsidR="0049743C" w:rsidRPr="0049743C" w:rsidTr="00882042">
        <w:trPr>
          <w:trHeight w:val="576"/>
        </w:trPr>
        <w:tc>
          <w:tcPr>
            <w:tcW w:w="2016" w:type="dxa"/>
            <w:shd w:val="clear" w:color="auto" w:fill="auto"/>
          </w:tcPr>
          <w:p w:rsidR="0049743C" w:rsidRPr="0049743C" w:rsidRDefault="0049743C" w:rsidP="0049743C">
            <w:pPr>
              <w:spacing w:after="0" w:line="240" w:lineRule="auto"/>
              <w:rPr>
                <w:color w:val="000000"/>
                <w:sz w:val="28"/>
                <w:szCs w:val="28"/>
              </w:rPr>
            </w:pPr>
          </w:p>
        </w:tc>
        <w:tc>
          <w:tcPr>
            <w:tcW w:w="5213" w:type="dxa"/>
            <w:shd w:val="clear" w:color="auto" w:fill="auto"/>
          </w:tcPr>
          <w:p w:rsidR="0049743C" w:rsidRPr="0049743C" w:rsidRDefault="0049743C" w:rsidP="0049743C">
            <w:pPr>
              <w:spacing w:after="0" w:line="240" w:lineRule="auto"/>
              <w:jc w:val="center"/>
              <w:rPr>
                <w:sz w:val="28"/>
                <w:szCs w:val="28"/>
              </w:rPr>
            </w:pPr>
            <w:r w:rsidRPr="0049743C">
              <w:rPr>
                <w:sz w:val="28"/>
                <w:szCs w:val="28"/>
              </w:rPr>
              <w:t>HKSAR</w:t>
            </w:r>
          </w:p>
          <w:p w:rsidR="0049743C" w:rsidRPr="0049743C" w:rsidRDefault="0049743C" w:rsidP="0049743C">
            <w:pPr>
              <w:spacing w:after="0" w:line="240" w:lineRule="auto"/>
              <w:jc w:val="center"/>
              <w:rPr>
                <w:sz w:val="28"/>
                <w:szCs w:val="28"/>
              </w:rPr>
            </w:pPr>
          </w:p>
        </w:tc>
        <w:tc>
          <w:tcPr>
            <w:tcW w:w="2016" w:type="dxa"/>
            <w:shd w:val="clear" w:color="auto" w:fill="auto"/>
          </w:tcPr>
          <w:p w:rsidR="0049743C" w:rsidRPr="0049743C" w:rsidRDefault="0049743C" w:rsidP="0049743C">
            <w:pPr>
              <w:spacing w:after="0" w:line="240" w:lineRule="auto"/>
              <w:jc w:val="right"/>
              <w:rPr>
                <w:sz w:val="28"/>
                <w:szCs w:val="28"/>
              </w:rPr>
            </w:pPr>
            <w:r w:rsidRPr="0049743C">
              <w:rPr>
                <w:sz w:val="28"/>
                <w:szCs w:val="28"/>
              </w:rPr>
              <w:t xml:space="preserve">Respondent </w:t>
            </w:r>
          </w:p>
        </w:tc>
      </w:tr>
      <w:tr w:rsidR="0049743C" w:rsidRPr="0049743C" w:rsidTr="00882042">
        <w:trPr>
          <w:trHeight w:val="576"/>
        </w:trPr>
        <w:tc>
          <w:tcPr>
            <w:tcW w:w="2016" w:type="dxa"/>
            <w:shd w:val="clear" w:color="auto" w:fill="auto"/>
          </w:tcPr>
          <w:p w:rsidR="0049743C" w:rsidRPr="0049743C" w:rsidRDefault="0049743C" w:rsidP="0049743C">
            <w:pPr>
              <w:spacing w:after="0" w:line="240" w:lineRule="auto"/>
              <w:rPr>
                <w:color w:val="000000"/>
                <w:sz w:val="28"/>
                <w:szCs w:val="28"/>
              </w:rPr>
            </w:pPr>
          </w:p>
        </w:tc>
        <w:tc>
          <w:tcPr>
            <w:tcW w:w="5213" w:type="dxa"/>
            <w:shd w:val="clear" w:color="auto" w:fill="auto"/>
          </w:tcPr>
          <w:p w:rsidR="0049743C" w:rsidRPr="0049743C" w:rsidRDefault="0049743C" w:rsidP="0049743C">
            <w:pPr>
              <w:spacing w:after="0" w:line="240" w:lineRule="auto"/>
              <w:jc w:val="center"/>
              <w:rPr>
                <w:sz w:val="28"/>
                <w:szCs w:val="28"/>
              </w:rPr>
            </w:pPr>
            <w:r w:rsidRPr="0049743C">
              <w:rPr>
                <w:sz w:val="28"/>
                <w:szCs w:val="28"/>
              </w:rPr>
              <w:t>and</w:t>
            </w:r>
          </w:p>
          <w:p w:rsidR="0049743C" w:rsidRPr="0049743C" w:rsidRDefault="0049743C" w:rsidP="0049743C">
            <w:pPr>
              <w:spacing w:after="0" w:line="240" w:lineRule="auto"/>
              <w:jc w:val="center"/>
              <w:rPr>
                <w:sz w:val="28"/>
                <w:szCs w:val="28"/>
              </w:rPr>
            </w:pPr>
          </w:p>
        </w:tc>
        <w:tc>
          <w:tcPr>
            <w:tcW w:w="2016" w:type="dxa"/>
            <w:shd w:val="clear" w:color="auto" w:fill="auto"/>
          </w:tcPr>
          <w:p w:rsidR="0049743C" w:rsidRPr="0049743C" w:rsidRDefault="0049743C" w:rsidP="0049743C">
            <w:pPr>
              <w:spacing w:after="0" w:line="240" w:lineRule="auto"/>
              <w:jc w:val="right"/>
              <w:rPr>
                <w:color w:val="000000"/>
                <w:sz w:val="28"/>
                <w:szCs w:val="28"/>
                <w:lang w:eastAsia="zh-TW"/>
              </w:rPr>
            </w:pPr>
          </w:p>
        </w:tc>
      </w:tr>
      <w:tr w:rsidR="0049743C" w:rsidRPr="0049743C" w:rsidTr="00882042">
        <w:trPr>
          <w:trHeight w:val="576"/>
        </w:trPr>
        <w:tc>
          <w:tcPr>
            <w:tcW w:w="2016" w:type="dxa"/>
            <w:shd w:val="clear" w:color="auto" w:fill="auto"/>
          </w:tcPr>
          <w:p w:rsidR="0049743C" w:rsidRPr="0049743C" w:rsidRDefault="0049743C" w:rsidP="0049743C">
            <w:pPr>
              <w:spacing w:after="0" w:line="240" w:lineRule="auto"/>
              <w:rPr>
                <w:color w:val="000000"/>
                <w:sz w:val="28"/>
                <w:szCs w:val="28"/>
              </w:rPr>
            </w:pPr>
          </w:p>
        </w:tc>
        <w:tc>
          <w:tcPr>
            <w:tcW w:w="5213" w:type="dxa"/>
            <w:shd w:val="clear" w:color="auto" w:fill="auto"/>
          </w:tcPr>
          <w:p w:rsidR="0049743C" w:rsidRPr="0049743C" w:rsidRDefault="0049743C" w:rsidP="0049743C">
            <w:pPr>
              <w:spacing w:after="0" w:line="240" w:lineRule="auto"/>
              <w:jc w:val="center"/>
              <w:rPr>
                <w:sz w:val="28"/>
                <w:szCs w:val="28"/>
              </w:rPr>
            </w:pPr>
            <w:r w:rsidRPr="0049743C">
              <w:rPr>
                <w:rFonts w:hint="eastAsia"/>
                <w:sz w:val="28"/>
                <w:szCs w:val="28"/>
              </w:rPr>
              <w:t>LI CHEUNG CHOI (</w:t>
            </w:r>
            <w:r w:rsidRPr="0049743C">
              <w:rPr>
                <w:rFonts w:hint="eastAsia"/>
                <w:sz w:val="28"/>
                <w:szCs w:val="28"/>
              </w:rPr>
              <w:t>李長再</w:t>
            </w:r>
            <w:r w:rsidRPr="0049743C">
              <w:rPr>
                <w:rFonts w:hint="eastAsia"/>
                <w:sz w:val="28"/>
                <w:szCs w:val="28"/>
              </w:rPr>
              <w:t>)</w:t>
            </w:r>
          </w:p>
        </w:tc>
        <w:tc>
          <w:tcPr>
            <w:tcW w:w="2016" w:type="dxa"/>
            <w:shd w:val="clear" w:color="auto" w:fill="auto"/>
          </w:tcPr>
          <w:p w:rsidR="0049743C" w:rsidRPr="0049743C" w:rsidRDefault="0049743C" w:rsidP="0049743C">
            <w:pPr>
              <w:spacing w:after="0" w:line="240" w:lineRule="auto"/>
              <w:jc w:val="right"/>
              <w:rPr>
                <w:sz w:val="28"/>
                <w:szCs w:val="28"/>
              </w:rPr>
            </w:pPr>
            <w:r w:rsidRPr="0049743C">
              <w:rPr>
                <w:sz w:val="28"/>
                <w:szCs w:val="28"/>
              </w:rPr>
              <w:t>Appellant</w:t>
            </w:r>
          </w:p>
        </w:tc>
      </w:tr>
    </w:tbl>
    <w:p w:rsidR="0049743C" w:rsidRPr="0049743C" w:rsidRDefault="0049743C" w:rsidP="00882042">
      <w:pPr>
        <w:spacing w:after="0" w:line="240" w:lineRule="auto"/>
        <w:rPr>
          <w:color w:val="00000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tblGrid>
      <w:tr w:rsidR="0049743C" w:rsidRPr="0049743C" w:rsidTr="00882042">
        <w:trPr>
          <w:jc w:val="center"/>
        </w:trPr>
        <w:tc>
          <w:tcPr>
            <w:tcW w:w="4176" w:type="dxa"/>
            <w:tcBorders>
              <w:top w:val="nil"/>
              <w:left w:val="nil"/>
              <w:right w:val="nil"/>
            </w:tcBorders>
            <w:shd w:val="clear" w:color="auto" w:fill="auto"/>
          </w:tcPr>
          <w:p w:rsidR="0049743C" w:rsidRPr="0049743C" w:rsidRDefault="0049743C" w:rsidP="0049743C">
            <w:pPr>
              <w:pStyle w:val="MF"/>
              <w:rPr>
                <w:szCs w:val="28"/>
                <w:lang w:eastAsia="zh-TW"/>
              </w:rPr>
            </w:pPr>
          </w:p>
        </w:tc>
      </w:tr>
    </w:tbl>
    <w:p w:rsidR="0049743C" w:rsidRPr="0049743C" w:rsidRDefault="0049743C" w:rsidP="00882042">
      <w:pPr>
        <w:spacing w:after="0" w:line="240" w:lineRule="auto"/>
        <w:jc w:val="center"/>
        <w:rPr>
          <w:color w:val="000000"/>
          <w:sz w:val="28"/>
          <w:szCs w:val="28"/>
          <w:lang w:eastAsia="zh-TW"/>
        </w:rPr>
      </w:pPr>
    </w:p>
    <w:tbl>
      <w:tblPr>
        <w:tblW w:w="0" w:type="auto"/>
        <w:tblInd w:w="-90" w:type="dxa"/>
        <w:tblLook w:val="04A0" w:firstRow="1" w:lastRow="0" w:firstColumn="1" w:lastColumn="0" w:noHBand="0" w:noVBand="1"/>
      </w:tblPr>
      <w:tblGrid>
        <w:gridCol w:w="2433"/>
        <w:gridCol w:w="6297"/>
      </w:tblGrid>
      <w:tr w:rsidR="0049743C" w:rsidRPr="0049743C" w:rsidTr="00882042">
        <w:tc>
          <w:tcPr>
            <w:tcW w:w="2502" w:type="dxa"/>
            <w:shd w:val="clear" w:color="auto" w:fill="auto"/>
          </w:tcPr>
          <w:p w:rsidR="0049743C" w:rsidRPr="0049743C" w:rsidRDefault="0049743C" w:rsidP="0049743C">
            <w:pPr>
              <w:spacing w:after="0" w:line="240" w:lineRule="auto"/>
              <w:rPr>
                <w:sz w:val="28"/>
                <w:szCs w:val="28"/>
              </w:rPr>
            </w:pPr>
            <w:r w:rsidRPr="0049743C">
              <w:rPr>
                <w:sz w:val="28"/>
                <w:szCs w:val="28"/>
              </w:rPr>
              <w:t>Before:</w:t>
            </w:r>
          </w:p>
        </w:tc>
        <w:tc>
          <w:tcPr>
            <w:tcW w:w="6617" w:type="dxa"/>
            <w:shd w:val="clear" w:color="auto" w:fill="auto"/>
          </w:tcPr>
          <w:p w:rsidR="0049743C" w:rsidRPr="0049743C" w:rsidRDefault="0049743C" w:rsidP="0049743C">
            <w:pPr>
              <w:spacing w:after="0" w:line="240" w:lineRule="auto"/>
              <w:rPr>
                <w:sz w:val="28"/>
                <w:szCs w:val="28"/>
                <w:lang w:val="en-US"/>
              </w:rPr>
            </w:pPr>
            <w:r w:rsidRPr="0049743C">
              <w:rPr>
                <w:sz w:val="28"/>
                <w:szCs w:val="28"/>
                <w:lang w:val="en-US"/>
              </w:rPr>
              <w:t xml:space="preserve">Chief Justice Cheung, Mr Justice Ribeiro PJ, </w:t>
            </w:r>
            <w:r w:rsidRPr="0049743C">
              <w:rPr>
                <w:sz w:val="28"/>
                <w:szCs w:val="28"/>
                <w:lang w:val="en-US"/>
              </w:rPr>
              <w:br/>
              <w:t xml:space="preserve">Mr Justice Fok PJ, Mr Justice Lam PJ and </w:t>
            </w:r>
          </w:p>
          <w:p w:rsidR="0049743C" w:rsidRPr="0049743C" w:rsidRDefault="0049743C" w:rsidP="0049743C">
            <w:pPr>
              <w:spacing w:after="0" w:line="240" w:lineRule="auto"/>
              <w:rPr>
                <w:sz w:val="28"/>
                <w:szCs w:val="28"/>
                <w:lang w:val="en-US"/>
              </w:rPr>
            </w:pPr>
            <w:r w:rsidRPr="0049743C">
              <w:rPr>
                <w:sz w:val="28"/>
                <w:szCs w:val="28"/>
                <w:lang w:val="en-US"/>
              </w:rPr>
              <w:t>Lord Hoffmann NPJ</w:t>
            </w:r>
          </w:p>
          <w:p w:rsidR="0049743C" w:rsidRPr="0049743C" w:rsidRDefault="0049743C" w:rsidP="0049743C">
            <w:pPr>
              <w:spacing w:after="0" w:line="240" w:lineRule="auto"/>
              <w:rPr>
                <w:sz w:val="28"/>
                <w:szCs w:val="28"/>
                <w:lang w:val="en-US"/>
              </w:rPr>
            </w:pPr>
          </w:p>
        </w:tc>
      </w:tr>
      <w:tr w:rsidR="0049743C" w:rsidRPr="0049743C" w:rsidTr="00882042">
        <w:tc>
          <w:tcPr>
            <w:tcW w:w="2502" w:type="dxa"/>
            <w:shd w:val="clear" w:color="auto" w:fill="auto"/>
          </w:tcPr>
          <w:p w:rsidR="0049743C" w:rsidRPr="0049743C" w:rsidRDefault="0049743C" w:rsidP="0049743C">
            <w:pPr>
              <w:spacing w:after="0" w:line="240" w:lineRule="auto"/>
              <w:rPr>
                <w:sz w:val="28"/>
                <w:szCs w:val="28"/>
              </w:rPr>
            </w:pPr>
            <w:r w:rsidRPr="0049743C">
              <w:rPr>
                <w:sz w:val="28"/>
                <w:szCs w:val="28"/>
              </w:rPr>
              <w:t>Date of Hearing:</w:t>
            </w:r>
          </w:p>
        </w:tc>
        <w:tc>
          <w:tcPr>
            <w:tcW w:w="6617" w:type="dxa"/>
            <w:shd w:val="clear" w:color="auto" w:fill="auto"/>
          </w:tcPr>
          <w:p w:rsidR="0049743C" w:rsidRPr="0049743C" w:rsidRDefault="0049743C" w:rsidP="0049743C">
            <w:pPr>
              <w:spacing w:after="0" w:line="240" w:lineRule="auto"/>
              <w:rPr>
                <w:sz w:val="28"/>
                <w:szCs w:val="28"/>
                <w:lang w:val="en-US"/>
              </w:rPr>
            </w:pPr>
            <w:r w:rsidRPr="0049743C">
              <w:rPr>
                <w:sz w:val="28"/>
                <w:szCs w:val="28"/>
                <w:lang w:val="en-US"/>
              </w:rPr>
              <w:t>22 November 2024</w:t>
            </w:r>
          </w:p>
          <w:p w:rsidR="0049743C" w:rsidRPr="0049743C" w:rsidRDefault="0049743C" w:rsidP="0049743C">
            <w:pPr>
              <w:spacing w:after="0" w:line="240" w:lineRule="auto"/>
              <w:rPr>
                <w:sz w:val="28"/>
                <w:szCs w:val="28"/>
                <w:lang w:val="en-US"/>
              </w:rPr>
            </w:pPr>
          </w:p>
        </w:tc>
      </w:tr>
      <w:tr w:rsidR="0049743C" w:rsidRPr="0049743C" w:rsidTr="00882042">
        <w:tc>
          <w:tcPr>
            <w:tcW w:w="2502" w:type="dxa"/>
            <w:shd w:val="clear" w:color="auto" w:fill="auto"/>
          </w:tcPr>
          <w:p w:rsidR="0049743C" w:rsidRPr="0049743C" w:rsidRDefault="0049743C" w:rsidP="0049743C">
            <w:pPr>
              <w:spacing w:after="0" w:line="240" w:lineRule="auto"/>
              <w:rPr>
                <w:sz w:val="28"/>
                <w:szCs w:val="28"/>
              </w:rPr>
            </w:pPr>
            <w:r w:rsidRPr="0049743C">
              <w:rPr>
                <w:sz w:val="28"/>
                <w:szCs w:val="28"/>
              </w:rPr>
              <w:t>Date of Judgment:</w:t>
            </w:r>
          </w:p>
        </w:tc>
        <w:tc>
          <w:tcPr>
            <w:tcW w:w="6617" w:type="dxa"/>
            <w:shd w:val="clear" w:color="auto" w:fill="auto"/>
          </w:tcPr>
          <w:p w:rsidR="0049743C" w:rsidRPr="000242CD" w:rsidRDefault="00A86F90" w:rsidP="0049743C">
            <w:pPr>
              <w:spacing w:after="0" w:line="240" w:lineRule="auto"/>
              <w:rPr>
                <w:sz w:val="28"/>
                <w:szCs w:val="28"/>
                <w:lang w:val="en-US"/>
              </w:rPr>
            </w:pPr>
            <w:r w:rsidRPr="000242CD">
              <w:rPr>
                <w:sz w:val="28"/>
                <w:szCs w:val="28"/>
                <w:lang w:val="en-US"/>
              </w:rPr>
              <w:t>7 January 2025</w:t>
            </w:r>
          </w:p>
          <w:p w:rsidR="0049743C" w:rsidRPr="0049743C" w:rsidRDefault="0049743C" w:rsidP="0049743C">
            <w:pPr>
              <w:spacing w:after="0" w:line="240" w:lineRule="auto"/>
              <w:rPr>
                <w:sz w:val="28"/>
                <w:szCs w:val="28"/>
                <w:lang w:val="en-US"/>
              </w:rPr>
            </w:pPr>
          </w:p>
        </w:tc>
      </w:tr>
    </w:tbl>
    <w:p w:rsidR="0049743C" w:rsidRPr="0049743C" w:rsidRDefault="0049743C" w:rsidP="00882042">
      <w:pPr>
        <w:pStyle w:val="BodyTextIndent"/>
        <w:tabs>
          <w:tab w:val="left" w:pos="0"/>
          <w:tab w:val="left" w:pos="540"/>
        </w:tabs>
        <w:ind w:left="0" w:right="118" w:firstLine="0"/>
        <w:rPr>
          <w:sz w:val="28"/>
          <w:szCs w:val="28"/>
        </w:rPr>
      </w:pPr>
      <w:r w:rsidRPr="0049743C">
        <w:rPr>
          <w:rFonts w:hint="eastAsia"/>
          <w:sz w:val="28"/>
          <w:szCs w:val="28"/>
        </w:rPr>
        <w:tab/>
      </w:r>
      <w:r w:rsidRPr="0049743C">
        <w:rPr>
          <w:rFonts w:hint="eastAsia"/>
          <w:sz w:val="28"/>
          <w:szCs w:val="28"/>
        </w:rPr>
        <w:tab/>
      </w:r>
      <w:r w:rsidRPr="0049743C">
        <w:rPr>
          <w:rFonts w:hint="eastAsia"/>
          <w:sz w:val="28"/>
          <w:szCs w:val="28"/>
        </w:rPr>
        <w:tab/>
      </w:r>
      <w:r w:rsidRPr="0049743C">
        <w:rPr>
          <w:rFonts w:hint="eastAsia"/>
          <w:sz w:val="28"/>
          <w:szCs w:val="28"/>
        </w:rPr>
        <w:tab/>
      </w:r>
      <w:r w:rsidRPr="0049743C">
        <w:rPr>
          <w:rFonts w:hint="eastAsia"/>
          <w:sz w:val="28"/>
          <w:szCs w:val="28"/>
        </w:rPr>
        <w:tab/>
      </w:r>
    </w:p>
    <w:tbl>
      <w:tblPr>
        <w:tblW w:w="0" w:type="auto"/>
        <w:jc w:val="center"/>
        <w:tblBorders>
          <w:top w:val="single" w:sz="4" w:space="0" w:color="auto"/>
          <w:bottom w:val="single" w:sz="4" w:space="0" w:color="auto"/>
        </w:tblBorders>
        <w:tblLook w:val="04A0" w:firstRow="1" w:lastRow="0" w:firstColumn="1" w:lastColumn="0" w:noHBand="0" w:noVBand="1"/>
      </w:tblPr>
      <w:tblGrid>
        <w:gridCol w:w="4176"/>
      </w:tblGrid>
      <w:tr w:rsidR="0049743C" w:rsidRPr="0049743C" w:rsidTr="00882042">
        <w:trPr>
          <w:jc w:val="center"/>
        </w:trPr>
        <w:tc>
          <w:tcPr>
            <w:tcW w:w="4176" w:type="dxa"/>
          </w:tcPr>
          <w:p w:rsidR="0049743C" w:rsidRPr="0049743C" w:rsidRDefault="0049743C" w:rsidP="0049743C">
            <w:pPr>
              <w:pStyle w:val="sh"/>
              <w:tabs>
                <w:tab w:val="clear" w:pos="720"/>
              </w:tabs>
              <w:snapToGrid w:val="0"/>
              <w:spacing w:before="240" w:after="240"/>
              <w:jc w:val="center"/>
              <w:rPr>
                <w:b/>
                <w:szCs w:val="28"/>
              </w:rPr>
            </w:pPr>
            <w:r w:rsidRPr="0049743C">
              <w:rPr>
                <w:szCs w:val="28"/>
                <w:lang w:val="en-GB"/>
              </w:rPr>
              <w:t>J U D G M E N T</w:t>
            </w:r>
          </w:p>
        </w:tc>
      </w:tr>
    </w:tbl>
    <w:p w:rsidR="0049743C" w:rsidRDefault="0049743C" w:rsidP="0049743C">
      <w:pPr>
        <w:pStyle w:val="BodyTextIndent"/>
        <w:tabs>
          <w:tab w:val="left" w:pos="0"/>
          <w:tab w:val="left" w:pos="540"/>
        </w:tabs>
        <w:ind w:left="0" w:right="118" w:firstLine="0"/>
        <w:rPr>
          <w:sz w:val="28"/>
          <w:szCs w:val="28"/>
        </w:rPr>
      </w:pPr>
    </w:p>
    <w:p w:rsidR="004F05B5" w:rsidRPr="0049743C" w:rsidRDefault="004F05B5" w:rsidP="0049743C">
      <w:pPr>
        <w:pStyle w:val="BodyTextIndent"/>
        <w:tabs>
          <w:tab w:val="left" w:pos="0"/>
          <w:tab w:val="left" w:pos="540"/>
        </w:tabs>
        <w:ind w:left="0" w:right="118" w:firstLine="0"/>
        <w:rPr>
          <w:sz w:val="28"/>
          <w:szCs w:val="28"/>
        </w:rPr>
      </w:pPr>
    </w:p>
    <w:p w:rsidR="00D315C7" w:rsidRDefault="00D315C7" w:rsidP="004F05B5">
      <w:pPr>
        <w:tabs>
          <w:tab w:val="left" w:pos="1440"/>
        </w:tabs>
        <w:spacing w:after="0" w:line="360" w:lineRule="auto"/>
        <w:ind w:right="-90"/>
        <w:rPr>
          <w:b/>
          <w:sz w:val="28"/>
          <w:szCs w:val="28"/>
        </w:rPr>
      </w:pPr>
    </w:p>
    <w:p w:rsidR="00683E32" w:rsidRPr="0049743C" w:rsidRDefault="00683E32" w:rsidP="004F05B5">
      <w:pPr>
        <w:tabs>
          <w:tab w:val="left" w:pos="1440"/>
        </w:tabs>
        <w:spacing w:after="0" w:line="360" w:lineRule="auto"/>
        <w:ind w:right="-90"/>
        <w:rPr>
          <w:b/>
          <w:sz w:val="28"/>
          <w:szCs w:val="28"/>
        </w:rPr>
      </w:pPr>
    </w:p>
    <w:p w:rsidR="0049743C" w:rsidRPr="001D73CD" w:rsidRDefault="0049743C" w:rsidP="00BC27E5">
      <w:pPr>
        <w:adjustRightInd w:val="0"/>
        <w:snapToGrid w:val="0"/>
        <w:spacing w:after="0" w:line="360" w:lineRule="auto"/>
        <w:outlineLvl w:val="0"/>
        <w:rPr>
          <w:sz w:val="28"/>
          <w:szCs w:val="28"/>
        </w:rPr>
      </w:pPr>
      <w:r w:rsidRPr="001D73CD">
        <w:rPr>
          <w:sz w:val="28"/>
          <w:szCs w:val="28"/>
        </w:rPr>
        <w:lastRenderedPageBreak/>
        <w:t>Chief Justice Cheung:</w:t>
      </w:r>
    </w:p>
    <w:p w:rsidR="005C23B3" w:rsidRDefault="005C23B3" w:rsidP="00CB44D4">
      <w:pPr>
        <w:pStyle w:val="Normal1"/>
        <w:numPr>
          <w:ilvl w:val="0"/>
          <w:numId w:val="12"/>
        </w:numPr>
        <w:tabs>
          <w:tab w:val="clear" w:pos="720"/>
          <w:tab w:val="clear" w:pos="3168"/>
          <w:tab w:val="clear" w:pos="4018"/>
          <w:tab w:val="left" w:pos="1440"/>
        </w:tabs>
        <w:spacing w:before="200"/>
        <w:ind w:left="0" w:firstLine="0"/>
      </w:pPr>
      <w:r w:rsidRPr="00016B26">
        <w:t>I agree with the judgment of Mr Justice Lam PJ.</w:t>
      </w:r>
    </w:p>
    <w:p w:rsidR="00BC27E5" w:rsidRDefault="00BC27E5" w:rsidP="00BC27E5">
      <w:pPr>
        <w:pStyle w:val="ListParagraph"/>
        <w:adjustRightInd w:val="0"/>
        <w:snapToGrid w:val="0"/>
        <w:spacing w:after="0" w:line="360" w:lineRule="auto"/>
        <w:ind w:left="0"/>
        <w:rPr>
          <w:sz w:val="28"/>
          <w:szCs w:val="28"/>
        </w:rPr>
      </w:pPr>
    </w:p>
    <w:p w:rsidR="0049743C" w:rsidRPr="001D73CD" w:rsidRDefault="0049743C" w:rsidP="005C23B3">
      <w:pPr>
        <w:pStyle w:val="ListParagraph"/>
        <w:tabs>
          <w:tab w:val="left" w:pos="1440"/>
        </w:tabs>
        <w:adjustRightInd w:val="0"/>
        <w:snapToGrid w:val="0"/>
        <w:spacing w:after="0" w:line="360" w:lineRule="auto"/>
        <w:ind w:left="0"/>
        <w:rPr>
          <w:sz w:val="28"/>
          <w:szCs w:val="28"/>
        </w:rPr>
      </w:pPr>
      <w:r w:rsidRPr="001D73CD">
        <w:rPr>
          <w:sz w:val="28"/>
          <w:szCs w:val="28"/>
        </w:rPr>
        <w:t>Mr Justice Ribeiro PJ:</w:t>
      </w:r>
    </w:p>
    <w:p w:rsidR="005C23B3" w:rsidRDefault="005C23B3" w:rsidP="00CB44D4">
      <w:pPr>
        <w:pStyle w:val="Normal1"/>
        <w:numPr>
          <w:ilvl w:val="0"/>
          <w:numId w:val="12"/>
        </w:numPr>
        <w:tabs>
          <w:tab w:val="clear" w:pos="720"/>
          <w:tab w:val="clear" w:pos="3168"/>
          <w:tab w:val="clear" w:pos="4018"/>
          <w:tab w:val="left" w:pos="1440"/>
        </w:tabs>
        <w:spacing w:before="200"/>
        <w:ind w:left="0" w:firstLine="0"/>
      </w:pPr>
      <w:r w:rsidRPr="00016B26">
        <w:t>I agree with the judgment of Mr Justice Lam PJ.</w:t>
      </w:r>
    </w:p>
    <w:p w:rsidR="0049743C" w:rsidRDefault="0049743C" w:rsidP="00BC27E5">
      <w:pPr>
        <w:pStyle w:val="ListParagraph"/>
        <w:adjustRightInd w:val="0"/>
        <w:snapToGrid w:val="0"/>
        <w:spacing w:after="0" w:line="360" w:lineRule="auto"/>
        <w:ind w:left="0"/>
        <w:rPr>
          <w:sz w:val="28"/>
          <w:szCs w:val="28"/>
        </w:rPr>
      </w:pPr>
    </w:p>
    <w:p w:rsidR="0049743C" w:rsidRPr="001D73CD" w:rsidRDefault="0049743C" w:rsidP="00BC27E5">
      <w:pPr>
        <w:pStyle w:val="ListParagraph"/>
        <w:adjustRightInd w:val="0"/>
        <w:snapToGrid w:val="0"/>
        <w:spacing w:after="0" w:line="360" w:lineRule="auto"/>
        <w:ind w:left="0"/>
        <w:rPr>
          <w:sz w:val="28"/>
          <w:szCs w:val="28"/>
        </w:rPr>
      </w:pPr>
      <w:r w:rsidRPr="001D73CD">
        <w:rPr>
          <w:sz w:val="28"/>
          <w:szCs w:val="28"/>
        </w:rPr>
        <w:t>Mr Justice Fok PJ:</w:t>
      </w:r>
    </w:p>
    <w:p w:rsidR="005C23B3" w:rsidRDefault="005C23B3" w:rsidP="00CB44D4">
      <w:pPr>
        <w:pStyle w:val="Normal1"/>
        <w:numPr>
          <w:ilvl w:val="0"/>
          <w:numId w:val="12"/>
        </w:numPr>
        <w:tabs>
          <w:tab w:val="clear" w:pos="720"/>
          <w:tab w:val="clear" w:pos="3168"/>
          <w:tab w:val="clear" w:pos="4018"/>
          <w:tab w:val="left" w:pos="1440"/>
        </w:tabs>
        <w:spacing w:before="200"/>
        <w:ind w:left="0" w:firstLine="0"/>
      </w:pPr>
      <w:r w:rsidRPr="00016B26">
        <w:t>I agree with the judgment of Mr Justice Lam PJ.</w:t>
      </w:r>
    </w:p>
    <w:p w:rsidR="009D114F" w:rsidRDefault="009D114F" w:rsidP="00BC27E5">
      <w:pPr>
        <w:tabs>
          <w:tab w:val="left" w:pos="1440"/>
        </w:tabs>
        <w:spacing w:after="0" w:line="360" w:lineRule="auto"/>
        <w:ind w:right="-86"/>
        <w:jc w:val="both"/>
        <w:rPr>
          <w:sz w:val="28"/>
          <w:szCs w:val="28"/>
        </w:rPr>
      </w:pPr>
    </w:p>
    <w:p w:rsidR="00597770" w:rsidRDefault="00597770" w:rsidP="00C51B43">
      <w:pPr>
        <w:tabs>
          <w:tab w:val="left" w:pos="1440"/>
        </w:tabs>
        <w:spacing w:after="0" w:line="360" w:lineRule="auto"/>
        <w:ind w:right="-90"/>
        <w:jc w:val="both"/>
        <w:rPr>
          <w:rFonts w:eastAsia="PMingLiU"/>
          <w:sz w:val="28"/>
          <w:szCs w:val="28"/>
          <w:lang w:eastAsia="zh-TW"/>
        </w:rPr>
      </w:pPr>
      <w:r>
        <w:rPr>
          <w:sz w:val="28"/>
          <w:szCs w:val="28"/>
        </w:rPr>
        <w:t>M</w:t>
      </w:r>
      <w:r w:rsidR="005E44EB">
        <w:rPr>
          <w:rFonts w:eastAsia="PMingLiU"/>
          <w:sz w:val="28"/>
          <w:szCs w:val="28"/>
          <w:lang w:eastAsia="zh-TW"/>
        </w:rPr>
        <w:t>r Justice Lam PJ:</w:t>
      </w:r>
    </w:p>
    <w:p w:rsidR="00E31BF4" w:rsidRPr="00E31BF4" w:rsidRDefault="00E31BF4" w:rsidP="00E31BF4">
      <w:pPr>
        <w:tabs>
          <w:tab w:val="left" w:pos="1440"/>
        </w:tabs>
        <w:spacing w:before="200" w:after="0" w:line="360" w:lineRule="auto"/>
        <w:ind w:right="-86"/>
        <w:jc w:val="both"/>
        <w:rPr>
          <w:b/>
          <w:i/>
          <w:sz w:val="28"/>
          <w:szCs w:val="28"/>
        </w:rPr>
      </w:pPr>
      <w:r w:rsidRPr="00E31BF4">
        <w:rPr>
          <w:rFonts w:eastAsia="PMingLiU"/>
          <w:b/>
          <w:i/>
          <w:sz w:val="28"/>
          <w:szCs w:val="28"/>
          <w:lang w:eastAsia="zh-TW"/>
        </w:rPr>
        <w:t xml:space="preserve">A. </w:t>
      </w:r>
      <w:r w:rsidRPr="00E31BF4">
        <w:rPr>
          <w:rFonts w:eastAsia="PMingLiU"/>
          <w:b/>
          <w:i/>
          <w:sz w:val="28"/>
          <w:szCs w:val="28"/>
          <w:lang w:eastAsia="zh-TW"/>
        </w:rPr>
        <w:tab/>
        <w:t>Background</w:t>
      </w:r>
    </w:p>
    <w:p w:rsidR="009D114F" w:rsidRPr="0049743C" w:rsidRDefault="00B64C69" w:rsidP="00CB44D4">
      <w:pPr>
        <w:numPr>
          <w:ilvl w:val="0"/>
          <w:numId w:val="12"/>
        </w:numPr>
        <w:tabs>
          <w:tab w:val="clear" w:pos="720"/>
          <w:tab w:val="left" w:pos="1440"/>
        </w:tabs>
        <w:spacing w:before="200" w:after="0" w:line="360" w:lineRule="auto"/>
        <w:ind w:left="0" w:firstLine="0"/>
        <w:jc w:val="both"/>
        <w:rPr>
          <w:sz w:val="28"/>
          <w:szCs w:val="28"/>
        </w:rPr>
      </w:pPr>
      <w:r w:rsidRPr="0049743C">
        <w:rPr>
          <w:sz w:val="28"/>
          <w:szCs w:val="28"/>
        </w:rPr>
        <w:t xml:space="preserve">In </w:t>
      </w:r>
      <w:r w:rsidRPr="0049743C">
        <w:rPr>
          <w:i/>
          <w:sz w:val="28"/>
          <w:szCs w:val="28"/>
        </w:rPr>
        <w:t>R v Blastland</w:t>
      </w:r>
      <w:r w:rsidRPr="00BD72B1">
        <w:rPr>
          <w:rStyle w:val="FootnoteReference"/>
          <w:sz w:val="28"/>
          <w:szCs w:val="28"/>
        </w:rPr>
        <w:footnoteReference w:id="1"/>
      </w:r>
      <w:r w:rsidRPr="0049743C">
        <w:rPr>
          <w:i/>
          <w:sz w:val="28"/>
          <w:szCs w:val="28"/>
        </w:rPr>
        <w:t xml:space="preserve"> </w:t>
      </w:r>
      <w:r w:rsidR="009D114F" w:rsidRPr="0049743C">
        <w:rPr>
          <w:sz w:val="28"/>
          <w:szCs w:val="28"/>
        </w:rPr>
        <w:t>Lord Bridge of Harwich explained why hearsay evidence which may be potentially probat</w:t>
      </w:r>
      <w:r w:rsidR="00414F0F" w:rsidRPr="0049743C">
        <w:rPr>
          <w:sz w:val="28"/>
          <w:szCs w:val="28"/>
        </w:rPr>
        <w:t>ive is excluded in a jury trial:</w:t>
      </w:r>
    </w:p>
    <w:p w:rsidR="009D114F" w:rsidRPr="0049743C" w:rsidRDefault="009D114F" w:rsidP="00CB44D4">
      <w:pPr>
        <w:tabs>
          <w:tab w:val="left" w:pos="1440"/>
        </w:tabs>
        <w:spacing w:before="200" w:after="0" w:line="240" w:lineRule="auto"/>
        <w:ind w:left="720" w:right="360"/>
        <w:jc w:val="both"/>
        <w:rPr>
          <w:szCs w:val="24"/>
        </w:rPr>
      </w:pPr>
      <w:r w:rsidRPr="0049743C">
        <w:rPr>
          <w:szCs w:val="24"/>
        </w:rPr>
        <w:t xml:space="preserve">“The rationale of excluding it as inadmissible, rooted as it is in the system of trial by jury, is a recognition of the great difficulty, even more acute for a juror than for a trained judicial mind, of assessing what, if any, weight can properly be given to a statement by a person whom the jury have not seen or heard and which has not been subject to any test of reliability by cross-examination.” </w:t>
      </w:r>
    </w:p>
    <w:p w:rsidR="00C51B43" w:rsidRPr="0049743C" w:rsidRDefault="00C51B43" w:rsidP="00E25676">
      <w:pPr>
        <w:tabs>
          <w:tab w:val="left" w:pos="1440"/>
        </w:tabs>
        <w:spacing w:after="0" w:line="360" w:lineRule="auto"/>
        <w:ind w:right="-86"/>
        <w:jc w:val="both"/>
        <w:rPr>
          <w:sz w:val="28"/>
          <w:szCs w:val="28"/>
        </w:rPr>
      </w:pPr>
    </w:p>
    <w:p w:rsidR="009B28CC"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0F661B" w:rsidRPr="0049743C">
        <w:rPr>
          <w:sz w:val="28"/>
          <w:szCs w:val="28"/>
        </w:rPr>
        <w:t>In the present case,</w:t>
      </w:r>
      <w:r w:rsidR="00316A65" w:rsidRPr="0049743C">
        <w:rPr>
          <w:sz w:val="28"/>
          <w:szCs w:val="28"/>
        </w:rPr>
        <w:t xml:space="preserve"> </w:t>
      </w:r>
      <w:r w:rsidR="000F661B" w:rsidRPr="0049743C">
        <w:rPr>
          <w:sz w:val="28"/>
          <w:szCs w:val="28"/>
        </w:rPr>
        <w:t xml:space="preserve">the Appeal Committee granted leave to appeal in respect of </w:t>
      </w:r>
      <w:r w:rsidR="002B6EE1" w:rsidRPr="0049743C">
        <w:rPr>
          <w:sz w:val="28"/>
          <w:szCs w:val="28"/>
        </w:rPr>
        <w:t>a</w:t>
      </w:r>
      <w:r w:rsidR="000F661B" w:rsidRPr="0049743C">
        <w:rPr>
          <w:sz w:val="28"/>
          <w:szCs w:val="28"/>
        </w:rPr>
        <w:t xml:space="preserve"> </w:t>
      </w:r>
      <w:r w:rsidR="00316A65" w:rsidRPr="0049743C">
        <w:rPr>
          <w:sz w:val="28"/>
          <w:szCs w:val="28"/>
        </w:rPr>
        <w:t>question of law c</w:t>
      </w:r>
      <w:r w:rsidR="00414F0F" w:rsidRPr="0049743C">
        <w:rPr>
          <w:sz w:val="28"/>
          <w:szCs w:val="28"/>
        </w:rPr>
        <w:t>ertified by the Court of Appeal:</w:t>
      </w:r>
      <w:r w:rsidR="009B28CC" w:rsidRPr="0049743C">
        <w:rPr>
          <w:sz w:val="28"/>
          <w:szCs w:val="28"/>
        </w:rPr>
        <w:t xml:space="preserve"> </w:t>
      </w:r>
    </w:p>
    <w:p w:rsidR="009B28CC" w:rsidRPr="0049743C" w:rsidRDefault="009B28CC" w:rsidP="00CB44D4">
      <w:pPr>
        <w:tabs>
          <w:tab w:val="left" w:pos="1440"/>
        </w:tabs>
        <w:spacing w:before="200" w:after="0" w:line="240" w:lineRule="auto"/>
        <w:ind w:left="720" w:right="360"/>
        <w:jc w:val="both"/>
        <w:rPr>
          <w:szCs w:val="24"/>
        </w:rPr>
      </w:pPr>
      <w:r w:rsidRPr="0049743C">
        <w:rPr>
          <w:szCs w:val="24"/>
        </w:rPr>
        <w:t>“Are the statements of an accused to a medical practitioner regarding his or her background and state of mind at the time of the offence, and the circumstances of a relevant event or events, hearsay evidence and inadmissible when he or she does not testify at trial and, if so, does this also render inadmissible the expert opinion of the medical practitioner?”</w:t>
      </w:r>
    </w:p>
    <w:p w:rsidR="004F05B5" w:rsidRDefault="004F05B5" w:rsidP="004F05B5">
      <w:pPr>
        <w:tabs>
          <w:tab w:val="left" w:pos="1440"/>
        </w:tabs>
        <w:spacing w:after="0" w:line="360" w:lineRule="auto"/>
        <w:jc w:val="both"/>
        <w:rPr>
          <w:sz w:val="28"/>
          <w:szCs w:val="28"/>
        </w:rPr>
      </w:pPr>
    </w:p>
    <w:p w:rsidR="00C51B43"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lastRenderedPageBreak/>
        <w:tab/>
      </w:r>
      <w:r w:rsidR="00DD3F81" w:rsidRPr="0049743C">
        <w:rPr>
          <w:sz w:val="28"/>
          <w:szCs w:val="28"/>
        </w:rPr>
        <w:t>Further</w:t>
      </w:r>
      <w:r w:rsidR="009B28CC" w:rsidRPr="0049743C">
        <w:rPr>
          <w:sz w:val="28"/>
          <w:szCs w:val="28"/>
        </w:rPr>
        <w:t>, the Court of Appeal in its judgment</w:t>
      </w:r>
      <w:r w:rsidR="00E56880" w:rsidRPr="0049743C">
        <w:rPr>
          <w:rStyle w:val="FootnoteReference"/>
          <w:sz w:val="28"/>
          <w:szCs w:val="28"/>
        </w:rPr>
        <w:footnoteReference w:id="2"/>
      </w:r>
      <w:r w:rsidR="009B28CC" w:rsidRPr="0049743C">
        <w:rPr>
          <w:sz w:val="28"/>
          <w:szCs w:val="28"/>
        </w:rPr>
        <w:t xml:space="preserve"> </w:t>
      </w:r>
      <w:r w:rsidR="002B6EE1" w:rsidRPr="0049743C">
        <w:rPr>
          <w:sz w:val="28"/>
          <w:szCs w:val="28"/>
        </w:rPr>
        <w:t>suggested</w:t>
      </w:r>
      <w:r w:rsidR="009B28CC" w:rsidRPr="0049743C">
        <w:rPr>
          <w:sz w:val="28"/>
          <w:szCs w:val="28"/>
        </w:rPr>
        <w:t xml:space="preserve"> a novel approach in directing</w:t>
      </w:r>
      <w:r w:rsidR="003B43B6" w:rsidRPr="0049743C">
        <w:rPr>
          <w:sz w:val="28"/>
          <w:szCs w:val="28"/>
        </w:rPr>
        <w:t xml:space="preserve"> a</w:t>
      </w:r>
      <w:r w:rsidR="009B28CC" w:rsidRPr="0049743C">
        <w:rPr>
          <w:sz w:val="28"/>
          <w:szCs w:val="28"/>
        </w:rPr>
        <w:t xml:space="preserve"> jury on a statement of an accused to a psychiatrist regarding his background and state of mind at the time of the offence</w:t>
      </w:r>
      <w:r w:rsidR="0050094C">
        <w:rPr>
          <w:rStyle w:val="FootnoteReference"/>
          <w:sz w:val="28"/>
          <w:szCs w:val="28"/>
        </w:rPr>
        <w:footnoteReference w:id="3"/>
      </w:r>
      <w:r w:rsidR="009B28CC" w:rsidRPr="0049743C">
        <w:rPr>
          <w:sz w:val="28"/>
          <w:szCs w:val="28"/>
        </w:rPr>
        <w:t xml:space="preserve">. </w:t>
      </w:r>
      <w:r w:rsidR="002B6EE1" w:rsidRPr="0049743C">
        <w:rPr>
          <w:sz w:val="28"/>
          <w:szCs w:val="28"/>
        </w:rPr>
        <w:t>T</w:t>
      </w:r>
      <w:r w:rsidR="000F661B" w:rsidRPr="0049743C">
        <w:rPr>
          <w:sz w:val="28"/>
          <w:szCs w:val="28"/>
        </w:rPr>
        <w:t>he</w:t>
      </w:r>
      <w:r w:rsidR="00E5041A" w:rsidRPr="0049743C">
        <w:rPr>
          <w:sz w:val="28"/>
          <w:szCs w:val="28"/>
        </w:rPr>
        <w:t xml:space="preserve"> proposed approach involves the creation of </w:t>
      </w:r>
      <w:r w:rsidR="002B6EE1" w:rsidRPr="0049743C">
        <w:rPr>
          <w:sz w:val="28"/>
          <w:szCs w:val="28"/>
        </w:rPr>
        <w:t xml:space="preserve">a </w:t>
      </w:r>
      <w:r w:rsidR="00E5041A" w:rsidRPr="0049743C">
        <w:rPr>
          <w:sz w:val="28"/>
          <w:szCs w:val="28"/>
        </w:rPr>
        <w:t>new exception to the hearsay rule</w:t>
      </w:r>
      <w:r w:rsidR="002B6EE1" w:rsidRPr="0049743C">
        <w:rPr>
          <w:sz w:val="28"/>
          <w:szCs w:val="28"/>
        </w:rPr>
        <w:t>.</w:t>
      </w:r>
      <w:r w:rsidR="00E5041A" w:rsidRPr="0049743C">
        <w:rPr>
          <w:sz w:val="28"/>
          <w:szCs w:val="28"/>
        </w:rPr>
        <w:t xml:space="preserve"> </w:t>
      </w:r>
      <w:r w:rsidR="002B6EE1" w:rsidRPr="0049743C">
        <w:rPr>
          <w:sz w:val="28"/>
          <w:szCs w:val="28"/>
        </w:rPr>
        <w:t>I</w:t>
      </w:r>
      <w:r w:rsidR="00E5041A" w:rsidRPr="0049743C">
        <w:rPr>
          <w:sz w:val="28"/>
          <w:szCs w:val="28"/>
        </w:rPr>
        <w:t>t is</w:t>
      </w:r>
      <w:r w:rsidR="002B6EE1" w:rsidRPr="0049743C">
        <w:rPr>
          <w:sz w:val="28"/>
          <w:szCs w:val="28"/>
        </w:rPr>
        <w:t xml:space="preserve"> thus</w:t>
      </w:r>
      <w:r w:rsidR="00E5041A" w:rsidRPr="0049743C">
        <w:rPr>
          <w:sz w:val="28"/>
          <w:szCs w:val="28"/>
        </w:rPr>
        <w:t xml:space="preserve"> necessary to examine it against </w:t>
      </w:r>
      <w:r w:rsidR="00E56880" w:rsidRPr="0049743C">
        <w:rPr>
          <w:sz w:val="28"/>
          <w:szCs w:val="28"/>
        </w:rPr>
        <w:t xml:space="preserve">the </w:t>
      </w:r>
      <w:r w:rsidR="00E93901" w:rsidRPr="0049743C">
        <w:rPr>
          <w:sz w:val="28"/>
          <w:szCs w:val="28"/>
        </w:rPr>
        <w:t>existing law</w:t>
      </w:r>
      <w:r w:rsidR="002B6EE1" w:rsidRPr="0049743C">
        <w:rPr>
          <w:sz w:val="28"/>
          <w:szCs w:val="28"/>
        </w:rPr>
        <w:t xml:space="preserve"> and its rationale</w:t>
      </w:r>
      <w:r w:rsidR="00E93901" w:rsidRPr="0049743C">
        <w:rPr>
          <w:sz w:val="28"/>
          <w:szCs w:val="28"/>
        </w:rPr>
        <w:t xml:space="preserve">.  </w:t>
      </w:r>
      <w:r w:rsidR="00E56880" w:rsidRPr="0049743C">
        <w:rPr>
          <w:sz w:val="28"/>
          <w:szCs w:val="28"/>
        </w:rPr>
        <w:t xml:space="preserve"> </w:t>
      </w:r>
      <w:r w:rsidR="009B28CC" w:rsidRPr="0049743C">
        <w:rPr>
          <w:sz w:val="28"/>
          <w:szCs w:val="28"/>
        </w:rPr>
        <w:t xml:space="preserve">  </w:t>
      </w:r>
      <w:r w:rsidR="00316A65" w:rsidRPr="0049743C">
        <w:rPr>
          <w:sz w:val="28"/>
          <w:szCs w:val="28"/>
        </w:rPr>
        <w:t xml:space="preserve">  </w:t>
      </w:r>
    </w:p>
    <w:p w:rsidR="00316A65" w:rsidRPr="0049743C" w:rsidRDefault="00316A65" w:rsidP="00F6462F">
      <w:pPr>
        <w:tabs>
          <w:tab w:val="left" w:pos="1440"/>
        </w:tabs>
        <w:spacing w:after="0" w:line="360" w:lineRule="auto"/>
        <w:jc w:val="both"/>
        <w:rPr>
          <w:sz w:val="28"/>
          <w:szCs w:val="28"/>
        </w:rPr>
      </w:pPr>
      <w:r w:rsidRPr="0049743C">
        <w:rPr>
          <w:sz w:val="28"/>
          <w:szCs w:val="28"/>
        </w:rPr>
        <w:t xml:space="preserve">   </w:t>
      </w:r>
    </w:p>
    <w:p w:rsidR="00316A65" w:rsidRPr="0049743C" w:rsidRDefault="00593D35" w:rsidP="00F6462F">
      <w:pPr>
        <w:tabs>
          <w:tab w:val="left" w:pos="1440"/>
        </w:tabs>
        <w:spacing w:after="0" w:line="360" w:lineRule="auto"/>
        <w:jc w:val="both"/>
        <w:rPr>
          <w:b/>
          <w:i/>
          <w:sz w:val="28"/>
          <w:szCs w:val="28"/>
        </w:rPr>
      </w:pPr>
      <w:r w:rsidRPr="0049743C">
        <w:rPr>
          <w:b/>
          <w:i/>
          <w:sz w:val="28"/>
          <w:szCs w:val="28"/>
        </w:rPr>
        <w:t xml:space="preserve">A1. </w:t>
      </w:r>
      <w:r w:rsidR="009A4E21" w:rsidRPr="0049743C">
        <w:rPr>
          <w:b/>
          <w:i/>
          <w:sz w:val="28"/>
          <w:szCs w:val="28"/>
        </w:rPr>
        <w:tab/>
      </w:r>
      <w:r w:rsidRPr="0049743C">
        <w:rPr>
          <w:b/>
          <w:i/>
          <w:sz w:val="28"/>
          <w:szCs w:val="28"/>
        </w:rPr>
        <w:t>The killing</w:t>
      </w:r>
      <w:r w:rsidR="00E93901" w:rsidRPr="0049743C">
        <w:rPr>
          <w:b/>
          <w:i/>
          <w:sz w:val="28"/>
          <w:szCs w:val="28"/>
        </w:rPr>
        <w:t xml:space="preserve"> and the </w:t>
      </w:r>
      <w:r w:rsidRPr="0049743C">
        <w:rPr>
          <w:b/>
          <w:i/>
          <w:sz w:val="28"/>
          <w:szCs w:val="28"/>
        </w:rPr>
        <w:t>defence of diminished responsibility</w:t>
      </w:r>
    </w:p>
    <w:p w:rsidR="003858D5" w:rsidRPr="0049743C" w:rsidRDefault="0049743C" w:rsidP="00CB44D4">
      <w:pPr>
        <w:numPr>
          <w:ilvl w:val="0"/>
          <w:numId w:val="12"/>
        </w:numPr>
        <w:tabs>
          <w:tab w:val="left" w:pos="1440"/>
        </w:tabs>
        <w:spacing w:before="200" w:after="0" w:line="360" w:lineRule="auto"/>
        <w:ind w:left="0" w:firstLine="0"/>
        <w:jc w:val="both"/>
        <w:rPr>
          <w:sz w:val="28"/>
          <w:szCs w:val="28"/>
        </w:rPr>
      </w:pPr>
      <w:r>
        <w:rPr>
          <w:sz w:val="28"/>
          <w:szCs w:val="28"/>
        </w:rPr>
        <w:tab/>
      </w:r>
      <w:r w:rsidR="000D4ADB" w:rsidRPr="0049743C">
        <w:rPr>
          <w:sz w:val="28"/>
          <w:szCs w:val="28"/>
        </w:rPr>
        <w:t xml:space="preserve">The </w:t>
      </w:r>
      <w:r w:rsidR="002B6EE1" w:rsidRPr="0049743C">
        <w:rPr>
          <w:sz w:val="28"/>
          <w:szCs w:val="28"/>
        </w:rPr>
        <w:t>Appellant</w:t>
      </w:r>
      <w:r w:rsidR="000D4ADB" w:rsidRPr="0049743C">
        <w:rPr>
          <w:sz w:val="28"/>
          <w:szCs w:val="28"/>
        </w:rPr>
        <w:t xml:space="preserve"> was charged with the murder of his wife. During a trip </w:t>
      </w:r>
      <w:r w:rsidR="00A17DEB" w:rsidRPr="0049743C">
        <w:rPr>
          <w:sz w:val="28"/>
          <w:szCs w:val="28"/>
        </w:rPr>
        <w:t xml:space="preserve">in </w:t>
      </w:r>
      <w:r w:rsidR="000D4ADB" w:rsidRPr="0049743C">
        <w:rPr>
          <w:sz w:val="28"/>
          <w:szCs w:val="28"/>
        </w:rPr>
        <w:t xml:space="preserve">a taxi on 23 October 2015, when travelling through the Tate’s Cairn </w:t>
      </w:r>
      <w:r w:rsidR="00A17DEB" w:rsidRPr="0049743C">
        <w:rPr>
          <w:sz w:val="28"/>
          <w:szCs w:val="28"/>
        </w:rPr>
        <w:t>T</w:t>
      </w:r>
      <w:r w:rsidR="000D4ADB" w:rsidRPr="0049743C">
        <w:rPr>
          <w:sz w:val="28"/>
          <w:szCs w:val="28"/>
        </w:rPr>
        <w:t xml:space="preserve">unnel, he used a belt to strangle her. </w:t>
      </w:r>
      <w:r w:rsidR="003858D5" w:rsidRPr="0049743C">
        <w:rPr>
          <w:sz w:val="28"/>
          <w:szCs w:val="28"/>
        </w:rPr>
        <w:t xml:space="preserve">After exiting the tunnel, the taxi driver stopped the car outside a convenience store and reported the matter to two police officers. </w:t>
      </w:r>
      <w:r w:rsidR="004F4EAF" w:rsidRPr="0049743C">
        <w:rPr>
          <w:sz w:val="28"/>
          <w:szCs w:val="28"/>
        </w:rPr>
        <w:t>When the police officers arrived, t</w:t>
      </w:r>
      <w:r w:rsidR="003858D5" w:rsidRPr="0049743C">
        <w:rPr>
          <w:sz w:val="28"/>
          <w:szCs w:val="28"/>
        </w:rPr>
        <w:t xml:space="preserve">he wife was unconscious and the </w:t>
      </w:r>
      <w:r w:rsidR="002B6EE1" w:rsidRPr="0049743C">
        <w:rPr>
          <w:sz w:val="28"/>
          <w:szCs w:val="28"/>
        </w:rPr>
        <w:t>Appellant</w:t>
      </w:r>
      <w:r w:rsidR="003858D5" w:rsidRPr="0049743C">
        <w:rPr>
          <w:sz w:val="28"/>
          <w:szCs w:val="28"/>
        </w:rPr>
        <w:t xml:space="preserve"> tried to strangle himself and bit his tongue. The </w:t>
      </w:r>
      <w:r w:rsidR="002B6EE1" w:rsidRPr="0049743C">
        <w:rPr>
          <w:sz w:val="28"/>
          <w:szCs w:val="28"/>
        </w:rPr>
        <w:t>Appellant</w:t>
      </w:r>
      <w:r w:rsidR="003858D5" w:rsidRPr="0049743C">
        <w:rPr>
          <w:sz w:val="28"/>
          <w:szCs w:val="28"/>
        </w:rPr>
        <w:t xml:space="preserve"> and his wife were taken to</w:t>
      </w:r>
      <w:r w:rsidR="00806D29" w:rsidRPr="0049743C">
        <w:rPr>
          <w:sz w:val="28"/>
          <w:szCs w:val="28"/>
        </w:rPr>
        <w:t xml:space="preserve"> </w:t>
      </w:r>
      <w:r w:rsidR="000A6E06" w:rsidRPr="0049743C">
        <w:rPr>
          <w:rFonts w:eastAsia="PMingLiU"/>
          <w:sz w:val="28"/>
          <w:szCs w:val="28"/>
          <w:lang w:eastAsia="zh-HK"/>
        </w:rPr>
        <w:t xml:space="preserve">the </w:t>
      </w:r>
      <w:r w:rsidR="00806D29" w:rsidRPr="0049743C">
        <w:rPr>
          <w:sz w:val="28"/>
          <w:szCs w:val="28"/>
        </w:rPr>
        <w:t>North District Hospital</w:t>
      </w:r>
      <w:r w:rsidR="003858D5" w:rsidRPr="0049743C">
        <w:rPr>
          <w:sz w:val="28"/>
          <w:szCs w:val="28"/>
        </w:rPr>
        <w:t xml:space="preserve">. She remained in </w:t>
      </w:r>
      <w:r w:rsidR="00A17DEB" w:rsidRPr="0049743C">
        <w:rPr>
          <w:sz w:val="28"/>
          <w:szCs w:val="28"/>
        </w:rPr>
        <w:t xml:space="preserve">a </w:t>
      </w:r>
      <w:r w:rsidR="003858D5" w:rsidRPr="0049743C">
        <w:rPr>
          <w:sz w:val="28"/>
          <w:szCs w:val="28"/>
        </w:rPr>
        <w:t xml:space="preserve">coma and died 5 days later. </w:t>
      </w:r>
      <w:r w:rsidR="000D4ADB" w:rsidRPr="0049743C">
        <w:rPr>
          <w:sz w:val="28"/>
          <w:szCs w:val="28"/>
        </w:rPr>
        <w:t xml:space="preserve"> </w:t>
      </w:r>
    </w:p>
    <w:p w:rsidR="00414F0F" w:rsidRPr="0049743C" w:rsidRDefault="00414F0F" w:rsidP="00F6462F">
      <w:pPr>
        <w:tabs>
          <w:tab w:val="left" w:pos="1440"/>
        </w:tabs>
        <w:spacing w:after="0" w:line="360" w:lineRule="auto"/>
        <w:jc w:val="both"/>
        <w:rPr>
          <w:sz w:val="28"/>
          <w:szCs w:val="28"/>
        </w:rPr>
      </w:pPr>
    </w:p>
    <w:p w:rsidR="00340416"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3858D5" w:rsidRPr="0049743C">
        <w:rPr>
          <w:sz w:val="28"/>
          <w:szCs w:val="28"/>
        </w:rPr>
        <w:t>There is no dispute that the</w:t>
      </w:r>
      <w:r w:rsidR="00376044" w:rsidRPr="0049743C">
        <w:rPr>
          <w:sz w:val="28"/>
          <w:szCs w:val="28"/>
        </w:rPr>
        <w:t xml:space="preserve"> </w:t>
      </w:r>
      <w:r w:rsidR="002B6EE1" w:rsidRPr="0049743C">
        <w:rPr>
          <w:sz w:val="28"/>
          <w:szCs w:val="28"/>
        </w:rPr>
        <w:t>Appellant</w:t>
      </w:r>
      <w:r w:rsidR="00376044" w:rsidRPr="0049743C">
        <w:rPr>
          <w:sz w:val="28"/>
          <w:szCs w:val="28"/>
        </w:rPr>
        <w:t xml:space="preserve"> killed his wife. </w:t>
      </w:r>
      <w:r w:rsidR="00340416" w:rsidRPr="0049743C">
        <w:rPr>
          <w:sz w:val="28"/>
          <w:szCs w:val="28"/>
        </w:rPr>
        <w:t>Th</w:t>
      </w:r>
      <w:r w:rsidR="00376044" w:rsidRPr="0049743C">
        <w:rPr>
          <w:sz w:val="28"/>
          <w:szCs w:val="28"/>
        </w:rPr>
        <w:t xml:space="preserve">is appeal </w:t>
      </w:r>
      <w:r w:rsidR="0050094C">
        <w:rPr>
          <w:sz w:val="28"/>
          <w:szCs w:val="28"/>
        </w:rPr>
        <w:t>focuses</w:t>
      </w:r>
      <w:r w:rsidR="00340416" w:rsidRPr="0049743C">
        <w:rPr>
          <w:sz w:val="28"/>
          <w:szCs w:val="28"/>
        </w:rPr>
        <w:t xml:space="preserve"> on</w:t>
      </w:r>
      <w:r w:rsidR="00376044" w:rsidRPr="0049743C">
        <w:rPr>
          <w:sz w:val="28"/>
          <w:szCs w:val="28"/>
        </w:rPr>
        <w:t xml:space="preserve"> his partial defence of diminished responsibility.</w:t>
      </w:r>
      <w:r w:rsidR="00E93901" w:rsidRPr="0049743C">
        <w:rPr>
          <w:sz w:val="28"/>
          <w:szCs w:val="28"/>
        </w:rPr>
        <w:t xml:space="preserve"> </w:t>
      </w:r>
      <w:r w:rsidR="004F4EAF" w:rsidRPr="0049743C">
        <w:rPr>
          <w:sz w:val="28"/>
          <w:szCs w:val="28"/>
        </w:rPr>
        <w:t>T</w:t>
      </w:r>
      <w:r w:rsidR="00E93901" w:rsidRPr="0049743C">
        <w:rPr>
          <w:sz w:val="28"/>
          <w:szCs w:val="28"/>
        </w:rPr>
        <w:t>he defence of diminished responsibility only becomes relevant after the prosecution has satisfied the jury that the defendant is otherwise guilty of murder</w:t>
      </w:r>
      <w:r w:rsidR="004F4EAF" w:rsidRPr="0049743C">
        <w:rPr>
          <w:rStyle w:val="FootnoteReference"/>
          <w:sz w:val="28"/>
          <w:szCs w:val="28"/>
        </w:rPr>
        <w:footnoteReference w:id="4"/>
      </w:r>
      <w:r w:rsidR="004F4EAF" w:rsidRPr="0049743C">
        <w:rPr>
          <w:sz w:val="28"/>
          <w:szCs w:val="28"/>
        </w:rPr>
        <w:t xml:space="preserve">. </w:t>
      </w:r>
      <w:r w:rsidR="00340416" w:rsidRPr="0049743C">
        <w:rPr>
          <w:sz w:val="28"/>
          <w:szCs w:val="28"/>
        </w:rPr>
        <w:t>The defence is provided by</w:t>
      </w:r>
      <w:r w:rsidR="00E22073" w:rsidRPr="0049743C">
        <w:rPr>
          <w:sz w:val="28"/>
          <w:szCs w:val="28"/>
        </w:rPr>
        <w:t xml:space="preserve"> Section 3</w:t>
      </w:r>
      <w:r w:rsidR="0050094C">
        <w:rPr>
          <w:sz w:val="28"/>
          <w:szCs w:val="28"/>
        </w:rPr>
        <w:t>(1)</w:t>
      </w:r>
      <w:r w:rsidR="00E22073" w:rsidRPr="0049743C">
        <w:rPr>
          <w:sz w:val="28"/>
          <w:szCs w:val="28"/>
        </w:rPr>
        <w:t xml:space="preserve"> of the Homicide Ordinance Cap  339</w:t>
      </w:r>
      <w:r w:rsidR="002539D1" w:rsidRPr="0049743C">
        <w:rPr>
          <w:sz w:val="28"/>
          <w:szCs w:val="28"/>
        </w:rPr>
        <w:t xml:space="preserve"> (</w:t>
      </w:r>
      <w:r w:rsidR="00774953">
        <w:rPr>
          <w:sz w:val="28"/>
          <w:szCs w:val="28"/>
        </w:rPr>
        <w:t>“</w:t>
      </w:r>
      <w:r w:rsidR="002539D1" w:rsidRPr="0049743C">
        <w:rPr>
          <w:sz w:val="28"/>
          <w:szCs w:val="28"/>
        </w:rPr>
        <w:t>the HO”)</w:t>
      </w:r>
      <w:r w:rsidR="006E013C" w:rsidRPr="0049743C">
        <w:rPr>
          <w:sz w:val="28"/>
          <w:szCs w:val="28"/>
        </w:rPr>
        <w:t>:</w:t>
      </w:r>
    </w:p>
    <w:p w:rsidR="00E22073" w:rsidRPr="0049743C" w:rsidRDefault="00E22073" w:rsidP="00CB44D4">
      <w:pPr>
        <w:tabs>
          <w:tab w:val="left" w:pos="1440"/>
        </w:tabs>
        <w:spacing w:before="200" w:after="0" w:line="240" w:lineRule="auto"/>
        <w:ind w:left="720" w:right="360"/>
        <w:jc w:val="both"/>
        <w:rPr>
          <w:szCs w:val="24"/>
        </w:rPr>
      </w:pPr>
      <w:r w:rsidRPr="0049743C">
        <w:rPr>
          <w:szCs w:val="24"/>
          <w:shd w:val="clear" w:color="auto" w:fill="FFFFFF"/>
        </w:rPr>
        <w:lastRenderedPageBreak/>
        <w:t>“Where a person kills or is a party to the killing of another, he shall not be convicted of murder if he was suffering from such abnormality of mind (whether arising from a condition of arrested or retarded development of mind or any inherent causes or induced by disease or injury) as substantially impaired his mental responsibility for his acts and omissions in doing or being a party to the killing.”</w:t>
      </w:r>
    </w:p>
    <w:p w:rsidR="00414F0F" w:rsidRPr="0049743C" w:rsidRDefault="00414F0F" w:rsidP="00414F0F">
      <w:pPr>
        <w:tabs>
          <w:tab w:val="left" w:pos="1440"/>
        </w:tabs>
        <w:spacing w:after="0" w:line="360" w:lineRule="auto"/>
        <w:ind w:right="-90"/>
        <w:jc w:val="both"/>
        <w:rPr>
          <w:sz w:val="28"/>
          <w:szCs w:val="28"/>
        </w:rPr>
      </w:pPr>
    </w:p>
    <w:p w:rsidR="00340416"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E22073" w:rsidRPr="0049743C">
        <w:rPr>
          <w:sz w:val="28"/>
          <w:szCs w:val="28"/>
        </w:rPr>
        <w:t xml:space="preserve">The burden of proving diminished responsibility is </w:t>
      </w:r>
      <w:r w:rsidR="009F3944" w:rsidRPr="0049743C">
        <w:rPr>
          <w:sz w:val="28"/>
          <w:szCs w:val="28"/>
        </w:rPr>
        <w:t>laid</w:t>
      </w:r>
      <w:r w:rsidR="00E22073" w:rsidRPr="0049743C">
        <w:rPr>
          <w:sz w:val="28"/>
          <w:szCs w:val="28"/>
        </w:rPr>
        <w:t xml:space="preserve"> on the defendant</w:t>
      </w:r>
      <w:r w:rsidR="009F3944" w:rsidRPr="0049743C">
        <w:rPr>
          <w:sz w:val="28"/>
          <w:szCs w:val="28"/>
        </w:rPr>
        <w:t xml:space="preserve"> by Section 3(2)</w:t>
      </w:r>
      <w:r w:rsidR="00E22073" w:rsidRPr="0049743C">
        <w:rPr>
          <w:sz w:val="28"/>
          <w:szCs w:val="28"/>
        </w:rPr>
        <w:t xml:space="preserve">. </w:t>
      </w:r>
      <w:r w:rsidR="00340416" w:rsidRPr="0049743C">
        <w:rPr>
          <w:sz w:val="28"/>
          <w:szCs w:val="28"/>
        </w:rPr>
        <w:t>To establish the same,</w:t>
      </w:r>
      <w:r w:rsidR="00E22073" w:rsidRPr="0049743C">
        <w:rPr>
          <w:sz w:val="28"/>
          <w:szCs w:val="28"/>
        </w:rPr>
        <w:t xml:space="preserve"> </w:t>
      </w:r>
      <w:r w:rsidR="00340416" w:rsidRPr="0049743C">
        <w:rPr>
          <w:sz w:val="28"/>
          <w:szCs w:val="28"/>
        </w:rPr>
        <w:t>a</w:t>
      </w:r>
      <w:r w:rsidR="00E22073" w:rsidRPr="0049743C">
        <w:rPr>
          <w:sz w:val="28"/>
          <w:szCs w:val="28"/>
        </w:rPr>
        <w:t xml:space="preserve"> defen</w:t>
      </w:r>
      <w:r w:rsidR="00340416" w:rsidRPr="0049743C">
        <w:rPr>
          <w:sz w:val="28"/>
          <w:szCs w:val="28"/>
        </w:rPr>
        <w:t xml:space="preserve">dant has to show </w:t>
      </w:r>
      <w:r w:rsidR="00E22073" w:rsidRPr="0049743C">
        <w:rPr>
          <w:sz w:val="28"/>
          <w:szCs w:val="28"/>
        </w:rPr>
        <w:t xml:space="preserve">on the balance of </w:t>
      </w:r>
      <w:r w:rsidR="00A17DEB" w:rsidRPr="0049743C">
        <w:rPr>
          <w:sz w:val="28"/>
          <w:szCs w:val="28"/>
        </w:rPr>
        <w:t xml:space="preserve">probabilities </w:t>
      </w:r>
      <w:r w:rsidR="00301524" w:rsidRPr="0049743C">
        <w:rPr>
          <w:sz w:val="28"/>
          <w:szCs w:val="28"/>
        </w:rPr>
        <w:t>that</w:t>
      </w:r>
      <w:r w:rsidR="00414F0F" w:rsidRPr="0049743C">
        <w:rPr>
          <w:sz w:val="28"/>
          <w:szCs w:val="28"/>
        </w:rPr>
        <w:t>:</w:t>
      </w:r>
    </w:p>
    <w:p w:rsidR="00414F0F" w:rsidRPr="0049743C" w:rsidRDefault="00414F0F" w:rsidP="00F6462F">
      <w:pPr>
        <w:tabs>
          <w:tab w:val="left" w:pos="1440"/>
        </w:tabs>
        <w:spacing w:after="0" w:line="360" w:lineRule="auto"/>
        <w:ind w:left="1440"/>
        <w:jc w:val="both"/>
        <w:rPr>
          <w:sz w:val="28"/>
          <w:szCs w:val="28"/>
        </w:rPr>
      </w:pPr>
    </w:p>
    <w:p w:rsidR="002B36D8" w:rsidRPr="0049743C" w:rsidRDefault="002B36D8" w:rsidP="00F6462F">
      <w:pPr>
        <w:numPr>
          <w:ilvl w:val="0"/>
          <w:numId w:val="9"/>
        </w:numPr>
        <w:tabs>
          <w:tab w:val="left" w:pos="1440"/>
        </w:tabs>
        <w:spacing w:after="0" w:line="360" w:lineRule="auto"/>
        <w:ind w:left="1440" w:hanging="720"/>
        <w:jc w:val="both"/>
        <w:rPr>
          <w:sz w:val="28"/>
          <w:szCs w:val="28"/>
        </w:rPr>
      </w:pPr>
      <w:r w:rsidRPr="0049743C">
        <w:rPr>
          <w:sz w:val="28"/>
          <w:szCs w:val="28"/>
          <w:shd w:val="clear" w:color="auto" w:fill="FFFFFF"/>
        </w:rPr>
        <w:t>he or she was suffering from an abnormality of mind, arising out of the specified causes</w:t>
      </w:r>
      <w:r w:rsidR="00C93025" w:rsidRPr="0049743C">
        <w:rPr>
          <w:rStyle w:val="FootnoteReference"/>
          <w:sz w:val="28"/>
          <w:szCs w:val="28"/>
          <w:shd w:val="clear" w:color="auto" w:fill="FFFFFF"/>
        </w:rPr>
        <w:footnoteReference w:id="5"/>
      </w:r>
      <w:r w:rsidRPr="0049743C">
        <w:rPr>
          <w:sz w:val="28"/>
          <w:szCs w:val="28"/>
          <w:shd w:val="clear" w:color="auto" w:fill="FFFFFF"/>
        </w:rPr>
        <w:t>;</w:t>
      </w:r>
    </w:p>
    <w:p w:rsidR="006E013C" w:rsidRPr="0049743C" w:rsidRDefault="006E013C" w:rsidP="00F6462F">
      <w:pPr>
        <w:tabs>
          <w:tab w:val="left" w:pos="1440"/>
        </w:tabs>
        <w:spacing w:after="0" w:line="360" w:lineRule="auto"/>
        <w:ind w:left="1440"/>
        <w:jc w:val="both"/>
        <w:rPr>
          <w:sz w:val="28"/>
          <w:szCs w:val="28"/>
        </w:rPr>
      </w:pPr>
    </w:p>
    <w:p w:rsidR="002B36D8" w:rsidRPr="0049743C" w:rsidRDefault="00020169" w:rsidP="00F6462F">
      <w:pPr>
        <w:numPr>
          <w:ilvl w:val="0"/>
          <w:numId w:val="9"/>
        </w:numPr>
        <w:tabs>
          <w:tab w:val="left" w:pos="1440"/>
        </w:tabs>
        <w:spacing w:after="0" w:line="360" w:lineRule="auto"/>
        <w:ind w:left="1440" w:hanging="720"/>
        <w:jc w:val="both"/>
        <w:rPr>
          <w:sz w:val="28"/>
          <w:szCs w:val="28"/>
        </w:rPr>
      </w:pPr>
      <w:r w:rsidRPr="0049743C">
        <w:rPr>
          <w:sz w:val="28"/>
          <w:szCs w:val="28"/>
          <w:shd w:val="clear" w:color="auto" w:fill="FFFFFF"/>
        </w:rPr>
        <w:t>the abnormality of mind</w:t>
      </w:r>
      <w:r w:rsidR="002B36D8" w:rsidRPr="0049743C">
        <w:rPr>
          <w:sz w:val="28"/>
          <w:szCs w:val="28"/>
          <w:shd w:val="clear" w:color="auto" w:fill="FFFFFF"/>
        </w:rPr>
        <w:t xml:space="preserve"> substantially impaired his or her mental responsibility for the acts or omissions in the killing.</w:t>
      </w:r>
    </w:p>
    <w:p w:rsidR="006E013C" w:rsidRPr="0049743C" w:rsidRDefault="006E013C" w:rsidP="00F6462F">
      <w:pPr>
        <w:tabs>
          <w:tab w:val="left" w:pos="1440"/>
        </w:tabs>
        <w:spacing w:after="0" w:line="360" w:lineRule="auto"/>
        <w:ind w:left="1080"/>
        <w:jc w:val="both"/>
        <w:rPr>
          <w:sz w:val="28"/>
          <w:szCs w:val="28"/>
        </w:rPr>
      </w:pPr>
    </w:p>
    <w:p w:rsidR="001A66F5"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2B36D8" w:rsidRPr="0049743C">
        <w:rPr>
          <w:sz w:val="28"/>
          <w:szCs w:val="28"/>
        </w:rPr>
        <w:t>A</w:t>
      </w:r>
      <w:r w:rsidR="00E22073" w:rsidRPr="0049743C">
        <w:rPr>
          <w:sz w:val="28"/>
          <w:szCs w:val="28"/>
        </w:rPr>
        <w:t xml:space="preserve"> defendant </w:t>
      </w:r>
      <w:r w:rsidR="002B36D8" w:rsidRPr="0049743C">
        <w:rPr>
          <w:sz w:val="28"/>
          <w:szCs w:val="28"/>
        </w:rPr>
        <w:t>who discharge</w:t>
      </w:r>
      <w:r w:rsidR="00A17DEB" w:rsidRPr="0049743C">
        <w:rPr>
          <w:sz w:val="28"/>
          <w:szCs w:val="28"/>
        </w:rPr>
        <w:t>s</w:t>
      </w:r>
      <w:r w:rsidR="002B36D8" w:rsidRPr="0049743C">
        <w:rPr>
          <w:sz w:val="28"/>
          <w:szCs w:val="28"/>
        </w:rPr>
        <w:t xml:space="preserve"> such burden </w:t>
      </w:r>
      <w:r w:rsidR="00E22073" w:rsidRPr="0049743C">
        <w:rPr>
          <w:sz w:val="28"/>
          <w:szCs w:val="28"/>
        </w:rPr>
        <w:t>would be convicted of manslaughter instead</w:t>
      </w:r>
      <w:r w:rsidR="002B36D8" w:rsidRPr="0049743C">
        <w:rPr>
          <w:sz w:val="28"/>
          <w:szCs w:val="28"/>
        </w:rPr>
        <w:t xml:space="preserve"> of murder</w:t>
      </w:r>
      <w:r w:rsidR="00E22073" w:rsidRPr="0049743C">
        <w:rPr>
          <w:sz w:val="28"/>
          <w:szCs w:val="28"/>
        </w:rPr>
        <w:t xml:space="preserve">. </w:t>
      </w:r>
      <w:r w:rsidR="00020169" w:rsidRPr="0049743C">
        <w:rPr>
          <w:sz w:val="28"/>
          <w:szCs w:val="28"/>
        </w:rPr>
        <w:t>I</w:t>
      </w:r>
      <w:r w:rsidR="005C63D6" w:rsidRPr="0049743C">
        <w:rPr>
          <w:sz w:val="28"/>
          <w:szCs w:val="28"/>
        </w:rPr>
        <w:t xml:space="preserve">n </w:t>
      </w:r>
      <w:r w:rsidR="005C63D6" w:rsidRPr="0049743C">
        <w:rPr>
          <w:i/>
          <w:sz w:val="28"/>
          <w:szCs w:val="28"/>
        </w:rPr>
        <w:t>HKSAR v Tsim Sum Kit, Ada</w:t>
      </w:r>
      <w:r w:rsidR="001A66F5" w:rsidRPr="00E31BF4">
        <w:rPr>
          <w:rStyle w:val="FootnoteReference"/>
          <w:sz w:val="28"/>
          <w:szCs w:val="28"/>
        </w:rPr>
        <w:footnoteReference w:id="6"/>
      </w:r>
      <w:r w:rsidR="005C63D6" w:rsidRPr="0049743C">
        <w:rPr>
          <w:i/>
          <w:sz w:val="28"/>
          <w:szCs w:val="28"/>
        </w:rPr>
        <w:t xml:space="preserve"> </w:t>
      </w:r>
      <w:r w:rsidR="00020169" w:rsidRPr="0049743C">
        <w:rPr>
          <w:sz w:val="28"/>
          <w:szCs w:val="28"/>
        </w:rPr>
        <w:t xml:space="preserve">this Court decided </w:t>
      </w:r>
      <w:r w:rsidR="00E22073" w:rsidRPr="0049743C">
        <w:rPr>
          <w:sz w:val="28"/>
          <w:szCs w:val="28"/>
        </w:rPr>
        <w:t xml:space="preserve">that placing </w:t>
      </w:r>
      <w:r w:rsidR="001A66F5" w:rsidRPr="0049743C">
        <w:rPr>
          <w:sz w:val="28"/>
          <w:szCs w:val="28"/>
        </w:rPr>
        <w:t>the</w:t>
      </w:r>
      <w:r w:rsidR="00E22073" w:rsidRPr="0049743C">
        <w:rPr>
          <w:sz w:val="28"/>
          <w:szCs w:val="28"/>
        </w:rPr>
        <w:t xml:space="preserve"> </w:t>
      </w:r>
      <w:r w:rsidR="001A66F5" w:rsidRPr="0049743C">
        <w:rPr>
          <w:sz w:val="28"/>
          <w:szCs w:val="28"/>
        </w:rPr>
        <w:t xml:space="preserve">persuasive </w:t>
      </w:r>
      <w:r w:rsidR="00E22073" w:rsidRPr="0049743C">
        <w:rPr>
          <w:sz w:val="28"/>
          <w:szCs w:val="28"/>
        </w:rPr>
        <w:t xml:space="preserve">burden on </w:t>
      </w:r>
      <w:r w:rsidR="001A66F5" w:rsidRPr="0049743C">
        <w:rPr>
          <w:sz w:val="28"/>
          <w:szCs w:val="28"/>
        </w:rPr>
        <w:t xml:space="preserve">a defendant is consistent </w:t>
      </w:r>
      <w:r w:rsidR="00E22073" w:rsidRPr="0049743C">
        <w:rPr>
          <w:sz w:val="28"/>
          <w:szCs w:val="28"/>
        </w:rPr>
        <w:t>with the</w:t>
      </w:r>
      <w:r w:rsidR="001A66F5" w:rsidRPr="0049743C">
        <w:rPr>
          <w:sz w:val="28"/>
          <w:szCs w:val="28"/>
        </w:rPr>
        <w:t xml:space="preserve"> right to a fair trial a</w:t>
      </w:r>
      <w:r w:rsidR="00414F0F" w:rsidRPr="0049743C">
        <w:rPr>
          <w:sz w:val="28"/>
          <w:szCs w:val="28"/>
        </w:rPr>
        <w:t>nd the presumption of innocence:</w:t>
      </w:r>
    </w:p>
    <w:p w:rsidR="001A66F5" w:rsidRPr="0049743C" w:rsidRDefault="001A66F5" w:rsidP="00CB44D4">
      <w:pPr>
        <w:tabs>
          <w:tab w:val="left" w:pos="1440"/>
        </w:tabs>
        <w:spacing w:before="200" w:after="0" w:line="240" w:lineRule="auto"/>
        <w:ind w:left="720" w:right="360"/>
        <w:jc w:val="both"/>
        <w:rPr>
          <w:szCs w:val="24"/>
          <w:shd w:val="clear" w:color="auto" w:fill="FFFFFF"/>
        </w:rPr>
      </w:pPr>
      <w:r w:rsidRPr="0049743C">
        <w:rPr>
          <w:szCs w:val="24"/>
          <w:shd w:val="clear" w:color="auto" w:fill="FFFFFF"/>
        </w:rPr>
        <w:t>“A defendant who seeks to raise diminished responsibility is </w:t>
      </w:r>
      <w:r w:rsidRPr="0049743C">
        <w:rPr>
          <w:i/>
          <w:iCs/>
          <w:szCs w:val="24"/>
          <w:shd w:val="clear" w:color="auto" w:fill="FFFFFF"/>
        </w:rPr>
        <w:t>ex hypothesi </w:t>
      </w:r>
      <w:r w:rsidRPr="0049743C">
        <w:rPr>
          <w:szCs w:val="24"/>
          <w:shd w:val="clear" w:color="auto" w:fill="FFFFFF"/>
        </w:rPr>
        <w:t xml:space="preserve">liable to be convicted of murder if that defence fails. That is to say, the prosecution will already have done enough to prove the elements of murder beyond reasonable doubt. The defendant is not therefore someone presumed innocent at the point of invoking the partial defence. He or she will already have had the benefit of the presumption of innocence requiring the prosecution to prove </w:t>
      </w:r>
      <w:r w:rsidRPr="0049743C">
        <w:rPr>
          <w:szCs w:val="24"/>
          <w:shd w:val="clear" w:color="auto" w:fill="FFFFFF"/>
        </w:rPr>
        <w:lastRenderedPageBreak/>
        <w:t>the </w:t>
      </w:r>
      <w:r w:rsidRPr="0049743C">
        <w:rPr>
          <w:i/>
          <w:iCs/>
          <w:szCs w:val="24"/>
          <w:shd w:val="clear" w:color="auto" w:fill="FFFFFF"/>
        </w:rPr>
        <w:t>actus reus </w:t>
      </w:r>
      <w:r w:rsidRPr="0049743C">
        <w:rPr>
          <w:szCs w:val="24"/>
          <w:shd w:val="clear" w:color="auto" w:fill="FFFFFF"/>
        </w:rPr>
        <w:t>and </w:t>
      </w:r>
      <w:r w:rsidRPr="0049743C">
        <w:rPr>
          <w:i/>
          <w:iCs/>
          <w:szCs w:val="24"/>
          <w:shd w:val="clear" w:color="auto" w:fill="FFFFFF"/>
        </w:rPr>
        <w:t>mens rea </w:t>
      </w:r>
      <w:r w:rsidRPr="0049743C">
        <w:rPr>
          <w:szCs w:val="24"/>
          <w:shd w:val="clear" w:color="auto" w:fill="FFFFFF"/>
        </w:rPr>
        <w:t>of murder before seeking to establish the elements of the diminished responsibility defence.”</w:t>
      </w:r>
      <w:r w:rsidRPr="0049743C">
        <w:rPr>
          <w:rStyle w:val="FootnoteReference"/>
          <w:szCs w:val="24"/>
          <w:shd w:val="clear" w:color="auto" w:fill="FFFFFF"/>
        </w:rPr>
        <w:footnoteReference w:id="7"/>
      </w:r>
    </w:p>
    <w:p w:rsidR="00414F0F" w:rsidRPr="0049743C" w:rsidRDefault="00414F0F" w:rsidP="00414F0F">
      <w:pPr>
        <w:tabs>
          <w:tab w:val="left" w:pos="1440"/>
        </w:tabs>
        <w:spacing w:after="0" w:line="360" w:lineRule="auto"/>
        <w:ind w:right="-86"/>
        <w:jc w:val="both"/>
        <w:rPr>
          <w:szCs w:val="24"/>
        </w:rPr>
      </w:pPr>
    </w:p>
    <w:p w:rsidR="002E3AA5"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7C5A6B" w:rsidRPr="0049743C">
        <w:rPr>
          <w:sz w:val="28"/>
          <w:szCs w:val="28"/>
        </w:rPr>
        <w:t xml:space="preserve">The </w:t>
      </w:r>
      <w:r w:rsidR="002B6EE1" w:rsidRPr="0049743C">
        <w:rPr>
          <w:sz w:val="28"/>
          <w:szCs w:val="28"/>
        </w:rPr>
        <w:t>Appellant</w:t>
      </w:r>
      <w:r w:rsidR="007C5A6B" w:rsidRPr="0049743C">
        <w:rPr>
          <w:sz w:val="28"/>
          <w:szCs w:val="28"/>
        </w:rPr>
        <w:t xml:space="preserve"> was tried before Madam Justice Toh (“the Judge”) with a jury. </w:t>
      </w:r>
      <w:r w:rsidR="001A66F5" w:rsidRPr="0049743C">
        <w:rPr>
          <w:sz w:val="28"/>
          <w:szCs w:val="28"/>
        </w:rPr>
        <w:t xml:space="preserve">At the trial, </w:t>
      </w:r>
      <w:r w:rsidR="00301524" w:rsidRPr="0049743C">
        <w:rPr>
          <w:sz w:val="28"/>
          <w:szCs w:val="28"/>
        </w:rPr>
        <w:t>t</w:t>
      </w:r>
      <w:r w:rsidR="00376044" w:rsidRPr="0049743C">
        <w:rPr>
          <w:sz w:val="28"/>
          <w:szCs w:val="28"/>
        </w:rPr>
        <w:t xml:space="preserve">he </w:t>
      </w:r>
      <w:r w:rsidR="00BF7991" w:rsidRPr="0049743C">
        <w:rPr>
          <w:sz w:val="28"/>
          <w:szCs w:val="28"/>
        </w:rPr>
        <w:t xml:space="preserve">main </w:t>
      </w:r>
      <w:r w:rsidR="00020169" w:rsidRPr="0049743C">
        <w:rPr>
          <w:sz w:val="28"/>
          <w:szCs w:val="28"/>
        </w:rPr>
        <w:t>issue</w:t>
      </w:r>
      <w:r w:rsidR="00376044" w:rsidRPr="0049743C">
        <w:rPr>
          <w:sz w:val="28"/>
          <w:szCs w:val="28"/>
        </w:rPr>
        <w:t xml:space="preserve"> between the defence and the prosecution </w:t>
      </w:r>
      <w:r w:rsidR="00301524" w:rsidRPr="0049743C">
        <w:rPr>
          <w:sz w:val="28"/>
          <w:szCs w:val="28"/>
        </w:rPr>
        <w:t>was</w:t>
      </w:r>
      <w:r w:rsidR="00376044" w:rsidRPr="0049743C">
        <w:rPr>
          <w:sz w:val="28"/>
          <w:szCs w:val="28"/>
        </w:rPr>
        <w:t xml:space="preserve"> whether </w:t>
      </w:r>
      <w:r w:rsidR="009F3944" w:rsidRPr="0049743C">
        <w:rPr>
          <w:sz w:val="28"/>
          <w:szCs w:val="28"/>
        </w:rPr>
        <w:t xml:space="preserve">at the time of killing </w:t>
      </w:r>
      <w:r w:rsidR="00376044" w:rsidRPr="0049743C">
        <w:rPr>
          <w:sz w:val="28"/>
          <w:szCs w:val="28"/>
        </w:rPr>
        <w:t xml:space="preserve">the </w:t>
      </w:r>
      <w:r w:rsidR="00020169" w:rsidRPr="0049743C">
        <w:rPr>
          <w:sz w:val="28"/>
          <w:szCs w:val="28"/>
        </w:rPr>
        <w:t>A</w:t>
      </w:r>
      <w:r w:rsidR="002B6EE1" w:rsidRPr="0049743C">
        <w:rPr>
          <w:sz w:val="28"/>
          <w:szCs w:val="28"/>
        </w:rPr>
        <w:t>ppellant</w:t>
      </w:r>
      <w:r w:rsidR="00376044" w:rsidRPr="0049743C">
        <w:rPr>
          <w:sz w:val="28"/>
          <w:szCs w:val="28"/>
        </w:rPr>
        <w:t xml:space="preserve"> was suffering from </w:t>
      </w:r>
      <w:r w:rsidR="002E3AA5" w:rsidRPr="0049743C">
        <w:rPr>
          <w:sz w:val="28"/>
          <w:szCs w:val="28"/>
        </w:rPr>
        <w:t>stimulant</w:t>
      </w:r>
      <w:r w:rsidR="00376044" w:rsidRPr="0049743C">
        <w:rPr>
          <w:sz w:val="28"/>
          <w:szCs w:val="28"/>
        </w:rPr>
        <w:t xml:space="preserve"> psychosis</w:t>
      </w:r>
      <w:r w:rsidR="002E3AA5" w:rsidRPr="0049743C">
        <w:rPr>
          <w:sz w:val="28"/>
          <w:szCs w:val="28"/>
        </w:rPr>
        <w:t xml:space="preserve"> caused by consumption of drugs</w:t>
      </w:r>
      <w:r w:rsidR="00376044" w:rsidRPr="0049743C">
        <w:rPr>
          <w:sz w:val="28"/>
          <w:szCs w:val="28"/>
        </w:rPr>
        <w:t xml:space="preserve"> (which is an a</w:t>
      </w:r>
      <w:r w:rsidR="00301524" w:rsidRPr="0049743C">
        <w:rPr>
          <w:sz w:val="28"/>
          <w:szCs w:val="28"/>
        </w:rPr>
        <w:t>b</w:t>
      </w:r>
      <w:r w:rsidR="00376044" w:rsidRPr="0049743C">
        <w:rPr>
          <w:sz w:val="28"/>
          <w:szCs w:val="28"/>
        </w:rPr>
        <w:t>normality of mind</w:t>
      </w:r>
      <w:r w:rsidR="001A66F5" w:rsidRPr="0049743C">
        <w:rPr>
          <w:sz w:val="28"/>
          <w:szCs w:val="28"/>
        </w:rPr>
        <w:t xml:space="preserve"> within </w:t>
      </w:r>
      <w:r w:rsidR="0050094C" w:rsidRPr="0050094C">
        <w:rPr>
          <w:rFonts w:eastAsia="PMingLiU"/>
          <w:sz w:val="28"/>
          <w:szCs w:val="28"/>
          <w:lang w:eastAsia="zh-TW"/>
        </w:rPr>
        <w:t>S</w:t>
      </w:r>
      <w:r w:rsidR="001A66F5" w:rsidRPr="0049743C">
        <w:rPr>
          <w:sz w:val="28"/>
          <w:szCs w:val="28"/>
        </w:rPr>
        <w:t>ection 3(1)</w:t>
      </w:r>
      <w:r w:rsidR="002539D1" w:rsidRPr="0049743C">
        <w:rPr>
          <w:sz w:val="28"/>
          <w:szCs w:val="28"/>
        </w:rPr>
        <w:t xml:space="preserve"> of the HO</w:t>
      </w:r>
      <w:r w:rsidR="00376044" w:rsidRPr="0049743C">
        <w:rPr>
          <w:sz w:val="28"/>
          <w:szCs w:val="28"/>
        </w:rPr>
        <w:t>) as opposed to drug intoxication (which is not an abnormality of mind</w:t>
      </w:r>
      <w:r w:rsidR="00020169" w:rsidRPr="0049743C">
        <w:rPr>
          <w:sz w:val="28"/>
          <w:szCs w:val="28"/>
        </w:rPr>
        <w:t xml:space="preserve"> under the </w:t>
      </w:r>
      <w:r w:rsidR="0050094C">
        <w:rPr>
          <w:sz w:val="28"/>
          <w:szCs w:val="28"/>
        </w:rPr>
        <w:t>S</w:t>
      </w:r>
      <w:r w:rsidR="00020169" w:rsidRPr="0049743C">
        <w:rPr>
          <w:sz w:val="28"/>
          <w:szCs w:val="28"/>
        </w:rPr>
        <w:t>ection</w:t>
      </w:r>
      <w:r w:rsidR="00376044" w:rsidRPr="0049743C">
        <w:rPr>
          <w:sz w:val="28"/>
          <w:szCs w:val="28"/>
        </w:rPr>
        <w:t>)</w:t>
      </w:r>
      <w:r w:rsidR="0050094C">
        <w:rPr>
          <w:rStyle w:val="FootnoteReference"/>
          <w:sz w:val="28"/>
          <w:szCs w:val="28"/>
        </w:rPr>
        <w:footnoteReference w:id="8"/>
      </w:r>
      <w:r w:rsidR="00376044" w:rsidRPr="0049743C">
        <w:rPr>
          <w:sz w:val="28"/>
          <w:szCs w:val="28"/>
        </w:rPr>
        <w:t xml:space="preserve">. </w:t>
      </w:r>
      <w:r w:rsidR="0016632F" w:rsidRPr="0049743C">
        <w:rPr>
          <w:sz w:val="28"/>
          <w:szCs w:val="28"/>
        </w:rPr>
        <w:t>Psychiatric expert evidence was adduced to assist the jury on the issue of diminished responsibility. T</w:t>
      </w:r>
      <w:r w:rsidR="00301524" w:rsidRPr="0049743C">
        <w:rPr>
          <w:sz w:val="28"/>
          <w:szCs w:val="28"/>
        </w:rPr>
        <w:t xml:space="preserve">he </w:t>
      </w:r>
      <w:r w:rsidR="00020169" w:rsidRPr="0049743C">
        <w:rPr>
          <w:sz w:val="28"/>
          <w:szCs w:val="28"/>
        </w:rPr>
        <w:t>A</w:t>
      </w:r>
      <w:r w:rsidR="002B6EE1" w:rsidRPr="0049743C">
        <w:rPr>
          <w:sz w:val="28"/>
          <w:szCs w:val="28"/>
        </w:rPr>
        <w:t>ppellant</w:t>
      </w:r>
      <w:r w:rsidR="0016632F" w:rsidRPr="0049743C">
        <w:rPr>
          <w:sz w:val="28"/>
          <w:szCs w:val="28"/>
        </w:rPr>
        <w:t xml:space="preserve"> r</w:t>
      </w:r>
      <w:r w:rsidR="00301524" w:rsidRPr="0049743C">
        <w:rPr>
          <w:sz w:val="28"/>
          <w:szCs w:val="28"/>
        </w:rPr>
        <w:t>elied on the evidence</w:t>
      </w:r>
      <w:r w:rsidR="0016632F" w:rsidRPr="0049743C">
        <w:rPr>
          <w:sz w:val="28"/>
          <w:szCs w:val="28"/>
        </w:rPr>
        <w:t xml:space="preserve"> of Dr Choi who interviewed the </w:t>
      </w:r>
      <w:r w:rsidR="002B6EE1" w:rsidRPr="0049743C">
        <w:rPr>
          <w:sz w:val="28"/>
          <w:szCs w:val="28"/>
        </w:rPr>
        <w:t>Appellant</w:t>
      </w:r>
      <w:r w:rsidR="00241020" w:rsidRPr="0049743C">
        <w:rPr>
          <w:sz w:val="28"/>
          <w:szCs w:val="28"/>
        </w:rPr>
        <w:t xml:space="preserve"> </w:t>
      </w:r>
      <w:r w:rsidR="00084277" w:rsidRPr="0049743C">
        <w:rPr>
          <w:sz w:val="28"/>
          <w:szCs w:val="28"/>
        </w:rPr>
        <w:t xml:space="preserve">in April 2017 </w:t>
      </w:r>
      <w:r w:rsidR="00241020" w:rsidRPr="0049743C">
        <w:rPr>
          <w:sz w:val="28"/>
          <w:szCs w:val="28"/>
        </w:rPr>
        <w:t>about 18 months after the killing</w:t>
      </w:r>
      <w:r w:rsidR="0016632F" w:rsidRPr="0049743C">
        <w:rPr>
          <w:sz w:val="28"/>
          <w:szCs w:val="28"/>
        </w:rPr>
        <w:t xml:space="preserve">. </w:t>
      </w:r>
      <w:r w:rsidR="00806D29" w:rsidRPr="0049743C">
        <w:rPr>
          <w:sz w:val="28"/>
          <w:szCs w:val="28"/>
        </w:rPr>
        <w:t xml:space="preserve">The </w:t>
      </w:r>
      <w:r w:rsidR="002B6EE1" w:rsidRPr="0049743C">
        <w:rPr>
          <w:sz w:val="28"/>
          <w:szCs w:val="28"/>
        </w:rPr>
        <w:t>Appellant</w:t>
      </w:r>
      <w:r w:rsidR="00806D29" w:rsidRPr="0049743C">
        <w:rPr>
          <w:sz w:val="28"/>
          <w:szCs w:val="28"/>
        </w:rPr>
        <w:t xml:space="preserve"> told Dr Choi that he had been experiencing delusions and hallucinations since around early July or August 2015. </w:t>
      </w:r>
      <w:r w:rsidR="002E3AA5" w:rsidRPr="0049743C">
        <w:rPr>
          <w:sz w:val="28"/>
          <w:szCs w:val="28"/>
        </w:rPr>
        <w:t>Dr Choi opin</w:t>
      </w:r>
      <w:r w:rsidR="00241020" w:rsidRPr="0049743C">
        <w:rPr>
          <w:sz w:val="28"/>
          <w:szCs w:val="28"/>
        </w:rPr>
        <w:t>ed</w:t>
      </w:r>
      <w:r w:rsidR="002E3AA5" w:rsidRPr="0049743C">
        <w:rPr>
          <w:sz w:val="28"/>
          <w:szCs w:val="28"/>
        </w:rPr>
        <w:t xml:space="preserve"> that the </w:t>
      </w:r>
      <w:r w:rsidR="002B6EE1" w:rsidRPr="0049743C">
        <w:rPr>
          <w:sz w:val="28"/>
          <w:szCs w:val="28"/>
        </w:rPr>
        <w:t>Appellant</w:t>
      </w:r>
      <w:r w:rsidR="002E3AA5" w:rsidRPr="0049743C">
        <w:rPr>
          <w:sz w:val="28"/>
          <w:szCs w:val="28"/>
        </w:rPr>
        <w:t xml:space="preserve"> suffered from </w:t>
      </w:r>
      <w:r w:rsidR="00C13FE9" w:rsidRPr="0049743C">
        <w:rPr>
          <w:sz w:val="28"/>
          <w:szCs w:val="28"/>
        </w:rPr>
        <w:t>stimulant psychosis.</w:t>
      </w:r>
    </w:p>
    <w:p w:rsidR="00414F0F" w:rsidRPr="0049743C" w:rsidRDefault="00414F0F" w:rsidP="00F6462F">
      <w:pPr>
        <w:tabs>
          <w:tab w:val="left" w:pos="1440"/>
        </w:tabs>
        <w:spacing w:after="0" w:line="360" w:lineRule="auto"/>
        <w:jc w:val="both"/>
        <w:rPr>
          <w:sz w:val="28"/>
          <w:szCs w:val="28"/>
        </w:rPr>
      </w:pPr>
    </w:p>
    <w:p w:rsidR="00327772"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9F3944" w:rsidRPr="0049743C">
        <w:rPr>
          <w:sz w:val="28"/>
          <w:szCs w:val="28"/>
        </w:rPr>
        <w:t>The defence</w:t>
      </w:r>
      <w:r w:rsidR="0016632F" w:rsidRPr="0049743C">
        <w:rPr>
          <w:sz w:val="28"/>
          <w:szCs w:val="28"/>
        </w:rPr>
        <w:t xml:space="preserve"> also called evidence from Professor Tang who had not interviewed </w:t>
      </w:r>
      <w:r w:rsidR="009F3944" w:rsidRPr="0049743C">
        <w:rPr>
          <w:sz w:val="28"/>
          <w:szCs w:val="28"/>
        </w:rPr>
        <w:t xml:space="preserve">the </w:t>
      </w:r>
      <w:r w:rsidR="002B6EE1" w:rsidRPr="0049743C">
        <w:rPr>
          <w:sz w:val="28"/>
          <w:szCs w:val="28"/>
        </w:rPr>
        <w:t>Appellant</w:t>
      </w:r>
      <w:r w:rsidR="002539D1" w:rsidRPr="0049743C">
        <w:rPr>
          <w:sz w:val="28"/>
          <w:szCs w:val="28"/>
        </w:rPr>
        <w:t>.</w:t>
      </w:r>
      <w:r w:rsidR="00327772" w:rsidRPr="0049743C">
        <w:rPr>
          <w:sz w:val="28"/>
          <w:szCs w:val="28"/>
        </w:rPr>
        <w:t xml:space="preserve"> </w:t>
      </w:r>
      <w:r w:rsidR="002539D1" w:rsidRPr="0049743C">
        <w:rPr>
          <w:sz w:val="28"/>
          <w:szCs w:val="28"/>
        </w:rPr>
        <w:t>Professor Tang</w:t>
      </w:r>
      <w:r w:rsidR="00327772" w:rsidRPr="0049743C">
        <w:rPr>
          <w:sz w:val="28"/>
          <w:szCs w:val="28"/>
        </w:rPr>
        <w:t xml:space="preserve"> acknowledged that he could not form an opinion on whether the </w:t>
      </w:r>
      <w:r w:rsidR="002B6EE1" w:rsidRPr="0049743C">
        <w:rPr>
          <w:sz w:val="28"/>
          <w:szCs w:val="28"/>
        </w:rPr>
        <w:t>Appellant</w:t>
      </w:r>
      <w:r w:rsidR="00327772" w:rsidRPr="0049743C">
        <w:rPr>
          <w:sz w:val="28"/>
          <w:szCs w:val="28"/>
        </w:rPr>
        <w:t xml:space="preserve"> had psychotic symptoms or psychosis at the time of the killing</w:t>
      </w:r>
      <w:r w:rsidR="0016632F" w:rsidRPr="0049743C">
        <w:rPr>
          <w:sz w:val="28"/>
          <w:szCs w:val="28"/>
        </w:rPr>
        <w:t>.</w:t>
      </w:r>
      <w:r w:rsidR="00327772" w:rsidRPr="0049743C">
        <w:rPr>
          <w:sz w:val="28"/>
          <w:szCs w:val="28"/>
        </w:rPr>
        <w:t xml:space="preserve"> The main thrust of his evidence was the </w:t>
      </w:r>
      <w:r w:rsidR="002E3AA5" w:rsidRPr="0049743C">
        <w:rPr>
          <w:sz w:val="28"/>
          <w:szCs w:val="28"/>
        </w:rPr>
        <w:t>unlikelihood</w:t>
      </w:r>
      <w:r w:rsidR="00327772" w:rsidRPr="0049743C">
        <w:rPr>
          <w:sz w:val="28"/>
          <w:szCs w:val="28"/>
        </w:rPr>
        <w:t xml:space="preserve"> of drug-</w:t>
      </w:r>
      <w:r w:rsidR="002539D1" w:rsidRPr="0049743C">
        <w:rPr>
          <w:sz w:val="28"/>
          <w:szCs w:val="28"/>
        </w:rPr>
        <w:t>in</w:t>
      </w:r>
      <w:r w:rsidR="00327772" w:rsidRPr="0049743C">
        <w:rPr>
          <w:sz w:val="28"/>
          <w:szCs w:val="28"/>
        </w:rPr>
        <w:t>duced intoxication symptoms</w:t>
      </w:r>
      <w:r w:rsidR="002539D1" w:rsidRPr="0049743C">
        <w:rPr>
          <w:sz w:val="28"/>
          <w:szCs w:val="28"/>
        </w:rPr>
        <w:t xml:space="preserve"> </w:t>
      </w:r>
      <w:r w:rsidR="00327772" w:rsidRPr="0049743C">
        <w:rPr>
          <w:sz w:val="28"/>
          <w:szCs w:val="28"/>
        </w:rPr>
        <w:t>last</w:t>
      </w:r>
      <w:r w:rsidR="000C6A48">
        <w:rPr>
          <w:sz w:val="28"/>
          <w:szCs w:val="28"/>
        </w:rPr>
        <w:t>ing</w:t>
      </w:r>
      <w:r w:rsidR="00327772" w:rsidRPr="0049743C">
        <w:rPr>
          <w:sz w:val="28"/>
          <w:szCs w:val="28"/>
        </w:rPr>
        <w:t xml:space="preserve"> for two or three days</w:t>
      </w:r>
      <w:r w:rsidR="002E3AA5" w:rsidRPr="0049743C">
        <w:rPr>
          <w:sz w:val="28"/>
          <w:szCs w:val="28"/>
        </w:rPr>
        <w:t xml:space="preserve"> and the possibility of psychosis being resolved within a </w:t>
      </w:r>
      <w:r w:rsidR="002539D1" w:rsidRPr="0049743C">
        <w:rPr>
          <w:sz w:val="28"/>
          <w:szCs w:val="28"/>
        </w:rPr>
        <w:t xml:space="preserve">short duration </w:t>
      </w:r>
      <w:r w:rsidR="002E3AA5" w:rsidRPr="0049743C">
        <w:rPr>
          <w:sz w:val="28"/>
          <w:szCs w:val="28"/>
        </w:rPr>
        <w:t xml:space="preserve">and thus </w:t>
      </w:r>
      <w:r w:rsidR="000C6A48">
        <w:rPr>
          <w:sz w:val="28"/>
          <w:szCs w:val="28"/>
        </w:rPr>
        <w:t xml:space="preserve">being </w:t>
      </w:r>
      <w:r w:rsidR="002E3AA5" w:rsidRPr="0049743C">
        <w:rPr>
          <w:sz w:val="28"/>
          <w:szCs w:val="28"/>
        </w:rPr>
        <w:t>undetected by treating doctors</w:t>
      </w:r>
      <w:r w:rsidR="00327772" w:rsidRPr="0049743C">
        <w:rPr>
          <w:sz w:val="28"/>
          <w:szCs w:val="28"/>
        </w:rPr>
        <w:t xml:space="preserve">. </w:t>
      </w:r>
      <w:r w:rsidR="0016632F" w:rsidRPr="0049743C">
        <w:rPr>
          <w:sz w:val="28"/>
          <w:szCs w:val="28"/>
        </w:rPr>
        <w:t xml:space="preserve"> </w:t>
      </w:r>
    </w:p>
    <w:p w:rsidR="00414F0F" w:rsidRPr="0049743C" w:rsidRDefault="00414F0F" w:rsidP="00F6462F">
      <w:pPr>
        <w:tabs>
          <w:tab w:val="left" w:pos="1440"/>
        </w:tabs>
        <w:spacing w:after="0" w:line="360" w:lineRule="auto"/>
        <w:jc w:val="both"/>
        <w:rPr>
          <w:sz w:val="28"/>
          <w:szCs w:val="28"/>
        </w:rPr>
      </w:pPr>
    </w:p>
    <w:p w:rsidR="0005539F"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lastRenderedPageBreak/>
        <w:tab/>
      </w:r>
      <w:r w:rsidR="0016632F" w:rsidRPr="0049743C">
        <w:rPr>
          <w:sz w:val="28"/>
          <w:szCs w:val="28"/>
        </w:rPr>
        <w:t xml:space="preserve">On the prosecution side, evidence was </w:t>
      </w:r>
      <w:r w:rsidR="00806D29" w:rsidRPr="0049743C">
        <w:rPr>
          <w:sz w:val="28"/>
          <w:szCs w:val="28"/>
        </w:rPr>
        <w:t>adduced from</w:t>
      </w:r>
      <w:r w:rsidR="0016632F" w:rsidRPr="0049743C">
        <w:rPr>
          <w:sz w:val="28"/>
          <w:szCs w:val="28"/>
        </w:rPr>
        <w:t xml:space="preserve"> Dr Tang</w:t>
      </w:r>
      <w:r w:rsidR="00806D29" w:rsidRPr="0049743C">
        <w:rPr>
          <w:sz w:val="28"/>
          <w:szCs w:val="28"/>
        </w:rPr>
        <w:t>. She was</w:t>
      </w:r>
      <w:r w:rsidR="0016632F" w:rsidRPr="0049743C">
        <w:rPr>
          <w:sz w:val="28"/>
          <w:szCs w:val="28"/>
        </w:rPr>
        <w:t xml:space="preserve"> the psychiatrist who</w:t>
      </w:r>
      <w:r w:rsidR="00F81E5E" w:rsidRPr="0049743C">
        <w:rPr>
          <w:sz w:val="28"/>
          <w:szCs w:val="28"/>
        </w:rPr>
        <w:t xml:space="preserve"> </w:t>
      </w:r>
      <w:r w:rsidR="00806D29" w:rsidRPr="0049743C">
        <w:rPr>
          <w:sz w:val="28"/>
          <w:szCs w:val="28"/>
        </w:rPr>
        <w:t xml:space="preserve">attended </w:t>
      </w:r>
      <w:r w:rsidR="00F81E5E" w:rsidRPr="0049743C">
        <w:rPr>
          <w:sz w:val="28"/>
          <w:szCs w:val="28"/>
        </w:rPr>
        <w:t xml:space="preserve">the </w:t>
      </w:r>
      <w:r w:rsidR="002B6EE1" w:rsidRPr="0049743C">
        <w:rPr>
          <w:sz w:val="28"/>
          <w:szCs w:val="28"/>
        </w:rPr>
        <w:t>Appellant</w:t>
      </w:r>
      <w:r w:rsidR="00F81E5E" w:rsidRPr="0049743C">
        <w:rPr>
          <w:sz w:val="28"/>
          <w:szCs w:val="28"/>
        </w:rPr>
        <w:t xml:space="preserve"> </w:t>
      </w:r>
      <w:r w:rsidR="00806D29" w:rsidRPr="0049743C">
        <w:rPr>
          <w:sz w:val="28"/>
          <w:szCs w:val="28"/>
        </w:rPr>
        <w:t xml:space="preserve">and gave him treatment </w:t>
      </w:r>
      <w:r w:rsidR="00F81E5E" w:rsidRPr="0049743C">
        <w:rPr>
          <w:sz w:val="28"/>
          <w:szCs w:val="28"/>
        </w:rPr>
        <w:t>when he was detained in Siu Lam Psychiatric Centre</w:t>
      </w:r>
      <w:r w:rsidR="00806D29" w:rsidRPr="0049743C">
        <w:rPr>
          <w:sz w:val="28"/>
          <w:szCs w:val="28"/>
        </w:rPr>
        <w:t xml:space="preserve"> (“SLPC”)</w:t>
      </w:r>
      <w:r w:rsidR="00F81E5E" w:rsidRPr="0049743C">
        <w:rPr>
          <w:sz w:val="28"/>
          <w:szCs w:val="28"/>
        </w:rPr>
        <w:t xml:space="preserve"> from October 2015 to March 2016. </w:t>
      </w:r>
      <w:r w:rsidR="00C13FE9" w:rsidRPr="0049743C">
        <w:rPr>
          <w:sz w:val="28"/>
          <w:szCs w:val="28"/>
        </w:rPr>
        <w:t xml:space="preserve">She did not prescribe any anti-psychotic medication to the </w:t>
      </w:r>
      <w:r w:rsidR="002B6EE1" w:rsidRPr="0049743C">
        <w:rPr>
          <w:sz w:val="28"/>
          <w:szCs w:val="28"/>
        </w:rPr>
        <w:t>Appellant</w:t>
      </w:r>
      <w:r w:rsidR="00C13FE9" w:rsidRPr="0049743C">
        <w:rPr>
          <w:sz w:val="28"/>
          <w:szCs w:val="28"/>
        </w:rPr>
        <w:t xml:space="preserve">. </w:t>
      </w:r>
      <w:r w:rsidR="00414F0F" w:rsidRPr="0049743C">
        <w:rPr>
          <w:sz w:val="28"/>
          <w:szCs w:val="28"/>
        </w:rPr>
        <w:t>Her report stated:</w:t>
      </w:r>
    </w:p>
    <w:p w:rsidR="0005539F" w:rsidRPr="0049743C" w:rsidRDefault="0005539F" w:rsidP="00CB44D4">
      <w:pPr>
        <w:tabs>
          <w:tab w:val="left" w:pos="1440"/>
        </w:tabs>
        <w:spacing w:before="200" w:after="0" w:line="240" w:lineRule="auto"/>
        <w:ind w:left="720" w:right="360"/>
        <w:jc w:val="both"/>
        <w:rPr>
          <w:szCs w:val="24"/>
        </w:rPr>
      </w:pPr>
      <w:r w:rsidRPr="0049743C">
        <w:rPr>
          <w:szCs w:val="24"/>
        </w:rPr>
        <w:t xml:space="preserve">“[The </w:t>
      </w:r>
      <w:r w:rsidR="002B6EE1" w:rsidRPr="0049743C">
        <w:rPr>
          <w:szCs w:val="24"/>
        </w:rPr>
        <w:t>Appellant</w:t>
      </w:r>
      <w:r w:rsidRPr="0049743C">
        <w:rPr>
          <w:szCs w:val="24"/>
        </w:rPr>
        <w:t>] is impressed to suffer from methamphetamine intoxication, and possibly adjustment problem precipitated by the psychosocial stressor of debt; at the time of the index offence. He reported that he voluntarily took methamphetamine 2 days prior to the index offence, and the urine toxicology report on 24</w:t>
      </w:r>
      <w:r w:rsidRPr="0049743C">
        <w:rPr>
          <w:szCs w:val="24"/>
          <w:vertAlign w:val="superscript"/>
        </w:rPr>
        <w:t>th</w:t>
      </w:r>
      <w:r w:rsidRPr="0049743C">
        <w:rPr>
          <w:szCs w:val="24"/>
        </w:rPr>
        <w:t xml:space="preserve"> October 2015 revealed positive finding of the drug. He stated that there was poor sleep after using methamphetamine, and he expressed suspiciousness and appeared worrisome towards the creditor Mr Hui and his 2 sons, but the paranoid idea was not impressed to be up to delusional level. No definite psychotic symptom such as hallucination, passivity or thought alienation was reported. During the stay at SLPC from 30</w:t>
      </w:r>
      <w:r w:rsidRPr="0049743C">
        <w:rPr>
          <w:szCs w:val="24"/>
          <w:vertAlign w:val="superscript"/>
        </w:rPr>
        <w:t>th</w:t>
      </w:r>
      <w:r w:rsidRPr="0049743C">
        <w:rPr>
          <w:szCs w:val="24"/>
        </w:rPr>
        <w:t xml:space="preserve"> October 2015 to 2</w:t>
      </w:r>
      <w:r w:rsidRPr="0049743C">
        <w:rPr>
          <w:szCs w:val="24"/>
          <w:vertAlign w:val="superscript"/>
        </w:rPr>
        <w:t>nd</w:t>
      </w:r>
      <w:r w:rsidRPr="0049743C">
        <w:rPr>
          <w:szCs w:val="24"/>
        </w:rPr>
        <w:t xml:space="preserve"> April 2016, he denied any abnormal perception or belief.”</w:t>
      </w:r>
      <w:r w:rsidR="000C6A48">
        <w:rPr>
          <w:rStyle w:val="FootnoteReference"/>
          <w:szCs w:val="24"/>
        </w:rPr>
        <w:footnoteReference w:id="9"/>
      </w:r>
    </w:p>
    <w:p w:rsidR="00414F0F" w:rsidRPr="0049743C" w:rsidRDefault="00414F0F" w:rsidP="00CB44D4">
      <w:pPr>
        <w:tabs>
          <w:tab w:val="left" w:pos="1440"/>
        </w:tabs>
        <w:spacing w:after="0" w:line="360" w:lineRule="auto"/>
        <w:ind w:right="-86"/>
        <w:jc w:val="both"/>
        <w:rPr>
          <w:sz w:val="28"/>
          <w:szCs w:val="28"/>
        </w:rPr>
      </w:pPr>
    </w:p>
    <w:p w:rsidR="002729FD"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806D29" w:rsidRPr="0049743C">
        <w:rPr>
          <w:sz w:val="28"/>
          <w:szCs w:val="28"/>
        </w:rPr>
        <w:t xml:space="preserve">Another psychiatrist </w:t>
      </w:r>
      <w:r w:rsidR="000C6A48">
        <w:rPr>
          <w:sz w:val="28"/>
          <w:szCs w:val="28"/>
        </w:rPr>
        <w:t xml:space="preserve">performing visiting duties at </w:t>
      </w:r>
      <w:r w:rsidR="00806D29" w:rsidRPr="0049743C">
        <w:rPr>
          <w:sz w:val="28"/>
          <w:szCs w:val="28"/>
        </w:rPr>
        <w:t>S</w:t>
      </w:r>
      <w:r w:rsidR="00F81E5E" w:rsidRPr="0049743C">
        <w:rPr>
          <w:sz w:val="28"/>
          <w:szCs w:val="28"/>
        </w:rPr>
        <w:t>L</w:t>
      </w:r>
      <w:r w:rsidR="00806D29" w:rsidRPr="0049743C">
        <w:rPr>
          <w:sz w:val="28"/>
          <w:szCs w:val="28"/>
        </w:rPr>
        <w:t>PC</w:t>
      </w:r>
      <w:r w:rsidR="00F81E5E" w:rsidRPr="0049743C">
        <w:rPr>
          <w:sz w:val="28"/>
          <w:szCs w:val="28"/>
        </w:rPr>
        <w:t>, Dr Lui</w:t>
      </w:r>
      <w:r w:rsidR="00656E43" w:rsidRPr="0049743C">
        <w:rPr>
          <w:sz w:val="28"/>
          <w:szCs w:val="28"/>
        </w:rPr>
        <w:t>,</w:t>
      </w:r>
      <w:r w:rsidR="00F81E5E" w:rsidRPr="0049743C">
        <w:rPr>
          <w:sz w:val="28"/>
          <w:szCs w:val="28"/>
        </w:rPr>
        <w:t xml:space="preserve"> also testified. </w:t>
      </w:r>
      <w:r w:rsidR="00327772" w:rsidRPr="0049743C">
        <w:rPr>
          <w:sz w:val="28"/>
          <w:szCs w:val="28"/>
        </w:rPr>
        <w:t xml:space="preserve">There was </w:t>
      </w:r>
      <w:r w:rsidR="00C13FE9" w:rsidRPr="0049743C">
        <w:rPr>
          <w:sz w:val="28"/>
          <w:szCs w:val="28"/>
        </w:rPr>
        <w:t xml:space="preserve">also evidence from a </w:t>
      </w:r>
      <w:r w:rsidR="000C6A48">
        <w:rPr>
          <w:sz w:val="28"/>
          <w:szCs w:val="28"/>
        </w:rPr>
        <w:t xml:space="preserve">medical officer </w:t>
      </w:r>
      <w:r w:rsidR="00C13FE9" w:rsidRPr="0049743C">
        <w:rPr>
          <w:sz w:val="28"/>
          <w:szCs w:val="28"/>
        </w:rPr>
        <w:t xml:space="preserve">at the North District Hospital about the condition and diagnosis of the </w:t>
      </w:r>
      <w:r w:rsidR="002B6EE1" w:rsidRPr="0049743C">
        <w:rPr>
          <w:sz w:val="28"/>
          <w:szCs w:val="28"/>
        </w:rPr>
        <w:t>Appellant</w:t>
      </w:r>
      <w:r w:rsidR="00C13FE9" w:rsidRPr="0049743C">
        <w:rPr>
          <w:sz w:val="28"/>
          <w:szCs w:val="28"/>
        </w:rPr>
        <w:t xml:space="preserve"> when he was admitted on 23 October 2015 shortly after the killing.</w:t>
      </w:r>
      <w:r w:rsidR="00F81E5E" w:rsidRPr="0049743C">
        <w:rPr>
          <w:sz w:val="28"/>
          <w:szCs w:val="28"/>
        </w:rPr>
        <w:t xml:space="preserve"> </w:t>
      </w:r>
      <w:r w:rsidR="0016632F" w:rsidRPr="0049743C">
        <w:rPr>
          <w:sz w:val="28"/>
          <w:szCs w:val="28"/>
        </w:rPr>
        <w:t xml:space="preserve"> </w:t>
      </w:r>
    </w:p>
    <w:p w:rsidR="00414F0F" w:rsidRPr="0049743C" w:rsidRDefault="00414F0F" w:rsidP="00F6462F">
      <w:pPr>
        <w:tabs>
          <w:tab w:val="left" w:pos="1440"/>
        </w:tabs>
        <w:spacing w:after="0" w:line="360" w:lineRule="auto"/>
        <w:jc w:val="both"/>
        <w:rPr>
          <w:sz w:val="28"/>
          <w:szCs w:val="28"/>
        </w:rPr>
      </w:pPr>
    </w:p>
    <w:p w:rsidR="00376044"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C13FE9" w:rsidRPr="0049743C">
        <w:rPr>
          <w:sz w:val="28"/>
          <w:szCs w:val="28"/>
        </w:rPr>
        <w:t xml:space="preserve">The diagnosis of Dr Tang as well as Dr Lui was that the </w:t>
      </w:r>
      <w:r w:rsidR="002B6EE1" w:rsidRPr="0049743C">
        <w:rPr>
          <w:sz w:val="28"/>
          <w:szCs w:val="28"/>
        </w:rPr>
        <w:t>Appellant</w:t>
      </w:r>
      <w:r w:rsidR="00C13FE9" w:rsidRPr="0049743C">
        <w:rPr>
          <w:sz w:val="28"/>
          <w:szCs w:val="28"/>
        </w:rPr>
        <w:t xml:space="preserve"> suffered from methamphetamine intoxication.</w:t>
      </w:r>
      <w:r w:rsidR="00301524" w:rsidRPr="0049743C">
        <w:rPr>
          <w:sz w:val="28"/>
          <w:szCs w:val="28"/>
        </w:rPr>
        <w:t xml:space="preserve"> </w:t>
      </w:r>
      <w:r w:rsidR="00806D29" w:rsidRPr="0049743C">
        <w:rPr>
          <w:sz w:val="28"/>
          <w:szCs w:val="28"/>
        </w:rPr>
        <w:t xml:space="preserve">Methamphetamine is commonly known as “Ice”. </w:t>
      </w:r>
      <w:r w:rsidR="002729FD" w:rsidRPr="0049743C">
        <w:rPr>
          <w:sz w:val="28"/>
          <w:szCs w:val="28"/>
        </w:rPr>
        <w:t>They ruled out stimulant psychosis for want of distinct and ongoing symptoms</w:t>
      </w:r>
      <w:r w:rsidR="00CD1EAE" w:rsidRPr="0049743C">
        <w:rPr>
          <w:sz w:val="28"/>
          <w:szCs w:val="28"/>
        </w:rPr>
        <w:t xml:space="preserve">. </w:t>
      </w:r>
      <w:r w:rsidR="000A6E06" w:rsidRPr="0049743C">
        <w:rPr>
          <w:sz w:val="28"/>
          <w:szCs w:val="28"/>
        </w:rPr>
        <w:t>According to</w:t>
      </w:r>
      <w:r w:rsidR="00CD1EAE" w:rsidRPr="0049743C">
        <w:rPr>
          <w:sz w:val="28"/>
          <w:szCs w:val="28"/>
        </w:rPr>
        <w:t xml:space="preserve"> the </w:t>
      </w:r>
      <w:r w:rsidR="005422BA" w:rsidRPr="0049743C">
        <w:rPr>
          <w:sz w:val="28"/>
          <w:szCs w:val="28"/>
        </w:rPr>
        <w:t xml:space="preserve">observations </w:t>
      </w:r>
      <w:r w:rsidR="00CD1EAE" w:rsidRPr="0049743C">
        <w:rPr>
          <w:sz w:val="28"/>
          <w:szCs w:val="28"/>
        </w:rPr>
        <w:t>of the treating doctors at the North District Hospital and SL</w:t>
      </w:r>
      <w:r w:rsidR="005422BA" w:rsidRPr="0049743C">
        <w:rPr>
          <w:sz w:val="28"/>
          <w:szCs w:val="28"/>
        </w:rPr>
        <w:t>PC,</w:t>
      </w:r>
      <w:r w:rsidR="00CD1EAE" w:rsidRPr="0049743C">
        <w:rPr>
          <w:sz w:val="28"/>
          <w:szCs w:val="28"/>
        </w:rPr>
        <w:t xml:space="preserve"> the </w:t>
      </w:r>
      <w:r w:rsidR="002B6EE1" w:rsidRPr="0049743C">
        <w:rPr>
          <w:sz w:val="28"/>
          <w:szCs w:val="28"/>
        </w:rPr>
        <w:t>Appellant</w:t>
      </w:r>
      <w:r w:rsidR="00CD1EAE" w:rsidRPr="0049743C">
        <w:rPr>
          <w:sz w:val="28"/>
          <w:szCs w:val="28"/>
        </w:rPr>
        <w:t xml:space="preserve"> did not display any psychotic symptoms</w:t>
      </w:r>
      <w:r w:rsidR="002729FD" w:rsidRPr="0049743C">
        <w:rPr>
          <w:sz w:val="28"/>
          <w:szCs w:val="28"/>
        </w:rPr>
        <w:t xml:space="preserve">. </w:t>
      </w:r>
    </w:p>
    <w:p w:rsidR="004F05B5" w:rsidRDefault="004F05B5" w:rsidP="004F05B5">
      <w:pPr>
        <w:tabs>
          <w:tab w:val="left" w:pos="1440"/>
        </w:tabs>
        <w:spacing w:after="0" w:line="360" w:lineRule="auto"/>
        <w:jc w:val="both"/>
        <w:rPr>
          <w:sz w:val="28"/>
          <w:szCs w:val="28"/>
        </w:rPr>
      </w:pPr>
    </w:p>
    <w:p w:rsidR="00376044"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lastRenderedPageBreak/>
        <w:tab/>
      </w:r>
      <w:r w:rsidR="00376044" w:rsidRPr="0049743C">
        <w:rPr>
          <w:sz w:val="28"/>
          <w:szCs w:val="28"/>
        </w:rPr>
        <w:t xml:space="preserve">In </w:t>
      </w:r>
      <w:r w:rsidR="005422BA" w:rsidRPr="0049743C">
        <w:rPr>
          <w:sz w:val="28"/>
          <w:szCs w:val="28"/>
        </w:rPr>
        <w:t>her closing speech, pr</w:t>
      </w:r>
      <w:r w:rsidR="00376044" w:rsidRPr="0049743C">
        <w:rPr>
          <w:sz w:val="28"/>
          <w:szCs w:val="28"/>
        </w:rPr>
        <w:t xml:space="preserve">osecuting counsel challenged the credibility of </w:t>
      </w:r>
      <w:r w:rsidR="005422BA" w:rsidRPr="0049743C">
        <w:rPr>
          <w:sz w:val="28"/>
          <w:szCs w:val="28"/>
        </w:rPr>
        <w:t xml:space="preserve">the </w:t>
      </w:r>
      <w:r w:rsidR="002B6EE1" w:rsidRPr="0049743C">
        <w:rPr>
          <w:sz w:val="28"/>
          <w:szCs w:val="28"/>
        </w:rPr>
        <w:t>Appellant</w:t>
      </w:r>
      <w:r w:rsidR="005422BA" w:rsidRPr="0049743C">
        <w:rPr>
          <w:sz w:val="28"/>
          <w:szCs w:val="28"/>
        </w:rPr>
        <w:t>’s</w:t>
      </w:r>
      <w:r w:rsidR="00376044" w:rsidRPr="0049743C">
        <w:rPr>
          <w:sz w:val="28"/>
          <w:szCs w:val="28"/>
        </w:rPr>
        <w:t xml:space="preserve"> </w:t>
      </w:r>
      <w:r w:rsidR="00F81E5E" w:rsidRPr="0049743C">
        <w:rPr>
          <w:sz w:val="28"/>
          <w:szCs w:val="28"/>
        </w:rPr>
        <w:t>assertion</w:t>
      </w:r>
      <w:r w:rsidR="00376044" w:rsidRPr="0049743C">
        <w:rPr>
          <w:sz w:val="28"/>
          <w:szCs w:val="28"/>
        </w:rPr>
        <w:t xml:space="preserve"> that</w:t>
      </w:r>
      <w:r w:rsidR="00806D29" w:rsidRPr="0049743C">
        <w:rPr>
          <w:sz w:val="28"/>
          <w:szCs w:val="28"/>
        </w:rPr>
        <w:t xml:space="preserve"> he had experienced earlier hallucinations and delusions</w:t>
      </w:r>
      <w:r w:rsidR="00376044" w:rsidRPr="0049743C">
        <w:rPr>
          <w:sz w:val="28"/>
          <w:szCs w:val="28"/>
        </w:rPr>
        <w:t xml:space="preserve">. </w:t>
      </w:r>
      <w:r w:rsidR="00F81E5E" w:rsidRPr="0049743C">
        <w:rPr>
          <w:sz w:val="28"/>
          <w:szCs w:val="28"/>
        </w:rPr>
        <w:t>T</w:t>
      </w:r>
      <w:r w:rsidR="00376044" w:rsidRPr="0049743C">
        <w:rPr>
          <w:sz w:val="28"/>
          <w:szCs w:val="28"/>
        </w:rPr>
        <w:t>h</w:t>
      </w:r>
      <w:r w:rsidR="00F81E5E" w:rsidRPr="0049743C">
        <w:rPr>
          <w:sz w:val="28"/>
          <w:szCs w:val="28"/>
        </w:rPr>
        <w:t xml:space="preserve">e </w:t>
      </w:r>
      <w:r w:rsidR="002B6EE1" w:rsidRPr="0049743C">
        <w:rPr>
          <w:sz w:val="28"/>
          <w:szCs w:val="28"/>
        </w:rPr>
        <w:t>Appellant</w:t>
      </w:r>
      <w:r w:rsidR="00F81E5E" w:rsidRPr="0049743C">
        <w:rPr>
          <w:sz w:val="28"/>
          <w:szCs w:val="28"/>
        </w:rPr>
        <w:t xml:space="preserve"> only made this</w:t>
      </w:r>
      <w:r w:rsidR="00376044" w:rsidRPr="0049743C">
        <w:rPr>
          <w:sz w:val="28"/>
          <w:szCs w:val="28"/>
        </w:rPr>
        <w:t xml:space="preserve"> </w:t>
      </w:r>
      <w:r w:rsidR="00F81E5E" w:rsidRPr="0049743C">
        <w:rPr>
          <w:sz w:val="28"/>
          <w:szCs w:val="28"/>
        </w:rPr>
        <w:t xml:space="preserve">assertion </w:t>
      </w:r>
      <w:r w:rsidR="00376044" w:rsidRPr="0049743C">
        <w:rPr>
          <w:sz w:val="28"/>
          <w:szCs w:val="28"/>
        </w:rPr>
        <w:t>to Dr Choi some 18 months after the killing</w:t>
      </w:r>
      <w:r w:rsidR="00F81E5E" w:rsidRPr="0049743C">
        <w:rPr>
          <w:sz w:val="28"/>
          <w:szCs w:val="28"/>
        </w:rPr>
        <w:t xml:space="preserve">. The assertion </w:t>
      </w:r>
      <w:r w:rsidR="00376044" w:rsidRPr="0049743C">
        <w:rPr>
          <w:sz w:val="28"/>
          <w:szCs w:val="28"/>
        </w:rPr>
        <w:t xml:space="preserve">was inconsistent with what the </w:t>
      </w:r>
      <w:r w:rsidR="00241020" w:rsidRPr="0049743C">
        <w:rPr>
          <w:sz w:val="28"/>
          <w:szCs w:val="28"/>
        </w:rPr>
        <w:t>A</w:t>
      </w:r>
      <w:r w:rsidR="002B6EE1" w:rsidRPr="0049743C">
        <w:rPr>
          <w:sz w:val="28"/>
          <w:szCs w:val="28"/>
        </w:rPr>
        <w:t>ppellant</w:t>
      </w:r>
      <w:r w:rsidR="00376044" w:rsidRPr="0049743C">
        <w:rPr>
          <w:sz w:val="28"/>
          <w:szCs w:val="28"/>
        </w:rPr>
        <w:t xml:space="preserve"> had previously said to Dr Tang and</w:t>
      </w:r>
      <w:r w:rsidR="00F81E5E" w:rsidRPr="0049743C">
        <w:rPr>
          <w:sz w:val="28"/>
          <w:szCs w:val="28"/>
        </w:rPr>
        <w:t xml:space="preserve"> subsequently told</w:t>
      </w:r>
      <w:r w:rsidR="005422BA" w:rsidRPr="0049743C">
        <w:rPr>
          <w:sz w:val="28"/>
          <w:szCs w:val="28"/>
        </w:rPr>
        <w:t xml:space="preserve"> Dr Lui</w:t>
      </w:r>
      <w:r w:rsidR="00376044" w:rsidRPr="0049743C">
        <w:rPr>
          <w:sz w:val="28"/>
          <w:szCs w:val="28"/>
        </w:rPr>
        <w:t>.</w:t>
      </w:r>
      <w:r w:rsidR="00840E18" w:rsidRPr="0049743C">
        <w:rPr>
          <w:sz w:val="28"/>
          <w:szCs w:val="28"/>
        </w:rPr>
        <w:t xml:space="preserve"> Instead, the </w:t>
      </w:r>
      <w:r w:rsidR="002B6EE1" w:rsidRPr="0049743C">
        <w:rPr>
          <w:sz w:val="28"/>
          <w:szCs w:val="28"/>
        </w:rPr>
        <w:t>Appellant</w:t>
      </w:r>
      <w:r w:rsidR="00840E18" w:rsidRPr="0049743C">
        <w:rPr>
          <w:sz w:val="28"/>
          <w:szCs w:val="28"/>
        </w:rPr>
        <w:t xml:space="preserve"> told Dr Tang and Dr Lui that he did not hear non-exist</w:t>
      </w:r>
      <w:r w:rsidR="00241020" w:rsidRPr="0049743C">
        <w:rPr>
          <w:sz w:val="28"/>
          <w:szCs w:val="28"/>
        </w:rPr>
        <w:t>ent</w:t>
      </w:r>
      <w:r w:rsidR="00840E18" w:rsidRPr="0049743C">
        <w:rPr>
          <w:sz w:val="28"/>
          <w:szCs w:val="28"/>
        </w:rPr>
        <w:t xml:space="preserve"> voice</w:t>
      </w:r>
      <w:r w:rsidR="000C6A48">
        <w:rPr>
          <w:sz w:val="28"/>
          <w:szCs w:val="28"/>
        </w:rPr>
        <w:t>s</w:t>
      </w:r>
      <w:r w:rsidR="00840E18" w:rsidRPr="0049743C">
        <w:rPr>
          <w:sz w:val="28"/>
          <w:szCs w:val="28"/>
        </w:rPr>
        <w:t xml:space="preserve"> </w:t>
      </w:r>
      <w:r w:rsidR="000A6E06" w:rsidRPr="0049743C">
        <w:rPr>
          <w:sz w:val="28"/>
          <w:szCs w:val="28"/>
        </w:rPr>
        <w:t xml:space="preserve">and </w:t>
      </w:r>
      <w:r w:rsidR="00DC0894" w:rsidRPr="0049743C">
        <w:rPr>
          <w:sz w:val="28"/>
          <w:szCs w:val="28"/>
        </w:rPr>
        <w:t xml:space="preserve">he </w:t>
      </w:r>
      <w:r w:rsidR="000A6E06" w:rsidRPr="0049743C">
        <w:rPr>
          <w:sz w:val="28"/>
          <w:szCs w:val="28"/>
        </w:rPr>
        <w:t xml:space="preserve">did not </w:t>
      </w:r>
      <w:r w:rsidR="00DC0894" w:rsidRPr="0049743C">
        <w:rPr>
          <w:sz w:val="28"/>
          <w:szCs w:val="28"/>
        </w:rPr>
        <w:t xml:space="preserve">have </w:t>
      </w:r>
      <w:r w:rsidR="00840E18" w:rsidRPr="0049743C">
        <w:rPr>
          <w:sz w:val="28"/>
          <w:szCs w:val="28"/>
        </w:rPr>
        <w:t>any abnormal belief</w:t>
      </w:r>
      <w:r w:rsidR="00774953">
        <w:rPr>
          <w:sz w:val="28"/>
          <w:szCs w:val="28"/>
        </w:rPr>
        <w:t>s</w:t>
      </w:r>
      <w:r w:rsidR="00840E18" w:rsidRPr="0049743C">
        <w:rPr>
          <w:sz w:val="28"/>
          <w:szCs w:val="28"/>
        </w:rPr>
        <w:t xml:space="preserve"> after he consumed Ice previously.</w:t>
      </w:r>
    </w:p>
    <w:p w:rsidR="00414F0F" w:rsidRPr="0049743C" w:rsidRDefault="00414F0F" w:rsidP="00414F0F">
      <w:pPr>
        <w:tabs>
          <w:tab w:val="left" w:pos="1440"/>
        </w:tabs>
        <w:spacing w:after="0" w:line="360" w:lineRule="auto"/>
        <w:ind w:right="-90"/>
        <w:jc w:val="both"/>
        <w:rPr>
          <w:sz w:val="28"/>
          <w:szCs w:val="28"/>
        </w:rPr>
      </w:pPr>
    </w:p>
    <w:p w:rsidR="007C3705"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7C3705" w:rsidRPr="0049743C">
        <w:rPr>
          <w:sz w:val="28"/>
          <w:szCs w:val="28"/>
        </w:rPr>
        <w:t xml:space="preserve">The </w:t>
      </w:r>
      <w:r w:rsidR="002B6EE1" w:rsidRPr="0049743C">
        <w:rPr>
          <w:sz w:val="28"/>
          <w:szCs w:val="28"/>
        </w:rPr>
        <w:t>Appellant</w:t>
      </w:r>
      <w:r w:rsidR="007C3705" w:rsidRPr="0049743C">
        <w:rPr>
          <w:sz w:val="28"/>
          <w:szCs w:val="28"/>
        </w:rPr>
        <w:t xml:space="preserve"> elected not to give evidence at the trial. </w:t>
      </w:r>
      <w:r w:rsidR="005422BA" w:rsidRPr="0049743C">
        <w:rPr>
          <w:sz w:val="28"/>
          <w:szCs w:val="28"/>
        </w:rPr>
        <w:t>Hence,</w:t>
      </w:r>
      <w:r w:rsidR="00327772" w:rsidRPr="0049743C">
        <w:rPr>
          <w:sz w:val="28"/>
          <w:szCs w:val="28"/>
        </w:rPr>
        <w:t xml:space="preserve"> there</w:t>
      </w:r>
      <w:r w:rsidR="007C3705" w:rsidRPr="0049743C">
        <w:rPr>
          <w:sz w:val="28"/>
          <w:szCs w:val="28"/>
        </w:rPr>
        <w:t xml:space="preserve"> was no evidence o</w:t>
      </w:r>
      <w:r w:rsidR="00656E43" w:rsidRPr="0049743C">
        <w:rPr>
          <w:sz w:val="28"/>
          <w:szCs w:val="28"/>
        </w:rPr>
        <w:t>f</w:t>
      </w:r>
      <w:r w:rsidR="007C3705" w:rsidRPr="0049743C">
        <w:rPr>
          <w:sz w:val="28"/>
          <w:szCs w:val="28"/>
        </w:rPr>
        <w:t xml:space="preserve"> the alleged delusions and hallucinations </w:t>
      </w:r>
      <w:r w:rsidR="001775B9" w:rsidRPr="0049743C">
        <w:rPr>
          <w:sz w:val="28"/>
          <w:szCs w:val="28"/>
        </w:rPr>
        <w:t xml:space="preserve">other than the evidence of Dr Choi by way of his recitation of what the </w:t>
      </w:r>
      <w:r w:rsidR="002B6EE1" w:rsidRPr="0049743C">
        <w:rPr>
          <w:sz w:val="28"/>
          <w:szCs w:val="28"/>
        </w:rPr>
        <w:t>Appellant</w:t>
      </w:r>
      <w:r w:rsidR="001775B9" w:rsidRPr="0049743C">
        <w:rPr>
          <w:sz w:val="28"/>
          <w:szCs w:val="28"/>
        </w:rPr>
        <w:t xml:space="preserve"> had told him in the interview in April 2017. </w:t>
      </w:r>
    </w:p>
    <w:p w:rsidR="00414F0F" w:rsidRPr="0049743C" w:rsidRDefault="00414F0F" w:rsidP="00F6462F">
      <w:pPr>
        <w:tabs>
          <w:tab w:val="left" w:pos="1440"/>
        </w:tabs>
        <w:spacing w:after="0" w:line="360" w:lineRule="auto"/>
        <w:jc w:val="both"/>
        <w:rPr>
          <w:sz w:val="28"/>
          <w:szCs w:val="28"/>
        </w:rPr>
      </w:pPr>
    </w:p>
    <w:p w:rsidR="00376044"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376044" w:rsidRPr="0049743C">
        <w:rPr>
          <w:sz w:val="28"/>
          <w:szCs w:val="28"/>
        </w:rPr>
        <w:t xml:space="preserve">In </w:t>
      </w:r>
      <w:r w:rsidR="005422BA" w:rsidRPr="0049743C">
        <w:rPr>
          <w:sz w:val="28"/>
          <w:szCs w:val="28"/>
        </w:rPr>
        <w:t>her summing-up</w:t>
      </w:r>
      <w:r w:rsidR="00376044" w:rsidRPr="0049743C">
        <w:rPr>
          <w:sz w:val="28"/>
          <w:szCs w:val="28"/>
        </w:rPr>
        <w:t xml:space="preserve">, </w:t>
      </w:r>
      <w:r w:rsidR="00DC0894" w:rsidRPr="0049743C">
        <w:rPr>
          <w:sz w:val="28"/>
          <w:szCs w:val="28"/>
        </w:rPr>
        <w:t xml:space="preserve">the Judge told the jury that it </w:t>
      </w:r>
      <w:r w:rsidR="00656E43" w:rsidRPr="0049743C">
        <w:rPr>
          <w:sz w:val="28"/>
          <w:szCs w:val="28"/>
        </w:rPr>
        <w:t xml:space="preserve">was </w:t>
      </w:r>
      <w:r w:rsidR="00DC0894" w:rsidRPr="0049743C">
        <w:rPr>
          <w:sz w:val="28"/>
          <w:szCs w:val="28"/>
        </w:rPr>
        <w:t xml:space="preserve">for them to decide if the </w:t>
      </w:r>
      <w:r w:rsidR="00241020" w:rsidRPr="0049743C">
        <w:rPr>
          <w:sz w:val="28"/>
          <w:szCs w:val="28"/>
        </w:rPr>
        <w:t>A</w:t>
      </w:r>
      <w:r w:rsidR="002B6EE1" w:rsidRPr="0049743C">
        <w:rPr>
          <w:sz w:val="28"/>
          <w:szCs w:val="28"/>
        </w:rPr>
        <w:t>ppellant</w:t>
      </w:r>
      <w:r w:rsidR="00DC0894" w:rsidRPr="0049743C">
        <w:rPr>
          <w:sz w:val="28"/>
          <w:szCs w:val="28"/>
        </w:rPr>
        <w:t xml:space="preserve"> was suffering from an abnormality of mind on the balance of probabilit</w:t>
      </w:r>
      <w:r w:rsidR="00656E43" w:rsidRPr="0049743C">
        <w:rPr>
          <w:sz w:val="28"/>
          <w:szCs w:val="28"/>
        </w:rPr>
        <w:t>ies</w:t>
      </w:r>
      <w:r w:rsidR="00DC0894" w:rsidRPr="0049743C">
        <w:rPr>
          <w:sz w:val="28"/>
          <w:szCs w:val="28"/>
        </w:rPr>
        <w:t xml:space="preserve"> and they should do so after considering all the psychiatric evidence and all the surrounding circumstances of the offence</w:t>
      </w:r>
      <w:r w:rsidR="00DC0894" w:rsidRPr="0049743C">
        <w:rPr>
          <w:rStyle w:val="FootnoteReference"/>
          <w:sz w:val="28"/>
          <w:szCs w:val="28"/>
        </w:rPr>
        <w:footnoteReference w:id="10"/>
      </w:r>
      <w:r w:rsidR="00DC0894" w:rsidRPr="0049743C">
        <w:rPr>
          <w:sz w:val="28"/>
          <w:szCs w:val="28"/>
        </w:rPr>
        <w:t>. A</w:t>
      </w:r>
      <w:r w:rsidR="00840E18" w:rsidRPr="0049743C">
        <w:rPr>
          <w:sz w:val="28"/>
          <w:szCs w:val="28"/>
        </w:rPr>
        <w:t xml:space="preserve">fter alluding to the evidence of Dr Tang on this topic, </w:t>
      </w:r>
      <w:r w:rsidR="00376044" w:rsidRPr="0049743C">
        <w:rPr>
          <w:sz w:val="28"/>
          <w:szCs w:val="28"/>
        </w:rPr>
        <w:t>the Judge</w:t>
      </w:r>
      <w:r w:rsidR="005422BA" w:rsidRPr="0049743C">
        <w:rPr>
          <w:sz w:val="28"/>
          <w:szCs w:val="28"/>
        </w:rPr>
        <w:t xml:space="preserve"> said to the jury</w:t>
      </w:r>
      <w:r w:rsidR="00414F0F" w:rsidRPr="0049743C">
        <w:rPr>
          <w:sz w:val="28"/>
          <w:szCs w:val="28"/>
        </w:rPr>
        <w:t>:</w:t>
      </w:r>
    </w:p>
    <w:p w:rsidR="00376044" w:rsidRPr="0049743C" w:rsidRDefault="00376044" w:rsidP="00CB44D4">
      <w:pPr>
        <w:tabs>
          <w:tab w:val="left" w:pos="1440"/>
        </w:tabs>
        <w:spacing w:before="200" w:after="0" w:line="240" w:lineRule="auto"/>
        <w:ind w:left="720" w:right="360"/>
        <w:jc w:val="both"/>
        <w:rPr>
          <w:szCs w:val="24"/>
        </w:rPr>
      </w:pPr>
      <w:r w:rsidRPr="0049743C">
        <w:rPr>
          <w:szCs w:val="24"/>
        </w:rPr>
        <w:t xml:space="preserve">“Now, you will notice that Dr Choi was told something quite different, that he heard voices, which is not from any existing person. So, this is another -- an example of why hearsay evidence is unreliable in the sense that the person has not given evidence in front of you, been subjected to cross-examination and for you to decide if the witness is telling you the truth, is reliable or accurate or inaccurate. So you may think therefore, that why was the defendant telling </w:t>
      </w:r>
      <w:r w:rsidRPr="0049743C">
        <w:rPr>
          <w:szCs w:val="24"/>
        </w:rPr>
        <w:lastRenderedPageBreak/>
        <w:t>something different to Dr Choi, 18 months later? So that is for you, members of the jury.”</w:t>
      </w:r>
      <w:r w:rsidR="00806D29" w:rsidRPr="0049743C">
        <w:rPr>
          <w:rStyle w:val="FootnoteReference"/>
          <w:szCs w:val="24"/>
        </w:rPr>
        <w:footnoteReference w:id="11"/>
      </w:r>
      <w:r w:rsidRPr="0049743C">
        <w:rPr>
          <w:szCs w:val="24"/>
        </w:rPr>
        <w:t xml:space="preserve"> </w:t>
      </w:r>
    </w:p>
    <w:p w:rsidR="00414F0F" w:rsidRPr="0049743C" w:rsidRDefault="00414F0F" w:rsidP="00414F0F">
      <w:pPr>
        <w:tabs>
          <w:tab w:val="left" w:pos="1440"/>
        </w:tabs>
        <w:spacing w:after="0" w:line="360" w:lineRule="auto"/>
        <w:ind w:right="-90"/>
        <w:jc w:val="both"/>
        <w:rPr>
          <w:sz w:val="28"/>
          <w:szCs w:val="28"/>
        </w:rPr>
      </w:pPr>
    </w:p>
    <w:p w:rsidR="00376044"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0F661B" w:rsidRPr="0049743C">
        <w:rPr>
          <w:sz w:val="28"/>
          <w:szCs w:val="28"/>
        </w:rPr>
        <w:t>It is thus quite plain that</w:t>
      </w:r>
      <w:r w:rsidR="00DC0894" w:rsidRPr="0049743C">
        <w:rPr>
          <w:sz w:val="28"/>
          <w:szCs w:val="28"/>
        </w:rPr>
        <w:t xml:space="preserve"> t</w:t>
      </w:r>
      <w:r w:rsidR="00376044" w:rsidRPr="0049743C">
        <w:rPr>
          <w:sz w:val="28"/>
          <w:szCs w:val="28"/>
        </w:rPr>
        <w:t xml:space="preserve">he Judge left the assessment of the credibility of that claim to the jury. Further, when the Judge referred to the </w:t>
      </w:r>
      <w:r w:rsidR="00241020" w:rsidRPr="0049743C">
        <w:rPr>
          <w:sz w:val="28"/>
          <w:szCs w:val="28"/>
        </w:rPr>
        <w:t>A</w:t>
      </w:r>
      <w:r w:rsidR="002B6EE1" w:rsidRPr="0049743C">
        <w:rPr>
          <w:sz w:val="28"/>
          <w:szCs w:val="28"/>
        </w:rPr>
        <w:t>ppellant</w:t>
      </w:r>
      <w:r w:rsidR="00376044" w:rsidRPr="0049743C">
        <w:rPr>
          <w:sz w:val="28"/>
          <w:szCs w:val="28"/>
        </w:rPr>
        <w:t xml:space="preserve">’s interview with Dr Choi, she alluded specifically to the </w:t>
      </w:r>
      <w:r w:rsidR="00241020" w:rsidRPr="0049743C">
        <w:rPr>
          <w:sz w:val="28"/>
          <w:szCs w:val="28"/>
        </w:rPr>
        <w:t>A</w:t>
      </w:r>
      <w:r w:rsidR="002B6EE1" w:rsidRPr="0049743C">
        <w:rPr>
          <w:sz w:val="28"/>
          <w:szCs w:val="28"/>
        </w:rPr>
        <w:t>ppellant</w:t>
      </w:r>
      <w:r w:rsidR="00376044" w:rsidRPr="0049743C">
        <w:rPr>
          <w:sz w:val="28"/>
          <w:szCs w:val="28"/>
        </w:rPr>
        <w:t>’s explanation to Dr Choi about not informing Dr Tang a</w:t>
      </w:r>
      <w:r w:rsidR="00414F0F" w:rsidRPr="0049743C">
        <w:rPr>
          <w:sz w:val="28"/>
          <w:szCs w:val="28"/>
        </w:rPr>
        <w:t>nd Dr Lui of the hallucinations:</w:t>
      </w:r>
    </w:p>
    <w:p w:rsidR="00376044" w:rsidRPr="0049743C" w:rsidRDefault="00376044" w:rsidP="00CB44D4">
      <w:pPr>
        <w:tabs>
          <w:tab w:val="left" w:pos="1440"/>
        </w:tabs>
        <w:spacing w:before="200" w:after="0" w:line="240" w:lineRule="auto"/>
        <w:ind w:left="720" w:right="360"/>
        <w:jc w:val="both"/>
        <w:rPr>
          <w:szCs w:val="24"/>
        </w:rPr>
      </w:pPr>
      <w:r w:rsidRPr="0049743C">
        <w:rPr>
          <w:szCs w:val="24"/>
        </w:rPr>
        <w:t>“And [Dr Choi] said that the defendant told him that he did not tell the doctor at Siu Lam about the persecutions etc, because he was afraid he might be locked up in the mental hospital for the rest of his life. Well again, that is hearsay. We don’t know, but he did not tell the doctors in Siu Lam.”</w:t>
      </w:r>
      <w:r w:rsidR="005422BA" w:rsidRPr="0049743C">
        <w:rPr>
          <w:rStyle w:val="FootnoteReference"/>
          <w:szCs w:val="24"/>
        </w:rPr>
        <w:footnoteReference w:id="12"/>
      </w:r>
      <w:r w:rsidRPr="0049743C">
        <w:rPr>
          <w:szCs w:val="24"/>
        </w:rPr>
        <w:t xml:space="preserve"> </w:t>
      </w:r>
    </w:p>
    <w:p w:rsidR="00414F0F" w:rsidRPr="0049743C" w:rsidRDefault="00414F0F" w:rsidP="00C51B43">
      <w:pPr>
        <w:tabs>
          <w:tab w:val="left" w:pos="1440"/>
        </w:tabs>
        <w:spacing w:after="0" w:line="360" w:lineRule="auto"/>
        <w:ind w:right="-90"/>
        <w:jc w:val="both"/>
        <w:rPr>
          <w:sz w:val="28"/>
          <w:szCs w:val="28"/>
        </w:rPr>
      </w:pPr>
    </w:p>
    <w:p w:rsidR="00376044"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840E18" w:rsidRPr="0049743C">
        <w:rPr>
          <w:sz w:val="28"/>
          <w:szCs w:val="28"/>
        </w:rPr>
        <w:t>T</w:t>
      </w:r>
      <w:r w:rsidR="00376044" w:rsidRPr="0049743C">
        <w:rPr>
          <w:sz w:val="28"/>
          <w:szCs w:val="28"/>
        </w:rPr>
        <w:t xml:space="preserve">he Judge also directed the jury that the statements </w:t>
      </w:r>
      <w:r w:rsidR="0045169F" w:rsidRPr="0049743C">
        <w:rPr>
          <w:sz w:val="28"/>
          <w:szCs w:val="28"/>
        </w:rPr>
        <w:t xml:space="preserve">by </w:t>
      </w:r>
      <w:r w:rsidR="00376044" w:rsidRPr="0049743C">
        <w:rPr>
          <w:sz w:val="28"/>
          <w:szCs w:val="28"/>
        </w:rPr>
        <w:t xml:space="preserve">the </w:t>
      </w:r>
      <w:r w:rsidR="00241020" w:rsidRPr="0049743C">
        <w:rPr>
          <w:sz w:val="28"/>
          <w:szCs w:val="28"/>
        </w:rPr>
        <w:t>A</w:t>
      </w:r>
      <w:r w:rsidR="002B6EE1" w:rsidRPr="0049743C">
        <w:rPr>
          <w:sz w:val="28"/>
          <w:szCs w:val="28"/>
        </w:rPr>
        <w:t>ppellant</w:t>
      </w:r>
      <w:r w:rsidR="00376044" w:rsidRPr="0049743C">
        <w:rPr>
          <w:sz w:val="28"/>
          <w:szCs w:val="28"/>
        </w:rPr>
        <w:t xml:space="preserve"> set out in the expert reports we</w:t>
      </w:r>
      <w:r w:rsidR="006E013C" w:rsidRPr="0049743C">
        <w:rPr>
          <w:sz w:val="28"/>
          <w:szCs w:val="28"/>
        </w:rPr>
        <w:t>re not evidence. Thus, she said</w:t>
      </w:r>
      <w:r w:rsidR="009A4E21" w:rsidRPr="0049743C">
        <w:rPr>
          <w:sz w:val="28"/>
          <w:szCs w:val="28"/>
        </w:rPr>
        <w:t>:</w:t>
      </w:r>
    </w:p>
    <w:p w:rsidR="00376044" w:rsidRPr="0049743C" w:rsidRDefault="00376044" w:rsidP="00CB44D4">
      <w:pPr>
        <w:tabs>
          <w:tab w:val="left" w:pos="1440"/>
        </w:tabs>
        <w:spacing w:before="200" w:after="0" w:line="240" w:lineRule="auto"/>
        <w:ind w:left="720" w:right="360"/>
        <w:jc w:val="both"/>
        <w:rPr>
          <w:szCs w:val="24"/>
        </w:rPr>
      </w:pPr>
      <w:r w:rsidRPr="0049743C">
        <w:rPr>
          <w:szCs w:val="24"/>
        </w:rPr>
        <w:t>“So again, [Dr Tang] gives the background, his history of substance abuse and one thing to note is that,</w:t>
      </w:r>
      <w:r w:rsidR="00C0301A">
        <w:rPr>
          <w:szCs w:val="24"/>
        </w:rPr>
        <w:t xml:space="preserve"> as I said, it is all hearsay.”</w:t>
      </w:r>
      <w:r w:rsidR="00D82799" w:rsidRPr="0049743C">
        <w:rPr>
          <w:rStyle w:val="FootnoteReference"/>
          <w:szCs w:val="24"/>
        </w:rPr>
        <w:footnoteReference w:id="13"/>
      </w:r>
    </w:p>
    <w:p w:rsidR="009A4E21" w:rsidRPr="0049743C" w:rsidRDefault="009A4E21" w:rsidP="004F63D0">
      <w:pPr>
        <w:tabs>
          <w:tab w:val="left" w:pos="1440"/>
        </w:tabs>
        <w:spacing w:after="0" w:line="240" w:lineRule="auto"/>
        <w:ind w:left="720" w:right="360"/>
        <w:jc w:val="both"/>
        <w:rPr>
          <w:szCs w:val="24"/>
        </w:rPr>
      </w:pPr>
    </w:p>
    <w:p w:rsidR="00376044" w:rsidRPr="0049743C" w:rsidRDefault="00376044" w:rsidP="009A4E21">
      <w:pPr>
        <w:tabs>
          <w:tab w:val="left" w:pos="1440"/>
        </w:tabs>
        <w:spacing w:after="0" w:line="240" w:lineRule="auto"/>
        <w:ind w:left="720" w:right="360"/>
        <w:jc w:val="both"/>
        <w:rPr>
          <w:szCs w:val="24"/>
        </w:rPr>
      </w:pPr>
      <w:r w:rsidRPr="0049743C">
        <w:rPr>
          <w:szCs w:val="24"/>
        </w:rPr>
        <w:t xml:space="preserve">“All this is hearsay, members of the jury, and because there is no evidence to prove that whether he saw or he had the feeling. This was only </w:t>
      </w:r>
      <w:r w:rsidR="00C0301A">
        <w:rPr>
          <w:szCs w:val="24"/>
        </w:rPr>
        <w:t>what he told the psychiatrist.”</w:t>
      </w:r>
      <w:r w:rsidR="00D82799" w:rsidRPr="0049743C">
        <w:rPr>
          <w:rStyle w:val="FootnoteReference"/>
          <w:szCs w:val="24"/>
        </w:rPr>
        <w:footnoteReference w:id="14"/>
      </w:r>
    </w:p>
    <w:p w:rsidR="009A4E21" w:rsidRPr="0049743C" w:rsidRDefault="009A4E21" w:rsidP="009A4E21">
      <w:pPr>
        <w:tabs>
          <w:tab w:val="left" w:pos="1440"/>
        </w:tabs>
        <w:spacing w:after="0" w:line="240" w:lineRule="auto"/>
        <w:ind w:right="-90"/>
        <w:jc w:val="both"/>
        <w:rPr>
          <w:szCs w:val="24"/>
        </w:rPr>
      </w:pPr>
    </w:p>
    <w:p w:rsidR="00376044" w:rsidRPr="0049743C" w:rsidRDefault="00376044" w:rsidP="009A4E21">
      <w:pPr>
        <w:tabs>
          <w:tab w:val="left" w:pos="1440"/>
        </w:tabs>
        <w:spacing w:after="0" w:line="240" w:lineRule="auto"/>
        <w:ind w:left="720" w:right="360"/>
        <w:jc w:val="both"/>
        <w:rPr>
          <w:rFonts w:eastAsia="Times New Roman"/>
          <w:szCs w:val="24"/>
          <w:lang w:val="en-US"/>
        </w:rPr>
      </w:pPr>
      <w:r w:rsidRPr="0049743C">
        <w:rPr>
          <w:rFonts w:eastAsia="Times New Roman"/>
          <w:szCs w:val="24"/>
          <w:lang w:val="en-US"/>
        </w:rPr>
        <w:t>“… The evidence on behalf of the defence comes from two psychiatrists. The two psychiatrists base their opinion on what they were told by the defendant. Now, what they were told by the defendant has not been repeated in evidence before you, and that is why I say it is hearsay. He has not given evidence, nor been cross</w:t>
      </w:r>
      <w:r w:rsidRPr="0049743C">
        <w:rPr>
          <w:rFonts w:eastAsia="Times New Roman"/>
          <w:szCs w:val="24"/>
          <w:lang w:val="en-US"/>
        </w:rPr>
        <w:noBreakHyphen/>
        <w:t>examined on it, nor has he repeated what he told the psychiatrists on Oath. So what was told to the doctors by the defendant has no firm evidential foundation. So similarly, with what he had told Dr Dorothy Tang and Dr Lui, again that has not been repeated on Oath, nor has he been cross-examined on it. So there is no firm foundation for that evidence.”</w:t>
      </w:r>
      <w:r w:rsidR="00D82799" w:rsidRPr="0049743C">
        <w:rPr>
          <w:rStyle w:val="FootnoteReference"/>
          <w:rFonts w:eastAsia="Times New Roman"/>
          <w:szCs w:val="24"/>
          <w:lang w:val="en-US"/>
        </w:rPr>
        <w:footnoteReference w:id="15"/>
      </w:r>
      <w:r w:rsidRPr="0049743C">
        <w:rPr>
          <w:rFonts w:eastAsia="Times New Roman"/>
          <w:szCs w:val="24"/>
          <w:lang w:val="en-US"/>
        </w:rPr>
        <w:t xml:space="preserve"> </w:t>
      </w:r>
    </w:p>
    <w:p w:rsidR="00376044"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lastRenderedPageBreak/>
        <w:tab/>
      </w:r>
      <w:r w:rsidR="007C5A6B" w:rsidRPr="0049743C">
        <w:rPr>
          <w:sz w:val="28"/>
          <w:szCs w:val="28"/>
        </w:rPr>
        <w:t>T</w:t>
      </w:r>
      <w:r w:rsidR="00376044" w:rsidRPr="0049743C">
        <w:rPr>
          <w:sz w:val="28"/>
          <w:szCs w:val="28"/>
        </w:rPr>
        <w:t>hese directions were given after the Judge had discussed with counsel the propriety of the same and defence counsel did not have any objection.</w:t>
      </w:r>
      <w:r w:rsidR="00AD5722" w:rsidRPr="0049743C">
        <w:rPr>
          <w:sz w:val="28"/>
          <w:szCs w:val="28"/>
        </w:rPr>
        <w:t xml:space="preserve"> </w:t>
      </w:r>
    </w:p>
    <w:p w:rsidR="009A4E21" w:rsidRPr="005E44EB" w:rsidRDefault="009A4E21" w:rsidP="00F6462F">
      <w:pPr>
        <w:tabs>
          <w:tab w:val="left" w:pos="1440"/>
        </w:tabs>
        <w:spacing w:after="0" w:line="360" w:lineRule="auto"/>
        <w:jc w:val="both"/>
        <w:rPr>
          <w:rFonts w:eastAsia="PMingLiU"/>
          <w:sz w:val="28"/>
          <w:szCs w:val="28"/>
          <w:lang w:eastAsia="zh-TW"/>
        </w:rPr>
      </w:pPr>
    </w:p>
    <w:p w:rsidR="00806D29"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9844AA" w:rsidRPr="0049743C">
        <w:rPr>
          <w:sz w:val="28"/>
          <w:szCs w:val="28"/>
        </w:rPr>
        <w:t xml:space="preserve">The jury returned a verdict of guilty </w:t>
      </w:r>
      <w:r w:rsidR="007C5A6B" w:rsidRPr="0049743C">
        <w:rPr>
          <w:sz w:val="28"/>
          <w:szCs w:val="28"/>
        </w:rPr>
        <w:t>o</w:t>
      </w:r>
      <w:r w:rsidR="00C84B08" w:rsidRPr="0049743C">
        <w:rPr>
          <w:sz w:val="28"/>
          <w:szCs w:val="28"/>
        </w:rPr>
        <w:t>n</w:t>
      </w:r>
      <w:r w:rsidR="009844AA" w:rsidRPr="0049743C">
        <w:rPr>
          <w:sz w:val="28"/>
          <w:szCs w:val="28"/>
        </w:rPr>
        <w:t xml:space="preserve"> the charge of murder and the </w:t>
      </w:r>
      <w:r w:rsidR="002B6EE1" w:rsidRPr="0049743C">
        <w:rPr>
          <w:sz w:val="28"/>
          <w:szCs w:val="28"/>
        </w:rPr>
        <w:t>Appellant</w:t>
      </w:r>
      <w:r w:rsidR="009844AA" w:rsidRPr="0049743C">
        <w:rPr>
          <w:sz w:val="28"/>
          <w:szCs w:val="28"/>
        </w:rPr>
        <w:t xml:space="preserve"> was convicted accordingly.</w:t>
      </w:r>
    </w:p>
    <w:p w:rsidR="009A4E21" w:rsidRPr="0049743C" w:rsidRDefault="009A4E21" w:rsidP="00F6462F">
      <w:pPr>
        <w:tabs>
          <w:tab w:val="left" w:pos="1440"/>
        </w:tabs>
        <w:spacing w:after="0" w:line="360" w:lineRule="auto"/>
        <w:jc w:val="both"/>
        <w:rPr>
          <w:sz w:val="28"/>
          <w:szCs w:val="28"/>
        </w:rPr>
      </w:pPr>
    </w:p>
    <w:p w:rsidR="009844AA" w:rsidRPr="0049743C" w:rsidRDefault="00806D29" w:rsidP="00F6462F">
      <w:pPr>
        <w:tabs>
          <w:tab w:val="left" w:pos="1440"/>
        </w:tabs>
        <w:spacing w:after="0" w:line="360" w:lineRule="auto"/>
        <w:jc w:val="both"/>
        <w:rPr>
          <w:sz w:val="28"/>
          <w:szCs w:val="28"/>
        </w:rPr>
      </w:pPr>
      <w:r w:rsidRPr="0049743C">
        <w:rPr>
          <w:b/>
          <w:i/>
          <w:sz w:val="28"/>
          <w:szCs w:val="28"/>
        </w:rPr>
        <w:t xml:space="preserve">A2. </w:t>
      </w:r>
      <w:r w:rsidR="009A4E21" w:rsidRPr="0049743C">
        <w:rPr>
          <w:b/>
          <w:i/>
          <w:sz w:val="28"/>
          <w:szCs w:val="28"/>
        </w:rPr>
        <w:tab/>
      </w:r>
      <w:r w:rsidRPr="0049743C">
        <w:rPr>
          <w:b/>
          <w:i/>
          <w:sz w:val="28"/>
          <w:szCs w:val="28"/>
        </w:rPr>
        <w:t>The decision of the Court of Appeal and its proposed new approach</w:t>
      </w:r>
      <w:r w:rsidR="009844AA" w:rsidRPr="0049743C">
        <w:rPr>
          <w:sz w:val="28"/>
          <w:szCs w:val="28"/>
        </w:rPr>
        <w:t xml:space="preserve"> </w:t>
      </w:r>
    </w:p>
    <w:p w:rsidR="009844AA" w:rsidRPr="0049743C" w:rsidRDefault="0049743C" w:rsidP="00CB44D4">
      <w:pPr>
        <w:numPr>
          <w:ilvl w:val="0"/>
          <w:numId w:val="12"/>
        </w:numPr>
        <w:tabs>
          <w:tab w:val="left" w:pos="1440"/>
        </w:tabs>
        <w:spacing w:before="200" w:after="0" w:line="360" w:lineRule="auto"/>
        <w:ind w:left="0" w:firstLine="0"/>
        <w:jc w:val="both"/>
        <w:rPr>
          <w:sz w:val="28"/>
          <w:szCs w:val="28"/>
        </w:rPr>
      </w:pPr>
      <w:r>
        <w:rPr>
          <w:sz w:val="28"/>
          <w:szCs w:val="28"/>
        </w:rPr>
        <w:tab/>
      </w:r>
      <w:r w:rsidR="007C5A6B" w:rsidRPr="0049743C">
        <w:rPr>
          <w:sz w:val="28"/>
          <w:szCs w:val="28"/>
        </w:rPr>
        <w:t xml:space="preserve">The </w:t>
      </w:r>
      <w:r w:rsidR="002B6EE1" w:rsidRPr="0049743C">
        <w:rPr>
          <w:sz w:val="28"/>
          <w:szCs w:val="28"/>
        </w:rPr>
        <w:t>Appellant</w:t>
      </w:r>
      <w:r w:rsidR="007C5A6B" w:rsidRPr="0049743C">
        <w:rPr>
          <w:sz w:val="28"/>
          <w:szCs w:val="28"/>
        </w:rPr>
        <w:t xml:space="preserve"> </w:t>
      </w:r>
      <w:r w:rsidR="009844AA" w:rsidRPr="0049743C">
        <w:rPr>
          <w:sz w:val="28"/>
          <w:szCs w:val="28"/>
        </w:rPr>
        <w:t>appealed to the Court of Appeal</w:t>
      </w:r>
      <w:r w:rsidR="00C84B08" w:rsidRPr="0049743C">
        <w:rPr>
          <w:sz w:val="28"/>
          <w:szCs w:val="28"/>
        </w:rPr>
        <w:t>.</w:t>
      </w:r>
      <w:r w:rsidR="007C5A6B" w:rsidRPr="0049743C">
        <w:rPr>
          <w:sz w:val="28"/>
          <w:szCs w:val="28"/>
        </w:rPr>
        <w:t xml:space="preserve"> </w:t>
      </w:r>
      <w:r w:rsidR="00C84B08" w:rsidRPr="0049743C">
        <w:rPr>
          <w:sz w:val="28"/>
          <w:szCs w:val="28"/>
        </w:rPr>
        <w:t>One of</w:t>
      </w:r>
      <w:r w:rsidR="007C5A6B" w:rsidRPr="0049743C">
        <w:rPr>
          <w:sz w:val="28"/>
          <w:szCs w:val="28"/>
        </w:rPr>
        <w:t xml:space="preserve"> the ground</w:t>
      </w:r>
      <w:r w:rsidR="00C84B08" w:rsidRPr="0049743C">
        <w:rPr>
          <w:sz w:val="28"/>
          <w:szCs w:val="28"/>
        </w:rPr>
        <w:t>s of appeal (and the only relevant</w:t>
      </w:r>
      <w:r w:rsidR="000F661B" w:rsidRPr="0049743C">
        <w:rPr>
          <w:sz w:val="28"/>
          <w:szCs w:val="28"/>
        </w:rPr>
        <w:t xml:space="preserve"> one</w:t>
      </w:r>
      <w:r w:rsidR="00C84B08" w:rsidRPr="0049743C">
        <w:rPr>
          <w:sz w:val="28"/>
          <w:szCs w:val="28"/>
        </w:rPr>
        <w:t xml:space="preserve"> before us) was</w:t>
      </w:r>
      <w:r w:rsidR="007C5A6B" w:rsidRPr="0049743C">
        <w:rPr>
          <w:sz w:val="28"/>
          <w:szCs w:val="28"/>
        </w:rPr>
        <w:t xml:space="preserve"> that the Judge</w:t>
      </w:r>
      <w:r w:rsidR="00C84B08" w:rsidRPr="0049743C">
        <w:rPr>
          <w:sz w:val="28"/>
          <w:szCs w:val="28"/>
        </w:rPr>
        <w:t xml:space="preserve"> erred in directing the jury that the statements </w:t>
      </w:r>
      <w:r w:rsidR="00F92396" w:rsidRPr="0049743C">
        <w:rPr>
          <w:sz w:val="28"/>
          <w:szCs w:val="28"/>
        </w:rPr>
        <w:t xml:space="preserve">made </w:t>
      </w:r>
      <w:r w:rsidR="00C84B08" w:rsidRPr="0049743C">
        <w:rPr>
          <w:sz w:val="28"/>
          <w:szCs w:val="28"/>
        </w:rPr>
        <w:t xml:space="preserve">by the </w:t>
      </w:r>
      <w:r w:rsidR="002B6EE1" w:rsidRPr="0049743C">
        <w:rPr>
          <w:sz w:val="28"/>
          <w:szCs w:val="28"/>
        </w:rPr>
        <w:t>Appellant</w:t>
      </w:r>
      <w:r w:rsidR="00C84B08" w:rsidRPr="0049743C">
        <w:rPr>
          <w:sz w:val="28"/>
          <w:szCs w:val="28"/>
        </w:rPr>
        <w:t xml:space="preserve"> to the psychiatrists were hearsay and no reliance could be placed upon </w:t>
      </w:r>
      <w:r w:rsidR="0045169F" w:rsidRPr="0049743C">
        <w:rPr>
          <w:sz w:val="28"/>
          <w:szCs w:val="28"/>
        </w:rPr>
        <w:t>them</w:t>
      </w:r>
      <w:r w:rsidR="007C5A6B" w:rsidRPr="0049743C">
        <w:rPr>
          <w:sz w:val="28"/>
          <w:szCs w:val="28"/>
        </w:rPr>
        <w:t xml:space="preserve">. </w:t>
      </w:r>
      <w:r w:rsidR="00C84B08" w:rsidRPr="0049743C">
        <w:rPr>
          <w:sz w:val="28"/>
          <w:szCs w:val="28"/>
        </w:rPr>
        <w:t xml:space="preserve">On 7 September 2021, the Court of Appeal </w:t>
      </w:r>
      <w:r w:rsidR="009844AA" w:rsidRPr="0049743C">
        <w:rPr>
          <w:sz w:val="28"/>
          <w:szCs w:val="28"/>
        </w:rPr>
        <w:t>dismissed</w:t>
      </w:r>
      <w:r w:rsidR="00C84B08" w:rsidRPr="0049743C">
        <w:rPr>
          <w:sz w:val="28"/>
          <w:szCs w:val="28"/>
        </w:rPr>
        <w:t xml:space="preserve"> the appeal</w:t>
      </w:r>
      <w:r w:rsidR="009844AA" w:rsidRPr="0049743C">
        <w:rPr>
          <w:sz w:val="28"/>
          <w:szCs w:val="28"/>
        </w:rPr>
        <w:t xml:space="preserve">.  </w:t>
      </w:r>
    </w:p>
    <w:p w:rsidR="00D315C7" w:rsidRPr="0049743C" w:rsidRDefault="00D315C7" w:rsidP="00F6462F">
      <w:pPr>
        <w:tabs>
          <w:tab w:val="left" w:pos="1440"/>
        </w:tabs>
        <w:spacing w:after="0" w:line="360" w:lineRule="auto"/>
        <w:jc w:val="both"/>
        <w:rPr>
          <w:sz w:val="28"/>
          <w:szCs w:val="28"/>
        </w:rPr>
      </w:pPr>
    </w:p>
    <w:p w:rsidR="009844AA"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C84B08" w:rsidRPr="0049743C">
        <w:rPr>
          <w:sz w:val="28"/>
          <w:szCs w:val="28"/>
        </w:rPr>
        <w:t xml:space="preserve">In a </w:t>
      </w:r>
      <w:r w:rsidR="005017CD" w:rsidRPr="0049743C">
        <w:rPr>
          <w:sz w:val="28"/>
          <w:szCs w:val="28"/>
        </w:rPr>
        <w:t>very detail</w:t>
      </w:r>
      <w:r w:rsidR="000C6A48">
        <w:rPr>
          <w:sz w:val="28"/>
          <w:szCs w:val="28"/>
        </w:rPr>
        <w:t>ed</w:t>
      </w:r>
      <w:r w:rsidR="005017CD" w:rsidRPr="0049743C">
        <w:rPr>
          <w:sz w:val="28"/>
          <w:szCs w:val="28"/>
        </w:rPr>
        <w:t xml:space="preserve"> and well-written judgment, t</w:t>
      </w:r>
      <w:r w:rsidR="009844AA" w:rsidRPr="0049743C">
        <w:rPr>
          <w:sz w:val="28"/>
          <w:szCs w:val="28"/>
        </w:rPr>
        <w:t xml:space="preserve">he Court of Appeal held that the Judge’s direction </w:t>
      </w:r>
      <w:r w:rsidR="00FF57EB" w:rsidRPr="0049743C">
        <w:rPr>
          <w:sz w:val="28"/>
          <w:szCs w:val="28"/>
        </w:rPr>
        <w:t>regarding</w:t>
      </w:r>
      <w:r w:rsidR="009844AA" w:rsidRPr="0049743C">
        <w:rPr>
          <w:sz w:val="28"/>
          <w:szCs w:val="28"/>
        </w:rPr>
        <w:t xml:space="preserve"> the</w:t>
      </w:r>
      <w:r w:rsidR="00FF57EB" w:rsidRPr="0049743C">
        <w:rPr>
          <w:sz w:val="28"/>
          <w:szCs w:val="28"/>
        </w:rPr>
        <w:t xml:space="preserve"> hearsay nature of the</w:t>
      </w:r>
      <w:r w:rsidR="009844AA" w:rsidRPr="0049743C">
        <w:rPr>
          <w:sz w:val="28"/>
          <w:szCs w:val="28"/>
        </w:rPr>
        <w:t xml:space="preserve"> statements made by the </w:t>
      </w:r>
      <w:r w:rsidR="000C6A48">
        <w:rPr>
          <w:sz w:val="28"/>
          <w:szCs w:val="28"/>
        </w:rPr>
        <w:t>A</w:t>
      </w:r>
      <w:r w:rsidR="002B6EE1" w:rsidRPr="0049743C">
        <w:rPr>
          <w:sz w:val="28"/>
          <w:szCs w:val="28"/>
        </w:rPr>
        <w:t>ppellant</w:t>
      </w:r>
      <w:r w:rsidR="009844AA" w:rsidRPr="0049743C">
        <w:rPr>
          <w:sz w:val="28"/>
          <w:szCs w:val="28"/>
        </w:rPr>
        <w:t xml:space="preserve"> to the psychiatrists was in accordance with the current state of the law </w:t>
      </w:r>
      <w:r w:rsidR="000A6E06" w:rsidRPr="0049743C">
        <w:rPr>
          <w:sz w:val="28"/>
          <w:szCs w:val="28"/>
        </w:rPr>
        <w:t>in</w:t>
      </w:r>
      <w:r w:rsidR="009844AA" w:rsidRPr="0049743C">
        <w:rPr>
          <w:sz w:val="28"/>
          <w:szCs w:val="28"/>
        </w:rPr>
        <w:t xml:space="preserve"> Hong Kong as set out in </w:t>
      </w:r>
      <w:r w:rsidR="009844AA" w:rsidRPr="0049743C">
        <w:rPr>
          <w:i/>
          <w:sz w:val="28"/>
          <w:szCs w:val="28"/>
        </w:rPr>
        <w:t>HKSAR v Kissel</w:t>
      </w:r>
      <w:r w:rsidR="009844AA" w:rsidRPr="00774953">
        <w:rPr>
          <w:rStyle w:val="FootnoteReference"/>
          <w:sz w:val="28"/>
          <w:szCs w:val="28"/>
        </w:rPr>
        <w:footnoteReference w:id="16"/>
      </w:r>
      <w:r w:rsidR="009844AA" w:rsidRPr="0049743C">
        <w:rPr>
          <w:sz w:val="28"/>
          <w:szCs w:val="28"/>
        </w:rPr>
        <w:t>.</w:t>
      </w:r>
      <w:r w:rsidR="007C5A6B" w:rsidRPr="0049743C">
        <w:rPr>
          <w:sz w:val="28"/>
          <w:szCs w:val="28"/>
        </w:rPr>
        <w:t xml:space="preserve"> </w:t>
      </w:r>
      <w:r w:rsidR="00C84B08" w:rsidRPr="0049743C">
        <w:rPr>
          <w:sz w:val="28"/>
          <w:szCs w:val="28"/>
        </w:rPr>
        <w:t xml:space="preserve">After </w:t>
      </w:r>
      <w:r w:rsidR="005017CD" w:rsidRPr="0049743C">
        <w:rPr>
          <w:sz w:val="28"/>
          <w:szCs w:val="28"/>
        </w:rPr>
        <w:t xml:space="preserve">a very full analysis of </w:t>
      </w:r>
      <w:r w:rsidR="007C5A6B" w:rsidRPr="0049743C">
        <w:rPr>
          <w:sz w:val="28"/>
          <w:szCs w:val="28"/>
        </w:rPr>
        <w:t xml:space="preserve">the </w:t>
      </w:r>
      <w:r w:rsidR="00FF57EB" w:rsidRPr="0049743C">
        <w:rPr>
          <w:sz w:val="28"/>
          <w:szCs w:val="28"/>
        </w:rPr>
        <w:t>authorities in England and Australia</w:t>
      </w:r>
      <w:r w:rsidR="00FF57EB" w:rsidRPr="0049743C">
        <w:rPr>
          <w:rStyle w:val="FootnoteReference"/>
          <w:sz w:val="28"/>
          <w:szCs w:val="28"/>
        </w:rPr>
        <w:footnoteReference w:id="17"/>
      </w:r>
      <w:r w:rsidR="00FF57EB" w:rsidRPr="0049743C">
        <w:rPr>
          <w:sz w:val="28"/>
          <w:szCs w:val="28"/>
        </w:rPr>
        <w:t>,</w:t>
      </w:r>
      <w:r w:rsidR="007C5A6B" w:rsidRPr="0049743C">
        <w:rPr>
          <w:i/>
          <w:sz w:val="28"/>
          <w:szCs w:val="28"/>
        </w:rPr>
        <w:t xml:space="preserve"> </w:t>
      </w:r>
      <w:r w:rsidR="00C84B08" w:rsidRPr="0049743C">
        <w:rPr>
          <w:sz w:val="28"/>
          <w:szCs w:val="28"/>
        </w:rPr>
        <w:t xml:space="preserve">the Court of Appeal </w:t>
      </w:r>
      <w:r w:rsidR="009844AA" w:rsidRPr="0049743C">
        <w:rPr>
          <w:sz w:val="28"/>
          <w:szCs w:val="28"/>
        </w:rPr>
        <w:t xml:space="preserve">held that the </w:t>
      </w:r>
      <w:r w:rsidR="007C5A6B" w:rsidRPr="0049743C">
        <w:rPr>
          <w:sz w:val="28"/>
          <w:szCs w:val="28"/>
        </w:rPr>
        <w:t xml:space="preserve">Judge’s </w:t>
      </w:r>
      <w:r w:rsidR="009844AA" w:rsidRPr="0049743C">
        <w:rPr>
          <w:sz w:val="28"/>
          <w:szCs w:val="28"/>
        </w:rPr>
        <w:t>direction was in accordance with the uniform view of the common law in</w:t>
      </w:r>
      <w:r w:rsidR="00051776" w:rsidRPr="0049743C">
        <w:rPr>
          <w:sz w:val="28"/>
          <w:szCs w:val="28"/>
        </w:rPr>
        <w:t xml:space="preserve"> those jurisdictions</w:t>
      </w:r>
      <w:r w:rsidR="009844AA" w:rsidRPr="0049743C">
        <w:rPr>
          <w:rStyle w:val="FootnoteReference"/>
          <w:sz w:val="28"/>
          <w:szCs w:val="28"/>
        </w:rPr>
        <w:footnoteReference w:id="18"/>
      </w:r>
      <w:r w:rsidR="009844AA" w:rsidRPr="0049743C">
        <w:rPr>
          <w:sz w:val="28"/>
          <w:szCs w:val="28"/>
        </w:rPr>
        <w:t>.</w:t>
      </w:r>
    </w:p>
    <w:p w:rsidR="009844AA"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lastRenderedPageBreak/>
        <w:tab/>
      </w:r>
      <w:r w:rsidR="007C5A6B" w:rsidRPr="0049743C">
        <w:rPr>
          <w:sz w:val="28"/>
          <w:szCs w:val="28"/>
        </w:rPr>
        <w:t>However</w:t>
      </w:r>
      <w:r w:rsidR="009844AA" w:rsidRPr="0049743C">
        <w:rPr>
          <w:sz w:val="28"/>
          <w:szCs w:val="28"/>
        </w:rPr>
        <w:t>, the C</w:t>
      </w:r>
      <w:r w:rsidR="00EE55F7" w:rsidRPr="0049743C">
        <w:rPr>
          <w:sz w:val="28"/>
          <w:szCs w:val="28"/>
        </w:rPr>
        <w:t xml:space="preserve">ourt of </w:t>
      </w:r>
      <w:r w:rsidR="009844AA" w:rsidRPr="0049743C">
        <w:rPr>
          <w:sz w:val="28"/>
          <w:szCs w:val="28"/>
        </w:rPr>
        <w:t>A</w:t>
      </w:r>
      <w:r w:rsidR="00EE55F7" w:rsidRPr="0049743C">
        <w:rPr>
          <w:sz w:val="28"/>
          <w:szCs w:val="28"/>
        </w:rPr>
        <w:t>ppeal</w:t>
      </w:r>
      <w:r w:rsidR="009844AA" w:rsidRPr="0049743C">
        <w:rPr>
          <w:sz w:val="28"/>
          <w:szCs w:val="28"/>
        </w:rPr>
        <w:t xml:space="preserve"> found the current position to be unsatisfa</w:t>
      </w:r>
      <w:r w:rsidR="009A4E21" w:rsidRPr="0049743C">
        <w:rPr>
          <w:sz w:val="28"/>
          <w:szCs w:val="28"/>
        </w:rPr>
        <w:t>ctory for the following reasons:</w:t>
      </w:r>
    </w:p>
    <w:p w:rsidR="009844AA" w:rsidRPr="0049743C" w:rsidRDefault="00241020" w:rsidP="00F6462F">
      <w:pPr>
        <w:numPr>
          <w:ilvl w:val="0"/>
          <w:numId w:val="2"/>
        </w:numPr>
        <w:tabs>
          <w:tab w:val="left" w:pos="1440"/>
        </w:tabs>
        <w:spacing w:before="120" w:after="0" w:line="360" w:lineRule="auto"/>
        <w:ind w:left="1440" w:hanging="720"/>
        <w:jc w:val="both"/>
        <w:rPr>
          <w:sz w:val="28"/>
          <w:szCs w:val="28"/>
        </w:rPr>
      </w:pPr>
      <w:r w:rsidRPr="0049743C">
        <w:rPr>
          <w:sz w:val="28"/>
          <w:szCs w:val="28"/>
        </w:rPr>
        <w:t>W</w:t>
      </w:r>
      <w:r w:rsidR="009844AA" w:rsidRPr="0049743C">
        <w:rPr>
          <w:sz w:val="28"/>
          <w:szCs w:val="28"/>
        </w:rPr>
        <w:t>he</w:t>
      </w:r>
      <w:r w:rsidRPr="0049743C">
        <w:rPr>
          <w:sz w:val="28"/>
          <w:szCs w:val="28"/>
        </w:rPr>
        <w:t>n</w:t>
      </w:r>
      <w:r w:rsidR="009844AA" w:rsidRPr="0049743C">
        <w:rPr>
          <w:sz w:val="28"/>
          <w:szCs w:val="28"/>
        </w:rPr>
        <w:t xml:space="preserve"> an accused is not fit to testify due to his medical condition, it may prevent him from advancing his defence of </w:t>
      </w:r>
      <w:r w:rsidR="00EE55F7" w:rsidRPr="0049743C">
        <w:rPr>
          <w:sz w:val="28"/>
          <w:szCs w:val="28"/>
        </w:rPr>
        <w:t>diminished responsibility</w:t>
      </w:r>
      <w:r w:rsidR="009844AA" w:rsidRPr="0049743C">
        <w:rPr>
          <w:sz w:val="28"/>
          <w:szCs w:val="28"/>
        </w:rPr>
        <w:t>. This would be a disproportionate response created by the inflexible application of the hearsay rule</w:t>
      </w:r>
      <w:r w:rsidR="009844AA" w:rsidRPr="0049743C">
        <w:rPr>
          <w:rStyle w:val="FootnoteReference"/>
          <w:sz w:val="28"/>
          <w:szCs w:val="28"/>
        </w:rPr>
        <w:footnoteReference w:id="19"/>
      </w:r>
      <w:r w:rsidR="009844AA" w:rsidRPr="0049743C">
        <w:rPr>
          <w:sz w:val="28"/>
          <w:szCs w:val="28"/>
        </w:rPr>
        <w:t>;</w:t>
      </w:r>
    </w:p>
    <w:p w:rsidR="009A4E21" w:rsidRPr="0049743C" w:rsidRDefault="009A4E21" w:rsidP="009A4E21">
      <w:pPr>
        <w:tabs>
          <w:tab w:val="left" w:pos="1440"/>
        </w:tabs>
        <w:spacing w:after="0" w:line="360" w:lineRule="auto"/>
        <w:ind w:left="720" w:right="-90"/>
        <w:jc w:val="both"/>
        <w:rPr>
          <w:sz w:val="28"/>
          <w:szCs w:val="28"/>
        </w:rPr>
      </w:pPr>
    </w:p>
    <w:p w:rsidR="009844AA" w:rsidRPr="0049743C" w:rsidRDefault="009844AA" w:rsidP="00F6462F">
      <w:pPr>
        <w:numPr>
          <w:ilvl w:val="0"/>
          <w:numId w:val="2"/>
        </w:numPr>
        <w:tabs>
          <w:tab w:val="left" w:pos="1440"/>
        </w:tabs>
        <w:spacing w:after="0" w:line="360" w:lineRule="auto"/>
        <w:ind w:left="1440" w:hanging="720"/>
        <w:jc w:val="both"/>
        <w:rPr>
          <w:sz w:val="28"/>
          <w:szCs w:val="28"/>
        </w:rPr>
      </w:pPr>
      <w:r w:rsidRPr="0049743C">
        <w:rPr>
          <w:sz w:val="28"/>
          <w:szCs w:val="28"/>
        </w:rPr>
        <w:t>As the statements were included in the expert reports, the jury would not be able to understand or apply the direction</w:t>
      </w:r>
      <w:r w:rsidR="00FC3A35" w:rsidRPr="0049743C">
        <w:rPr>
          <w:sz w:val="28"/>
          <w:szCs w:val="28"/>
        </w:rPr>
        <w:t xml:space="preserve"> given under the </w:t>
      </w:r>
      <w:r w:rsidR="00FF57EB" w:rsidRPr="0049743C">
        <w:rPr>
          <w:sz w:val="28"/>
          <w:szCs w:val="28"/>
        </w:rPr>
        <w:t>hearsay rule</w:t>
      </w:r>
      <w:r w:rsidRPr="0049743C">
        <w:rPr>
          <w:sz w:val="28"/>
          <w:szCs w:val="28"/>
        </w:rPr>
        <w:t>. In effect, they would be taken as being directed to ignore the expert opinions</w:t>
      </w:r>
      <w:r w:rsidRPr="0049743C">
        <w:rPr>
          <w:rStyle w:val="FootnoteReference"/>
          <w:sz w:val="28"/>
          <w:szCs w:val="28"/>
        </w:rPr>
        <w:footnoteReference w:id="20"/>
      </w:r>
      <w:r w:rsidRPr="0049743C">
        <w:rPr>
          <w:sz w:val="28"/>
          <w:szCs w:val="28"/>
        </w:rPr>
        <w:t>.</w:t>
      </w:r>
    </w:p>
    <w:p w:rsidR="001C2428" w:rsidRPr="0049743C" w:rsidRDefault="001C2428" w:rsidP="00F6462F">
      <w:pPr>
        <w:tabs>
          <w:tab w:val="left" w:pos="1440"/>
        </w:tabs>
        <w:spacing w:after="0" w:line="360" w:lineRule="auto"/>
        <w:ind w:left="720"/>
        <w:jc w:val="both"/>
        <w:rPr>
          <w:sz w:val="28"/>
          <w:szCs w:val="28"/>
        </w:rPr>
      </w:pPr>
    </w:p>
    <w:p w:rsidR="009844AA"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FF57EB" w:rsidRPr="0049743C">
        <w:rPr>
          <w:sz w:val="28"/>
          <w:szCs w:val="28"/>
        </w:rPr>
        <w:t>Drawing an analogy with the direction for mixed statement</w:t>
      </w:r>
      <w:r w:rsidR="0045169F" w:rsidRPr="0049743C">
        <w:rPr>
          <w:sz w:val="28"/>
          <w:szCs w:val="28"/>
        </w:rPr>
        <w:t>s</w:t>
      </w:r>
      <w:r w:rsidR="00FF57EB" w:rsidRPr="0049743C">
        <w:rPr>
          <w:sz w:val="28"/>
          <w:szCs w:val="28"/>
        </w:rPr>
        <w:t xml:space="preserve"> endorsed by the House of Lords in </w:t>
      </w:r>
      <w:r w:rsidR="009844AA" w:rsidRPr="0049743C">
        <w:rPr>
          <w:i/>
          <w:sz w:val="28"/>
          <w:szCs w:val="28"/>
        </w:rPr>
        <w:t>R v Sharp</w:t>
      </w:r>
      <w:r w:rsidR="004641F8">
        <w:rPr>
          <w:i/>
          <w:sz w:val="28"/>
          <w:szCs w:val="28"/>
        </w:rPr>
        <w:t xml:space="preserve"> (Colin)</w:t>
      </w:r>
      <w:r w:rsidR="009844AA" w:rsidRPr="004641F8">
        <w:rPr>
          <w:rStyle w:val="FootnoteReference"/>
          <w:sz w:val="28"/>
          <w:szCs w:val="28"/>
        </w:rPr>
        <w:footnoteReference w:id="21"/>
      </w:r>
      <w:r w:rsidR="009844AA" w:rsidRPr="0049743C">
        <w:rPr>
          <w:sz w:val="28"/>
          <w:szCs w:val="28"/>
        </w:rPr>
        <w:t xml:space="preserve">, </w:t>
      </w:r>
      <w:r w:rsidR="00873AF6" w:rsidRPr="0049743C">
        <w:rPr>
          <w:sz w:val="28"/>
          <w:szCs w:val="28"/>
        </w:rPr>
        <w:t xml:space="preserve">the </w:t>
      </w:r>
      <w:r w:rsidR="009844AA" w:rsidRPr="0049743C">
        <w:rPr>
          <w:sz w:val="28"/>
          <w:szCs w:val="28"/>
        </w:rPr>
        <w:t>C</w:t>
      </w:r>
      <w:r w:rsidR="00873AF6" w:rsidRPr="0049743C">
        <w:rPr>
          <w:sz w:val="28"/>
          <w:szCs w:val="28"/>
        </w:rPr>
        <w:t xml:space="preserve">ourt of </w:t>
      </w:r>
      <w:r w:rsidR="009844AA" w:rsidRPr="0049743C">
        <w:rPr>
          <w:sz w:val="28"/>
          <w:szCs w:val="28"/>
        </w:rPr>
        <w:t>A</w:t>
      </w:r>
      <w:r w:rsidR="00873AF6" w:rsidRPr="0049743C">
        <w:rPr>
          <w:sz w:val="28"/>
          <w:szCs w:val="28"/>
        </w:rPr>
        <w:t>ppeal</w:t>
      </w:r>
      <w:r w:rsidR="009844AA" w:rsidRPr="0049743C">
        <w:rPr>
          <w:sz w:val="28"/>
          <w:szCs w:val="28"/>
        </w:rPr>
        <w:t xml:space="preserve"> suggested </w:t>
      </w:r>
      <w:r w:rsidR="00EE55F7" w:rsidRPr="0049743C">
        <w:rPr>
          <w:sz w:val="28"/>
          <w:szCs w:val="28"/>
        </w:rPr>
        <w:t xml:space="preserve">that it </w:t>
      </w:r>
      <w:r w:rsidR="00450B09" w:rsidRPr="0049743C">
        <w:rPr>
          <w:sz w:val="28"/>
          <w:szCs w:val="28"/>
        </w:rPr>
        <w:t>would</w:t>
      </w:r>
      <w:r w:rsidR="00EE55F7" w:rsidRPr="0049743C">
        <w:rPr>
          <w:sz w:val="28"/>
          <w:szCs w:val="28"/>
        </w:rPr>
        <w:t xml:space="preserve"> be better</w:t>
      </w:r>
      <w:r w:rsidR="009844AA" w:rsidRPr="0049743C">
        <w:rPr>
          <w:sz w:val="28"/>
          <w:szCs w:val="28"/>
        </w:rPr>
        <w:t xml:space="preserve"> </w:t>
      </w:r>
      <w:r w:rsidR="00EE55F7" w:rsidRPr="0049743C">
        <w:rPr>
          <w:sz w:val="28"/>
          <w:szCs w:val="28"/>
        </w:rPr>
        <w:t xml:space="preserve">to </w:t>
      </w:r>
      <w:r w:rsidR="009844AA" w:rsidRPr="0049743C">
        <w:rPr>
          <w:sz w:val="28"/>
          <w:szCs w:val="28"/>
        </w:rPr>
        <w:t>direct</w:t>
      </w:r>
      <w:r w:rsidR="00EE55F7" w:rsidRPr="0049743C">
        <w:rPr>
          <w:sz w:val="28"/>
          <w:szCs w:val="28"/>
        </w:rPr>
        <w:t xml:space="preserve"> the jury </w:t>
      </w:r>
      <w:r w:rsidR="009844AA" w:rsidRPr="0049743C">
        <w:rPr>
          <w:sz w:val="28"/>
          <w:szCs w:val="28"/>
        </w:rPr>
        <w:t xml:space="preserve">that the whole expert report is before them for them to determine where the truth lies, including the medical history recited by </w:t>
      </w:r>
      <w:r w:rsidR="00EE55F7" w:rsidRPr="0049743C">
        <w:rPr>
          <w:sz w:val="28"/>
          <w:szCs w:val="28"/>
        </w:rPr>
        <w:t>a</w:t>
      </w:r>
      <w:r w:rsidR="009844AA" w:rsidRPr="0049743C">
        <w:rPr>
          <w:sz w:val="28"/>
          <w:szCs w:val="28"/>
        </w:rPr>
        <w:t xml:space="preserve"> defendant to the psychiatrist. Where </w:t>
      </w:r>
      <w:r w:rsidR="00EE55F7" w:rsidRPr="0049743C">
        <w:rPr>
          <w:sz w:val="28"/>
          <w:szCs w:val="28"/>
        </w:rPr>
        <w:t>a</w:t>
      </w:r>
      <w:r w:rsidR="009844AA" w:rsidRPr="0049743C">
        <w:rPr>
          <w:sz w:val="28"/>
          <w:szCs w:val="28"/>
        </w:rPr>
        <w:t xml:space="preserve"> defendant </w:t>
      </w:r>
      <w:r w:rsidR="0045169F" w:rsidRPr="0049743C">
        <w:rPr>
          <w:sz w:val="28"/>
          <w:szCs w:val="28"/>
        </w:rPr>
        <w:t xml:space="preserve">does </w:t>
      </w:r>
      <w:r w:rsidR="009844AA" w:rsidRPr="0049743C">
        <w:rPr>
          <w:sz w:val="28"/>
          <w:szCs w:val="28"/>
        </w:rPr>
        <w:t xml:space="preserve">not give evidence at the trial in support of the medical history, the judge may comment that the jury is entitled to take that into account when determining what weight they should give to the medical history and that determination may affect their assessment of the expert opinion which is founded on that medical history. The judge </w:t>
      </w:r>
      <w:r w:rsidR="00EE55F7" w:rsidRPr="0049743C">
        <w:rPr>
          <w:sz w:val="28"/>
          <w:szCs w:val="28"/>
        </w:rPr>
        <w:t>i</w:t>
      </w:r>
      <w:r w:rsidR="009844AA" w:rsidRPr="0049743C">
        <w:rPr>
          <w:sz w:val="28"/>
          <w:szCs w:val="28"/>
        </w:rPr>
        <w:t xml:space="preserve">s also entitled to direct the jury that they may attach less weight to </w:t>
      </w:r>
      <w:r w:rsidR="00EE55F7" w:rsidRPr="0049743C">
        <w:rPr>
          <w:sz w:val="28"/>
          <w:szCs w:val="28"/>
        </w:rPr>
        <w:t>a</w:t>
      </w:r>
      <w:r w:rsidR="009844AA" w:rsidRPr="0049743C">
        <w:rPr>
          <w:sz w:val="28"/>
          <w:szCs w:val="28"/>
        </w:rPr>
        <w:t xml:space="preserve"> defendant’s out</w:t>
      </w:r>
      <w:r w:rsidR="000A6E06" w:rsidRPr="0049743C">
        <w:rPr>
          <w:sz w:val="28"/>
          <w:szCs w:val="28"/>
        </w:rPr>
        <w:t>-</w:t>
      </w:r>
      <w:r w:rsidR="009844AA" w:rsidRPr="0049743C">
        <w:rPr>
          <w:sz w:val="28"/>
          <w:szCs w:val="28"/>
        </w:rPr>
        <w:t>of</w:t>
      </w:r>
      <w:r w:rsidR="000A6E06" w:rsidRPr="0049743C">
        <w:rPr>
          <w:sz w:val="28"/>
          <w:szCs w:val="28"/>
        </w:rPr>
        <w:t>-</w:t>
      </w:r>
      <w:r w:rsidR="009844AA" w:rsidRPr="0049743C">
        <w:rPr>
          <w:sz w:val="28"/>
          <w:szCs w:val="28"/>
        </w:rPr>
        <w:t xml:space="preserve">court statement </w:t>
      </w:r>
      <w:r w:rsidR="009844AA" w:rsidRPr="0049743C">
        <w:rPr>
          <w:sz w:val="28"/>
          <w:szCs w:val="28"/>
        </w:rPr>
        <w:lastRenderedPageBreak/>
        <w:t xml:space="preserve">because it has not been tested by cross-examination. The judge </w:t>
      </w:r>
      <w:r w:rsidR="0045169F" w:rsidRPr="0049743C">
        <w:rPr>
          <w:sz w:val="28"/>
          <w:szCs w:val="28"/>
        </w:rPr>
        <w:t xml:space="preserve">may </w:t>
      </w:r>
      <w:r w:rsidR="009844AA" w:rsidRPr="0049743C">
        <w:rPr>
          <w:sz w:val="28"/>
          <w:szCs w:val="28"/>
        </w:rPr>
        <w:t xml:space="preserve">also comment that </w:t>
      </w:r>
      <w:r w:rsidR="00EE55F7" w:rsidRPr="0049743C">
        <w:rPr>
          <w:sz w:val="28"/>
          <w:szCs w:val="28"/>
        </w:rPr>
        <w:t>a</w:t>
      </w:r>
      <w:r w:rsidR="009844AA" w:rsidRPr="0049743C">
        <w:rPr>
          <w:sz w:val="28"/>
          <w:szCs w:val="28"/>
        </w:rPr>
        <w:t xml:space="preserve"> defendant bears the burden of pro</w:t>
      </w:r>
      <w:r w:rsidR="000C6A48">
        <w:rPr>
          <w:sz w:val="28"/>
          <w:szCs w:val="28"/>
        </w:rPr>
        <w:t>ving the defence of diminished responsibility</w:t>
      </w:r>
      <w:r w:rsidR="009844AA" w:rsidRPr="0049743C">
        <w:rPr>
          <w:sz w:val="28"/>
          <w:szCs w:val="28"/>
        </w:rPr>
        <w:t xml:space="preserve"> and could have provided evidence to prove the medical history had he chosen to do so. However, these comments would not be appropriate in cases where the defendant is medically unfit to give evidence</w:t>
      </w:r>
      <w:r w:rsidR="009844AA" w:rsidRPr="0049743C">
        <w:rPr>
          <w:rStyle w:val="FootnoteReference"/>
          <w:sz w:val="28"/>
          <w:szCs w:val="28"/>
        </w:rPr>
        <w:footnoteReference w:id="22"/>
      </w:r>
      <w:r w:rsidR="009844AA" w:rsidRPr="0049743C">
        <w:rPr>
          <w:sz w:val="28"/>
          <w:szCs w:val="28"/>
        </w:rPr>
        <w:t xml:space="preserve">. I shall call this the </w:t>
      </w:r>
      <w:r w:rsidR="004641F8">
        <w:rPr>
          <w:sz w:val="28"/>
          <w:szCs w:val="28"/>
        </w:rPr>
        <w:t>“</w:t>
      </w:r>
      <w:r w:rsidR="009844AA" w:rsidRPr="0049743C">
        <w:rPr>
          <w:sz w:val="28"/>
          <w:szCs w:val="28"/>
        </w:rPr>
        <w:t>Proposed New Approach</w:t>
      </w:r>
      <w:r w:rsidR="004641F8">
        <w:rPr>
          <w:sz w:val="28"/>
          <w:szCs w:val="28"/>
        </w:rPr>
        <w:t>”</w:t>
      </w:r>
      <w:r w:rsidR="009844AA" w:rsidRPr="0049743C">
        <w:rPr>
          <w:sz w:val="28"/>
          <w:szCs w:val="28"/>
        </w:rPr>
        <w:t>.</w:t>
      </w:r>
    </w:p>
    <w:p w:rsidR="009A4E21" w:rsidRPr="0049743C" w:rsidRDefault="009A4E21" w:rsidP="009A4E21">
      <w:pPr>
        <w:tabs>
          <w:tab w:val="left" w:pos="1440"/>
        </w:tabs>
        <w:spacing w:after="0" w:line="360" w:lineRule="auto"/>
        <w:ind w:right="-90"/>
        <w:jc w:val="both"/>
        <w:rPr>
          <w:sz w:val="28"/>
          <w:szCs w:val="28"/>
        </w:rPr>
      </w:pPr>
    </w:p>
    <w:p w:rsidR="009844AA" w:rsidRPr="0049743C" w:rsidRDefault="0049743C" w:rsidP="0049743C">
      <w:pPr>
        <w:numPr>
          <w:ilvl w:val="0"/>
          <w:numId w:val="12"/>
        </w:numPr>
        <w:tabs>
          <w:tab w:val="left" w:pos="1440"/>
        </w:tabs>
        <w:spacing w:after="0" w:line="360" w:lineRule="auto"/>
        <w:ind w:left="0" w:right="-90" w:firstLine="0"/>
        <w:jc w:val="both"/>
        <w:rPr>
          <w:sz w:val="28"/>
          <w:szCs w:val="28"/>
        </w:rPr>
      </w:pPr>
      <w:r>
        <w:rPr>
          <w:sz w:val="28"/>
          <w:szCs w:val="28"/>
        </w:rPr>
        <w:tab/>
      </w:r>
      <w:r w:rsidR="00D82799" w:rsidRPr="0049743C">
        <w:rPr>
          <w:sz w:val="28"/>
          <w:szCs w:val="28"/>
        </w:rPr>
        <w:t>The Court of Appeal</w:t>
      </w:r>
      <w:r w:rsidR="00444EA1" w:rsidRPr="0049743C">
        <w:rPr>
          <w:sz w:val="28"/>
          <w:szCs w:val="28"/>
        </w:rPr>
        <w:t xml:space="preserve"> certified the question set out in [</w:t>
      </w:r>
      <w:r w:rsidR="000C6A48">
        <w:rPr>
          <w:sz w:val="28"/>
          <w:szCs w:val="28"/>
        </w:rPr>
        <w:t>5</w:t>
      </w:r>
      <w:r w:rsidR="00444EA1" w:rsidRPr="0049743C">
        <w:rPr>
          <w:sz w:val="28"/>
          <w:szCs w:val="28"/>
        </w:rPr>
        <w:t>] above as it</w:t>
      </w:r>
      <w:r w:rsidR="00D82799" w:rsidRPr="0049743C">
        <w:rPr>
          <w:sz w:val="28"/>
          <w:szCs w:val="28"/>
        </w:rPr>
        <w:t xml:space="preserve"> </w:t>
      </w:r>
      <w:r w:rsidR="00051776" w:rsidRPr="0049743C">
        <w:rPr>
          <w:sz w:val="28"/>
          <w:szCs w:val="28"/>
        </w:rPr>
        <w:t>considered</w:t>
      </w:r>
      <w:r w:rsidR="00D82799" w:rsidRPr="0049743C">
        <w:rPr>
          <w:sz w:val="28"/>
          <w:szCs w:val="28"/>
        </w:rPr>
        <w:t xml:space="preserve"> </w:t>
      </w:r>
      <w:r w:rsidR="00444EA1" w:rsidRPr="0049743C">
        <w:rPr>
          <w:sz w:val="28"/>
          <w:szCs w:val="28"/>
        </w:rPr>
        <w:t>the application of the hearsay rule in respect of statements made to</w:t>
      </w:r>
      <w:r w:rsidR="00FC3A35" w:rsidRPr="0049743C">
        <w:rPr>
          <w:sz w:val="28"/>
          <w:szCs w:val="28"/>
        </w:rPr>
        <w:t xml:space="preserve"> a</w:t>
      </w:r>
      <w:r w:rsidR="00444EA1" w:rsidRPr="0049743C">
        <w:rPr>
          <w:sz w:val="28"/>
          <w:szCs w:val="28"/>
        </w:rPr>
        <w:t xml:space="preserve"> medical expert </w:t>
      </w:r>
      <w:r w:rsidR="0045169F" w:rsidRPr="0049743C">
        <w:rPr>
          <w:sz w:val="28"/>
          <w:szCs w:val="28"/>
        </w:rPr>
        <w:t xml:space="preserve">as raising </w:t>
      </w:r>
      <w:r w:rsidR="00444EA1" w:rsidRPr="0049743C">
        <w:rPr>
          <w:sz w:val="28"/>
          <w:szCs w:val="28"/>
        </w:rPr>
        <w:t>a question of law of great and general importance.</w:t>
      </w:r>
    </w:p>
    <w:p w:rsidR="009A4E21" w:rsidRPr="0049743C" w:rsidRDefault="009A4E21" w:rsidP="009A4E21">
      <w:pPr>
        <w:tabs>
          <w:tab w:val="left" w:pos="1440"/>
        </w:tabs>
        <w:spacing w:after="0" w:line="360" w:lineRule="auto"/>
        <w:ind w:right="-90"/>
        <w:jc w:val="both"/>
        <w:rPr>
          <w:sz w:val="28"/>
          <w:szCs w:val="28"/>
        </w:rPr>
      </w:pPr>
    </w:p>
    <w:p w:rsidR="009844AA" w:rsidRPr="0049743C" w:rsidRDefault="007E63BF" w:rsidP="00C51B43">
      <w:pPr>
        <w:tabs>
          <w:tab w:val="left" w:pos="1440"/>
        </w:tabs>
        <w:spacing w:after="0" w:line="360" w:lineRule="auto"/>
        <w:ind w:right="-90"/>
        <w:jc w:val="both"/>
        <w:rPr>
          <w:b/>
          <w:i/>
          <w:sz w:val="28"/>
          <w:szCs w:val="28"/>
        </w:rPr>
      </w:pPr>
      <w:r w:rsidRPr="0049743C">
        <w:rPr>
          <w:b/>
          <w:i/>
          <w:sz w:val="28"/>
          <w:szCs w:val="28"/>
        </w:rPr>
        <w:t xml:space="preserve">B. </w:t>
      </w:r>
      <w:r w:rsidR="001C2428" w:rsidRPr="0049743C">
        <w:rPr>
          <w:b/>
          <w:i/>
          <w:sz w:val="28"/>
          <w:szCs w:val="28"/>
        </w:rPr>
        <w:tab/>
      </w:r>
      <w:r w:rsidR="009844AA" w:rsidRPr="0049743C">
        <w:rPr>
          <w:b/>
          <w:i/>
          <w:sz w:val="28"/>
          <w:szCs w:val="28"/>
        </w:rPr>
        <w:t>The c</w:t>
      </w:r>
      <w:r w:rsidR="007A2EA5" w:rsidRPr="0049743C">
        <w:rPr>
          <w:b/>
          <w:i/>
          <w:sz w:val="28"/>
          <w:szCs w:val="28"/>
        </w:rPr>
        <w:t>ommon law position in Hong Kong</w:t>
      </w:r>
    </w:p>
    <w:p w:rsidR="007E63BF" w:rsidRPr="0049743C" w:rsidRDefault="007E63BF" w:rsidP="00BC27E5">
      <w:pPr>
        <w:tabs>
          <w:tab w:val="left" w:pos="1440"/>
        </w:tabs>
        <w:spacing w:after="0" w:line="360" w:lineRule="auto"/>
        <w:ind w:right="-86"/>
        <w:jc w:val="both"/>
        <w:rPr>
          <w:b/>
          <w:i/>
          <w:sz w:val="28"/>
          <w:szCs w:val="28"/>
        </w:rPr>
      </w:pPr>
      <w:r w:rsidRPr="0049743C">
        <w:rPr>
          <w:b/>
          <w:i/>
          <w:sz w:val="28"/>
          <w:szCs w:val="28"/>
        </w:rPr>
        <w:t xml:space="preserve">B.1 </w:t>
      </w:r>
      <w:r w:rsidR="009A4E21" w:rsidRPr="0049743C">
        <w:rPr>
          <w:b/>
          <w:i/>
          <w:sz w:val="28"/>
          <w:szCs w:val="28"/>
        </w:rPr>
        <w:tab/>
      </w:r>
      <w:r w:rsidRPr="0049743C">
        <w:rPr>
          <w:b/>
          <w:i/>
          <w:sz w:val="28"/>
          <w:szCs w:val="28"/>
        </w:rPr>
        <w:t xml:space="preserve">The nature and admissibility of a defendant’s statement </w:t>
      </w:r>
    </w:p>
    <w:p w:rsidR="00BC34F3" w:rsidRPr="0049743C" w:rsidRDefault="00E84459" w:rsidP="00CB44D4">
      <w:pPr>
        <w:numPr>
          <w:ilvl w:val="0"/>
          <w:numId w:val="12"/>
        </w:numPr>
        <w:tabs>
          <w:tab w:val="clear" w:pos="720"/>
          <w:tab w:val="left" w:pos="1440"/>
        </w:tabs>
        <w:spacing w:before="200" w:after="0" w:line="360" w:lineRule="auto"/>
        <w:ind w:left="0" w:firstLine="0"/>
        <w:jc w:val="both"/>
        <w:rPr>
          <w:sz w:val="28"/>
          <w:szCs w:val="28"/>
        </w:rPr>
      </w:pPr>
      <w:r w:rsidRPr="0049743C">
        <w:rPr>
          <w:sz w:val="28"/>
          <w:szCs w:val="28"/>
        </w:rPr>
        <w:t>T</w:t>
      </w:r>
      <w:r w:rsidR="00852547" w:rsidRPr="0049743C">
        <w:rPr>
          <w:sz w:val="28"/>
          <w:szCs w:val="28"/>
        </w:rPr>
        <w:t>he</w:t>
      </w:r>
      <w:r w:rsidRPr="0049743C">
        <w:rPr>
          <w:sz w:val="28"/>
          <w:szCs w:val="28"/>
        </w:rPr>
        <w:t xml:space="preserve"> first part of the</w:t>
      </w:r>
      <w:r w:rsidR="00852547" w:rsidRPr="0049743C">
        <w:rPr>
          <w:sz w:val="28"/>
          <w:szCs w:val="28"/>
        </w:rPr>
        <w:t xml:space="preserve"> certified </w:t>
      </w:r>
      <w:r w:rsidR="00FC3A35" w:rsidRPr="0049743C">
        <w:rPr>
          <w:sz w:val="28"/>
          <w:szCs w:val="28"/>
        </w:rPr>
        <w:t>q</w:t>
      </w:r>
      <w:r w:rsidR="00852547" w:rsidRPr="0049743C">
        <w:rPr>
          <w:sz w:val="28"/>
          <w:szCs w:val="28"/>
        </w:rPr>
        <w:t xml:space="preserve">uestion </w:t>
      </w:r>
      <w:r w:rsidR="00FC3A35" w:rsidRPr="0049743C">
        <w:rPr>
          <w:sz w:val="28"/>
          <w:szCs w:val="28"/>
        </w:rPr>
        <w:t>focuses on</w:t>
      </w:r>
      <w:r w:rsidR="00852547" w:rsidRPr="0049743C">
        <w:rPr>
          <w:sz w:val="28"/>
          <w:szCs w:val="28"/>
        </w:rPr>
        <w:t xml:space="preserve"> the nature</w:t>
      </w:r>
      <w:r w:rsidRPr="0049743C">
        <w:rPr>
          <w:sz w:val="28"/>
          <w:szCs w:val="28"/>
        </w:rPr>
        <w:t xml:space="preserve"> and admissibility </w:t>
      </w:r>
      <w:r w:rsidR="00852547" w:rsidRPr="0049743C">
        <w:rPr>
          <w:sz w:val="28"/>
          <w:szCs w:val="28"/>
        </w:rPr>
        <w:t xml:space="preserve">of an accused’s </w:t>
      </w:r>
      <w:r w:rsidR="00C027FF" w:rsidRPr="0049743C">
        <w:rPr>
          <w:sz w:val="28"/>
          <w:szCs w:val="28"/>
        </w:rPr>
        <w:t xml:space="preserve">out-of-court </w:t>
      </w:r>
      <w:r w:rsidR="00852547" w:rsidRPr="0049743C">
        <w:rPr>
          <w:sz w:val="28"/>
          <w:szCs w:val="28"/>
        </w:rPr>
        <w:t>statement to a medical expert</w:t>
      </w:r>
      <w:r w:rsidR="00BF7991" w:rsidRPr="0049743C">
        <w:rPr>
          <w:sz w:val="28"/>
          <w:szCs w:val="28"/>
        </w:rPr>
        <w:t xml:space="preserve"> </w:t>
      </w:r>
      <w:r w:rsidR="00852547" w:rsidRPr="0049743C">
        <w:rPr>
          <w:sz w:val="28"/>
          <w:szCs w:val="28"/>
        </w:rPr>
        <w:t xml:space="preserve">regarding his background and state of mind at the time of the offence. </w:t>
      </w:r>
      <w:r w:rsidR="0002393F" w:rsidRPr="0049743C">
        <w:rPr>
          <w:sz w:val="28"/>
          <w:szCs w:val="28"/>
        </w:rPr>
        <w:t>Since</w:t>
      </w:r>
      <w:r w:rsidR="0095317C" w:rsidRPr="0049743C">
        <w:rPr>
          <w:sz w:val="28"/>
          <w:szCs w:val="28"/>
        </w:rPr>
        <w:t xml:space="preserve"> such a statement by an accused is not his testimony at the trial and </w:t>
      </w:r>
      <w:r w:rsidR="0045169F" w:rsidRPr="0049743C">
        <w:rPr>
          <w:sz w:val="28"/>
          <w:szCs w:val="28"/>
        </w:rPr>
        <w:t xml:space="preserve">is </w:t>
      </w:r>
      <w:r w:rsidR="00F0187C" w:rsidRPr="0049743C">
        <w:rPr>
          <w:sz w:val="28"/>
          <w:szCs w:val="28"/>
        </w:rPr>
        <w:t>not</w:t>
      </w:r>
      <w:r w:rsidR="0095317C" w:rsidRPr="0049743C">
        <w:rPr>
          <w:sz w:val="28"/>
          <w:szCs w:val="28"/>
        </w:rPr>
        <w:t xml:space="preserve"> subject to any cross-examination</w:t>
      </w:r>
      <w:r w:rsidR="0002393F" w:rsidRPr="0049743C">
        <w:rPr>
          <w:sz w:val="28"/>
          <w:szCs w:val="28"/>
        </w:rPr>
        <w:t xml:space="preserve"> before the jury</w:t>
      </w:r>
      <w:r w:rsidR="0095317C" w:rsidRPr="0049743C">
        <w:rPr>
          <w:sz w:val="28"/>
          <w:szCs w:val="28"/>
        </w:rPr>
        <w:t>, it is a hearsay statement by nature insofar as it is deployed to prove the truth of its contents</w:t>
      </w:r>
      <w:r w:rsidR="0095317C" w:rsidRPr="0049743C">
        <w:rPr>
          <w:rStyle w:val="FootnoteReference"/>
          <w:sz w:val="28"/>
          <w:szCs w:val="28"/>
        </w:rPr>
        <w:footnoteReference w:id="23"/>
      </w:r>
      <w:r w:rsidR="0095317C" w:rsidRPr="0049743C">
        <w:rPr>
          <w:sz w:val="28"/>
          <w:szCs w:val="28"/>
        </w:rPr>
        <w:t xml:space="preserve">. </w:t>
      </w:r>
      <w:r w:rsidR="0002393F" w:rsidRPr="0049743C">
        <w:rPr>
          <w:sz w:val="28"/>
          <w:szCs w:val="28"/>
        </w:rPr>
        <w:t>On the other hand, if the statement is admitted</w:t>
      </w:r>
      <w:r w:rsidR="00C027FF" w:rsidRPr="0049743C">
        <w:rPr>
          <w:sz w:val="28"/>
          <w:szCs w:val="28"/>
        </w:rPr>
        <w:t xml:space="preserve"> only for the purpose of</w:t>
      </w:r>
      <w:r w:rsidR="0002393F" w:rsidRPr="0049743C">
        <w:rPr>
          <w:sz w:val="28"/>
          <w:szCs w:val="28"/>
        </w:rPr>
        <w:t xml:space="preserve"> show</w:t>
      </w:r>
      <w:r w:rsidR="00C027FF" w:rsidRPr="0049743C">
        <w:rPr>
          <w:sz w:val="28"/>
          <w:szCs w:val="28"/>
        </w:rPr>
        <w:t>ing</w:t>
      </w:r>
      <w:r w:rsidR="0002393F" w:rsidRPr="0049743C">
        <w:rPr>
          <w:sz w:val="28"/>
          <w:szCs w:val="28"/>
        </w:rPr>
        <w:t xml:space="preserve"> </w:t>
      </w:r>
      <w:r w:rsidR="00C027FF" w:rsidRPr="0049743C">
        <w:rPr>
          <w:sz w:val="28"/>
          <w:szCs w:val="28"/>
        </w:rPr>
        <w:t>what</w:t>
      </w:r>
      <w:r w:rsidR="0002393F" w:rsidRPr="0049743C">
        <w:rPr>
          <w:sz w:val="28"/>
          <w:szCs w:val="28"/>
        </w:rPr>
        <w:t xml:space="preserve"> the accused had </w:t>
      </w:r>
      <w:r w:rsidR="001413F3" w:rsidRPr="0049743C">
        <w:rPr>
          <w:sz w:val="28"/>
          <w:szCs w:val="28"/>
        </w:rPr>
        <w:t xml:space="preserve">said to </w:t>
      </w:r>
      <w:r w:rsidR="0002393F" w:rsidRPr="0049743C">
        <w:rPr>
          <w:sz w:val="28"/>
          <w:szCs w:val="28"/>
        </w:rPr>
        <w:t>an expert</w:t>
      </w:r>
      <w:r w:rsidR="001413F3" w:rsidRPr="0049743C">
        <w:rPr>
          <w:sz w:val="28"/>
          <w:szCs w:val="28"/>
        </w:rPr>
        <w:t xml:space="preserve"> as opposed to the truth of its contents</w:t>
      </w:r>
      <w:r w:rsidR="00C027FF" w:rsidRPr="0049743C">
        <w:rPr>
          <w:sz w:val="28"/>
          <w:szCs w:val="28"/>
        </w:rPr>
        <w:t>,</w:t>
      </w:r>
      <w:r w:rsidR="0002393F" w:rsidRPr="0049743C">
        <w:rPr>
          <w:sz w:val="28"/>
          <w:szCs w:val="28"/>
        </w:rPr>
        <w:t xml:space="preserve"> </w:t>
      </w:r>
      <w:r w:rsidR="00864429" w:rsidRPr="0049743C">
        <w:rPr>
          <w:sz w:val="28"/>
          <w:szCs w:val="28"/>
        </w:rPr>
        <w:t xml:space="preserve">it is not deployed for a </w:t>
      </w:r>
      <w:r w:rsidR="00F0187C" w:rsidRPr="0049743C">
        <w:rPr>
          <w:sz w:val="28"/>
          <w:szCs w:val="28"/>
        </w:rPr>
        <w:t xml:space="preserve">testimonial </w:t>
      </w:r>
      <w:r w:rsidR="00864429" w:rsidRPr="0049743C">
        <w:rPr>
          <w:sz w:val="28"/>
          <w:szCs w:val="28"/>
        </w:rPr>
        <w:t>purpose</w:t>
      </w:r>
      <w:r w:rsidR="00450B09" w:rsidRPr="0049743C">
        <w:rPr>
          <w:rStyle w:val="FootnoteReference"/>
          <w:sz w:val="28"/>
          <w:szCs w:val="28"/>
        </w:rPr>
        <w:footnoteReference w:id="24"/>
      </w:r>
      <w:r w:rsidR="00F0187C" w:rsidRPr="0049743C">
        <w:rPr>
          <w:sz w:val="28"/>
          <w:szCs w:val="28"/>
        </w:rPr>
        <w:t xml:space="preserve"> and is admissible without infringing the </w:t>
      </w:r>
      <w:r w:rsidR="00F0187C" w:rsidRPr="0049743C">
        <w:rPr>
          <w:sz w:val="28"/>
          <w:szCs w:val="28"/>
        </w:rPr>
        <w:lastRenderedPageBreak/>
        <w:t>hearsay rule</w:t>
      </w:r>
      <w:r w:rsidR="00864429" w:rsidRPr="0049743C">
        <w:rPr>
          <w:sz w:val="28"/>
          <w:szCs w:val="28"/>
        </w:rPr>
        <w:t xml:space="preserve">. If </w:t>
      </w:r>
      <w:r w:rsidR="00450B09" w:rsidRPr="0049743C">
        <w:rPr>
          <w:sz w:val="28"/>
          <w:szCs w:val="28"/>
        </w:rPr>
        <w:t>the statement</w:t>
      </w:r>
      <w:r w:rsidR="0002393F" w:rsidRPr="0049743C">
        <w:rPr>
          <w:sz w:val="28"/>
          <w:szCs w:val="28"/>
        </w:rPr>
        <w:t xml:space="preserve"> </w:t>
      </w:r>
      <w:r w:rsidR="00E80E4E" w:rsidRPr="0049743C">
        <w:rPr>
          <w:sz w:val="28"/>
          <w:szCs w:val="28"/>
        </w:rPr>
        <w:t>i</w:t>
      </w:r>
      <w:r w:rsidR="0002393F" w:rsidRPr="0049743C">
        <w:rPr>
          <w:sz w:val="28"/>
          <w:szCs w:val="28"/>
        </w:rPr>
        <w:t xml:space="preserve">s </w:t>
      </w:r>
      <w:r w:rsidR="00450B09" w:rsidRPr="0049743C">
        <w:rPr>
          <w:sz w:val="28"/>
          <w:szCs w:val="28"/>
        </w:rPr>
        <w:t>relevant</w:t>
      </w:r>
      <w:r w:rsidR="00BC34F3" w:rsidRPr="0049743C">
        <w:rPr>
          <w:sz w:val="28"/>
          <w:szCs w:val="28"/>
        </w:rPr>
        <w:t xml:space="preserve"> to</w:t>
      </w:r>
      <w:r w:rsidR="0002393F" w:rsidRPr="0049743C">
        <w:rPr>
          <w:sz w:val="28"/>
          <w:szCs w:val="28"/>
        </w:rPr>
        <w:t xml:space="preserve"> his assessment in coming to </w:t>
      </w:r>
      <w:r w:rsidR="00450B09" w:rsidRPr="0049743C">
        <w:rPr>
          <w:sz w:val="28"/>
          <w:szCs w:val="28"/>
        </w:rPr>
        <w:t>his conclusion</w:t>
      </w:r>
      <w:r w:rsidR="00864429" w:rsidRPr="0049743C">
        <w:rPr>
          <w:sz w:val="28"/>
          <w:szCs w:val="28"/>
        </w:rPr>
        <w:t>, the expert can refer to it in his evidence</w:t>
      </w:r>
      <w:r w:rsidR="00450B09" w:rsidRPr="0049743C">
        <w:rPr>
          <w:sz w:val="28"/>
          <w:szCs w:val="28"/>
        </w:rPr>
        <w:t xml:space="preserve"> as the basis of his opinion</w:t>
      </w:r>
      <w:r w:rsidR="00BC34F3" w:rsidRPr="0049743C">
        <w:rPr>
          <w:sz w:val="28"/>
          <w:szCs w:val="28"/>
        </w:rPr>
        <w:t>.</w:t>
      </w:r>
      <w:r w:rsidR="0095317C" w:rsidRPr="0049743C">
        <w:rPr>
          <w:sz w:val="28"/>
          <w:szCs w:val="28"/>
        </w:rPr>
        <w:t xml:space="preserve"> </w:t>
      </w:r>
    </w:p>
    <w:p w:rsidR="009A4E21" w:rsidRPr="0049743C" w:rsidRDefault="009A4E21" w:rsidP="009A4E21">
      <w:pPr>
        <w:tabs>
          <w:tab w:val="left" w:pos="1440"/>
        </w:tabs>
        <w:spacing w:before="120" w:after="0" w:line="360" w:lineRule="auto"/>
        <w:ind w:right="-86"/>
        <w:jc w:val="both"/>
        <w:rPr>
          <w:sz w:val="28"/>
          <w:szCs w:val="28"/>
        </w:rPr>
      </w:pPr>
    </w:p>
    <w:p w:rsidR="00BC34F3"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BC34F3" w:rsidRPr="0049743C">
        <w:rPr>
          <w:sz w:val="28"/>
          <w:szCs w:val="28"/>
        </w:rPr>
        <w:t>Th</w:t>
      </w:r>
      <w:r w:rsidR="00864429" w:rsidRPr="0049743C">
        <w:rPr>
          <w:sz w:val="28"/>
          <w:szCs w:val="28"/>
        </w:rPr>
        <w:t>is</w:t>
      </w:r>
      <w:r w:rsidR="00BC34F3" w:rsidRPr="0049743C">
        <w:rPr>
          <w:sz w:val="28"/>
          <w:szCs w:val="28"/>
        </w:rPr>
        <w:t xml:space="preserve"> common law rule as applied in Hong Kong is not in doubt. </w:t>
      </w:r>
      <w:r w:rsidR="00F0187C" w:rsidRPr="0049743C">
        <w:rPr>
          <w:sz w:val="28"/>
          <w:szCs w:val="28"/>
        </w:rPr>
        <w:t>B</w:t>
      </w:r>
      <w:r w:rsidR="00BC34F3" w:rsidRPr="0049743C">
        <w:rPr>
          <w:sz w:val="28"/>
          <w:szCs w:val="28"/>
        </w:rPr>
        <w:t>efore us</w:t>
      </w:r>
      <w:r w:rsidR="00F0187C" w:rsidRPr="0049743C">
        <w:rPr>
          <w:sz w:val="28"/>
          <w:szCs w:val="28"/>
        </w:rPr>
        <w:t>, in addition to the cases cited in the C</w:t>
      </w:r>
      <w:r w:rsidR="00991BAA" w:rsidRPr="0049743C">
        <w:rPr>
          <w:sz w:val="28"/>
          <w:szCs w:val="28"/>
        </w:rPr>
        <w:t xml:space="preserve">ourt of </w:t>
      </w:r>
      <w:r w:rsidR="00F0187C" w:rsidRPr="0049743C">
        <w:rPr>
          <w:sz w:val="28"/>
          <w:szCs w:val="28"/>
        </w:rPr>
        <w:t>A</w:t>
      </w:r>
      <w:r w:rsidR="00991BAA" w:rsidRPr="0049743C">
        <w:rPr>
          <w:sz w:val="28"/>
          <w:szCs w:val="28"/>
        </w:rPr>
        <w:t>ppeal</w:t>
      </w:r>
      <w:r w:rsidR="00F0187C" w:rsidRPr="0049743C">
        <w:rPr>
          <w:sz w:val="28"/>
          <w:szCs w:val="28"/>
        </w:rPr>
        <w:t xml:space="preserve">, counsel </w:t>
      </w:r>
      <w:r w:rsidR="00450B09" w:rsidRPr="0049743C">
        <w:rPr>
          <w:sz w:val="28"/>
          <w:szCs w:val="28"/>
        </w:rPr>
        <w:t xml:space="preserve">also </w:t>
      </w:r>
      <w:r w:rsidR="00F0187C" w:rsidRPr="0049743C">
        <w:rPr>
          <w:sz w:val="28"/>
          <w:szCs w:val="28"/>
        </w:rPr>
        <w:t>referred to Canadian authorities.</w:t>
      </w:r>
      <w:r w:rsidR="002D593D" w:rsidRPr="0049743C">
        <w:rPr>
          <w:sz w:val="28"/>
          <w:szCs w:val="28"/>
        </w:rPr>
        <w:t xml:space="preserve"> In Canada, a general exception to the hearsay rule based on necessity and reliability was developed</w:t>
      </w:r>
      <w:r w:rsidR="002D593D" w:rsidRPr="0049743C">
        <w:rPr>
          <w:rStyle w:val="FootnoteReference"/>
          <w:sz w:val="28"/>
          <w:szCs w:val="28"/>
        </w:rPr>
        <w:footnoteReference w:id="25"/>
      </w:r>
      <w:r w:rsidR="002D593D" w:rsidRPr="0049743C">
        <w:rPr>
          <w:sz w:val="28"/>
          <w:szCs w:val="28"/>
        </w:rPr>
        <w:t xml:space="preserve">. By reason of the suspect nature of a statement from an accused, the test laid down in </w:t>
      </w:r>
      <w:r w:rsidR="00190D80" w:rsidRPr="00190D80">
        <w:rPr>
          <w:i/>
          <w:sz w:val="28"/>
          <w:szCs w:val="28"/>
        </w:rPr>
        <w:t xml:space="preserve">R v </w:t>
      </w:r>
      <w:r w:rsidR="002D593D" w:rsidRPr="00190D80">
        <w:rPr>
          <w:i/>
          <w:sz w:val="28"/>
          <w:szCs w:val="28"/>
        </w:rPr>
        <w:t>Khan</w:t>
      </w:r>
      <w:r w:rsidR="002D593D" w:rsidRPr="0049743C">
        <w:rPr>
          <w:sz w:val="28"/>
          <w:szCs w:val="28"/>
        </w:rPr>
        <w:t xml:space="preserve"> could not be satisfied. Subject to that,</w:t>
      </w:r>
      <w:r w:rsidR="00F0187C" w:rsidRPr="0049743C">
        <w:rPr>
          <w:sz w:val="28"/>
          <w:szCs w:val="28"/>
        </w:rPr>
        <w:t xml:space="preserve"> </w:t>
      </w:r>
      <w:r w:rsidR="002D593D" w:rsidRPr="0049743C">
        <w:rPr>
          <w:sz w:val="28"/>
          <w:szCs w:val="28"/>
        </w:rPr>
        <w:t>t</w:t>
      </w:r>
      <w:r w:rsidR="00F0187C" w:rsidRPr="0049743C">
        <w:rPr>
          <w:sz w:val="28"/>
          <w:szCs w:val="28"/>
        </w:rPr>
        <w:t xml:space="preserve">he </w:t>
      </w:r>
      <w:r w:rsidR="00450B09" w:rsidRPr="0049743C">
        <w:rPr>
          <w:sz w:val="28"/>
          <w:szCs w:val="28"/>
        </w:rPr>
        <w:t xml:space="preserve">Canadian </w:t>
      </w:r>
      <w:r w:rsidR="00F0187C" w:rsidRPr="0049743C">
        <w:rPr>
          <w:sz w:val="28"/>
          <w:szCs w:val="28"/>
        </w:rPr>
        <w:t>Supreme Court took a position consistent with the t</w:t>
      </w:r>
      <w:r w:rsidR="00593D35" w:rsidRPr="0049743C">
        <w:rPr>
          <w:sz w:val="28"/>
          <w:szCs w:val="28"/>
        </w:rPr>
        <w:t>raditional common law approach</w:t>
      </w:r>
      <w:r w:rsidR="00BC34F3" w:rsidRPr="0049743C">
        <w:rPr>
          <w:rStyle w:val="FootnoteReference"/>
          <w:sz w:val="28"/>
          <w:szCs w:val="28"/>
        </w:rPr>
        <w:footnoteReference w:id="26"/>
      </w:r>
      <w:r w:rsidR="00593D35" w:rsidRPr="0049743C">
        <w:rPr>
          <w:sz w:val="28"/>
          <w:szCs w:val="28"/>
        </w:rPr>
        <w:t>.</w:t>
      </w:r>
      <w:r w:rsidR="00BC34F3" w:rsidRPr="0049743C">
        <w:rPr>
          <w:sz w:val="28"/>
          <w:szCs w:val="28"/>
        </w:rPr>
        <w:t xml:space="preserve"> </w:t>
      </w:r>
      <w:r w:rsidR="00593D35" w:rsidRPr="0049743C">
        <w:rPr>
          <w:sz w:val="28"/>
          <w:szCs w:val="28"/>
        </w:rPr>
        <w:t xml:space="preserve">For present purposes, </w:t>
      </w:r>
      <w:r w:rsidR="00BC34F3" w:rsidRPr="0049743C">
        <w:rPr>
          <w:sz w:val="28"/>
          <w:szCs w:val="28"/>
        </w:rPr>
        <w:t xml:space="preserve">it suffices to </w:t>
      </w:r>
      <w:r w:rsidR="00E74BB2" w:rsidRPr="0049743C">
        <w:rPr>
          <w:sz w:val="28"/>
          <w:szCs w:val="28"/>
        </w:rPr>
        <w:t xml:space="preserve">reiterate </w:t>
      </w:r>
      <w:r w:rsidR="00BC34F3" w:rsidRPr="0049743C">
        <w:rPr>
          <w:sz w:val="28"/>
          <w:szCs w:val="28"/>
        </w:rPr>
        <w:t xml:space="preserve">the rationale for admitting such </w:t>
      </w:r>
      <w:r w:rsidR="00190D80">
        <w:rPr>
          <w:sz w:val="28"/>
          <w:szCs w:val="28"/>
        </w:rPr>
        <w:t xml:space="preserve">a </w:t>
      </w:r>
      <w:r w:rsidR="00BC34F3" w:rsidRPr="0049743C">
        <w:rPr>
          <w:sz w:val="28"/>
          <w:szCs w:val="28"/>
        </w:rPr>
        <w:t>statement and its limitation</w:t>
      </w:r>
      <w:r w:rsidR="00E74BB2" w:rsidRPr="0049743C">
        <w:rPr>
          <w:sz w:val="28"/>
          <w:szCs w:val="28"/>
        </w:rPr>
        <w:t xml:space="preserve"> as</w:t>
      </w:r>
      <w:r w:rsidR="00190D80">
        <w:rPr>
          <w:sz w:val="28"/>
          <w:szCs w:val="28"/>
        </w:rPr>
        <w:t xml:space="preserve"> set out in the following often </w:t>
      </w:r>
      <w:r w:rsidR="00E74BB2" w:rsidRPr="0049743C">
        <w:rPr>
          <w:sz w:val="28"/>
          <w:szCs w:val="28"/>
        </w:rPr>
        <w:t>cited dicta</w:t>
      </w:r>
      <w:r w:rsidR="001076F3" w:rsidRPr="0049743C">
        <w:rPr>
          <w:sz w:val="28"/>
          <w:szCs w:val="28"/>
        </w:rPr>
        <w:t>:</w:t>
      </w:r>
    </w:p>
    <w:p w:rsidR="00BC34F3" w:rsidRPr="0049743C" w:rsidRDefault="003E721B" w:rsidP="00CB44D4">
      <w:pPr>
        <w:tabs>
          <w:tab w:val="left" w:pos="1440"/>
        </w:tabs>
        <w:spacing w:before="200" w:after="0" w:line="240" w:lineRule="auto"/>
        <w:ind w:left="1440" w:right="360" w:hanging="720"/>
        <w:jc w:val="both"/>
        <w:rPr>
          <w:szCs w:val="24"/>
        </w:rPr>
      </w:pPr>
      <w:r w:rsidRPr="0049743C" w:rsidDel="003E721B">
        <w:rPr>
          <w:szCs w:val="24"/>
        </w:rPr>
        <w:t xml:space="preserve"> </w:t>
      </w:r>
      <w:r w:rsidR="001076F3" w:rsidRPr="0049743C">
        <w:rPr>
          <w:szCs w:val="24"/>
        </w:rPr>
        <w:t>(a)</w:t>
      </w:r>
      <w:r w:rsidR="001076F3" w:rsidRPr="0049743C">
        <w:rPr>
          <w:szCs w:val="24"/>
        </w:rPr>
        <w:tab/>
      </w:r>
      <w:r w:rsidRPr="0049743C">
        <w:rPr>
          <w:szCs w:val="24"/>
        </w:rPr>
        <w:t>“</w:t>
      </w:r>
      <w:r w:rsidR="00BC34F3" w:rsidRPr="0049743C">
        <w:rPr>
          <w:szCs w:val="24"/>
        </w:rPr>
        <w:t>A sounder argument for admitting evidence of what the men had told the examining doctor might have been that it was part of the material on which he formed the opinion that he gave in evidence. When a physician’s diagnosis or opinion concerning his patient’s health or illness is receivable, he is ordinarily allowed to state the ‘history’ he got from the patient … This makes all statements made to an expert witness admissible if they are the foundation, or part of the foundation, of the expert opinion to which he testifies; but … such statements are not evidence of the existence in fact of past sensations, experiences and symptoms of the patient. Hearsay evidence does not become admissible to prove facts because the person who proposes to give it is a physician. And, if the man whom the physician examined refuses to confirm in the witness box what he said in the consulting room, then the physician’s opinion may have little or no value, for pa</w:t>
      </w:r>
      <w:r w:rsidR="001076F3" w:rsidRPr="0049743C">
        <w:rPr>
          <w:szCs w:val="24"/>
        </w:rPr>
        <w:t>rt of the basis of it has gone.</w:t>
      </w:r>
      <w:r w:rsidRPr="0049743C">
        <w:rPr>
          <w:szCs w:val="24"/>
        </w:rPr>
        <w:t>”</w:t>
      </w:r>
      <w:r w:rsidR="00BC34F3" w:rsidRPr="0049743C">
        <w:rPr>
          <w:rStyle w:val="FootnoteReference"/>
          <w:szCs w:val="24"/>
        </w:rPr>
        <w:footnoteReference w:id="27"/>
      </w:r>
      <w:r w:rsidR="00BC34F3" w:rsidRPr="0049743C">
        <w:rPr>
          <w:szCs w:val="24"/>
        </w:rPr>
        <w:t xml:space="preserve"> </w:t>
      </w:r>
    </w:p>
    <w:p w:rsidR="001076F3" w:rsidRPr="0049743C" w:rsidRDefault="001076F3" w:rsidP="001076F3">
      <w:pPr>
        <w:tabs>
          <w:tab w:val="left" w:pos="1440"/>
        </w:tabs>
        <w:spacing w:after="0" w:line="240" w:lineRule="auto"/>
        <w:ind w:left="1440" w:right="360" w:hanging="720"/>
        <w:jc w:val="both"/>
        <w:rPr>
          <w:szCs w:val="24"/>
        </w:rPr>
      </w:pPr>
    </w:p>
    <w:p w:rsidR="00991BAA" w:rsidRPr="0049743C" w:rsidRDefault="001076F3" w:rsidP="001076F3">
      <w:pPr>
        <w:tabs>
          <w:tab w:val="left" w:pos="1440"/>
        </w:tabs>
        <w:spacing w:after="0" w:line="240" w:lineRule="auto"/>
        <w:ind w:left="1440" w:right="360" w:hanging="720"/>
        <w:jc w:val="both"/>
        <w:rPr>
          <w:iCs/>
          <w:szCs w:val="24"/>
        </w:rPr>
      </w:pPr>
      <w:r w:rsidRPr="0049743C">
        <w:rPr>
          <w:szCs w:val="24"/>
        </w:rPr>
        <w:t>(b)</w:t>
      </w:r>
      <w:r w:rsidRPr="0049743C">
        <w:rPr>
          <w:szCs w:val="24"/>
        </w:rPr>
        <w:tab/>
      </w:r>
      <w:r w:rsidR="003E721B" w:rsidRPr="0049743C">
        <w:rPr>
          <w:szCs w:val="24"/>
        </w:rPr>
        <w:t>“</w:t>
      </w:r>
      <w:r w:rsidR="00BC34F3" w:rsidRPr="0049743C">
        <w:rPr>
          <w:szCs w:val="24"/>
        </w:rPr>
        <w:t xml:space="preserve">Thus, if the doctor’s opinion is based entirely on hearsay and is not supported by direct evidence, the judge will be justified in telling the jury that the defendant’s case (if that is so) is based upon a flimsy or </w:t>
      </w:r>
      <w:r w:rsidR="00BC34F3" w:rsidRPr="0049743C">
        <w:rPr>
          <w:szCs w:val="24"/>
        </w:rPr>
        <w:lastRenderedPageBreak/>
        <w:t xml:space="preserve">non-existent foundation and that they should reach their conclusion bearing that in mind. </w:t>
      </w:r>
      <w:r w:rsidR="00BC34F3" w:rsidRPr="0049743C">
        <w:rPr>
          <w:iCs/>
          <w:szCs w:val="24"/>
        </w:rPr>
        <w:t>In proper cases, for example where, as here, the</w:t>
      </w:r>
      <w:r w:rsidR="00BC34F3" w:rsidRPr="0049743C">
        <w:rPr>
          <w:szCs w:val="24"/>
        </w:rPr>
        <w:t xml:space="preserve"> </w:t>
      </w:r>
      <w:r w:rsidR="00BC34F3" w:rsidRPr="0049743C">
        <w:rPr>
          <w:iCs/>
          <w:szCs w:val="24"/>
        </w:rPr>
        <w:t>defendant</w:t>
      </w:r>
      <w:r w:rsidR="00BC34F3" w:rsidRPr="0049743C">
        <w:rPr>
          <w:szCs w:val="24"/>
        </w:rPr>
        <w:t xml:space="preserve"> </w:t>
      </w:r>
      <w:r w:rsidR="00BC34F3" w:rsidRPr="0049743C">
        <w:rPr>
          <w:iCs/>
          <w:szCs w:val="24"/>
        </w:rPr>
        <w:t>has completely recovered from any abnormality of mind by the time of the trial, there is no reason why the judge should not comment upon the fact that the</w:t>
      </w:r>
      <w:r w:rsidR="00BC34F3" w:rsidRPr="0049743C">
        <w:rPr>
          <w:szCs w:val="24"/>
        </w:rPr>
        <w:t xml:space="preserve"> </w:t>
      </w:r>
      <w:r w:rsidR="00BC34F3" w:rsidRPr="0049743C">
        <w:rPr>
          <w:iCs/>
          <w:szCs w:val="24"/>
        </w:rPr>
        <w:t>defendant</w:t>
      </w:r>
      <w:r w:rsidR="00BC34F3" w:rsidRPr="0049743C">
        <w:rPr>
          <w:szCs w:val="24"/>
        </w:rPr>
        <w:t xml:space="preserve"> </w:t>
      </w:r>
      <w:r w:rsidR="00BC34F3" w:rsidRPr="0049743C">
        <w:rPr>
          <w:iCs/>
          <w:szCs w:val="24"/>
        </w:rPr>
        <w:t>could have provided the necessary evidence had he wished to do so, the burden of proof being upon him.</w:t>
      </w:r>
      <w:r w:rsidR="003E721B" w:rsidRPr="0049743C">
        <w:rPr>
          <w:iCs/>
          <w:szCs w:val="24"/>
        </w:rPr>
        <w:t>”</w:t>
      </w:r>
      <w:r w:rsidR="00BC34F3" w:rsidRPr="0049743C">
        <w:rPr>
          <w:rStyle w:val="FootnoteReference"/>
          <w:iCs/>
          <w:szCs w:val="24"/>
        </w:rPr>
        <w:footnoteReference w:id="28"/>
      </w:r>
    </w:p>
    <w:p w:rsidR="001076F3" w:rsidRPr="0049743C" w:rsidRDefault="001076F3" w:rsidP="001076F3">
      <w:pPr>
        <w:tabs>
          <w:tab w:val="left" w:pos="1440"/>
        </w:tabs>
        <w:spacing w:after="0" w:line="240" w:lineRule="auto"/>
        <w:ind w:left="1440" w:right="360" w:hanging="720"/>
        <w:jc w:val="both"/>
        <w:rPr>
          <w:szCs w:val="24"/>
        </w:rPr>
      </w:pPr>
    </w:p>
    <w:p w:rsidR="00BC34F3" w:rsidRPr="0049743C" w:rsidRDefault="001076F3" w:rsidP="001076F3">
      <w:pPr>
        <w:tabs>
          <w:tab w:val="left" w:pos="1440"/>
        </w:tabs>
        <w:spacing w:after="0" w:line="240" w:lineRule="auto"/>
        <w:ind w:left="1440" w:right="360" w:hanging="720"/>
        <w:jc w:val="both"/>
        <w:rPr>
          <w:iCs/>
          <w:szCs w:val="24"/>
        </w:rPr>
      </w:pPr>
      <w:r w:rsidRPr="0049743C">
        <w:rPr>
          <w:iCs/>
          <w:szCs w:val="24"/>
        </w:rPr>
        <w:t>(c)</w:t>
      </w:r>
      <w:r w:rsidRPr="0049743C">
        <w:rPr>
          <w:iCs/>
          <w:szCs w:val="24"/>
        </w:rPr>
        <w:tab/>
      </w:r>
      <w:r w:rsidR="003E721B" w:rsidRPr="0049743C">
        <w:rPr>
          <w:iCs/>
          <w:szCs w:val="24"/>
        </w:rPr>
        <w:t>“</w:t>
      </w:r>
      <w:r w:rsidR="00991BAA" w:rsidRPr="0049743C">
        <w:rPr>
          <w:iCs/>
          <w:szCs w:val="24"/>
        </w:rPr>
        <w:t>Where … the information upon which an expert forms his or her opinion comes from the mouth of a party to the litigation, or from any other source that is inherently suspect, a court ought to require independent proof of that information. The lack of such proof will … have a direct effect on the weight to be given to the opinion, perhaps to the vanishing point. But it must be recognized that it will only be very rarely that an expert’s opinion is entirely based upon such information, with no independent proof of any of it. Where an expert’s opinion is based in part upon suspect information and in part upon either admitted facts or facts sought to be proved, the matter is purely one of weight.”</w:t>
      </w:r>
      <w:r w:rsidR="00991BAA" w:rsidRPr="0049743C">
        <w:rPr>
          <w:rStyle w:val="FootnoteReference"/>
          <w:iCs/>
          <w:szCs w:val="24"/>
        </w:rPr>
        <w:footnoteReference w:id="29"/>
      </w:r>
      <w:r w:rsidR="00BC34F3" w:rsidRPr="0049743C">
        <w:rPr>
          <w:iCs/>
          <w:szCs w:val="24"/>
        </w:rPr>
        <w:t xml:space="preserve"> </w:t>
      </w:r>
    </w:p>
    <w:p w:rsidR="001076F3" w:rsidRPr="0049743C" w:rsidRDefault="001076F3" w:rsidP="001076F3">
      <w:pPr>
        <w:tabs>
          <w:tab w:val="left" w:pos="1440"/>
        </w:tabs>
        <w:spacing w:after="0" w:line="360" w:lineRule="auto"/>
        <w:ind w:left="1440" w:right="360" w:hanging="720"/>
        <w:jc w:val="both"/>
        <w:rPr>
          <w:sz w:val="28"/>
          <w:szCs w:val="28"/>
        </w:rPr>
      </w:pPr>
    </w:p>
    <w:p w:rsidR="00513D92"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D44E35" w:rsidRPr="0049743C">
        <w:rPr>
          <w:sz w:val="28"/>
          <w:szCs w:val="28"/>
        </w:rPr>
        <w:t>In terms of the practice</w:t>
      </w:r>
      <w:r w:rsidR="001B768F" w:rsidRPr="0049743C">
        <w:rPr>
          <w:sz w:val="28"/>
          <w:szCs w:val="28"/>
        </w:rPr>
        <w:t xml:space="preserve"> and the case law</w:t>
      </w:r>
      <w:r w:rsidR="00D44E35" w:rsidRPr="0049743C">
        <w:rPr>
          <w:sz w:val="28"/>
          <w:szCs w:val="28"/>
        </w:rPr>
        <w:t xml:space="preserve"> in Hong Kong, the C</w:t>
      </w:r>
      <w:r w:rsidR="00513D92" w:rsidRPr="0049743C">
        <w:rPr>
          <w:sz w:val="28"/>
          <w:szCs w:val="28"/>
        </w:rPr>
        <w:t xml:space="preserve">ourt of </w:t>
      </w:r>
      <w:r w:rsidR="00D44E35" w:rsidRPr="0049743C">
        <w:rPr>
          <w:sz w:val="28"/>
          <w:szCs w:val="28"/>
        </w:rPr>
        <w:t>A</w:t>
      </w:r>
      <w:r w:rsidR="00513D92" w:rsidRPr="0049743C">
        <w:rPr>
          <w:sz w:val="28"/>
          <w:szCs w:val="28"/>
        </w:rPr>
        <w:t>ppeal</w:t>
      </w:r>
      <w:r w:rsidR="00D44E35" w:rsidRPr="0049743C">
        <w:rPr>
          <w:sz w:val="28"/>
          <w:szCs w:val="28"/>
        </w:rPr>
        <w:t xml:space="preserve"> referred to </w:t>
      </w:r>
      <w:r w:rsidR="001B768F" w:rsidRPr="0049743C">
        <w:rPr>
          <w:i/>
          <w:sz w:val="28"/>
          <w:szCs w:val="28"/>
        </w:rPr>
        <w:t xml:space="preserve">HKSAR v </w:t>
      </w:r>
      <w:r w:rsidR="00D44E35" w:rsidRPr="0049743C">
        <w:rPr>
          <w:i/>
          <w:sz w:val="28"/>
          <w:szCs w:val="28"/>
        </w:rPr>
        <w:t>Kissel</w:t>
      </w:r>
      <w:r w:rsidR="001B768F" w:rsidRPr="003D7D5C">
        <w:rPr>
          <w:rStyle w:val="FootnoteReference"/>
          <w:sz w:val="28"/>
          <w:szCs w:val="28"/>
        </w:rPr>
        <w:footnoteReference w:id="30"/>
      </w:r>
      <w:r w:rsidR="00D44E35" w:rsidRPr="0049743C">
        <w:rPr>
          <w:i/>
          <w:sz w:val="28"/>
          <w:szCs w:val="28"/>
        </w:rPr>
        <w:t xml:space="preserve"> </w:t>
      </w:r>
      <w:r w:rsidR="00D44E35" w:rsidRPr="0049743C">
        <w:rPr>
          <w:sz w:val="28"/>
          <w:szCs w:val="28"/>
        </w:rPr>
        <w:t>and the Specimen Directions</w:t>
      </w:r>
      <w:r w:rsidR="00B21E86" w:rsidRPr="0049743C">
        <w:rPr>
          <w:sz w:val="28"/>
          <w:szCs w:val="28"/>
        </w:rPr>
        <w:t xml:space="preserve"> on Expert Evidence</w:t>
      </w:r>
      <w:r w:rsidR="00D44E35" w:rsidRPr="0049743C">
        <w:rPr>
          <w:sz w:val="28"/>
          <w:szCs w:val="28"/>
        </w:rPr>
        <w:t xml:space="preserve"> published by the Judicial Institut</w:t>
      </w:r>
      <w:r w:rsidR="00190D80">
        <w:rPr>
          <w:sz w:val="28"/>
          <w:szCs w:val="28"/>
        </w:rPr>
        <w:t>e</w:t>
      </w:r>
      <w:r w:rsidR="00190D80">
        <w:rPr>
          <w:rStyle w:val="FootnoteReference"/>
          <w:sz w:val="28"/>
          <w:szCs w:val="28"/>
        </w:rPr>
        <w:footnoteReference w:id="31"/>
      </w:r>
      <w:r w:rsidR="00D44E35" w:rsidRPr="0049743C">
        <w:rPr>
          <w:sz w:val="28"/>
          <w:szCs w:val="28"/>
        </w:rPr>
        <w:t xml:space="preserve">. </w:t>
      </w:r>
      <w:r w:rsidR="00D44E35" w:rsidRPr="0049743C">
        <w:rPr>
          <w:i/>
          <w:sz w:val="28"/>
          <w:szCs w:val="28"/>
        </w:rPr>
        <w:t xml:space="preserve">Kissel </w:t>
      </w:r>
      <w:r w:rsidR="00D44E35" w:rsidRPr="0049743C">
        <w:rPr>
          <w:sz w:val="28"/>
          <w:szCs w:val="28"/>
        </w:rPr>
        <w:t>was not a case in which the defendant did not give evidence. She testified at the trial. The question of hearsay in a psychiatrist report arose</w:t>
      </w:r>
      <w:r w:rsidR="00DC151C" w:rsidRPr="0049743C">
        <w:rPr>
          <w:sz w:val="28"/>
          <w:szCs w:val="28"/>
        </w:rPr>
        <w:t xml:space="preserve"> </w:t>
      </w:r>
      <w:r w:rsidR="00D44E35" w:rsidRPr="0049743C">
        <w:rPr>
          <w:sz w:val="28"/>
          <w:szCs w:val="28"/>
        </w:rPr>
        <w:t xml:space="preserve">because </w:t>
      </w:r>
      <w:r w:rsidR="00132864" w:rsidRPr="0049743C">
        <w:rPr>
          <w:sz w:val="28"/>
          <w:szCs w:val="28"/>
        </w:rPr>
        <w:t xml:space="preserve">Dr Wong, </w:t>
      </w:r>
      <w:r w:rsidR="00D44E35" w:rsidRPr="0049743C">
        <w:rPr>
          <w:sz w:val="28"/>
          <w:szCs w:val="28"/>
        </w:rPr>
        <w:t>the psychiatrist</w:t>
      </w:r>
      <w:r w:rsidR="00132864" w:rsidRPr="0049743C">
        <w:rPr>
          <w:sz w:val="28"/>
          <w:szCs w:val="28"/>
        </w:rPr>
        <w:t xml:space="preserve"> called by the defendant</w:t>
      </w:r>
      <w:r w:rsidR="00DC151C" w:rsidRPr="0049743C">
        <w:rPr>
          <w:sz w:val="28"/>
          <w:szCs w:val="28"/>
        </w:rPr>
        <w:t xml:space="preserve">, </w:t>
      </w:r>
      <w:r w:rsidR="00E80E4E" w:rsidRPr="0049743C">
        <w:rPr>
          <w:sz w:val="28"/>
          <w:szCs w:val="28"/>
        </w:rPr>
        <w:t xml:space="preserve">made reference to </w:t>
      </w:r>
      <w:r w:rsidR="00DC151C" w:rsidRPr="0049743C">
        <w:rPr>
          <w:sz w:val="28"/>
          <w:szCs w:val="28"/>
        </w:rPr>
        <w:t>the opinion of another psychiatrist</w:t>
      </w:r>
      <w:r w:rsidR="00DF375A" w:rsidRPr="0049743C">
        <w:rPr>
          <w:sz w:val="28"/>
          <w:szCs w:val="28"/>
        </w:rPr>
        <w:t>,</w:t>
      </w:r>
      <w:r w:rsidR="00DC151C" w:rsidRPr="0049743C">
        <w:rPr>
          <w:sz w:val="28"/>
          <w:szCs w:val="28"/>
        </w:rPr>
        <w:t xml:space="preserve"> Dr Lui</w:t>
      </w:r>
      <w:r w:rsidR="00DF375A" w:rsidRPr="0049743C">
        <w:rPr>
          <w:sz w:val="28"/>
          <w:szCs w:val="28"/>
        </w:rPr>
        <w:t>,</w:t>
      </w:r>
      <w:r w:rsidR="00DC151C" w:rsidRPr="0049743C">
        <w:rPr>
          <w:sz w:val="28"/>
          <w:szCs w:val="28"/>
        </w:rPr>
        <w:t xml:space="preserve"> in his report. </w:t>
      </w:r>
      <w:r w:rsidR="00513D92" w:rsidRPr="0049743C">
        <w:rPr>
          <w:sz w:val="28"/>
          <w:szCs w:val="28"/>
        </w:rPr>
        <w:t xml:space="preserve">Dr Lui was a consultant psychiatrist of Castle Peak Hospital and he had previously given a report on </w:t>
      </w:r>
      <w:r w:rsidR="00D44E35" w:rsidRPr="0049743C">
        <w:rPr>
          <w:sz w:val="28"/>
          <w:szCs w:val="28"/>
        </w:rPr>
        <w:t>the defendant</w:t>
      </w:r>
      <w:r w:rsidR="00513D92" w:rsidRPr="0049743C">
        <w:rPr>
          <w:sz w:val="28"/>
          <w:szCs w:val="28"/>
        </w:rPr>
        <w:t>.</w:t>
      </w:r>
      <w:r w:rsidR="00D44E35" w:rsidRPr="0049743C">
        <w:rPr>
          <w:sz w:val="28"/>
          <w:szCs w:val="28"/>
        </w:rPr>
        <w:t xml:space="preserve"> </w:t>
      </w:r>
      <w:r w:rsidR="00513D92" w:rsidRPr="0049743C">
        <w:rPr>
          <w:sz w:val="28"/>
          <w:szCs w:val="28"/>
        </w:rPr>
        <w:t>N</w:t>
      </w:r>
      <w:r w:rsidR="00D44E35" w:rsidRPr="0049743C">
        <w:rPr>
          <w:sz w:val="28"/>
          <w:szCs w:val="28"/>
        </w:rPr>
        <w:t xml:space="preserve">either the prosecution nor the defence intended to call </w:t>
      </w:r>
      <w:r w:rsidR="00513D92" w:rsidRPr="0049743C">
        <w:rPr>
          <w:sz w:val="28"/>
          <w:szCs w:val="28"/>
        </w:rPr>
        <w:t xml:space="preserve">Dr Lui to give evidence </w:t>
      </w:r>
      <w:r w:rsidR="00D44E35" w:rsidRPr="0049743C">
        <w:rPr>
          <w:sz w:val="28"/>
          <w:szCs w:val="28"/>
        </w:rPr>
        <w:t>at the trial.</w:t>
      </w:r>
      <w:r w:rsidR="00513D92" w:rsidRPr="0049743C">
        <w:rPr>
          <w:sz w:val="28"/>
          <w:szCs w:val="28"/>
        </w:rPr>
        <w:t xml:space="preserve"> The purpose of the inclu</w:t>
      </w:r>
      <w:r w:rsidR="00AE2CA6" w:rsidRPr="0049743C">
        <w:rPr>
          <w:sz w:val="28"/>
          <w:szCs w:val="28"/>
        </w:rPr>
        <w:t>sion of</w:t>
      </w:r>
      <w:r w:rsidR="00513D92" w:rsidRPr="0049743C">
        <w:rPr>
          <w:sz w:val="28"/>
          <w:szCs w:val="28"/>
        </w:rPr>
        <w:t xml:space="preserve"> Dr Lui’s opinion in Dr Wong’s report was to support the cogency and reliability of the latter’s </w:t>
      </w:r>
      <w:r w:rsidR="00513D92" w:rsidRPr="0049743C">
        <w:rPr>
          <w:sz w:val="28"/>
          <w:szCs w:val="28"/>
        </w:rPr>
        <w:lastRenderedPageBreak/>
        <w:t>opinion. The prosecution objected to this part of Dr Wong’s report. The objection was upheld by the trial judge. That decision was affirmed by the Court of Appeal.</w:t>
      </w:r>
    </w:p>
    <w:p w:rsidR="00A2374A" w:rsidRPr="0049743C" w:rsidRDefault="00A2374A" w:rsidP="00A2374A">
      <w:pPr>
        <w:tabs>
          <w:tab w:val="left" w:pos="1440"/>
        </w:tabs>
        <w:spacing w:after="0" w:line="360" w:lineRule="auto"/>
        <w:ind w:right="-90"/>
        <w:jc w:val="both"/>
        <w:rPr>
          <w:sz w:val="28"/>
          <w:szCs w:val="28"/>
        </w:rPr>
      </w:pPr>
    </w:p>
    <w:p w:rsidR="00132864"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A90567" w:rsidRPr="0049743C">
        <w:rPr>
          <w:sz w:val="28"/>
          <w:szCs w:val="28"/>
        </w:rPr>
        <w:t>T</w:t>
      </w:r>
      <w:r w:rsidR="00132864" w:rsidRPr="0049743C">
        <w:rPr>
          <w:sz w:val="28"/>
          <w:szCs w:val="28"/>
        </w:rPr>
        <w:t xml:space="preserve">he Court of Appeal in </w:t>
      </w:r>
      <w:r w:rsidR="00132864" w:rsidRPr="0049743C">
        <w:rPr>
          <w:i/>
          <w:sz w:val="28"/>
          <w:szCs w:val="28"/>
        </w:rPr>
        <w:t>Kissel</w:t>
      </w:r>
      <w:r w:rsidR="00132864" w:rsidRPr="0049743C">
        <w:rPr>
          <w:sz w:val="28"/>
          <w:szCs w:val="28"/>
        </w:rPr>
        <w:t xml:space="preserve"> </w:t>
      </w:r>
      <w:r w:rsidR="00A90567" w:rsidRPr="0049743C">
        <w:rPr>
          <w:sz w:val="28"/>
          <w:szCs w:val="28"/>
        </w:rPr>
        <w:t>held that</w:t>
      </w:r>
      <w:r w:rsidR="00132864" w:rsidRPr="0049743C">
        <w:rPr>
          <w:sz w:val="28"/>
          <w:szCs w:val="28"/>
        </w:rPr>
        <w:t xml:space="preserve"> the introduction of the opinion of one expert (who would not testify before the jury) in the report of another expert</w:t>
      </w:r>
      <w:r w:rsidR="00190D80">
        <w:rPr>
          <w:sz w:val="28"/>
          <w:szCs w:val="28"/>
        </w:rPr>
        <w:t xml:space="preserve"> wa</w:t>
      </w:r>
      <w:r w:rsidR="00A90567" w:rsidRPr="0049743C">
        <w:rPr>
          <w:sz w:val="28"/>
          <w:szCs w:val="28"/>
        </w:rPr>
        <w:t>s objectionable and</w:t>
      </w:r>
      <w:r w:rsidR="00132864" w:rsidRPr="0049743C">
        <w:rPr>
          <w:sz w:val="28"/>
          <w:szCs w:val="28"/>
        </w:rPr>
        <w:t xml:space="preserve"> </w:t>
      </w:r>
      <w:r w:rsidR="00AE2CA6" w:rsidRPr="0049743C">
        <w:rPr>
          <w:sz w:val="28"/>
          <w:szCs w:val="28"/>
        </w:rPr>
        <w:t xml:space="preserve">the </w:t>
      </w:r>
      <w:r w:rsidR="00132864" w:rsidRPr="0049743C">
        <w:rPr>
          <w:sz w:val="28"/>
          <w:szCs w:val="28"/>
        </w:rPr>
        <w:t>reference</w:t>
      </w:r>
      <w:r w:rsidR="00A90567" w:rsidRPr="0049743C">
        <w:rPr>
          <w:sz w:val="28"/>
          <w:szCs w:val="28"/>
        </w:rPr>
        <w:t xml:space="preserve"> to </w:t>
      </w:r>
      <w:r w:rsidR="00DF375A" w:rsidRPr="0049743C">
        <w:rPr>
          <w:sz w:val="28"/>
          <w:szCs w:val="28"/>
        </w:rPr>
        <w:t xml:space="preserve">the </w:t>
      </w:r>
      <w:r w:rsidR="00A90567" w:rsidRPr="0049743C">
        <w:rPr>
          <w:sz w:val="28"/>
          <w:szCs w:val="28"/>
        </w:rPr>
        <w:t>non-testifying expert’s opinion</w:t>
      </w:r>
      <w:r w:rsidR="00132864" w:rsidRPr="0049743C">
        <w:rPr>
          <w:sz w:val="28"/>
          <w:szCs w:val="28"/>
        </w:rPr>
        <w:t xml:space="preserve"> should be excluded from the evidence to avoid confusin</w:t>
      </w:r>
      <w:r w:rsidR="00190D80">
        <w:rPr>
          <w:sz w:val="28"/>
          <w:szCs w:val="28"/>
        </w:rPr>
        <w:t>g</w:t>
      </w:r>
      <w:r w:rsidR="00132864" w:rsidRPr="0049743C">
        <w:rPr>
          <w:sz w:val="28"/>
          <w:szCs w:val="28"/>
        </w:rPr>
        <w:t xml:space="preserve"> the jury</w:t>
      </w:r>
      <w:r w:rsidR="00132864" w:rsidRPr="0049743C">
        <w:rPr>
          <w:rStyle w:val="FootnoteReference"/>
          <w:sz w:val="28"/>
          <w:szCs w:val="28"/>
        </w:rPr>
        <w:footnoteReference w:id="32"/>
      </w:r>
      <w:r w:rsidR="00132864" w:rsidRPr="0049743C">
        <w:rPr>
          <w:sz w:val="28"/>
          <w:szCs w:val="28"/>
        </w:rPr>
        <w:t xml:space="preserve">. </w:t>
      </w:r>
      <w:r w:rsidR="00A90567" w:rsidRPr="0049743C">
        <w:rPr>
          <w:sz w:val="28"/>
          <w:szCs w:val="28"/>
        </w:rPr>
        <w:t>After citing</w:t>
      </w:r>
      <w:r w:rsidR="00132864" w:rsidRPr="0049743C">
        <w:rPr>
          <w:sz w:val="28"/>
          <w:szCs w:val="28"/>
        </w:rPr>
        <w:t xml:space="preserve"> </w:t>
      </w:r>
      <w:r w:rsidR="00132864" w:rsidRPr="0049743C">
        <w:rPr>
          <w:i/>
          <w:sz w:val="28"/>
          <w:szCs w:val="28"/>
        </w:rPr>
        <w:t>Ramsay v Watson</w:t>
      </w:r>
      <w:r w:rsidR="00132864" w:rsidRPr="0049743C">
        <w:rPr>
          <w:sz w:val="28"/>
          <w:szCs w:val="28"/>
        </w:rPr>
        <w:t>, the Court of Appeal</w:t>
      </w:r>
      <w:r w:rsidR="00271EFD" w:rsidRPr="0049743C">
        <w:rPr>
          <w:sz w:val="28"/>
          <w:szCs w:val="28"/>
        </w:rPr>
        <w:t xml:space="preserve"> in </w:t>
      </w:r>
      <w:r w:rsidR="00271EFD" w:rsidRPr="0049743C">
        <w:rPr>
          <w:i/>
          <w:sz w:val="28"/>
          <w:szCs w:val="28"/>
        </w:rPr>
        <w:t>Kissel</w:t>
      </w:r>
      <w:r w:rsidR="00132864" w:rsidRPr="0049743C">
        <w:rPr>
          <w:sz w:val="28"/>
          <w:szCs w:val="28"/>
        </w:rPr>
        <w:t xml:space="preserve"> </w:t>
      </w:r>
      <w:r w:rsidR="00A90567" w:rsidRPr="0049743C">
        <w:rPr>
          <w:sz w:val="28"/>
          <w:szCs w:val="28"/>
        </w:rPr>
        <w:t xml:space="preserve">also </w:t>
      </w:r>
      <w:r w:rsidR="00132864" w:rsidRPr="0049743C">
        <w:rPr>
          <w:sz w:val="28"/>
          <w:szCs w:val="28"/>
        </w:rPr>
        <w:t xml:space="preserve">observed that what a defendant told the expert could not be evidence as to the truth of what she </w:t>
      </w:r>
      <w:r w:rsidR="00DF375A" w:rsidRPr="0049743C">
        <w:rPr>
          <w:sz w:val="28"/>
          <w:szCs w:val="28"/>
        </w:rPr>
        <w:t xml:space="preserve">had </w:t>
      </w:r>
      <w:r w:rsidR="00132864" w:rsidRPr="0049743C">
        <w:rPr>
          <w:sz w:val="28"/>
          <w:szCs w:val="28"/>
        </w:rPr>
        <w:t>said</w:t>
      </w:r>
      <w:r w:rsidR="00132864" w:rsidRPr="0049743C">
        <w:rPr>
          <w:rStyle w:val="FootnoteReference"/>
          <w:sz w:val="28"/>
          <w:szCs w:val="28"/>
        </w:rPr>
        <w:footnoteReference w:id="33"/>
      </w:r>
      <w:r w:rsidR="00132864" w:rsidRPr="0049743C">
        <w:rPr>
          <w:sz w:val="28"/>
          <w:szCs w:val="28"/>
        </w:rPr>
        <w:t>.</w:t>
      </w:r>
      <w:r w:rsidR="00271EFD" w:rsidRPr="0049743C">
        <w:rPr>
          <w:sz w:val="28"/>
          <w:szCs w:val="28"/>
        </w:rPr>
        <w:t xml:space="preserve"> </w:t>
      </w:r>
    </w:p>
    <w:p w:rsidR="00A2374A" w:rsidRPr="0049743C" w:rsidRDefault="00A2374A" w:rsidP="00A2374A">
      <w:pPr>
        <w:tabs>
          <w:tab w:val="left" w:pos="1440"/>
        </w:tabs>
        <w:spacing w:after="0" w:line="360" w:lineRule="auto"/>
        <w:ind w:right="-90"/>
        <w:jc w:val="both"/>
        <w:rPr>
          <w:sz w:val="28"/>
          <w:szCs w:val="28"/>
        </w:rPr>
      </w:pPr>
    </w:p>
    <w:p w:rsidR="00C760AD"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C760AD" w:rsidRPr="0049743C">
        <w:rPr>
          <w:sz w:val="28"/>
          <w:szCs w:val="28"/>
        </w:rPr>
        <w:t xml:space="preserve">The law as stated by the Court of Appeal in </w:t>
      </w:r>
      <w:r w:rsidR="00C760AD" w:rsidRPr="0049743C">
        <w:rPr>
          <w:i/>
          <w:sz w:val="28"/>
          <w:szCs w:val="28"/>
        </w:rPr>
        <w:t xml:space="preserve">Kissel </w:t>
      </w:r>
      <w:r w:rsidR="00E80E4E" w:rsidRPr="0049743C">
        <w:rPr>
          <w:sz w:val="28"/>
          <w:szCs w:val="28"/>
        </w:rPr>
        <w:t>accords</w:t>
      </w:r>
      <w:r w:rsidR="00C760AD" w:rsidRPr="0049743C">
        <w:rPr>
          <w:sz w:val="28"/>
          <w:szCs w:val="28"/>
        </w:rPr>
        <w:t xml:space="preserve"> with the common law position. Generally, </w:t>
      </w:r>
      <w:r w:rsidR="00E80E4E" w:rsidRPr="0049743C">
        <w:rPr>
          <w:sz w:val="28"/>
          <w:szCs w:val="28"/>
        </w:rPr>
        <w:t>trial</w:t>
      </w:r>
      <w:r w:rsidR="00C760AD" w:rsidRPr="0049743C">
        <w:rPr>
          <w:sz w:val="28"/>
          <w:szCs w:val="28"/>
        </w:rPr>
        <w:t xml:space="preserve"> </w:t>
      </w:r>
      <w:r w:rsidR="00E80E4E" w:rsidRPr="0049743C">
        <w:rPr>
          <w:sz w:val="28"/>
          <w:szCs w:val="28"/>
        </w:rPr>
        <w:t>judges in Hong Kong</w:t>
      </w:r>
      <w:r w:rsidR="00C760AD" w:rsidRPr="0049743C">
        <w:rPr>
          <w:sz w:val="28"/>
          <w:szCs w:val="28"/>
        </w:rPr>
        <w:t xml:space="preserve"> follow the guidance set out in the Specimen Directions </w:t>
      </w:r>
      <w:r w:rsidR="002C6E2E" w:rsidRPr="0049743C">
        <w:rPr>
          <w:sz w:val="28"/>
          <w:szCs w:val="28"/>
        </w:rPr>
        <w:t xml:space="preserve">on Expert Evidence </w:t>
      </w:r>
      <w:r w:rsidR="00C760AD" w:rsidRPr="0049743C">
        <w:rPr>
          <w:sz w:val="28"/>
          <w:szCs w:val="28"/>
        </w:rPr>
        <w:t>published by the Judicial Institute</w:t>
      </w:r>
      <w:r w:rsidR="00DD101B" w:rsidRPr="0049743C">
        <w:rPr>
          <w:rStyle w:val="FootnoteReference"/>
          <w:sz w:val="28"/>
          <w:szCs w:val="28"/>
        </w:rPr>
        <w:footnoteReference w:id="34"/>
      </w:r>
      <w:r w:rsidR="00E80E4E" w:rsidRPr="0049743C">
        <w:rPr>
          <w:sz w:val="28"/>
          <w:szCs w:val="28"/>
        </w:rPr>
        <w:t>.</w:t>
      </w:r>
      <w:r w:rsidR="00C760AD" w:rsidRPr="0049743C">
        <w:rPr>
          <w:sz w:val="28"/>
          <w:szCs w:val="28"/>
        </w:rPr>
        <w:t xml:space="preserve"> </w:t>
      </w:r>
      <w:r w:rsidR="00E80E4E" w:rsidRPr="0049743C">
        <w:rPr>
          <w:sz w:val="28"/>
          <w:szCs w:val="28"/>
        </w:rPr>
        <w:t>A</w:t>
      </w:r>
      <w:r w:rsidR="00C760AD" w:rsidRPr="0049743C">
        <w:rPr>
          <w:sz w:val="28"/>
          <w:szCs w:val="28"/>
        </w:rPr>
        <w:t xml:space="preserve">s </w:t>
      </w:r>
      <w:r w:rsidR="00A2374A" w:rsidRPr="0049743C">
        <w:rPr>
          <w:sz w:val="28"/>
          <w:szCs w:val="28"/>
        </w:rPr>
        <w:t>observed by the Court of Appeal:</w:t>
      </w:r>
    </w:p>
    <w:p w:rsidR="00A2374A" w:rsidRPr="0049743C" w:rsidRDefault="00C760AD" w:rsidP="00CB44D4">
      <w:pPr>
        <w:tabs>
          <w:tab w:val="left" w:pos="1440"/>
        </w:tabs>
        <w:spacing w:before="200" w:after="0" w:line="240" w:lineRule="auto"/>
        <w:ind w:left="720" w:right="360"/>
        <w:jc w:val="both"/>
        <w:rPr>
          <w:szCs w:val="24"/>
        </w:rPr>
      </w:pPr>
      <w:r w:rsidRPr="0049743C">
        <w:rPr>
          <w:szCs w:val="24"/>
        </w:rPr>
        <w:t>“…</w:t>
      </w:r>
      <w:r w:rsidR="00172BA6" w:rsidRPr="0049743C">
        <w:rPr>
          <w:szCs w:val="24"/>
        </w:rPr>
        <w:t xml:space="preserve"> </w:t>
      </w:r>
      <w:r w:rsidRPr="0049743C">
        <w:rPr>
          <w:szCs w:val="24"/>
        </w:rPr>
        <w:t>the practice in Hong Kong is to generally regard a failure by an accused to testify as going to the weight of the expert opinion evidence on which he relies, rather than its admissibility, with the jury being told to disregard it if they find the factual foundation for the opinion has not been proven.”</w:t>
      </w:r>
      <w:r w:rsidRPr="0049743C">
        <w:rPr>
          <w:rStyle w:val="FootnoteReference"/>
          <w:szCs w:val="24"/>
        </w:rPr>
        <w:footnoteReference w:id="35"/>
      </w:r>
      <w:r w:rsidRPr="0049743C">
        <w:rPr>
          <w:szCs w:val="24"/>
        </w:rPr>
        <w:t xml:space="preserve">   </w:t>
      </w:r>
    </w:p>
    <w:p w:rsidR="00D44E35" w:rsidRPr="0049743C" w:rsidRDefault="00D44E35" w:rsidP="00C51B43">
      <w:pPr>
        <w:tabs>
          <w:tab w:val="left" w:pos="1440"/>
        </w:tabs>
        <w:spacing w:after="0" w:line="360" w:lineRule="auto"/>
        <w:ind w:right="-90"/>
        <w:jc w:val="both"/>
        <w:rPr>
          <w:rFonts w:eastAsia="PMingLiU"/>
          <w:sz w:val="28"/>
          <w:szCs w:val="28"/>
          <w:lang w:eastAsia="zh-TW"/>
        </w:rPr>
      </w:pPr>
      <w:r w:rsidRPr="0049743C">
        <w:rPr>
          <w:sz w:val="28"/>
          <w:szCs w:val="28"/>
        </w:rPr>
        <w:t xml:space="preserve">   </w:t>
      </w:r>
    </w:p>
    <w:p w:rsidR="00BC34F3"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66499B" w:rsidRPr="0049743C">
        <w:rPr>
          <w:sz w:val="28"/>
          <w:szCs w:val="28"/>
        </w:rPr>
        <w:t xml:space="preserve">In his oral submissions, </w:t>
      </w:r>
      <w:r w:rsidR="00864429" w:rsidRPr="0049743C">
        <w:rPr>
          <w:sz w:val="28"/>
          <w:szCs w:val="28"/>
        </w:rPr>
        <w:t>Mr Chau</w:t>
      </w:r>
      <w:r w:rsidR="00C027FF" w:rsidRPr="0049743C">
        <w:rPr>
          <w:sz w:val="28"/>
          <w:szCs w:val="28"/>
        </w:rPr>
        <w:t xml:space="preserve"> SC</w:t>
      </w:r>
      <w:r w:rsidR="00C027FF" w:rsidRPr="0049743C">
        <w:rPr>
          <w:rStyle w:val="FootnoteReference"/>
          <w:sz w:val="28"/>
          <w:szCs w:val="28"/>
        </w:rPr>
        <w:footnoteReference w:id="36"/>
      </w:r>
      <w:r w:rsidR="00864429" w:rsidRPr="0049743C">
        <w:rPr>
          <w:sz w:val="28"/>
          <w:szCs w:val="28"/>
        </w:rPr>
        <w:t xml:space="preserve"> </w:t>
      </w:r>
      <w:r w:rsidR="0066499B" w:rsidRPr="0049743C">
        <w:rPr>
          <w:sz w:val="28"/>
          <w:szCs w:val="28"/>
        </w:rPr>
        <w:t xml:space="preserve">acknowledged that the Judge’s directions were impeccable as the law stands. Counsel courageously </w:t>
      </w:r>
      <w:r w:rsidR="00864429" w:rsidRPr="0049743C">
        <w:rPr>
          <w:sz w:val="28"/>
          <w:szCs w:val="28"/>
        </w:rPr>
        <w:t>invite</w:t>
      </w:r>
      <w:r w:rsidR="0066499B" w:rsidRPr="0049743C">
        <w:rPr>
          <w:sz w:val="28"/>
          <w:szCs w:val="28"/>
        </w:rPr>
        <w:t>d</w:t>
      </w:r>
      <w:r w:rsidR="00864429" w:rsidRPr="0049743C">
        <w:rPr>
          <w:sz w:val="28"/>
          <w:szCs w:val="28"/>
        </w:rPr>
        <w:t xml:space="preserve"> this Court to change the common law rule</w:t>
      </w:r>
      <w:r w:rsidR="00B21E86" w:rsidRPr="0049743C">
        <w:rPr>
          <w:sz w:val="28"/>
          <w:szCs w:val="28"/>
        </w:rPr>
        <w:t xml:space="preserve"> in Hong Kong</w:t>
      </w:r>
      <w:r w:rsidR="0066499B" w:rsidRPr="0049743C">
        <w:rPr>
          <w:sz w:val="28"/>
          <w:szCs w:val="28"/>
        </w:rPr>
        <w:t xml:space="preserve"> </w:t>
      </w:r>
      <w:r w:rsidR="00A94C48" w:rsidRPr="0049743C">
        <w:rPr>
          <w:sz w:val="28"/>
          <w:szCs w:val="28"/>
        </w:rPr>
        <w:t>by</w:t>
      </w:r>
      <w:r w:rsidR="0066499B" w:rsidRPr="0049743C">
        <w:rPr>
          <w:sz w:val="28"/>
          <w:szCs w:val="28"/>
        </w:rPr>
        <w:t xml:space="preserve"> extend</w:t>
      </w:r>
      <w:r w:rsidR="00A94C48" w:rsidRPr="0049743C">
        <w:rPr>
          <w:sz w:val="28"/>
          <w:szCs w:val="28"/>
        </w:rPr>
        <w:t>ing</w:t>
      </w:r>
      <w:r w:rsidR="0066499B" w:rsidRPr="0049743C">
        <w:rPr>
          <w:sz w:val="28"/>
          <w:szCs w:val="28"/>
        </w:rPr>
        <w:t xml:space="preserve"> </w:t>
      </w:r>
      <w:r w:rsidR="0066499B" w:rsidRPr="0049743C">
        <w:rPr>
          <w:sz w:val="28"/>
          <w:szCs w:val="28"/>
        </w:rPr>
        <w:lastRenderedPageBreak/>
        <w:t xml:space="preserve">the mixed statement exception </w:t>
      </w:r>
      <w:r w:rsidR="00A94C48" w:rsidRPr="0049743C">
        <w:rPr>
          <w:sz w:val="28"/>
          <w:szCs w:val="28"/>
        </w:rPr>
        <w:t>to</w:t>
      </w:r>
      <w:r w:rsidR="0066499B" w:rsidRPr="0049743C">
        <w:rPr>
          <w:sz w:val="28"/>
          <w:szCs w:val="28"/>
        </w:rPr>
        <w:t xml:space="preserve"> apply it to out-of-court statements by a defendant to an expert witness</w:t>
      </w:r>
      <w:r w:rsidR="00864429" w:rsidRPr="0049743C">
        <w:rPr>
          <w:sz w:val="28"/>
          <w:szCs w:val="28"/>
        </w:rPr>
        <w:t>.</w:t>
      </w:r>
      <w:r w:rsidR="00334530" w:rsidRPr="0049743C">
        <w:rPr>
          <w:sz w:val="28"/>
          <w:szCs w:val="28"/>
        </w:rPr>
        <w:t xml:space="preserve"> </w:t>
      </w:r>
      <w:r w:rsidR="00BC34F3" w:rsidRPr="0049743C">
        <w:rPr>
          <w:sz w:val="28"/>
          <w:szCs w:val="28"/>
        </w:rPr>
        <w:t xml:space="preserve">    </w:t>
      </w:r>
    </w:p>
    <w:p w:rsidR="00D51F88" w:rsidRPr="0049743C" w:rsidRDefault="00D51F88" w:rsidP="00D51F88">
      <w:pPr>
        <w:tabs>
          <w:tab w:val="left" w:pos="1440"/>
        </w:tabs>
        <w:spacing w:after="0" w:line="360" w:lineRule="auto"/>
        <w:ind w:right="-90"/>
        <w:jc w:val="both"/>
        <w:rPr>
          <w:sz w:val="28"/>
          <w:szCs w:val="28"/>
        </w:rPr>
      </w:pPr>
    </w:p>
    <w:p w:rsidR="007E63BF" w:rsidRPr="0049743C" w:rsidRDefault="004546C1" w:rsidP="00F6462F">
      <w:pPr>
        <w:tabs>
          <w:tab w:val="left" w:pos="1440"/>
        </w:tabs>
        <w:spacing w:after="0" w:line="360" w:lineRule="auto"/>
        <w:jc w:val="both"/>
        <w:rPr>
          <w:b/>
          <w:i/>
          <w:sz w:val="28"/>
          <w:szCs w:val="28"/>
        </w:rPr>
      </w:pPr>
      <w:r w:rsidRPr="0049743C">
        <w:rPr>
          <w:b/>
          <w:i/>
          <w:sz w:val="28"/>
          <w:szCs w:val="28"/>
        </w:rPr>
        <w:t xml:space="preserve">B2. </w:t>
      </w:r>
      <w:r w:rsidR="00D51F88" w:rsidRPr="0049743C">
        <w:rPr>
          <w:b/>
          <w:i/>
          <w:sz w:val="28"/>
          <w:szCs w:val="28"/>
        </w:rPr>
        <w:tab/>
      </w:r>
      <w:r w:rsidR="00FA7565" w:rsidRPr="0049743C">
        <w:rPr>
          <w:b/>
          <w:i/>
          <w:sz w:val="28"/>
          <w:szCs w:val="28"/>
        </w:rPr>
        <w:t>C</w:t>
      </w:r>
      <w:r w:rsidR="00145BBF" w:rsidRPr="0049743C">
        <w:rPr>
          <w:b/>
          <w:i/>
          <w:sz w:val="28"/>
          <w:szCs w:val="28"/>
        </w:rPr>
        <w:t>reat</w:t>
      </w:r>
      <w:r w:rsidR="00FA7565" w:rsidRPr="0049743C">
        <w:rPr>
          <w:b/>
          <w:i/>
          <w:sz w:val="28"/>
          <w:szCs w:val="28"/>
        </w:rPr>
        <w:t>ion of</w:t>
      </w:r>
      <w:r w:rsidR="00145BBF" w:rsidRPr="0049743C">
        <w:rPr>
          <w:b/>
          <w:i/>
          <w:sz w:val="28"/>
          <w:szCs w:val="28"/>
        </w:rPr>
        <w:t xml:space="preserve"> new</w:t>
      </w:r>
      <w:r w:rsidRPr="0049743C">
        <w:rPr>
          <w:b/>
          <w:i/>
          <w:sz w:val="28"/>
          <w:szCs w:val="28"/>
        </w:rPr>
        <w:t xml:space="preserve"> hearsay exceptions</w:t>
      </w:r>
      <w:r w:rsidR="00FA7565" w:rsidRPr="0049743C">
        <w:rPr>
          <w:b/>
          <w:i/>
          <w:sz w:val="28"/>
          <w:szCs w:val="28"/>
        </w:rPr>
        <w:t xml:space="preserve"> is a matter for the </w:t>
      </w:r>
      <w:r w:rsidR="000754EF" w:rsidRPr="0049743C">
        <w:rPr>
          <w:b/>
          <w:i/>
          <w:sz w:val="28"/>
          <w:szCs w:val="28"/>
        </w:rPr>
        <w:t>legislature</w:t>
      </w:r>
      <w:r w:rsidR="00FA7565" w:rsidRPr="0049743C">
        <w:rPr>
          <w:b/>
          <w:i/>
          <w:sz w:val="28"/>
          <w:szCs w:val="28"/>
        </w:rPr>
        <w:t xml:space="preserve"> </w:t>
      </w:r>
      <w:r w:rsidRPr="0049743C">
        <w:rPr>
          <w:b/>
          <w:i/>
          <w:sz w:val="28"/>
          <w:szCs w:val="28"/>
        </w:rPr>
        <w:t xml:space="preserve"> </w:t>
      </w:r>
    </w:p>
    <w:p w:rsidR="00864429" w:rsidRDefault="0049743C" w:rsidP="00B651F9">
      <w:pPr>
        <w:numPr>
          <w:ilvl w:val="0"/>
          <w:numId w:val="12"/>
        </w:numPr>
        <w:tabs>
          <w:tab w:val="left" w:pos="1440"/>
        </w:tabs>
        <w:spacing w:before="200" w:after="0" w:line="360" w:lineRule="auto"/>
        <w:ind w:left="0" w:firstLine="0"/>
        <w:jc w:val="both"/>
        <w:rPr>
          <w:sz w:val="28"/>
          <w:szCs w:val="28"/>
        </w:rPr>
      </w:pPr>
      <w:r>
        <w:rPr>
          <w:sz w:val="28"/>
          <w:szCs w:val="28"/>
        </w:rPr>
        <w:tab/>
      </w:r>
      <w:r w:rsidR="00BC34F3" w:rsidRPr="0049743C">
        <w:rPr>
          <w:sz w:val="28"/>
          <w:szCs w:val="28"/>
        </w:rPr>
        <w:t xml:space="preserve">In Hong Kong, </w:t>
      </w:r>
      <w:r w:rsidR="00864429" w:rsidRPr="0049743C">
        <w:rPr>
          <w:sz w:val="28"/>
          <w:szCs w:val="28"/>
        </w:rPr>
        <w:t>we adhere to the established principle that it is for the legislature, not the judiciary, to create new exceptions to the hearsay rule</w:t>
      </w:r>
      <w:r w:rsidR="003D7D5C" w:rsidRPr="0049743C">
        <w:rPr>
          <w:rStyle w:val="FootnoteReference"/>
          <w:sz w:val="28"/>
          <w:szCs w:val="28"/>
        </w:rPr>
        <w:footnoteReference w:id="37"/>
      </w:r>
      <w:r w:rsidR="00145BBF" w:rsidRPr="0049743C">
        <w:rPr>
          <w:sz w:val="28"/>
          <w:szCs w:val="28"/>
        </w:rPr>
        <w:t xml:space="preserve">. Bokhary PJ in </w:t>
      </w:r>
      <w:r w:rsidR="00145BBF" w:rsidRPr="0049743C">
        <w:rPr>
          <w:i/>
          <w:sz w:val="28"/>
          <w:szCs w:val="28"/>
        </w:rPr>
        <w:t>Wong Wai Man</w:t>
      </w:r>
      <w:r w:rsidR="003D7D5C">
        <w:rPr>
          <w:i/>
          <w:sz w:val="28"/>
          <w:szCs w:val="28"/>
        </w:rPr>
        <w:t xml:space="preserve"> &amp; Others</w:t>
      </w:r>
      <w:r w:rsidR="00145BBF" w:rsidRPr="0049743C">
        <w:rPr>
          <w:i/>
          <w:sz w:val="28"/>
          <w:szCs w:val="28"/>
        </w:rPr>
        <w:t xml:space="preserve"> v </w:t>
      </w:r>
      <w:r w:rsidR="00AF34E7" w:rsidRPr="0049743C">
        <w:rPr>
          <w:i/>
          <w:sz w:val="28"/>
          <w:szCs w:val="28"/>
        </w:rPr>
        <w:t>HKSAR</w:t>
      </w:r>
      <w:r w:rsidR="00145BBF" w:rsidRPr="0032487E">
        <w:rPr>
          <w:rStyle w:val="FootnoteReference"/>
          <w:sz w:val="28"/>
          <w:szCs w:val="28"/>
        </w:rPr>
        <w:footnoteReference w:id="38"/>
      </w:r>
      <w:r w:rsidR="00145BBF" w:rsidRPr="0049743C">
        <w:rPr>
          <w:sz w:val="28"/>
          <w:szCs w:val="28"/>
        </w:rPr>
        <w:t xml:space="preserve"> cautioned against adopting a different approach. In</w:t>
      </w:r>
      <w:r w:rsidR="00864429" w:rsidRPr="0049743C">
        <w:rPr>
          <w:sz w:val="28"/>
          <w:szCs w:val="28"/>
        </w:rPr>
        <w:t xml:space="preserve"> </w:t>
      </w:r>
      <w:r w:rsidR="00864429" w:rsidRPr="0049743C">
        <w:rPr>
          <w:i/>
          <w:sz w:val="28"/>
          <w:szCs w:val="28"/>
        </w:rPr>
        <w:t>HKSAR v Hung Wai Yip</w:t>
      </w:r>
      <w:r w:rsidR="00145BBF" w:rsidRPr="0032487E">
        <w:rPr>
          <w:rStyle w:val="FootnoteReference"/>
          <w:sz w:val="28"/>
          <w:szCs w:val="28"/>
        </w:rPr>
        <w:footnoteReference w:id="39"/>
      </w:r>
      <w:r w:rsidR="00145BBF" w:rsidRPr="0049743C">
        <w:rPr>
          <w:sz w:val="28"/>
          <w:szCs w:val="28"/>
        </w:rPr>
        <w:t xml:space="preserve"> Ribeiro PJ </w:t>
      </w:r>
      <w:r w:rsidR="00FA7565" w:rsidRPr="0049743C">
        <w:rPr>
          <w:sz w:val="28"/>
          <w:szCs w:val="28"/>
        </w:rPr>
        <w:t>took</w:t>
      </w:r>
      <w:r w:rsidR="00145BBF" w:rsidRPr="0049743C">
        <w:rPr>
          <w:sz w:val="28"/>
          <w:szCs w:val="28"/>
        </w:rPr>
        <w:t xml:space="preserve"> the</w:t>
      </w:r>
      <w:r w:rsidR="00FA7565" w:rsidRPr="0049743C">
        <w:rPr>
          <w:sz w:val="28"/>
          <w:szCs w:val="28"/>
        </w:rPr>
        <w:t xml:space="preserve"> same stance</w:t>
      </w:r>
      <w:r w:rsidR="00864429" w:rsidRPr="0049743C">
        <w:rPr>
          <w:sz w:val="28"/>
          <w:szCs w:val="28"/>
        </w:rPr>
        <w:t xml:space="preserve">. </w:t>
      </w:r>
      <w:r w:rsidR="00AE2CA6" w:rsidRPr="0049743C">
        <w:rPr>
          <w:sz w:val="28"/>
          <w:szCs w:val="28"/>
        </w:rPr>
        <w:t xml:space="preserve">It is noteworthy that in response to the recommendations of the Law Reform Commission in its Report on Hearsay in Criminal Proceedings, there is an ongoing process </w:t>
      </w:r>
      <w:r w:rsidR="00DF375A" w:rsidRPr="0049743C">
        <w:rPr>
          <w:sz w:val="28"/>
          <w:szCs w:val="28"/>
        </w:rPr>
        <w:t xml:space="preserve">of </w:t>
      </w:r>
      <w:r w:rsidR="00AE2CA6" w:rsidRPr="0049743C">
        <w:rPr>
          <w:sz w:val="28"/>
          <w:szCs w:val="28"/>
        </w:rPr>
        <w:t>legislative reform in this area</w:t>
      </w:r>
      <w:r w:rsidR="00AE2CA6" w:rsidRPr="0049743C">
        <w:rPr>
          <w:rStyle w:val="FootnoteReference"/>
          <w:sz w:val="28"/>
          <w:szCs w:val="28"/>
        </w:rPr>
        <w:footnoteReference w:id="40"/>
      </w:r>
      <w:r w:rsidR="00AE2CA6" w:rsidRPr="0049743C">
        <w:rPr>
          <w:sz w:val="28"/>
          <w:szCs w:val="28"/>
        </w:rPr>
        <w:t>.</w:t>
      </w:r>
    </w:p>
    <w:p w:rsidR="004F05B5" w:rsidRPr="0049743C" w:rsidRDefault="004F05B5" w:rsidP="004F05B5">
      <w:pPr>
        <w:tabs>
          <w:tab w:val="left" w:pos="1440"/>
        </w:tabs>
        <w:spacing w:before="200" w:after="0" w:line="360" w:lineRule="auto"/>
        <w:jc w:val="both"/>
        <w:rPr>
          <w:sz w:val="28"/>
          <w:szCs w:val="28"/>
        </w:rPr>
      </w:pPr>
    </w:p>
    <w:p w:rsidR="00EA7239" w:rsidRPr="0049743C" w:rsidRDefault="0049743C" w:rsidP="00F6462F">
      <w:pPr>
        <w:numPr>
          <w:ilvl w:val="0"/>
          <w:numId w:val="12"/>
        </w:numPr>
        <w:tabs>
          <w:tab w:val="left" w:pos="1440"/>
        </w:tabs>
        <w:snapToGrid w:val="0"/>
        <w:spacing w:after="0" w:line="360" w:lineRule="auto"/>
        <w:ind w:left="0" w:firstLine="0"/>
        <w:jc w:val="both"/>
        <w:rPr>
          <w:sz w:val="28"/>
          <w:szCs w:val="28"/>
        </w:rPr>
      </w:pPr>
      <w:r>
        <w:rPr>
          <w:sz w:val="28"/>
          <w:szCs w:val="28"/>
        </w:rPr>
        <w:tab/>
      </w:r>
      <w:r w:rsidR="00FA7565" w:rsidRPr="0049743C">
        <w:rPr>
          <w:sz w:val="28"/>
          <w:szCs w:val="28"/>
        </w:rPr>
        <w:t>Mr Chau invited this Court to depart fro</w:t>
      </w:r>
      <w:r w:rsidR="00E80E4E" w:rsidRPr="0049743C">
        <w:rPr>
          <w:sz w:val="28"/>
          <w:szCs w:val="28"/>
        </w:rPr>
        <w:t>m these earlier authorities by creating</w:t>
      </w:r>
      <w:r w:rsidR="00B21E86" w:rsidRPr="0049743C">
        <w:rPr>
          <w:sz w:val="28"/>
          <w:szCs w:val="28"/>
        </w:rPr>
        <w:t xml:space="preserve"> </w:t>
      </w:r>
      <w:r w:rsidR="0016107F" w:rsidRPr="0049743C">
        <w:rPr>
          <w:sz w:val="28"/>
          <w:szCs w:val="28"/>
        </w:rPr>
        <w:t xml:space="preserve">a </w:t>
      </w:r>
      <w:r w:rsidR="00FA7565" w:rsidRPr="0049743C">
        <w:rPr>
          <w:sz w:val="28"/>
          <w:szCs w:val="28"/>
        </w:rPr>
        <w:t>new exception to the hearsay rule</w:t>
      </w:r>
      <w:r w:rsidR="00AE2CA6" w:rsidRPr="0049743C">
        <w:rPr>
          <w:sz w:val="28"/>
          <w:szCs w:val="28"/>
        </w:rPr>
        <w:t xml:space="preserve"> </w:t>
      </w:r>
      <w:r w:rsidR="00E80E4E" w:rsidRPr="0049743C">
        <w:rPr>
          <w:sz w:val="28"/>
          <w:szCs w:val="28"/>
        </w:rPr>
        <w:t>in respect of</w:t>
      </w:r>
      <w:r w:rsidR="00AE2CA6" w:rsidRPr="0049743C">
        <w:rPr>
          <w:sz w:val="28"/>
          <w:szCs w:val="28"/>
        </w:rPr>
        <w:t xml:space="preserve"> out-of-court statements </w:t>
      </w:r>
      <w:r w:rsidR="00E80E4E" w:rsidRPr="0049743C">
        <w:rPr>
          <w:sz w:val="28"/>
          <w:szCs w:val="28"/>
        </w:rPr>
        <w:t xml:space="preserve">made </w:t>
      </w:r>
      <w:r w:rsidR="00AE2CA6" w:rsidRPr="0049743C">
        <w:rPr>
          <w:sz w:val="28"/>
          <w:szCs w:val="28"/>
        </w:rPr>
        <w:t xml:space="preserve">to </w:t>
      </w:r>
      <w:r w:rsidR="00E80E4E" w:rsidRPr="0049743C">
        <w:rPr>
          <w:sz w:val="28"/>
          <w:szCs w:val="28"/>
        </w:rPr>
        <w:t xml:space="preserve">a </w:t>
      </w:r>
      <w:r w:rsidR="00AE2CA6" w:rsidRPr="0049743C">
        <w:rPr>
          <w:sz w:val="28"/>
          <w:szCs w:val="28"/>
        </w:rPr>
        <w:t>psychiatri</w:t>
      </w:r>
      <w:r w:rsidR="00E80E4E" w:rsidRPr="0049743C">
        <w:rPr>
          <w:sz w:val="28"/>
          <w:szCs w:val="28"/>
        </w:rPr>
        <w:t>c</w:t>
      </w:r>
      <w:r w:rsidR="0016107F" w:rsidRPr="0049743C">
        <w:rPr>
          <w:sz w:val="28"/>
          <w:szCs w:val="28"/>
        </w:rPr>
        <w:t xml:space="preserve"> </w:t>
      </w:r>
      <w:r w:rsidR="00E80E4E" w:rsidRPr="0049743C">
        <w:rPr>
          <w:sz w:val="28"/>
          <w:szCs w:val="28"/>
        </w:rPr>
        <w:t>expert</w:t>
      </w:r>
      <w:r w:rsidR="00FA7565" w:rsidRPr="0049743C">
        <w:rPr>
          <w:sz w:val="28"/>
          <w:szCs w:val="28"/>
        </w:rPr>
        <w:t>.</w:t>
      </w:r>
      <w:r w:rsidR="00EA7239" w:rsidRPr="0049743C">
        <w:rPr>
          <w:sz w:val="28"/>
          <w:szCs w:val="28"/>
        </w:rPr>
        <w:t xml:space="preserve"> </w:t>
      </w:r>
    </w:p>
    <w:p w:rsidR="00D51F88" w:rsidRPr="0049743C" w:rsidRDefault="00D51F88" w:rsidP="00F6462F">
      <w:pPr>
        <w:tabs>
          <w:tab w:val="left" w:pos="1440"/>
        </w:tabs>
        <w:snapToGrid w:val="0"/>
        <w:spacing w:after="0" w:line="360" w:lineRule="auto"/>
        <w:jc w:val="both"/>
        <w:rPr>
          <w:sz w:val="28"/>
          <w:szCs w:val="28"/>
        </w:rPr>
      </w:pPr>
    </w:p>
    <w:p w:rsidR="00A62F6B" w:rsidRPr="0049743C" w:rsidRDefault="0049743C" w:rsidP="00F6462F">
      <w:pPr>
        <w:numPr>
          <w:ilvl w:val="0"/>
          <w:numId w:val="12"/>
        </w:numPr>
        <w:tabs>
          <w:tab w:val="left" w:pos="1440"/>
        </w:tabs>
        <w:spacing w:after="0" w:line="360" w:lineRule="auto"/>
        <w:ind w:left="0" w:firstLine="0"/>
        <w:jc w:val="both"/>
        <w:rPr>
          <w:sz w:val="28"/>
          <w:szCs w:val="28"/>
        </w:rPr>
      </w:pPr>
      <w:r>
        <w:rPr>
          <w:sz w:val="28"/>
          <w:szCs w:val="28"/>
        </w:rPr>
        <w:tab/>
      </w:r>
      <w:r w:rsidR="00EA7239" w:rsidRPr="0049743C">
        <w:rPr>
          <w:sz w:val="28"/>
          <w:szCs w:val="28"/>
        </w:rPr>
        <w:t>I</w:t>
      </w:r>
      <w:r w:rsidR="00A62F6B" w:rsidRPr="0049743C">
        <w:rPr>
          <w:sz w:val="28"/>
          <w:szCs w:val="28"/>
        </w:rPr>
        <w:t xml:space="preserve">n </w:t>
      </w:r>
      <w:r w:rsidR="00A62F6B" w:rsidRPr="0049743C">
        <w:rPr>
          <w:i/>
          <w:sz w:val="28"/>
          <w:szCs w:val="28"/>
        </w:rPr>
        <w:t>Walton</w:t>
      </w:r>
      <w:r w:rsidR="00190D80">
        <w:rPr>
          <w:i/>
          <w:sz w:val="28"/>
          <w:szCs w:val="28"/>
        </w:rPr>
        <w:t xml:space="preserve"> v The Queen</w:t>
      </w:r>
      <w:r w:rsidR="00A62F6B" w:rsidRPr="0032487E">
        <w:rPr>
          <w:rStyle w:val="FootnoteReference"/>
          <w:sz w:val="28"/>
          <w:szCs w:val="28"/>
        </w:rPr>
        <w:footnoteReference w:id="41"/>
      </w:r>
      <w:r w:rsidR="00A62F6B" w:rsidRPr="0049743C">
        <w:rPr>
          <w:sz w:val="28"/>
          <w:szCs w:val="28"/>
        </w:rPr>
        <w:t xml:space="preserve"> </w:t>
      </w:r>
      <w:r w:rsidR="00EA7239" w:rsidRPr="0049743C">
        <w:rPr>
          <w:sz w:val="28"/>
          <w:szCs w:val="28"/>
        </w:rPr>
        <w:t xml:space="preserve">Mason CJ suggested </w:t>
      </w:r>
      <w:r w:rsidR="00A62F6B" w:rsidRPr="0049743C">
        <w:rPr>
          <w:sz w:val="28"/>
          <w:szCs w:val="28"/>
        </w:rPr>
        <w:t>that the hearsay rule s</w:t>
      </w:r>
      <w:r w:rsidR="00D51F88" w:rsidRPr="0049743C">
        <w:rPr>
          <w:sz w:val="28"/>
          <w:szCs w:val="28"/>
        </w:rPr>
        <w:t>hould not be applied inflexibly:</w:t>
      </w:r>
    </w:p>
    <w:p w:rsidR="00A62F6B" w:rsidRPr="0049743C" w:rsidRDefault="00A62F6B" w:rsidP="00B651F9">
      <w:pPr>
        <w:tabs>
          <w:tab w:val="left" w:pos="1440"/>
        </w:tabs>
        <w:spacing w:before="200" w:after="0" w:line="240" w:lineRule="auto"/>
        <w:ind w:left="720" w:right="360"/>
        <w:jc w:val="both"/>
        <w:rPr>
          <w:szCs w:val="24"/>
        </w:rPr>
      </w:pPr>
      <w:r w:rsidRPr="0049743C">
        <w:rPr>
          <w:szCs w:val="24"/>
        </w:rPr>
        <w:lastRenderedPageBreak/>
        <w:t>“The hearsay rule should not be applied inflexibly. When the dangers which the rule seeks to prevent are not present or are negligible in the circumstances of a given case there is no basis for a strict application of the rule. Equally, where in the view of the trial judge those dangers are outweighed by other aspects of the case lending reliability and probative value to the impugned evidence, the judge should not then exclude the evidence by a rigid and technical application of the rule against hearsay. It must be borne in mind that the dangers against which the rule is directed are often very considerable, as evidenced by the need for the rule itself. But especially in the field of implied assertions there will be occasions upon which circumstances will combine to render evidence sufficiently reliable for it to be placed before the jury for consideration and evaluation of the weight which should be placed upon it, notwithstanding that in strict terms it would be regarded as inadmissible hearsay.”</w:t>
      </w:r>
      <w:r w:rsidRPr="0049743C">
        <w:rPr>
          <w:rStyle w:val="FootnoteReference"/>
          <w:szCs w:val="24"/>
        </w:rPr>
        <w:footnoteReference w:id="42"/>
      </w:r>
    </w:p>
    <w:p w:rsidR="00D51F88" w:rsidRPr="0049743C" w:rsidRDefault="00D51F88" w:rsidP="00D51F88">
      <w:pPr>
        <w:shd w:val="clear" w:color="auto" w:fill="FFFFFF"/>
        <w:tabs>
          <w:tab w:val="left" w:pos="1440"/>
        </w:tabs>
        <w:spacing w:after="0" w:line="360" w:lineRule="auto"/>
        <w:ind w:right="-90"/>
        <w:jc w:val="both"/>
        <w:rPr>
          <w:rFonts w:ascii="Arial" w:hAnsi="Arial" w:cs="Arial"/>
          <w:color w:val="000000"/>
          <w:sz w:val="28"/>
          <w:szCs w:val="28"/>
        </w:rPr>
      </w:pPr>
    </w:p>
    <w:p w:rsidR="00634943" w:rsidRPr="0049743C" w:rsidRDefault="00597770" w:rsidP="00F6462F">
      <w:pPr>
        <w:numPr>
          <w:ilvl w:val="0"/>
          <w:numId w:val="12"/>
        </w:numPr>
        <w:shd w:val="clear" w:color="auto" w:fill="FFFFFF"/>
        <w:tabs>
          <w:tab w:val="left" w:pos="1440"/>
        </w:tabs>
        <w:spacing w:after="0" w:line="360" w:lineRule="auto"/>
        <w:ind w:left="0" w:firstLine="0"/>
        <w:jc w:val="both"/>
        <w:rPr>
          <w:rFonts w:ascii="Arial" w:hAnsi="Arial" w:cs="Arial"/>
          <w:color w:val="000000"/>
          <w:sz w:val="28"/>
          <w:szCs w:val="28"/>
        </w:rPr>
      </w:pPr>
      <w:r>
        <w:rPr>
          <w:sz w:val="28"/>
          <w:szCs w:val="28"/>
        </w:rPr>
        <w:tab/>
      </w:r>
      <w:r w:rsidR="00634943" w:rsidRPr="0049743C">
        <w:rPr>
          <w:sz w:val="28"/>
          <w:szCs w:val="28"/>
        </w:rPr>
        <w:t xml:space="preserve">In the </w:t>
      </w:r>
      <w:r w:rsidR="0016107F" w:rsidRPr="0049743C">
        <w:rPr>
          <w:sz w:val="28"/>
          <w:szCs w:val="28"/>
        </w:rPr>
        <w:t>Court of Appeal</w:t>
      </w:r>
      <w:r w:rsidR="00634943" w:rsidRPr="0049743C">
        <w:rPr>
          <w:sz w:val="28"/>
          <w:szCs w:val="28"/>
        </w:rPr>
        <w:t xml:space="preserve">, McWalters JA took encouragement from these observations </w:t>
      </w:r>
      <w:r w:rsidR="0016107F" w:rsidRPr="0049743C">
        <w:rPr>
          <w:sz w:val="28"/>
          <w:szCs w:val="28"/>
        </w:rPr>
        <w:t>and</w:t>
      </w:r>
      <w:r w:rsidR="00634943" w:rsidRPr="0049743C">
        <w:rPr>
          <w:sz w:val="28"/>
          <w:szCs w:val="28"/>
        </w:rPr>
        <w:t xml:space="preserve"> suggest</w:t>
      </w:r>
      <w:r w:rsidR="0016107F" w:rsidRPr="0049743C">
        <w:rPr>
          <w:sz w:val="28"/>
          <w:szCs w:val="28"/>
        </w:rPr>
        <w:t>ed</w:t>
      </w:r>
      <w:r w:rsidR="00634943" w:rsidRPr="0049743C">
        <w:rPr>
          <w:sz w:val="28"/>
          <w:szCs w:val="28"/>
        </w:rPr>
        <w:t xml:space="preserve"> that </w:t>
      </w:r>
      <w:r w:rsidR="00574E0B" w:rsidRPr="0049743C">
        <w:rPr>
          <w:sz w:val="28"/>
          <w:szCs w:val="28"/>
        </w:rPr>
        <w:t xml:space="preserve">Hong Kong should adopt </w:t>
      </w:r>
      <w:r w:rsidR="008804CC" w:rsidRPr="0049743C">
        <w:rPr>
          <w:sz w:val="28"/>
          <w:szCs w:val="28"/>
        </w:rPr>
        <w:t>the Proposed New</w:t>
      </w:r>
      <w:r w:rsidR="00574E0B" w:rsidRPr="0049743C">
        <w:rPr>
          <w:sz w:val="28"/>
          <w:szCs w:val="28"/>
        </w:rPr>
        <w:t xml:space="preserve"> </w:t>
      </w:r>
      <w:r w:rsidR="008804CC" w:rsidRPr="0049743C">
        <w:rPr>
          <w:sz w:val="28"/>
          <w:szCs w:val="28"/>
        </w:rPr>
        <w:t>A</w:t>
      </w:r>
      <w:r w:rsidR="00574E0B" w:rsidRPr="0049743C">
        <w:rPr>
          <w:sz w:val="28"/>
          <w:szCs w:val="28"/>
        </w:rPr>
        <w:t>pproach</w:t>
      </w:r>
      <w:r w:rsidR="00574E0B" w:rsidRPr="0049743C">
        <w:rPr>
          <w:rStyle w:val="FootnoteReference"/>
          <w:sz w:val="28"/>
          <w:szCs w:val="28"/>
        </w:rPr>
        <w:footnoteReference w:id="43"/>
      </w:r>
      <w:r w:rsidR="00574E0B" w:rsidRPr="0049743C">
        <w:rPr>
          <w:sz w:val="28"/>
          <w:szCs w:val="28"/>
        </w:rPr>
        <w:t xml:space="preserve">. </w:t>
      </w:r>
    </w:p>
    <w:p w:rsidR="00D51F88" w:rsidRPr="0049743C" w:rsidRDefault="00D51F88" w:rsidP="00F6462F">
      <w:pPr>
        <w:shd w:val="clear" w:color="auto" w:fill="FFFFFF"/>
        <w:tabs>
          <w:tab w:val="left" w:pos="1440"/>
        </w:tabs>
        <w:spacing w:after="0" w:line="360" w:lineRule="auto"/>
        <w:jc w:val="both"/>
        <w:rPr>
          <w:rFonts w:ascii="Arial" w:hAnsi="Arial" w:cs="Arial"/>
          <w:color w:val="000000"/>
          <w:sz w:val="28"/>
          <w:szCs w:val="28"/>
        </w:rPr>
      </w:pPr>
    </w:p>
    <w:p w:rsidR="00EA7239" w:rsidRPr="0049743C" w:rsidRDefault="00597770" w:rsidP="00F6462F">
      <w:pPr>
        <w:numPr>
          <w:ilvl w:val="0"/>
          <w:numId w:val="12"/>
        </w:numPr>
        <w:shd w:val="clear" w:color="auto" w:fill="FFFFFF"/>
        <w:tabs>
          <w:tab w:val="left" w:pos="1440"/>
        </w:tabs>
        <w:spacing w:after="0" w:line="360" w:lineRule="auto"/>
        <w:ind w:left="0" w:firstLine="0"/>
        <w:jc w:val="both"/>
        <w:rPr>
          <w:rFonts w:ascii="Arial" w:hAnsi="Arial" w:cs="Arial"/>
          <w:color w:val="000000"/>
          <w:sz w:val="28"/>
          <w:szCs w:val="28"/>
        </w:rPr>
      </w:pPr>
      <w:r>
        <w:rPr>
          <w:sz w:val="28"/>
          <w:szCs w:val="28"/>
        </w:rPr>
        <w:tab/>
      </w:r>
      <w:r w:rsidR="00AD5722" w:rsidRPr="0049743C">
        <w:rPr>
          <w:sz w:val="28"/>
          <w:szCs w:val="28"/>
        </w:rPr>
        <w:t>T</w:t>
      </w:r>
      <w:r w:rsidR="00A62F6B" w:rsidRPr="0049743C">
        <w:rPr>
          <w:sz w:val="28"/>
          <w:szCs w:val="28"/>
        </w:rPr>
        <w:t xml:space="preserve">he other members of the High Court of Australia </w:t>
      </w:r>
      <w:r w:rsidR="00AD5722" w:rsidRPr="0049743C">
        <w:rPr>
          <w:sz w:val="28"/>
          <w:szCs w:val="28"/>
        </w:rPr>
        <w:t xml:space="preserve">in </w:t>
      </w:r>
      <w:r w:rsidR="00AD5722" w:rsidRPr="0049743C">
        <w:rPr>
          <w:i/>
          <w:sz w:val="28"/>
          <w:szCs w:val="28"/>
        </w:rPr>
        <w:t>Walton</w:t>
      </w:r>
      <w:r w:rsidR="00190D80">
        <w:rPr>
          <w:i/>
          <w:sz w:val="28"/>
          <w:szCs w:val="28"/>
        </w:rPr>
        <w:t xml:space="preserve"> v The Queen</w:t>
      </w:r>
      <w:r w:rsidR="00AD5722" w:rsidRPr="0049743C">
        <w:rPr>
          <w:sz w:val="28"/>
          <w:szCs w:val="28"/>
        </w:rPr>
        <w:t xml:space="preserve"> </w:t>
      </w:r>
      <w:r w:rsidR="00A62F6B" w:rsidRPr="0049743C">
        <w:rPr>
          <w:sz w:val="28"/>
          <w:szCs w:val="28"/>
        </w:rPr>
        <w:t>did not</w:t>
      </w:r>
      <w:r w:rsidR="00AD5722" w:rsidRPr="0049743C">
        <w:rPr>
          <w:sz w:val="28"/>
          <w:szCs w:val="28"/>
        </w:rPr>
        <w:t xml:space="preserve"> adopt the suggestion of Mason CJ</w:t>
      </w:r>
      <w:r w:rsidR="00A62F6B" w:rsidRPr="0049743C">
        <w:rPr>
          <w:sz w:val="28"/>
          <w:szCs w:val="28"/>
        </w:rPr>
        <w:t>. Wilson, Dawson and Toohey JJ reiterated that the unlikelihood of concoction or distortion is not sufficient of itself to render a hearsay statement admissible</w:t>
      </w:r>
      <w:r w:rsidR="00A62F6B" w:rsidRPr="0049743C">
        <w:rPr>
          <w:rStyle w:val="FootnoteReference"/>
          <w:sz w:val="28"/>
          <w:szCs w:val="28"/>
        </w:rPr>
        <w:footnoteReference w:id="44"/>
      </w:r>
      <w:r w:rsidR="00A62F6B" w:rsidRPr="0049743C">
        <w:rPr>
          <w:sz w:val="28"/>
          <w:szCs w:val="28"/>
        </w:rPr>
        <w:t>.</w:t>
      </w:r>
      <w:r w:rsidR="00634943" w:rsidRPr="0049743C">
        <w:rPr>
          <w:sz w:val="28"/>
          <w:szCs w:val="28"/>
        </w:rPr>
        <w:t xml:space="preserve"> </w:t>
      </w:r>
    </w:p>
    <w:p w:rsidR="00D51F88" w:rsidRPr="0049743C" w:rsidRDefault="00D51F88" w:rsidP="00F6462F">
      <w:pPr>
        <w:shd w:val="clear" w:color="auto" w:fill="FFFFFF"/>
        <w:tabs>
          <w:tab w:val="left" w:pos="1440"/>
        </w:tabs>
        <w:spacing w:after="0" w:line="360" w:lineRule="auto"/>
        <w:jc w:val="both"/>
        <w:rPr>
          <w:rFonts w:ascii="Arial" w:hAnsi="Arial" w:cs="Arial"/>
          <w:color w:val="000000"/>
          <w:sz w:val="28"/>
          <w:szCs w:val="28"/>
        </w:rPr>
      </w:pPr>
    </w:p>
    <w:p w:rsidR="002B3C2F" w:rsidRPr="0049743C" w:rsidRDefault="00597770" w:rsidP="00F6462F">
      <w:pPr>
        <w:numPr>
          <w:ilvl w:val="0"/>
          <w:numId w:val="12"/>
        </w:numPr>
        <w:shd w:val="clear" w:color="auto" w:fill="FFFFFF"/>
        <w:tabs>
          <w:tab w:val="left" w:pos="1440"/>
        </w:tabs>
        <w:spacing w:after="0" w:line="360" w:lineRule="auto"/>
        <w:ind w:left="0" w:firstLine="0"/>
        <w:jc w:val="both"/>
        <w:rPr>
          <w:rFonts w:ascii="Arial" w:hAnsi="Arial" w:cs="Arial"/>
          <w:color w:val="000000"/>
          <w:sz w:val="28"/>
          <w:szCs w:val="28"/>
        </w:rPr>
      </w:pPr>
      <w:r>
        <w:rPr>
          <w:color w:val="000000"/>
          <w:sz w:val="28"/>
          <w:szCs w:val="28"/>
        </w:rPr>
        <w:tab/>
      </w:r>
      <w:r w:rsidR="00B21E86" w:rsidRPr="0049743C">
        <w:rPr>
          <w:color w:val="000000"/>
          <w:sz w:val="28"/>
          <w:szCs w:val="28"/>
        </w:rPr>
        <w:t>In my judgment, t</w:t>
      </w:r>
      <w:r w:rsidR="00AF34E7" w:rsidRPr="0049743C">
        <w:rPr>
          <w:color w:val="000000"/>
          <w:sz w:val="28"/>
          <w:szCs w:val="28"/>
        </w:rPr>
        <w:t xml:space="preserve">he present case </w:t>
      </w:r>
      <w:r w:rsidR="0031398F" w:rsidRPr="0049743C">
        <w:rPr>
          <w:color w:val="000000"/>
          <w:sz w:val="28"/>
          <w:szCs w:val="28"/>
        </w:rPr>
        <w:t>does not provide</w:t>
      </w:r>
      <w:r w:rsidR="00AF34E7" w:rsidRPr="0049743C">
        <w:rPr>
          <w:color w:val="000000"/>
          <w:sz w:val="28"/>
          <w:szCs w:val="28"/>
        </w:rPr>
        <w:t xml:space="preserve"> a suitable platform for</w:t>
      </w:r>
      <w:r w:rsidR="00574E0B" w:rsidRPr="0049743C">
        <w:rPr>
          <w:color w:val="000000"/>
          <w:sz w:val="28"/>
          <w:szCs w:val="28"/>
        </w:rPr>
        <w:t xml:space="preserve"> </w:t>
      </w:r>
      <w:r w:rsidR="00AF34E7" w:rsidRPr="0049743C">
        <w:rPr>
          <w:color w:val="000000"/>
          <w:sz w:val="28"/>
          <w:szCs w:val="28"/>
        </w:rPr>
        <w:t>this Court to consider</w:t>
      </w:r>
      <w:r w:rsidR="00574E0B" w:rsidRPr="0049743C">
        <w:rPr>
          <w:color w:val="000000"/>
          <w:sz w:val="28"/>
          <w:szCs w:val="28"/>
        </w:rPr>
        <w:t xml:space="preserve"> depart</w:t>
      </w:r>
      <w:r w:rsidR="00244DE4" w:rsidRPr="0049743C">
        <w:rPr>
          <w:rFonts w:eastAsia="PMingLiU"/>
          <w:color w:val="000000"/>
          <w:sz w:val="28"/>
          <w:szCs w:val="28"/>
          <w:lang w:eastAsia="zh-HK"/>
        </w:rPr>
        <w:t>ing</w:t>
      </w:r>
      <w:r w:rsidR="00AF34E7" w:rsidRPr="0049743C">
        <w:rPr>
          <w:color w:val="000000"/>
          <w:sz w:val="28"/>
          <w:szCs w:val="28"/>
        </w:rPr>
        <w:t xml:space="preserve"> from</w:t>
      </w:r>
      <w:r w:rsidR="00574E0B" w:rsidRPr="0049743C">
        <w:rPr>
          <w:color w:val="000000"/>
          <w:sz w:val="28"/>
          <w:szCs w:val="28"/>
        </w:rPr>
        <w:t xml:space="preserve"> </w:t>
      </w:r>
      <w:r w:rsidR="00AF34E7" w:rsidRPr="0049743C">
        <w:rPr>
          <w:i/>
          <w:color w:val="000000"/>
          <w:sz w:val="28"/>
          <w:szCs w:val="28"/>
        </w:rPr>
        <w:t>Wong Wai</w:t>
      </w:r>
      <w:r w:rsidR="00BA131D">
        <w:rPr>
          <w:i/>
          <w:color w:val="000000"/>
          <w:sz w:val="28"/>
          <w:szCs w:val="28"/>
        </w:rPr>
        <w:t xml:space="preserve"> M</w:t>
      </w:r>
      <w:r w:rsidR="00AF34E7" w:rsidRPr="0049743C">
        <w:rPr>
          <w:i/>
          <w:color w:val="000000"/>
          <w:sz w:val="28"/>
          <w:szCs w:val="28"/>
        </w:rPr>
        <w:t xml:space="preserve">an </w:t>
      </w:r>
      <w:r w:rsidR="00BA131D">
        <w:rPr>
          <w:i/>
          <w:color w:val="000000"/>
          <w:sz w:val="28"/>
          <w:szCs w:val="28"/>
        </w:rPr>
        <w:t xml:space="preserve">&amp; Others </w:t>
      </w:r>
      <w:r w:rsidR="00AF34E7" w:rsidRPr="0049743C">
        <w:rPr>
          <w:i/>
          <w:color w:val="000000"/>
          <w:sz w:val="28"/>
          <w:szCs w:val="28"/>
        </w:rPr>
        <w:t>v HKSAR</w:t>
      </w:r>
      <w:r w:rsidR="00574E0B" w:rsidRPr="0049743C">
        <w:rPr>
          <w:color w:val="000000"/>
          <w:sz w:val="28"/>
          <w:szCs w:val="28"/>
        </w:rPr>
        <w:t xml:space="preserve">. </w:t>
      </w:r>
      <w:r w:rsidR="00F45CCF" w:rsidRPr="0049743C">
        <w:rPr>
          <w:color w:val="000000"/>
          <w:sz w:val="28"/>
          <w:szCs w:val="28"/>
        </w:rPr>
        <w:t xml:space="preserve">There have been certain developments </w:t>
      </w:r>
      <w:r w:rsidR="00EF3B80" w:rsidRPr="0049743C">
        <w:rPr>
          <w:color w:val="000000"/>
          <w:sz w:val="28"/>
          <w:szCs w:val="28"/>
        </w:rPr>
        <w:t xml:space="preserve">in </w:t>
      </w:r>
      <w:r w:rsidR="00DF1D94" w:rsidRPr="0049743C">
        <w:rPr>
          <w:color w:val="000000"/>
          <w:sz w:val="28"/>
          <w:szCs w:val="28"/>
        </w:rPr>
        <w:t xml:space="preserve">the </w:t>
      </w:r>
      <w:r w:rsidR="00EF3B80" w:rsidRPr="0049743C">
        <w:rPr>
          <w:color w:val="000000"/>
          <w:sz w:val="28"/>
          <w:szCs w:val="28"/>
        </w:rPr>
        <w:t>other jurisdictions</w:t>
      </w:r>
      <w:r w:rsidR="00F45CCF" w:rsidRPr="0049743C">
        <w:rPr>
          <w:color w:val="000000"/>
          <w:sz w:val="28"/>
          <w:szCs w:val="28"/>
        </w:rPr>
        <w:t>, but these</w:t>
      </w:r>
      <w:r w:rsidR="0031398F" w:rsidRPr="0049743C">
        <w:rPr>
          <w:color w:val="000000"/>
          <w:sz w:val="28"/>
          <w:szCs w:val="28"/>
        </w:rPr>
        <w:t xml:space="preserve"> do not support the Proposed New Approach</w:t>
      </w:r>
      <w:r w:rsidR="00EF3B80" w:rsidRPr="0049743C">
        <w:rPr>
          <w:color w:val="000000"/>
          <w:sz w:val="28"/>
          <w:szCs w:val="28"/>
        </w:rPr>
        <w:t xml:space="preserve">. </w:t>
      </w:r>
      <w:r w:rsidR="00EF3B80" w:rsidRPr="0049743C">
        <w:rPr>
          <w:sz w:val="28"/>
          <w:szCs w:val="28"/>
        </w:rPr>
        <w:t xml:space="preserve">In the context of a </w:t>
      </w:r>
      <w:r w:rsidR="00EF3B80" w:rsidRPr="0049743C">
        <w:rPr>
          <w:sz w:val="28"/>
          <w:szCs w:val="28"/>
        </w:rPr>
        <w:lastRenderedPageBreak/>
        <w:t xml:space="preserve">defendant’s out-of-court statements to a social worker and psychiatric expert, the New Zealand Court of Appeal modified the common law approach by creating an exception where hearsay evidence is the only evidence available </w:t>
      </w:r>
      <w:r w:rsidR="00EF3B80" w:rsidRPr="0049743C">
        <w:rPr>
          <w:sz w:val="28"/>
          <w:szCs w:val="28"/>
          <w:u w:val="single"/>
        </w:rPr>
        <w:t>and</w:t>
      </w:r>
      <w:r w:rsidR="00EF3B80" w:rsidRPr="0049743C">
        <w:rPr>
          <w:sz w:val="28"/>
          <w:szCs w:val="28"/>
        </w:rPr>
        <w:t xml:space="preserve"> the surrounding circumstances make it high</w:t>
      </w:r>
      <w:r w:rsidR="00AF34E7" w:rsidRPr="0049743C">
        <w:rPr>
          <w:sz w:val="28"/>
          <w:szCs w:val="28"/>
        </w:rPr>
        <w:t>ly</w:t>
      </w:r>
      <w:r w:rsidR="00EF3B80" w:rsidRPr="0049743C">
        <w:rPr>
          <w:sz w:val="28"/>
          <w:szCs w:val="28"/>
        </w:rPr>
        <w:t xml:space="preserve"> probable that it is true</w:t>
      </w:r>
      <w:r w:rsidR="00EF3B80" w:rsidRPr="00B7300D">
        <w:rPr>
          <w:rStyle w:val="FootnoteReference"/>
          <w:sz w:val="28"/>
          <w:szCs w:val="28"/>
        </w:rPr>
        <w:footnoteReference w:id="45"/>
      </w:r>
      <w:r w:rsidR="00EF3B80" w:rsidRPr="0049743C">
        <w:rPr>
          <w:sz w:val="28"/>
          <w:szCs w:val="28"/>
        </w:rPr>
        <w:t>. In Canada, the Supreme Court adopted a wider approach to hearsay evidence based on the criteria of necessity and reliability</w:t>
      </w:r>
      <w:r w:rsidR="00EF3B80" w:rsidRPr="0049743C">
        <w:rPr>
          <w:rStyle w:val="FootnoteReference"/>
          <w:sz w:val="28"/>
          <w:szCs w:val="28"/>
        </w:rPr>
        <w:footnoteReference w:id="46"/>
      </w:r>
      <w:r w:rsidR="00EF3B80" w:rsidRPr="0049743C">
        <w:rPr>
          <w:sz w:val="28"/>
          <w:szCs w:val="28"/>
        </w:rPr>
        <w:t>.</w:t>
      </w:r>
      <w:r w:rsidR="00876B70" w:rsidRPr="0049743C">
        <w:rPr>
          <w:sz w:val="28"/>
          <w:szCs w:val="28"/>
        </w:rPr>
        <w:t xml:space="preserve"> </w:t>
      </w:r>
    </w:p>
    <w:p w:rsidR="00D51F88" w:rsidRPr="0049743C" w:rsidRDefault="00D51F88" w:rsidP="00F6462F">
      <w:pPr>
        <w:shd w:val="clear" w:color="auto" w:fill="FFFFFF"/>
        <w:tabs>
          <w:tab w:val="left" w:pos="1440"/>
        </w:tabs>
        <w:spacing w:after="0" w:line="360" w:lineRule="auto"/>
        <w:jc w:val="both"/>
        <w:rPr>
          <w:rFonts w:ascii="Arial" w:hAnsi="Arial" w:cs="Arial"/>
          <w:color w:val="000000"/>
          <w:sz w:val="28"/>
          <w:szCs w:val="28"/>
        </w:rPr>
      </w:pPr>
    </w:p>
    <w:p w:rsidR="00574E0B" w:rsidRPr="0049743C" w:rsidRDefault="00597770" w:rsidP="00F6462F">
      <w:pPr>
        <w:numPr>
          <w:ilvl w:val="0"/>
          <w:numId w:val="12"/>
        </w:numPr>
        <w:shd w:val="clear" w:color="auto" w:fill="FFFFFF"/>
        <w:tabs>
          <w:tab w:val="left" w:pos="1440"/>
        </w:tabs>
        <w:spacing w:after="0" w:line="360" w:lineRule="auto"/>
        <w:ind w:left="0" w:firstLine="0"/>
        <w:jc w:val="both"/>
        <w:rPr>
          <w:rFonts w:ascii="Arial" w:hAnsi="Arial" w:cs="Arial"/>
          <w:color w:val="000000"/>
          <w:sz w:val="28"/>
          <w:szCs w:val="28"/>
        </w:rPr>
      </w:pPr>
      <w:r>
        <w:rPr>
          <w:sz w:val="28"/>
          <w:szCs w:val="28"/>
        </w:rPr>
        <w:tab/>
      </w:r>
      <w:r w:rsidR="0031398F" w:rsidRPr="0049743C">
        <w:rPr>
          <w:sz w:val="28"/>
          <w:szCs w:val="28"/>
        </w:rPr>
        <w:t xml:space="preserve">Since the </w:t>
      </w:r>
      <w:r w:rsidR="002B6EE1" w:rsidRPr="0049743C">
        <w:rPr>
          <w:sz w:val="28"/>
          <w:szCs w:val="28"/>
        </w:rPr>
        <w:t>Appellant</w:t>
      </w:r>
      <w:r w:rsidR="0031398F" w:rsidRPr="0049743C">
        <w:rPr>
          <w:sz w:val="28"/>
          <w:szCs w:val="28"/>
        </w:rPr>
        <w:t xml:space="preserve"> could </w:t>
      </w:r>
      <w:r w:rsidR="00DF1D94" w:rsidRPr="0049743C">
        <w:rPr>
          <w:sz w:val="28"/>
          <w:szCs w:val="28"/>
        </w:rPr>
        <w:t xml:space="preserve">have </w:t>
      </w:r>
      <w:r w:rsidR="0031398F" w:rsidRPr="0049743C">
        <w:rPr>
          <w:sz w:val="28"/>
          <w:szCs w:val="28"/>
        </w:rPr>
        <w:t>give</w:t>
      </w:r>
      <w:r w:rsidR="00DF1D94" w:rsidRPr="0049743C">
        <w:rPr>
          <w:sz w:val="28"/>
          <w:szCs w:val="28"/>
        </w:rPr>
        <w:t>n</w:t>
      </w:r>
      <w:r w:rsidR="0031398F" w:rsidRPr="0049743C">
        <w:rPr>
          <w:sz w:val="28"/>
          <w:szCs w:val="28"/>
        </w:rPr>
        <w:t xml:space="preserve"> evidence at the trial but </w:t>
      </w:r>
      <w:r w:rsidR="00DF1D94" w:rsidRPr="0049743C">
        <w:rPr>
          <w:sz w:val="28"/>
          <w:szCs w:val="28"/>
        </w:rPr>
        <w:t xml:space="preserve">deliberately </w:t>
      </w:r>
      <w:r w:rsidR="0031398F" w:rsidRPr="0049743C">
        <w:rPr>
          <w:sz w:val="28"/>
          <w:szCs w:val="28"/>
        </w:rPr>
        <w:t xml:space="preserve">chose not to do so, </w:t>
      </w:r>
      <w:r w:rsidR="00DF1D94" w:rsidRPr="0049743C">
        <w:rPr>
          <w:sz w:val="28"/>
          <w:szCs w:val="28"/>
        </w:rPr>
        <w:t xml:space="preserve">it is not surprising that counsel did not urge </w:t>
      </w:r>
      <w:r w:rsidR="00BA131D">
        <w:rPr>
          <w:sz w:val="28"/>
          <w:szCs w:val="28"/>
        </w:rPr>
        <w:t xml:space="preserve">this Court </w:t>
      </w:r>
      <w:r w:rsidR="00DF1D94" w:rsidRPr="0049743C">
        <w:rPr>
          <w:sz w:val="28"/>
          <w:szCs w:val="28"/>
        </w:rPr>
        <w:t>to follow these overseas developments.</w:t>
      </w:r>
      <w:r w:rsidR="0016107F" w:rsidRPr="0049743C">
        <w:rPr>
          <w:sz w:val="28"/>
          <w:szCs w:val="28"/>
        </w:rPr>
        <w:t xml:space="preserve"> </w:t>
      </w:r>
      <w:r w:rsidR="00DF1D94" w:rsidRPr="0049743C">
        <w:rPr>
          <w:color w:val="000000"/>
          <w:sz w:val="28"/>
          <w:szCs w:val="28"/>
        </w:rPr>
        <w:t>Moreover, as discuss</w:t>
      </w:r>
      <w:r w:rsidR="00E343BD" w:rsidRPr="0049743C">
        <w:rPr>
          <w:color w:val="000000"/>
          <w:sz w:val="28"/>
          <w:szCs w:val="28"/>
        </w:rPr>
        <w:t>ed</w:t>
      </w:r>
      <w:r w:rsidR="00DF1D94" w:rsidRPr="0049743C">
        <w:rPr>
          <w:color w:val="000000"/>
          <w:sz w:val="28"/>
          <w:szCs w:val="28"/>
        </w:rPr>
        <w:t xml:space="preserve"> below, the Proposed New Approach </w:t>
      </w:r>
      <w:r w:rsidR="006E59DE" w:rsidRPr="0049743C">
        <w:rPr>
          <w:color w:val="000000"/>
          <w:sz w:val="28"/>
          <w:szCs w:val="28"/>
        </w:rPr>
        <w:t xml:space="preserve">does not </w:t>
      </w:r>
      <w:r w:rsidR="00DF1D94" w:rsidRPr="0049743C">
        <w:rPr>
          <w:color w:val="000000"/>
          <w:sz w:val="28"/>
          <w:szCs w:val="28"/>
        </w:rPr>
        <w:t xml:space="preserve">offer the </w:t>
      </w:r>
      <w:r w:rsidR="00E343BD" w:rsidRPr="0049743C">
        <w:rPr>
          <w:color w:val="000000"/>
          <w:sz w:val="28"/>
          <w:szCs w:val="28"/>
        </w:rPr>
        <w:t>right</w:t>
      </w:r>
      <w:r w:rsidR="00DF1D94" w:rsidRPr="0049743C">
        <w:rPr>
          <w:color w:val="000000"/>
          <w:sz w:val="28"/>
          <w:szCs w:val="28"/>
        </w:rPr>
        <w:t xml:space="preserve"> solution to the concerns perceived by the Court of Appeal. </w:t>
      </w:r>
      <w:r w:rsidR="00574E0B" w:rsidRPr="0049743C">
        <w:rPr>
          <w:color w:val="000000"/>
          <w:sz w:val="28"/>
          <w:szCs w:val="28"/>
        </w:rPr>
        <w:t xml:space="preserve"> </w:t>
      </w:r>
    </w:p>
    <w:p w:rsidR="00D51F88" w:rsidRPr="0049743C" w:rsidRDefault="00D51F88" w:rsidP="00F6462F">
      <w:pPr>
        <w:shd w:val="clear" w:color="auto" w:fill="FFFFFF"/>
        <w:tabs>
          <w:tab w:val="left" w:pos="1440"/>
        </w:tabs>
        <w:spacing w:after="0" w:line="360" w:lineRule="auto"/>
        <w:jc w:val="both"/>
        <w:rPr>
          <w:rFonts w:ascii="Arial" w:hAnsi="Arial" w:cs="Arial"/>
          <w:color w:val="000000"/>
          <w:sz w:val="28"/>
          <w:szCs w:val="28"/>
        </w:rPr>
      </w:pPr>
    </w:p>
    <w:p w:rsidR="008804CC" w:rsidRPr="0049743C" w:rsidRDefault="008804CC" w:rsidP="00F6462F">
      <w:pPr>
        <w:shd w:val="clear" w:color="auto" w:fill="FFFFFF"/>
        <w:tabs>
          <w:tab w:val="left" w:pos="1440"/>
        </w:tabs>
        <w:spacing w:after="0" w:line="360" w:lineRule="auto"/>
        <w:jc w:val="both"/>
        <w:rPr>
          <w:rFonts w:ascii="Arial" w:hAnsi="Arial" w:cs="Arial"/>
          <w:b/>
          <w:i/>
          <w:color w:val="000000"/>
          <w:sz w:val="28"/>
          <w:szCs w:val="28"/>
        </w:rPr>
      </w:pPr>
      <w:r w:rsidRPr="0049743C">
        <w:rPr>
          <w:b/>
          <w:i/>
          <w:sz w:val="28"/>
          <w:szCs w:val="28"/>
        </w:rPr>
        <w:t xml:space="preserve">B3. </w:t>
      </w:r>
      <w:r w:rsidR="00D51F88" w:rsidRPr="0049743C">
        <w:rPr>
          <w:b/>
          <w:i/>
          <w:sz w:val="28"/>
          <w:szCs w:val="28"/>
        </w:rPr>
        <w:tab/>
      </w:r>
      <w:r w:rsidRPr="0049743C">
        <w:rPr>
          <w:b/>
          <w:i/>
          <w:sz w:val="28"/>
          <w:szCs w:val="28"/>
        </w:rPr>
        <w:t>The Proposed New Approach</w:t>
      </w:r>
      <w:r w:rsidR="00F179BD" w:rsidRPr="0049743C">
        <w:rPr>
          <w:b/>
          <w:i/>
          <w:sz w:val="28"/>
          <w:szCs w:val="28"/>
        </w:rPr>
        <w:t xml:space="preserve"> and the analogy with mixed statements</w:t>
      </w:r>
    </w:p>
    <w:p w:rsidR="00D44E35" w:rsidRPr="0049743C" w:rsidRDefault="00597770" w:rsidP="00F6462F">
      <w:pPr>
        <w:numPr>
          <w:ilvl w:val="0"/>
          <w:numId w:val="12"/>
        </w:numPr>
        <w:tabs>
          <w:tab w:val="left" w:pos="1440"/>
        </w:tabs>
        <w:spacing w:before="120" w:after="0" w:line="360" w:lineRule="auto"/>
        <w:ind w:left="0" w:firstLine="0"/>
        <w:jc w:val="both"/>
        <w:rPr>
          <w:sz w:val="28"/>
          <w:szCs w:val="28"/>
        </w:rPr>
      </w:pPr>
      <w:r>
        <w:rPr>
          <w:sz w:val="28"/>
          <w:szCs w:val="28"/>
        </w:rPr>
        <w:tab/>
      </w:r>
      <w:r w:rsidR="00D44E35" w:rsidRPr="0049743C">
        <w:rPr>
          <w:sz w:val="28"/>
          <w:szCs w:val="28"/>
        </w:rPr>
        <w:t xml:space="preserve">The Proposed </w:t>
      </w:r>
      <w:r w:rsidR="0041619B" w:rsidRPr="0049743C">
        <w:rPr>
          <w:sz w:val="28"/>
          <w:szCs w:val="28"/>
        </w:rPr>
        <w:t>New Approach wa</w:t>
      </w:r>
      <w:r w:rsidR="00D44E35" w:rsidRPr="0049743C">
        <w:rPr>
          <w:sz w:val="28"/>
          <w:szCs w:val="28"/>
        </w:rPr>
        <w:t xml:space="preserve">s </w:t>
      </w:r>
      <w:r w:rsidR="00DF1D94" w:rsidRPr="0049743C">
        <w:rPr>
          <w:sz w:val="28"/>
          <w:szCs w:val="28"/>
        </w:rPr>
        <w:t>formulated</w:t>
      </w:r>
      <w:r w:rsidR="00D44E35" w:rsidRPr="0049743C">
        <w:rPr>
          <w:sz w:val="28"/>
          <w:szCs w:val="28"/>
        </w:rPr>
        <w:t xml:space="preserve"> by the Court of Appeal </w:t>
      </w:r>
      <w:r w:rsidR="00DF1D94" w:rsidRPr="0049743C">
        <w:rPr>
          <w:sz w:val="28"/>
          <w:szCs w:val="28"/>
        </w:rPr>
        <w:t xml:space="preserve">based on </w:t>
      </w:r>
      <w:r w:rsidR="00D44E35" w:rsidRPr="0049743C">
        <w:rPr>
          <w:sz w:val="28"/>
          <w:szCs w:val="28"/>
        </w:rPr>
        <w:t>the treatment of mixed statement</w:t>
      </w:r>
      <w:r w:rsidR="00F45CCF" w:rsidRPr="0049743C">
        <w:rPr>
          <w:sz w:val="28"/>
          <w:szCs w:val="28"/>
        </w:rPr>
        <w:t>s</w:t>
      </w:r>
      <w:r w:rsidR="00D44E35" w:rsidRPr="0049743C">
        <w:rPr>
          <w:sz w:val="28"/>
          <w:szCs w:val="28"/>
        </w:rPr>
        <w:t xml:space="preserve"> in </w:t>
      </w:r>
      <w:r w:rsidR="00D44E35" w:rsidRPr="0049743C">
        <w:rPr>
          <w:i/>
          <w:sz w:val="28"/>
          <w:szCs w:val="28"/>
        </w:rPr>
        <w:t>Sharp</w:t>
      </w:r>
      <w:r w:rsidR="0018224F" w:rsidRPr="00B7300D">
        <w:rPr>
          <w:rStyle w:val="FootnoteReference"/>
          <w:sz w:val="28"/>
          <w:szCs w:val="28"/>
        </w:rPr>
        <w:footnoteReference w:id="47"/>
      </w:r>
      <w:r w:rsidR="00D44E35" w:rsidRPr="0049743C">
        <w:rPr>
          <w:sz w:val="28"/>
          <w:szCs w:val="28"/>
        </w:rPr>
        <w:t xml:space="preserve">. A mixed statement to the police </w:t>
      </w:r>
      <w:r w:rsidR="00DA5D74" w:rsidRPr="0049743C">
        <w:rPr>
          <w:sz w:val="28"/>
          <w:szCs w:val="28"/>
        </w:rPr>
        <w:t>was</w:t>
      </w:r>
      <w:r w:rsidR="00D44E35" w:rsidRPr="0049743C">
        <w:rPr>
          <w:sz w:val="28"/>
          <w:szCs w:val="28"/>
        </w:rPr>
        <w:t xml:space="preserve"> admitted on the basis that it is evidence of an accused’s reaction to a charge, see </w:t>
      </w:r>
      <w:r w:rsidR="00D44E35" w:rsidRPr="0049743C">
        <w:rPr>
          <w:i/>
          <w:sz w:val="28"/>
          <w:szCs w:val="28"/>
        </w:rPr>
        <w:t xml:space="preserve">R v </w:t>
      </w:r>
      <w:r w:rsidR="00BA131D">
        <w:rPr>
          <w:i/>
          <w:sz w:val="28"/>
          <w:szCs w:val="28"/>
        </w:rPr>
        <w:t xml:space="preserve">David Anthony </w:t>
      </w:r>
      <w:r w:rsidR="00D44E35" w:rsidRPr="0049743C">
        <w:rPr>
          <w:i/>
          <w:sz w:val="28"/>
          <w:szCs w:val="28"/>
        </w:rPr>
        <w:t>Pearce</w:t>
      </w:r>
      <w:r w:rsidR="006E59DE" w:rsidRPr="0049743C">
        <w:rPr>
          <w:rStyle w:val="FootnoteReference"/>
          <w:sz w:val="28"/>
          <w:szCs w:val="28"/>
        </w:rPr>
        <w:footnoteReference w:id="48"/>
      </w:r>
      <w:r w:rsidR="00D44E35" w:rsidRPr="0049743C">
        <w:rPr>
          <w:sz w:val="28"/>
          <w:szCs w:val="28"/>
        </w:rPr>
        <w:t>.</w:t>
      </w:r>
      <w:r w:rsidR="001069B5" w:rsidRPr="0049743C">
        <w:rPr>
          <w:sz w:val="28"/>
          <w:szCs w:val="28"/>
        </w:rPr>
        <w:t xml:space="preserve"> </w:t>
      </w:r>
      <w:r w:rsidR="00DA5D74" w:rsidRPr="0049743C">
        <w:rPr>
          <w:sz w:val="28"/>
          <w:szCs w:val="28"/>
        </w:rPr>
        <w:t xml:space="preserve">After </w:t>
      </w:r>
      <w:r w:rsidR="00DA5D74" w:rsidRPr="0049743C">
        <w:rPr>
          <w:i/>
          <w:sz w:val="28"/>
          <w:szCs w:val="28"/>
        </w:rPr>
        <w:t>Sharp</w:t>
      </w:r>
      <w:r w:rsidR="00DA5D74" w:rsidRPr="0049743C">
        <w:rPr>
          <w:sz w:val="28"/>
          <w:szCs w:val="28"/>
        </w:rPr>
        <w:t>, both the inculpatory and the exculpatory parts are admissib</w:t>
      </w:r>
      <w:r w:rsidR="00C0301A">
        <w:rPr>
          <w:sz w:val="28"/>
          <w:szCs w:val="28"/>
        </w:rPr>
        <w:t xml:space="preserve">le as evidence of their truth. </w:t>
      </w:r>
      <w:r w:rsidR="00F416EA" w:rsidRPr="0049743C">
        <w:rPr>
          <w:sz w:val="28"/>
          <w:szCs w:val="28"/>
        </w:rPr>
        <w:t>A</w:t>
      </w:r>
      <w:r w:rsidR="00DA5D74" w:rsidRPr="0049743C">
        <w:rPr>
          <w:sz w:val="28"/>
          <w:szCs w:val="28"/>
        </w:rPr>
        <w:t xml:space="preserve">s observed by Stock JA (as Stock NPJ then was) in </w:t>
      </w:r>
      <w:r w:rsidR="00DA5D74" w:rsidRPr="0049743C">
        <w:rPr>
          <w:i/>
          <w:sz w:val="28"/>
          <w:szCs w:val="28"/>
        </w:rPr>
        <w:t>HKSAR v Poon Hoi Wing</w:t>
      </w:r>
      <w:r w:rsidR="00BA131D">
        <w:rPr>
          <w:i/>
          <w:sz w:val="28"/>
          <w:szCs w:val="28"/>
        </w:rPr>
        <w:t xml:space="preserve"> &amp; Anor</w:t>
      </w:r>
      <w:r w:rsidR="00DA5D74" w:rsidRPr="00B7300D">
        <w:rPr>
          <w:rStyle w:val="FootnoteReference"/>
          <w:sz w:val="28"/>
          <w:szCs w:val="28"/>
        </w:rPr>
        <w:footnoteReference w:id="49"/>
      </w:r>
      <w:r w:rsidR="00B7300D" w:rsidRPr="00B7300D">
        <w:rPr>
          <w:sz w:val="28"/>
          <w:szCs w:val="28"/>
        </w:rPr>
        <w:t>:</w:t>
      </w:r>
      <w:r w:rsidR="001069B5" w:rsidRPr="00B7300D">
        <w:rPr>
          <w:sz w:val="28"/>
          <w:szCs w:val="28"/>
        </w:rPr>
        <w:t xml:space="preserve"> </w:t>
      </w:r>
      <w:r w:rsidR="001069B5" w:rsidRPr="0049743C">
        <w:rPr>
          <w:sz w:val="28"/>
          <w:szCs w:val="28"/>
        </w:rPr>
        <w:t xml:space="preserve">  </w:t>
      </w:r>
    </w:p>
    <w:p w:rsidR="00DA5D74" w:rsidRPr="0049743C" w:rsidRDefault="00DA5D74" w:rsidP="00B651F9">
      <w:pPr>
        <w:spacing w:before="200" w:after="0" w:line="240" w:lineRule="auto"/>
        <w:ind w:left="720" w:right="360"/>
        <w:jc w:val="both"/>
        <w:rPr>
          <w:szCs w:val="24"/>
        </w:rPr>
      </w:pPr>
      <w:r w:rsidRPr="0049743C">
        <w:rPr>
          <w:szCs w:val="24"/>
        </w:rPr>
        <w:lastRenderedPageBreak/>
        <w:t>“It is important to appreciate that the exculpatory part is admissible as evidence of its truth not in some vacuum. It is admissible to that end because without it the tribunal of fact is less able fairly to evaluate the f</w:t>
      </w:r>
      <w:r w:rsidR="002C3009" w:rsidRPr="0049743C">
        <w:rPr>
          <w:szCs w:val="24"/>
        </w:rPr>
        <w:t>a</w:t>
      </w:r>
      <w:r w:rsidRPr="0049743C">
        <w:rPr>
          <w:szCs w:val="24"/>
        </w:rPr>
        <w:t>cts admitted.”</w:t>
      </w:r>
    </w:p>
    <w:p w:rsidR="00D51F88" w:rsidRPr="0049743C" w:rsidRDefault="00D51F88" w:rsidP="001C2428">
      <w:pPr>
        <w:tabs>
          <w:tab w:val="left" w:pos="1440"/>
        </w:tabs>
        <w:spacing w:after="0" w:line="360" w:lineRule="auto"/>
        <w:ind w:right="-86"/>
        <w:jc w:val="both"/>
        <w:rPr>
          <w:sz w:val="28"/>
          <w:szCs w:val="28"/>
        </w:rPr>
      </w:pPr>
    </w:p>
    <w:p w:rsidR="00D44E35" w:rsidRPr="0049743C" w:rsidRDefault="00597770" w:rsidP="00F6462F">
      <w:pPr>
        <w:numPr>
          <w:ilvl w:val="0"/>
          <w:numId w:val="12"/>
        </w:numPr>
        <w:tabs>
          <w:tab w:val="left" w:pos="1440"/>
        </w:tabs>
        <w:spacing w:after="0" w:line="360" w:lineRule="auto"/>
        <w:ind w:left="0" w:firstLine="0"/>
        <w:jc w:val="both"/>
        <w:rPr>
          <w:sz w:val="28"/>
          <w:szCs w:val="28"/>
        </w:rPr>
      </w:pPr>
      <w:r>
        <w:rPr>
          <w:sz w:val="28"/>
          <w:szCs w:val="28"/>
        </w:rPr>
        <w:tab/>
      </w:r>
      <w:r w:rsidR="0018224F" w:rsidRPr="0049743C">
        <w:rPr>
          <w:sz w:val="28"/>
          <w:szCs w:val="28"/>
        </w:rPr>
        <w:t>W</w:t>
      </w:r>
      <w:r w:rsidR="00D44E35" w:rsidRPr="0049743C">
        <w:rPr>
          <w:sz w:val="28"/>
          <w:szCs w:val="28"/>
        </w:rPr>
        <w:t>ith</w:t>
      </w:r>
      <w:r w:rsidR="0018224F" w:rsidRPr="0049743C">
        <w:rPr>
          <w:sz w:val="28"/>
          <w:szCs w:val="28"/>
        </w:rPr>
        <w:t xml:space="preserve"> </w:t>
      </w:r>
      <w:r w:rsidR="00D44E35" w:rsidRPr="0049743C">
        <w:rPr>
          <w:sz w:val="28"/>
          <w:szCs w:val="28"/>
        </w:rPr>
        <w:t>respect, I cannot agree</w:t>
      </w:r>
      <w:r w:rsidR="000C0BDC" w:rsidRPr="0049743C">
        <w:rPr>
          <w:sz w:val="28"/>
          <w:szCs w:val="28"/>
        </w:rPr>
        <w:t xml:space="preserve"> with the Court of Appeal</w:t>
      </w:r>
      <w:r w:rsidR="00D44E35" w:rsidRPr="0049743C">
        <w:rPr>
          <w:sz w:val="28"/>
          <w:szCs w:val="28"/>
        </w:rPr>
        <w:t xml:space="preserve"> that it is appropriate to adopt the same approach regarding statements on medical history</w:t>
      </w:r>
      <w:r w:rsidR="006E59DE" w:rsidRPr="0049743C">
        <w:rPr>
          <w:sz w:val="28"/>
          <w:szCs w:val="28"/>
        </w:rPr>
        <w:t xml:space="preserve"> and past state of mind</w:t>
      </w:r>
      <w:r w:rsidR="00D44E35" w:rsidRPr="0049743C">
        <w:rPr>
          <w:sz w:val="28"/>
          <w:szCs w:val="28"/>
        </w:rPr>
        <w:t xml:space="preserve"> </w:t>
      </w:r>
      <w:r w:rsidR="00F45CCF" w:rsidRPr="0049743C">
        <w:rPr>
          <w:sz w:val="28"/>
          <w:szCs w:val="28"/>
        </w:rPr>
        <w:t xml:space="preserve">recorded </w:t>
      </w:r>
      <w:r w:rsidR="00D44E35" w:rsidRPr="0049743C">
        <w:rPr>
          <w:sz w:val="28"/>
          <w:szCs w:val="28"/>
        </w:rPr>
        <w:t xml:space="preserve">in a psychiatric report. </w:t>
      </w:r>
      <w:r w:rsidR="004C54BF" w:rsidRPr="0049743C">
        <w:rPr>
          <w:sz w:val="28"/>
          <w:szCs w:val="28"/>
        </w:rPr>
        <w:t xml:space="preserve">In </w:t>
      </w:r>
      <w:r w:rsidR="004C54BF" w:rsidRPr="0049743C">
        <w:rPr>
          <w:i/>
          <w:sz w:val="28"/>
          <w:szCs w:val="28"/>
        </w:rPr>
        <w:t>Sharp</w:t>
      </w:r>
      <w:r w:rsidR="004C54BF" w:rsidRPr="0049743C">
        <w:rPr>
          <w:sz w:val="28"/>
          <w:szCs w:val="28"/>
        </w:rPr>
        <w:t xml:space="preserve"> </w:t>
      </w:r>
      <w:r w:rsidR="00D44E35" w:rsidRPr="0049743C">
        <w:rPr>
          <w:sz w:val="28"/>
          <w:szCs w:val="28"/>
        </w:rPr>
        <w:t>Lord Havers</w:t>
      </w:r>
      <w:r w:rsidR="0018224F" w:rsidRPr="0049743C">
        <w:rPr>
          <w:sz w:val="28"/>
          <w:szCs w:val="28"/>
        </w:rPr>
        <w:t xml:space="preserve"> explained the</w:t>
      </w:r>
      <w:r w:rsidR="00D44E35" w:rsidRPr="0049743C">
        <w:rPr>
          <w:sz w:val="28"/>
          <w:szCs w:val="28"/>
        </w:rPr>
        <w:t xml:space="preserve"> rationale for endorsing the mixed statement approach</w:t>
      </w:r>
      <w:r w:rsidR="00A73B9F" w:rsidRPr="0049743C">
        <w:rPr>
          <w:rStyle w:val="FootnoteReference"/>
          <w:sz w:val="28"/>
          <w:szCs w:val="28"/>
        </w:rPr>
        <w:footnoteReference w:id="50"/>
      </w:r>
      <w:r w:rsidR="00D51F88" w:rsidRPr="0049743C">
        <w:rPr>
          <w:sz w:val="28"/>
          <w:szCs w:val="28"/>
        </w:rPr>
        <w:t>:</w:t>
      </w:r>
    </w:p>
    <w:p w:rsidR="00D44E35" w:rsidRPr="0049743C" w:rsidRDefault="00D44E35" w:rsidP="00B651F9">
      <w:pPr>
        <w:tabs>
          <w:tab w:val="left" w:pos="1440"/>
        </w:tabs>
        <w:spacing w:before="200" w:after="0" w:line="240" w:lineRule="auto"/>
        <w:ind w:left="720" w:right="360"/>
        <w:jc w:val="both"/>
        <w:rPr>
          <w:szCs w:val="24"/>
        </w:rPr>
      </w:pPr>
      <w:r w:rsidRPr="0049743C">
        <w:rPr>
          <w:sz w:val="28"/>
          <w:szCs w:val="28"/>
        </w:rPr>
        <w:t>“</w:t>
      </w:r>
      <w:r w:rsidRPr="0049743C">
        <w:rPr>
          <w:szCs w:val="24"/>
        </w:rPr>
        <w:t>How can a jury fairly evaluate the facts in the admission unless they can evaluate the facts in the excuse or explanation</w:t>
      </w:r>
      <w:r w:rsidR="00B7300D">
        <w:rPr>
          <w:szCs w:val="24"/>
        </w:rPr>
        <w:t>?</w:t>
      </w:r>
      <w:r w:rsidRPr="0049743C">
        <w:rPr>
          <w:szCs w:val="24"/>
        </w:rPr>
        <w:t xml:space="preserve"> It is only if the jury think that the facts set out by way of excuse or explanation might be true that any doubt is cast on the admission, and it is surely only because the excuse or explanation might be true that it is thought fair that it should be considered by the jury….”</w:t>
      </w:r>
      <w:r w:rsidR="0018224F" w:rsidRPr="0049743C">
        <w:rPr>
          <w:rStyle w:val="FootnoteReference"/>
          <w:szCs w:val="24"/>
        </w:rPr>
        <w:footnoteReference w:id="51"/>
      </w:r>
    </w:p>
    <w:p w:rsidR="00D51F88" w:rsidRPr="0049743C" w:rsidRDefault="00D51F88" w:rsidP="00C51B43">
      <w:pPr>
        <w:tabs>
          <w:tab w:val="left" w:pos="1440"/>
        </w:tabs>
        <w:spacing w:after="0" w:line="360" w:lineRule="auto"/>
        <w:ind w:right="-90"/>
        <w:jc w:val="both"/>
        <w:rPr>
          <w:sz w:val="28"/>
          <w:szCs w:val="28"/>
        </w:rPr>
      </w:pPr>
    </w:p>
    <w:p w:rsidR="00334191" w:rsidRPr="0049743C" w:rsidRDefault="00597770" w:rsidP="00F6462F">
      <w:pPr>
        <w:numPr>
          <w:ilvl w:val="0"/>
          <w:numId w:val="12"/>
        </w:numPr>
        <w:tabs>
          <w:tab w:val="left" w:pos="1440"/>
        </w:tabs>
        <w:spacing w:after="0" w:line="360" w:lineRule="auto"/>
        <w:ind w:left="0" w:firstLine="0"/>
        <w:jc w:val="both"/>
        <w:rPr>
          <w:sz w:val="28"/>
          <w:szCs w:val="28"/>
        </w:rPr>
      </w:pPr>
      <w:r>
        <w:rPr>
          <w:sz w:val="28"/>
          <w:szCs w:val="28"/>
        </w:rPr>
        <w:tab/>
      </w:r>
      <w:r w:rsidR="0018224F" w:rsidRPr="0049743C">
        <w:rPr>
          <w:sz w:val="28"/>
          <w:szCs w:val="28"/>
        </w:rPr>
        <w:t xml:space="preserve">This rationale is not applicable to an out-of-court statement by a defendant to a psychiatrist. </w:t>
      </w:r>
      <w:r w:rsidR="00D44E35" w:rsidRPr="0049743C">
        <w:rPr>
          <w:sz w:val="28"/>
          <w:szCs w:val="28"/>
        </w:rPr>
        <w:t>In a trial</w:t>
      </w:r>
      <w:r w:rsidR="0018224F" w:rsidRPr="0049743C">
        <w:rPr>
          <w:sz w:val="28"/>
          <w:szCs w:val="28"/>
        </w:rPr>
        <w:t>,</w:t>
      </w:r>
      <w:r w:rsidR="00D44E35" w:rsidRPr="0049743C">
        <w:rPr>
          <w:sz w:val="28"/>
          <w:szCs w:val="28"/>
        </w:rPr>
        <w:t xml:space="preserve"> expert opinion serves a different evidential purpose from that of an admission. Admissions are deployed to prove or disprove facts which are relevant to one or more factual issues raised by the parties. On the other hand, an expert gives evidence to assist the jury in analysing a</w:t>
      </w:r>
      <w:r w:rsidR="00714362" w:rsidRPr="0049743C">
        <w:rPr>
          <w:sz w:val="28"/>
          <w:szCs w:val="28"/>
        </w:rPr>
        <w:t>n issue involving</w:t>
      </w:r>
      <w:r w:rsidR="00D44E35" w:rsidRPr="0049743C">
        <w:rPr>
          <w:sz w:val="28"/>
          <w:szCs w:val="28"/>
        </w:rPr>
        <w:t xml:space="preserve"> </w:t>
      </w:r>
      <w:r w:rsidR="0018224F" w:rsidRPr="0049743C">
        <w:rPr>
          <w:sz w:val="28"/>
          <w:szCs w:val="28"/>
        </w:rPr>
        <w:t>s</w:t>
      </w:r>
      <w:r w:rsidR="00D44E35" w:rsidRPr="0049743C">
        <w:rPr>
          <w:sz w:val="28"/>
          <w:szCs w:val="28"/>
        </w:rPr>
        <w:t>cien</w:t>
      </w:r>
      <w:r w:rsidR="00714362" w:rsidRPr="0049743C">
        <w:rPr>
          <w:sz w:val="28"/>
          <w:szCs w:val="28"/>
        </w:rPr>
        <w:t>tific</w:t>
      </w:r>
      <w:r w:rsidR="00D44E35" w:rsidRPr="0049743C">
        <w:rPr>
          <w:sz w:val="28"/>
          <w:szCs w:val="28"/>
        </w:rPr>
        <w:t xml:space="preserve"> or </w:t>
      </w:r>
      <w:r w:rsidR="0018224F" w:rsidRPr="0049743C">
        <w:rPr>
          <w:sz w:val="28"/>
          <w:szCs w:val="28"/>
        </w:rPr>
        <w:t xml:space="preserve">other special </w:t>
      </w:r>
      <w:r w:rsidR="00D44E35" w:rsidRPr="0049743C">
        <w:rPr>
          <w:sz w:val="28"/>
          <w:szCs w:val="28"/>
        </w:rPr>
        <w:t>knowledge o</w:t>
      </w:r>
      <w:r w:rsidR="001A5701" w:rsidRPr="0049743C">
        <w:rPr>
          <w:sz w:val="28"/>
          <w:szCs w:val="28"/>
        </w:rPr>
        <w:t>r</w:t>
      </w:r>
      <w:r w:rsidR="00D44E35" w:rsidRPr="0049743C">
        <w:rPr>
          <w:sz w:val="28"/>
          <w:szCs w:val="28"/>
        </w:rPr>
        <w:t xml:space="preserve"> expertise </w:t>
      </w:r>
      <w:r w:rsidR="001A5701" w:rsidRPr="0049743C">
        <w:rPr>
          <w:sz w:val="28"/>
          <w:szCs w:val="28"/>
        </w:rPr>
        <w:t xml:space="preserve">which is likely to be outside the experience and knowledge of </w:t>
      </w:r>
      <w:r w:rsidR="00334191" w:rsidRPr="0049743C">
        <w:rPr>
          <w:sz w:val="28"/>
          <w:szCs w:val="28"/>
        </w:rPr>
        <w:t>a judge or jur</w:t>
      </w:r>
      <w:r w:rsidR="000A6E06" w:rsidRPr="0049743C">
        <w:rPr>
          <w:sz w:val="28"/>
          <w:szCs w:val="28"/>
        </w:rPr>
        <w:t>or</w:t>
      </w:r>
      <w:r w:rsidR="00D44E35" w:rsidRPr="0049743C">
        <w:rPr>
          <w:sz w:val="28"/>
          <w:szCs w:val="28"/>
        </w:rPr>
        <w:t xml:space="preserve">. </w:t>
      </w:r>
    </w:p>
    <w:p w:rsidR="001C2428" w:rsidRPr="0049743C" w:rsidRDefault="001C2428" w:rsidP="001C2428">
      <w:pPr>
        <w:tabs>
          <w:tab w:val="left" w:pos="1440"/>
        </w:tabs>
        <w:spacing w:after="0" w:line="360" w:lineRule="auto"/>
        <w:ind w:right="-90"/>
        <w:jc w:val="both"/>
        <w:rPr>
          <w:sz w:val="28"/>
          <w:szCs w:val="28"/>
        </w:rPr>
      </w:pPr>
    </w:p>
    <w:p w:rsidR="00D44E35" w:rsidRPr="0049743C" w:rsidRDefault="00597770" w:rsidP="00F6462F">
      <w:pPr>
        <w:numPr>
          <w:ilvl w:val="0"/>
          <w:numId w:val="12"/>
        </w:numPr>
        <w:tabs>
          <w:tab w:val="left" w:pos="1440"/>
        </w:tabs>
        <w:spacing w:after="0" w:line="360" w:lineRule="auto"/>
        <w:ind w:left="0" w:firstLine="0"/>
        <w:jc w:val="both"/>
        <w:rPr>
          <w:sz w:val="28"/>
          <w:szCs w:val="28"/>
        </w:rPr>
      </w:pPr>
      <w:r>
        <w:rPr>
          <w:sz w:val="28"/>
          <w:szCs w:val="28"/>
        </w:rPr>
        <w:tab/>
      </w:r>
      <w:r w:rsidR="00D44E35" w:rsidRPr="0049743C">
        <w:rPr>
          <w:sz w:val="28"/>
          <w:szCs w:val="28"/>
        </w:rPr>
        <w:t xml:space="preserve">The </w:t>
      </w:r>
      <w:r w:rsidR="00714362" w:rsidRPr="0049743C">
        <w:rPr>
          <w:sz w:val="28"/>
          <w:szCs w:val="28"/>
        </w:rPr>
        <w:t>analysis</w:t>
      </w:r>
      <w:r w:rsidR="00D44E35" w:rsidRPr="0049743C">
        <w:rPr>
          <w:sz w:val="28"/>
          <w:szCs w:val="28"/>
        </w:rPr>
        <w:t xml:space="preserve"> and assessment of expert evidence is different from the assessment of the underlying factual premise on which the expert expressed his or her opinions. </w:t>
      </w:r>
      <w:r w:rsidR="00A73B9F" w:rsidRPr="0049743C">
        <w:rPr>
          <w:sz w:val="28"/>
          <w:szCs w:val="28"/>
        </w:rPr>
        <w:t>A</w:t>
      </w:r>
      <w:r w:rsidR="00D44E35" w:rsidRPr="0049743C">
        <w:rPr>
          <w:sz w:val="28"/>
          <w:szCs w:val="28"/>
        </w:rPr>
        <w:t xml:space="preserve">n expert </w:t>
      </w:r>
      <w:r w:rsidR="00A73B9F" w:rsidRPr="0049743C">
        <w:rPr>
          <w:sz w:val="28"/>
          <w:szCs w:val="28"/>
        </w:rPr>
        <w:t>does not</w:t>
      </w:r>
      <w:r w:rsidR="00D44E35" w:rsidRPr="0049743C">
        <w:rPr>
          <w:sz w:val="28"/>
          <w:szCs w:val="28"/>
        </w:rPr>
        <w:t xml:space="preserve"> vouch for the credibility of the factual information provided by a party (as opposed to personal </w:t>
      </w:r>
      <w:r w:rsidR="00D44E35" w:rsidRPr="0049743C">
        <w:rPr>
          <w:sz w:val="28"/>
          <w:szCs w:val="28"/>
        </w:rPr>
        <w:lastRenderedPageBreak/>
        <w:t xml:space="preserve">observations made by the expert in the course of his engagement with that party) since such information </w:t>
      </w:r>
      <w:r w:rsidR="004C54BF" w:rsidRPr="0049743C">
        <w:rPr>
          <w:sz w:val="28"/>
          <w:szCs w:val="28"/>
        </w:rPr>
        <w:t>is not within</w:t>
      </w:r>
      <w:r w:rsidR="00D44E35" w:rsidRPr="0049743C">
        <w:rPr>
          <w:sz w:val="28"/>
          <w:szCs w:val="28"/>
        </w:rPr>
        <w:t xml:space="preserve"> the personal knowledge of the expert.</w:t>
      </w:r>
      <w:r w:rsidR="00334191" w:rsidRPr="0049743C">
        <w:rPr>
          <w:sz w:val="28"/>
          <w:szCs w:val="28"/>
        </w:rPr>
        <w:t xml:space="preserve">  </w:t>
      </w:r>
      <w:r w:rsidR="00D44E35" w:rsidRPr="0049743C">
        <w:rPr>
          <w:sz w:val="28"/>
          <w:szCs w:val="28"/>
        </w:rPr>
        <w:t xml:space="preserve">   </w:t>
      </w:r>
    </w:p>
    <w:p w:rsidR="0041412D" w:rsidRPr="0049743C" w:rsidRDefault="0041412D" w:rsidP="00F6462F">
      <w:pPr>
        <w:tabs>
          <w:tab w:val="left" w:pos="1440"/>
        </w:tabs>
        <w:spacing w:after="0" w:line="360" w:lineRule="auto"/>
        <w:jc w:val="both"/>
        <w:rPr>
          <w:sz w:val="28"/>
          <w:szCs w:val="28"/>
        </w:rPr>
      </w:pPr>
    </w:p>
    <w:p w:rsidR="00D44E35" w:rsidRPr="0049743C" w:rsidRDefault="00597770" w:rsidP="00F6462F">
      <w:pPr>
        <w:numPr>
          <w:ilvl w:val="0"/>
          <w:numId w:val="12"/>
        </w:numPr>
        <w:tabs>
          <w:tab w:val="left" w:pos="1440"/>
        </w:tabs>
        <w:spacing w:after="0" w:line="360" w:lineRule="auto"/>
        <w:ind w:left="0" w:firstLine="0"/>
        <w:jc w:val="both"/>
        <w:rPr>
          <w:sz w:val="28"/>
          <w:szCs w:val="28"/>
        </w:rPr>
      </w:pPr>
      <w:r>
        <w:rPr>
          <w:sz w:val="28"/>
          <w:szCs w:val="28"/>
        </w:rPr>
        <w:tab/>
      </w:r>
      <w:r w:rsidR="001069B5" w:rsidRPr="0049743C">
        <w:rPr>
          <w:sz w:val="28"/>
          <w:szCs w:val="28"/>
        </w:rPr>
        <w:t>The out-of-court statement given by a defendant to a psychiatrist provides the basis for the latter’s opinion on the</w:t>
      </w:r>
      <w:r w:rsidR="00334191" w:rsidRPr="0049743C">
        <w:rPr>
          <w:sz w:val="28"/>
          <w:szCs w:val="28"/>
        </w:rPr>
        <w:t xml:space="preserve"> mental state of the defendant. </w:t>
      </w:r>
      <w:r w:rsidR="00237D0F" w:rsidRPr="0049743C">
        <w:rPr>
          <w:sz w:val="28"/>
          <w:szCs w:val="28"/>
        </w:rPr>
        <w:t>Normally</w:t>
      </w:r>
      <w:r w:rsidR="00334191" w:rsidRPr="0049743C">
        <w:rPr>
          <w:sz w:val="28"/>
          <w:szCs w:val="28"/>
        </w:rPr>
        <w:t xml:space="preserve"> </w:t>
      </w:r>
      <w:r w:rsidR="00237D0F" w:rsidRPr="0049743C">
        <w:rPr>
          <w:sz w:val="28"/>
          <w:szCs w:val="28"/>
        </w:rPr>
        <w:t xml:space="preserve">the prosecution </w:t>
      </w:r>
      <w:r w:rsidR="00F054CC" w:rsidRPr="0049743C">
        <w:rPr>
          <w:sz w:val="28"/>
          <w:szCs w:val="28"/>
        </w:rPr>
        <w:t>would not rely on such out-of-court statement</w:t>
      </w:r>
      <w:r w:rsidR="00F45CCF" w:rsidRPr="0049743C">
        <w:rPr>
          <w:sz w:val="28"/>
          <w:szCs w:val="28"/>
        </w:rPr>
        <w:t>s</w:t>
      </w:r>
      <w:r w:rsidR="00F054CC" w:rsidRPr="0049743C">
        <w:rPr>
          <w:sz w:val="28"/>
          <w:szCs w:val="28"/>
        </w:rPr>
        <w:t xml:space="preserve"> as eviden</w:t>
      </w:r>
      <w:r w:rsidR="000A6E06" w:rsidRPr="0049743C">
        <w:rPr>
          <w:sz w:val="28"/>
          <w:szCs w:val="28"/>
        </w:rPr>
        <w:t xml:space="preserve">ce of </w:t>
      </w:r>
      <w:r w:rsidR="00F45CCF" w:rsidRPr="0049743C">
        <w:rPr>
          <w:sz w:val="28"/>
          <w:szCs w:val="28"/>
        </w:rPr>
        <w:t xml:space="preserve">the </w:t>
      </w:r>
      <w:r w:rsidR="000A6E06" w:rsidRPr="0049743C">
        <w:rPr>
          <w:sz w:val="28"/>
          <w:szCs w:val="28"/>
        </w:rPr>
        <w:t>truth</w:t>
      </w:r>
      <w:r w:rsidR="00F45CCF" w:rsidRPr="0049743C">
        <w:rPr>
          <w:sz w:val="28"/>
          <w:szCs w:val="28"/>
        </w:rPr>
        <w:t xml:space="preserve"> of their contents</w:t>
      </w:r>
      <w:r w:rsidR="00F054CC" w:rsidRPr="0049743C">
        <w:rPr>
          <w:sz w:val="28"/>
          <w:szCs w:val="28"/>
        </w:rPr>
        <w:t xml:space="preserve">. </w:t>
      </w:r>
      <w:r w:rsidR="000B4819" w:rsidRPr="0049743C">
        <w:rPr>
          <w:sz w:val="28"/>
          <w:szCs w:val="28"/>
        </w:rPr>
        <w:t>The</w:t>
      </w:r>
      <w:r w:rsidR="00244DE4" w:rsidRPr="0049743C">
        <w:rPr>
          <w:sz w:val="28"/>
          <w:szCs w:val="28"/>
        </w:rPr>
        <w:t xml:space="preserve"> prosecution</w:t>
      </w:r>
      <w:r w:rsidR="000B4819" w:rsidRPr="0049743C">
        <w:rPr>
          <w:sz w:val="28"/>
          <w:szCs w:val="28"/>
        </w:rPr>
        <w:t xml:space="preserve"> in the instant case </w:t>
      </w:r>
      <w:r w:rsidR="00244DE4" w:rsidRPr="0049743C">
        <w:rPr>
          <w:sz w:val="28"/>
          <w:szCs w:val="28"/>
        </w:rPr>
        <w:t>did not</w:t>
      </w:r>
      <w:r w:rsidR="000B4819" w:rsidRPr="0049743C">
        <w:rPr>
          <w:sz w:val="28"/>
          <w:szCs w:val="28"/>
        </w:rPr>
        <w:t xml:space="preserve"> rel</w:t>
      </w:r>
      <w:r w:rsidR="00244DE4" w:rsidRPr="0049743C">
        <w:rPr>
          <w:sz w:val="28"/>
          <w:szCs w:val="28"/>
        </w:rPr>
        <w:t>y</w:t>
      </w:r>
      <w:r w:rsidR="000B4819" w:rsidRPr="0049743C">
        <w:rPr>
          <w:sz w:val="28"/>
          <w:szCs w:val="28"/>
        </w:rPr>
        <w:t xml:space="preserve"> on any out-of-court statement by the </w:t>
      </w:r>
      <w:r w:rsidR="002B6EE1" w:rsidRPr="0049743C">
        <w:rPr>
          <w:sz w:val="28"/>
          <w:szCs w:val="28"/>
        </w:rPr>
        <w:t>Appellant</w:t>
      </w:r>
      <w:r w:rsidR="000B4819" w:rsidRPr="0049743C">
        <w:rPr>
          <w:sz w:val="28"/>
          <w:szCs w:val="28"/>
        </w:rPr>
        <w:t xml:space="preserve"> to the psychiatrists as evidence of </w:t>
      </w:r>
      <w:r w:rsidR="00F45CCF" w:rsidRPr="0049743C">
        <w:rPr>
          <w:sz w:val="28"/>
          <w:szCs w:val="28"/>
        </w:rPr>
        <w:t xml:space="preserve">its </w:t>
      </w:r>
      <w:r w:rsidR="000B4819" w:rsidRPr="0049743C">
        <w:rPr>
          <w:sz w:val="28"/>
          <w:szCs w:val="28"/>
        </w:rPr>
        <w:t>truth</w:t>
      </w:r>
      <w:r w:rsidR="000A6E06" w:rsidRPr="0049743C">
        <w:rPr>
          <w:sz w:val="28"/>
          <w:szCs w:val="28"/>
        </w:rPr>
        <w:t xml:space="preserve"> as opposed to evidence that a defendant had </w:t>
      </w:r>
      <w:r w:rsidR="00F45CCF" w:rsidRPr="0049743C">
        <w:rPr>
          <w:sz w:val="28"/>
          <w:szCs w:val="28"/>
        </w:rPr>
        <w:t xml:space="preserve">made that statement to </w:t>
      </w:r>
      <w:r w:rsidR="000A6E06" w:rsidRPr="0049743C">
        <w:rPr>
          <w:sz w:val="28"/>
          <w:szCs w:val="28"/>
        </w:rPr>
        <w:t>the psychiatrist</w:t>
      </w:r>
      <w:r w:rsidR="000B4819" w:rsidRPr="0049743C">
        <w:rPr>
          <w:sz w:val="28"/>
          <w:szCs w:val="28"/>
        </w:rPr>
        <w:t xml:space="preserve">. </w:t>
      </w:r>
      <w:r w:rsidR="00D44E35" w:rsidRPr="0049743C">
        <w:rPr>
          <w:sz w:val="28"/>
          <w:szCs w:val="28"/>
        </w:rPr>
        <w:t>Hence, the concern</w:t>
      </w:r>
      <w:r w:rsidR="002A11DE" w:rsidRPr="0049743C">
        <w:rPr>
          <w:sz w:val="28"/>
          <w:szCs w:val="28"/>
        </w:rPr>
        <w:t xml:space="preserve"> of Lord Havers </w:t>
      </w:r>
      <w:r w:rsidR="00D44E35" w:rsidRPr="0049743C">
        <w:rPr>
          <w:sz w:val="28"/>
          <w:szCs w:val="28"/>
        </w:rPr>
        <w:t xml:space="preserve">is not applicable </w:t>
      </w:r>
      <w:r w:rsidR="004C54BF" w:rsidRPr="0049743C">
        <w:rPr>
          <w:sz w:val="28"/>
          <w:szCs w:val="28"/>
        </w:rPr>
        <w:t>to</w:t>
      </w:r>
      <w:r w:rsidR="00D44E35" w:rsidRPr="0049743C">
        <w:rPr>
          <w:sz w:val="28"/>
          <w:szCs w:val="28"/>
        </w:rPr>
        <w:t xml:space="preserve"> the statement of a defendant in a psychiatric report.  </w:t>
      </w:r>
    </w:p>
    <w:p w:rsidR="0041412D" w:rsidRPr="0049743C" w:rsidRDefault="0041412D" w:rsidP="00F6462F">
      <w:pPr>
        <w:tabs>
          <w:tab w:val="left" w:pos="1440"/>
        </w:tabs>
        <w:spacing w:after="0" w:line="360" w:lineRule="auto"/>
        <w:jc w:val="both"/>
        <w:rPr>
          <w:sz w:val="28"/>
          <w:szCs w:val="28"/>
        </w:rPr>
      </w:pPr>
    </w:p>
    <w:p w:rsidR="002B3C2F" w:rsidRPr="0049743C" w:rsidRDefault="00597770" w:rsidP="00F6462F">
      <w:pPr>
        <w:numPr>
          <w:ilvl w:val="0"/>
          <w:numId w:val="12"/>
        </w:numPr>
        <w:tabs>
          <w:tab w:val="left" w:pos="1440"/>
        </w:tabs>
        <w:spacing w:after="0" w:line="360" w:lineRule="auto"/>
        <w:ind w:left="0" w:firstLine="0"/>
        <w:jc w:val="both"/>
        <w:rPr>
          <w:sz w:val="28"/>
          <w:szCs w:val="28"/>
        </w:rPr>
      </w:pPr>
      <w:r>
        <w:rPr>
          <w:sz w:val="28"/>
          <w:szCs w:val="28"/>
        </w:rPr>
        <w:tab/>
      </w:r>
      <w:r w:rsidR="002B3C2F" w:rsidRPr="0049743C">
        <w:rPr>
          <w:sz w:val="28"/>
          <w:szCs w:val="28"/>
        </w:rPr>
        <w:t xml:space="preserve">Unlike the above-mentioned developments in Canada and New Zealand, </w:t>
      </w:r>
      <w:r w:rsidR="00385874" w:rsidRPr="0049743C">
        <w:rPr>
          <w:sz w:val="28"/>
          <w:szCs w:val="28"/>
        </w:rPr>
        <w:t xml:space="preserve">the Proposed New Approach </w:t>
      </w:r>
      <w:r w:rsidR="002B3C2F" w:rsidRPr="0049743C">
        <w:rPr>
          <w:sz w:val="28"/>
          <w:szCs w:val="28"/>
        </w:rPr>
        <w:t xml:space="preserve">does not contain proper </w:t>
      </w:r>
      <w:r w:rsidR="005746E8" w:rsidRPr="0049743C">
        <w:rPr>
          <w:sz w:val="28"/>
          <w:szCs w:val="28"/>
        </w:rPr>
        <w:t>threshold requirement</w:t>
      </w:r>
      <w:r w:rsidR="0016107F" w:rsidRPr="0049743C">
        <w:rPr>
          <w:sz w:val="28"/>
          <w:szCs w:val="28"/>
        </w:rPr>
        <w:t>s</w:t>
      </w:r>
      <w:r w:rsidR="005746E8" w:rsidRPr="0049743C">
        <w:rPr>
          <w:sz w:val="28"/>
          <w:szCs w:val="28"/>
        </w:rPr>
        <w:t xml:space="preserve"> for permitting the out-of-court statement to be admitted as evidence of </w:t>
      </w:r>
      <w:r w:rsidR="00364353" w:rsidRPr="0049743C">
        <w:rPr>
          <w:sz w:val="28"/>
          <w:szCs w:val="28"/>
        </w:rPr>
        <w:t xml:space="preserve">its </w:t>
      </w:r>
      <w:r w:rsidR="005746E8" w:rsidRPr="0049743C">
        <w:rPr>
          <w:sz w:val="28"/>
          <w:szCs w:val="28"/>
        </w:rPr>
        <w:t xml:space="preserve">truth. I am unable to accept Mr Chau’s submission that the close proximity between a psychiatrist and a defendant should </w:t>
      </w:r>
      <w:r w:rsidR="00714362" w:rsidRPr="0049743C">
        <w:rPr>
          <w:sz w:val="28"/>
          <w:szCs w:val="28"/>
        </w:rPr>
        <w:t>provide</w:t>
      </w:r>
      <w:r w:rsidR="005746E8" w:rsidRPr="0049743C">
        <w:rPr>
          <w:sz w:val="28"/>
          <w:szCs w:val="28"/>
        </w:rPr>
        <w:t xml:space="preserve"> </w:t>
      </w:r>
      <w:r w:rsidR="00364353" w:rsidRPr="0049743C">
        <w:rPr>
          <w:sz w:val="28"/>
          <w:szCs w:val="28"/>
        </w:rPr>
        <w:t xml:space="preserve">a </w:t>
      </w:r>
      <w:r w:rsidR="005746E8" w:rsidRPr="0049743C">
        <w:rPr>
          <w:sz w:val="28"/>
          <w:szCs w:val="28"/>
        </w:rPr>
        <w:t xml:space="preserve">sufficient safeguard. </w:t>
      </w:r>
      <w:r w:rsidR="0016107F" w:rsidRPr="0049743C">
        <w:rPr>
          <w:sz w:val="28"/>
          <w:szCs w:val="28"/>
        </w:rPr>
        <w:t xml:space="preserve">There is nothing unique in the relationship between a psychiatric expert and an accused person. Similar proximity </w:t>
      </w:r>
      <w:r w:rsidR="00364353" w:rsidRPr="0049743C">
        <w:rPr>
          <w:sz w:val="28"/>
          <w:szCs w:val="28"/>
        </w:rPr>
        <w:t xml:space="preserve">may well </w:t>
      </w:r>
      <w:r w:rsidR="0016107F" w:rsidRPr="0049743C">
        <w:rPr>
          <w:sz w:val="28"/>
          <w:szCs w:val="28"/>
        </w:rPr>
        <w:t xml:space="preserve">arise </w:t>
      </w:r>
      <w:r w:rsidR="00364353" w:rsidRPr="0049743C">
        <w:rPr>
          <w:sz w:val="28"/>
          <w:szCs w:val="28"/>
        </w:rPr>
        <w:t xml:space="preserve">in </w:t>
      </w:r>
      <w:r w:rsidR="0016107F" w:rsidRPr="0049743C">
        <w:rPr>
          <w:sz w:val="28"/>
          <w:szCs w:val="28"/>
        </w:rPr>
        <w:t xml:space="preserve">the relationship </w:t>
      </w:r>
      <w:r w:rsidR="000A6E06" w:rsidRPr="0049743C">
        <w:rPr>
          <w:sz w:val="28"/>
          <w:szCs w:val="28"/>
        </w:rPr>
        <w:t>between</w:t>
      </w:r>
      <w:r w:rsidR="0016107F" w:rsidRPr="0049743C">
        <w:rPr>
          <w:sz w:val="28"/>
          <w:szCs w:val="28"/>
        </w:rPr>
        <w:t xml:space="preserve"> </w:t>
      </w:r>
      <w:r w:rsidR="00714362" w:rsidRPr="0049743C">
        <w:rPr>
          <w:sz w:val="28"/>
          <w:szCs w:val="28"/>
        </w:rPr>
        <w:t>other</w:t>
      </w:r>
      <w:r w:rsidR="0016107F" w:rsidRPr="0049743C">
        <w:rPr>
          <w:sz w:val="28"/>
          <w:szCs w:val="28"/>
        </w:rPr>
        <w:t xml:space="preserve"> expert</w:t>
      </w:r>
      <w:r w:rsidR="00714362" w:rsidRPr="0049743C">
        <w:rPr>
          <w:sz w:val="28"/>
          <w:szCs w:val="28"/>
        </w:rPr>
        <w:t>s</w:t>
      </w:r>
      <w:r w:rsidR="0016107F" w:rsidRPr="0049743C">
        <w:rPr>
          <w:sz w:val="28"/>
          <w:szCs w:val="28"/>
        </w:rPr>
        <w:t xml:space="preserve"> and an accused person.</w:t>
      </w:r>
      <w:r w:rsidR="00FC5E22" w:rsidRPr="0049743C">
        <w:rPr>
          <w:sz w:val="28"/>
          <w:szCs w:val="28"/>
        </w:rPr>
        <w:t xml:space="preserve"> Most expert witnesses, if not all, have to work on factual assumptions based on information supplied by a party. </w:t>
      </w:r>
      <w:r w:rsidR="005746E8" w:rsidRPr="0049743C">
        <w:rPr>
          <w:sz w:val="28"/>
          <w:szCs w:val="28"/>
        </w:rPr>
        <w:t xml:space="preserve">The adoption of the Proposed New Approach would open the door to the </w:t>
      </w:r>
      <w:r w:rsidR="00451A8C" w:rsidRPr="0049743C">
        <w:rPr>
          <w:sz w:val="28"/>
          <w:szCs w:val="28"/>
        </w:rPr>
        <w:t xml:space="preserve">objectionable </w:t>
      </w:r>
      <w:r w:rsidR="005746E8" w:rsidRPr="0049743C">
        <w:rPr>
          <w:sz w:val="28"/>
          <w:szCs w:val="28"/>
        </w:rPr>
        <w:t>forensic</w:t>
      </w:r>
      <w:r w:rsidR="00451A8C" w:rsidRPr="0049743C">
        <w:rPr>
          <w:sz w:val="28"/>
          <w:szCs w:val="28"/>
        </w:rPr>
        <w:t xml:space="preserve"> manoeuvre which Lawton LJ </w:t>
      </w:r>
      <w:r w:rsidR="00714362" w:rsidRPr="0049743C">
        <w:rPr>
          <w:sz w:val="28"/>
          <w:szCs w:val="28"/>
        </w:rPr>
        <w:t>deprecated</w:t>
      </w:r>
      <w:r w:rsidR="00451A8C" w:rsidRPr="0049743C">
        <w:rPr>
          <w:sz w:val="28"/>
          <w:szCs w:val="28"/>
        </w:rPr>
        <w:t xml:space="preserve"> </w:t>
      </w:r>
      <w:r w:rsidR="00451A8C" w:rsidRPr="0049743C">
        <w:rPr>
          <w:sz w:val="28"/>
          <w:szCs w:val="28"/>
        </w:rPr>
        <w:lastRenderedPageBreak/>
        <w:t xml:space="preserve">in </w:t>
      </w:r>
      <w:r w:rsidR="00451A8C" w:rsidRPr="0049743C">
        <w:rPr>
          <w:i/>
          <w:sz w:val="28"/>
          <w:szCs w:val="28"/>
        </w:rPr>
        <w:t>R v Turner</w:t>
      </w:r>
      <w:r w:rsidR="002F3040">
        <w:rPr>
          <w:i/>
          <w:sz w:val="28"/>
          <w:szCs w:val="28"/>
        </w:rPr>
        <w:t xml:space="preserve"> (Terence)</w:t>
      </w:r>
      <w:r w:rsidR="00451A8C" w:rsidRPr="0049743C">
        <w:rPr>
          <w:rStyle w:val="FootnoteReference"/>
          <w:sz w:val="28"/>
          <w:szCs w:val="28"/>
        </w:rPr>
        <w:footnoteReference w:id="52"/>
      </w:r>
      <w:r w:rsidR="00451A8C" w:rsidRPr="0049743C">
        <w:rPr>
          <w:sz w:val="28"/>
          <w:szCs w:val="28"/>
        </w:rPr>
        <w:t xml:space="preserve">. </w:t>
      </w:r>
      <w:r w:rsidR="003251BD" w:rsidRPr="0049743C">
        <w:rPr>
          <w:sz w:val="28"/>
          <w:szCs w:val="28"/>
        </w:rPr>
        <w:t xml:space="preserve">In </w:t>
      </w:r>
      <w:r w:rsidR="003251BD" w:rsidRPr="0049743C">
        <w:rPr>
          <w:i/>
          <w:sz w:val="28"/>
          <w:szCs w:val="28"/>
        </w:rPr>
        <w:t>R v Gordon</w:t>
      </w:r>
      <w:r w:rsidR="003251BD" w:rsidRPr="0049743C">
        <w:rPr>
          <w:rStyle w:val="FootnoteReference"/>
          <w:sz w:val="28"/>
          <w:szCs w:val="28"/>
        </w:rPr>
        <w:footnoteReference w:id="53"/>
      </w:r>
      <w:r w:rsidR="003251BD" w:rsidRPr="0049743C">
        <w:rPr>
          <w:i/>
          <w:sz w:val="28"/>
          <w:szCs w:val="28"/>
        </w:rPr>
        <w:t xml:space="preserve"> </w:t>
      </w:r>
      <w:r w:rsidR="00451A8C" w:rsidRPr="0049743C">
        <w:rPr>
          <w:sz w:val="28"/>
          <w:szCs w:val="28"/>
        </w:rPr>
        <w:t>Street CJ referred to</w:t>
      </w:r>
      <w:r w:rsidR="003251BD" w:rsidRPr="0049743C">
        <w:rPr>
          <w:sz w:val="28"/>
          <w:szCs w:val="28"/>
        </w:rPr>
        <w:t xml:space="preserve"> such tactical device</w:t>
      </w:r>
      <w:r w:rsidR="00364353" w:rsidRPr="0049743C">
        <w:rPr>
          <w:sz w:val="28"/>
          <w:szCs w:val="28"/>
        </w:rPr>
        <w:t>s</w:t>
      </w:r>
      <w:r w:rsidR="003251BD" w:rsidRPr="0049743C">
        <w:rPr>
          <w:sz w:val="28"/>
          <w:szCs w:val="28"/>
        </w:rPr>
        <w:t xml:space="preserve"> which </w:t>
      </w:r>
      <w:r w:rsidR="0041412D" w:rsidRPr="0049743C">
        <w:rPr>
          <w:sz w:val="28"/>
          <w:szCs w:val="28"/>
        </w:rPr>
        <w:t>the court should guard against:</w:t>
      </w:r>
    </w:p>
    <w:p w:rsidR="005746E8" w:rsidRPr="0049743C" w:rsidRDefault="002B3C2F" w:rsidP="00B651F9">
      <w:pPr>
        <w:tabs>
          <w:tab w:val="left" w:pos="1440"/>
        </w:tabs>
        <w:spacing w:before="200" w:after="0" w:line="240" w:lineRule="auto"/>
        <w:ind w:left="720" w:right="360"/>
        <w:jc w:val="both"/>
        <w:rPr>
          <w:szCs w:val="24"/>
          <w:lang w:val="en-HK"/>
        </w:rPr>
      </w:pPr>
      <w:r w:rsidRPr="0049743C">
        <w:rPr>
          <w:szCs w:val="24"/>
          <w:lang w:val="en-HK"/>
        </w:rPr>
        <w:t>“Not infrequently a tactical device is followed on behalf of persons accused of criminal offences involving calling</w:t>
      </w:r>
      <w:r w:rsidR="003952A5" w:rsidRPr="0049743C">
        <w:rPr>
          <w:szCs w:val="24"/>
          <w:lang w:val="en-HK"/>
        </w:rPr>
        <w:t xml:space="preserve"> </w:t>
      </w:r>
      <w:r w:rsidRPr="0049743C">
        <w:rPr>
          <w:szCs w:val="24"/>
          <w:lang w:val="en-HK"/>
        </w:rPr>
        <w:t>in</w:t>
      </w:r>
      <w:r w:rsidR="003952A5" w:rsidRPr="0049743C">
        <w:rPr>
          <w:szCs w:val="24"/>
          <w:lang w:val="en-HK"/>
        </w:rPr>
        <w:t xml:space="preserve"> </w:t>
      </w:r>
      <w:r w:rsidRPr="0049743C">
        <w:rPr>
          <w:szCs w:val="24"/>
          <w:lang w:val="en-HK"/>
        </w:rPr>
        <w:t>their defence a psychiatr</w:t>
      </w:r>
      <w:r w:rsidR="003952A5" w:rsidRPr="0049743C">
        <w:rPr>
          <w:szCs w:val="24"/>
          <w:lang w:val="en-HK"/>
        </w:rPr>
        <w:t xml:space="preserve">ist for the purpose of eliciting from the psychiatrist a comprehensive factual statement, being the history given to the psychiatrist, and then of eliciting from the psychiatrist some expressions of professional opinion inconsistent with guilt on the part of the accused person. That device enables accused persons to get before juries factual assertions contained in histories given to psychiatrists, being assertions not substantiated or sought to be substantiated by the tendering of any admissible evidence of the matters recited in the history. It is a device which results in unproved assertions and unsubstantiated opinions being placed before juries and relied upon by the defence. As such it is a device that counsel should not attempt to employ and that trial judges are well justified in guarding against.” </w:t>
      </w:r>
      <w:r w:rsidR="00451A8C" w:rsidRPr="0049743C">
        <w:rPr>
          <w:szCs w:val="24"/>
        </w:rPr>
        <w:t xml:space="preserve">  </w:t>
      </w:r>
      <w:r w:rsidR="005746E8" w:rsidRPr="0049743C">
        <w:rPr>
          <w:szCs w:val="24"/>
        </w:rPr>
        <w:t xml:space="preserve">  </w:t>
      </w:r>
    </w:p>
    <w:p w:rsidR="0041412D" w:rsidRPr="0049743C" w:rsidRDefault="0041412D" w:rsidP="0041412D">
      <w:pPr>
        <w:tabs>
          <w:tab w:val="left" w:pos="1440"/>
        </w:tabs>
        <w:spacing w:after="0" w:line="360" w:lineRule="auto"/>
        <w:ind w:right="-90"/>
        <w:jc w:val="both"/>
        <w:rPr>
          <w:sz w:val="28"/>
          <w:szCs w:val="28"/>
          <w:lang w:val="en-HK"/>
        </w:rPr>
      </w:pPr>
    </w:p>
    <w:p w:rsidR="00334191" w:rsidRDefault="00597770" w:rsidP="00F6462F">
      <w:pPr>
        <w:numPr>
          <w:ilvl w:val="0"/>
          <w:numId w:val="12"/>
        </w:numPr>
        <w:tabs>
          <w:tab w:val="left" w:pos="1440"/>
        </w:tabs>
        <w:spacing w:after="0" w:line="360" w:lineRule="auto"/>
        <w:ind w:left="0" w:firstLine="0"/>
        <w:jc w:val="both"/>
        <w:rPr>
          <w:sz w:val="28"/>
          <w:szCs w:val="28"/>
        </w:rPr>
      </w:pPr>
      <w:r>
        <w:rPr>
          <w:sz w:val="28"/>
          <w:szCs w:val="28"/>
        </w:rPr>
        <w:tab/>
      </w:r>
      <w:r w:rsidR="005746E8" w:rsidRPr="0049743C">
        <w:rPr>
          <w:sz w:val="28"/>
          <w:szCs w:val="28"/>
        </w:rPr>
        <w:t xml:space="preserve">Moreover, the Proposed New Approach fails to </w:t>
      </w:r>
      <w:r w:rsidR="00FC5E22" w:rsidRPr="0049743C">
        <w:rPr>
          <w:sz w:val="28"/>
          <w:szCs w:val="28"/>
        </w:rPr>
        <w:t>pay</w:t>
      </w:r>
      <w:r w:rsidR="005746E8" w:rsidRPr="0049743C">
        <w:rPr>
          <w:sz w:val="28"/>
          <w:szCs w:val="28"/>
        </w:rPr>
        <w:t xml:space="preserve"> due regard to the rationale for the hearsay rule </w:t>
      </w:r>
      <w:r w:rsidR="002067CD" w:rsidRPr="0049743C">
        <w:rPr>
          <w:sz w:val="28"/>
          <w:szCs w:val="28"/>
        </w:rPr>
        <w:t>as highlighted by Lord Bridge</w:t>
      </w:r>
      <w:r w:rsidR="000B4819" w:rsidRPr="0049743C">
        <w:rPr>
          <w:sz w:val="28"/>
          <w:szCs w:val="28"/>
        </w:rPr>
        <w:t xml:space="preserve"> in </w:t>
      </w:r>
      <w:r w:rsidR="000B4819" w:rsidRPr="0049743C">
        <w:rPr>
          <w:i/>
          <w:sz w:val="28"/>
          <w:szCs w:val="28"/>
        </w:rPr>
        <w:t>R v Blastland</w:t>
      </w:r>
      <w:r w:rsidR="000B4819" w:rsidRPr="002F3040">
        <w:rPr>
          <w:rStyle w:val="FootnoteReference"/>
          <w:sz w:val="28"/>
          <w:szCs w:val="28"/>
        </w:rPr>
        <w:footnoteReference w:id="54"/>
      </w:r>
      <w:r w:rsidR="002067CD" w:rsidRPr="0049743C">
        <w:rPr>
          <w:sz w:val="28"/>
          <w:szCs w:val="28"/>
        </w:rPr>
        <w:t xml:space="preserve"> </w:t>
      </w:r>
      <w:r w:rsidR="005746E8" w:rsidRPr="0049743C">
        <w:rPr>
          <w:sz w:val="28"/>
          <w:szCs w:val="28"/>
        </w:rPr>
        <w:t>if the</w:t>
      </w:r>
      <w:r w:rsidR="000A6E06" w:rsidRPr="0049743C">
        <w:rPr>
          <w:sz w:val="28"/>
          <w:szCs w:val="28"/>
        </w:rPr>
        <w:t xml:space="preserve"> jury</w:t>
      </w:r>
      <w:r w:rsidR="00C52A61" w:rsidRPr="0049743C">
        <w:rPr>
          <w:sz w:val="28"/>
          <w:szCs w:val="28"/>
        </w:rPr>
        <w:t xml:space="preserve"> has</w:t>
      </w:r>
      <w:r w:rsidR="005746E8" w:rsidRPr="0049743C">
        <w:rPr>
          <w:sz w:val="28"/>
          <w:szCs w:val="28"/>
        </w:rPr>
        <w:t xml:space="preserve"> to assess </w:t>
      </w:r>
      <w:r w:rsidR="002067CD" w:rsidRPr="0049743C">
        <w:rPr>
          <w:sz w:val="28"/>
          <w:szCs w:val="28"/>
        </w:rPr>
        <w:t xml:space="preserve">the </w:t>
      </w:r>
      <w:r w:rsidR="000A6E06" w:rsidRPr="0049743C">
        <w:rPr>
          <w:sz w:val="28"/>
          <w:szCs w:val="28"/>
        </w:rPr>
        <w:t xml:space="preserve">weight to be attached to a </w:t>
      </w:r>
      <w:r w:rsidR="002067CD" w:rsidRPr="0049743C">
        <w:rPr>
          <w:sz w:val="28"/>
          <w:szCs w:val="28"/>
        </w:rPr>
        <w:t>factual assertion of a defendant</w:t>
      </w:r>
      <w:r w:rsidR="005746E8" w:rsidRPr="0049743C">
        <w:rPr>
          <w:sz w:val="28"/>
          <w:szCs w:val="28"/>
        </w:rPr>
        <w:t xml:space="preserve"> without the</w:t>
      </w:r>
      <w:r w:rsidR="000A6E06" w:rsidRPr="0049743C">
        <w:rPr>
          <w:sz w:val="28"/>
          <w:szCs w:val="28"/>
        </w:rPr>
        <w:t xml:space="preserve"> benefit </w:t>
      </w:r>
      <w:r w:rsidR="002067CD" w:rsidRPr="0049743C">
        <w:rPr>
          <w:sz w:val="28"/>
          <w:szCs w:val="28"/>
        </w:rPr>
        <w:t xml:space="preserve">of cross-examination. </w:t>
      </w:r>
    </w:p>
    <w:p w:rsidR="001B0DB0" w:rsidRPr="0049743C" w:rsidRDefault="001B0DB0" w:rsidP="001B0DB0">
      <w:pPr>
        <w:tabs>
          <w:tab w:val="left" w:pos="1440"/>
        </w:tabs>
        <w:spacing w:after="0" w:line="360" w:lineRule="auto"/>
        <w:jc w:val="both"/>
        <w:rPr>
          <w:sz w:val="28"/>
          <w:szCs w:val="28"/>
        </w:rPr>
      </w:pPr>
    </w:p>
    <w:p w:rsidR="00D44E35" w:rsidRPr="0049743C" w:rsidRDefault="00597770" w:rsidP="00F6462F">
      <w:pPr>
        <w:numPr>
          <w:ilvl w:val="0"/>
          <w:numId w:val="12"/>
        </w:numPr>
        <w:tabs>
          <w:tab w:val="left" w:pos="1440"/>
        </w:tabs>
        <w:spacing w:after="0" w:line="360" w:lineRule="auto"/>
        <w:ind w:left="0" w:firstLine="0"/>
        <w:jc w:val="both"/>
        <w:rPr>
          <w:sz w:val="28"/>
          <w:szCs w:val="28"/>
        </w:rPr>
      </w:pPr>
      <w:r>
        <w:rPr>
          <w:sz w:val="28"/>
          <w:szCs w:val="28"/>
        </w:rPr>
        <w:tab/>
      </w:r>
      <w:r w:rsidR="00D44E35" w:rsidRPr="0049743C">
        <w:rPr>
          <w:sz w:val="28"/>
          <w:szCs w:val="28"/>
        </w:rPr>
        <w:t>In terms of giving the jury</w:t>
      </w:r>
      <w:r w:rsidR="00364353" w:rsidRPr="0049743C">
        <w:rPr>
          <w:sz w:val="28"/>
          <w:szCs w:val="28"/>
        </w:rPr>
        <w:t xml:space="preserve"> a</w:t>
      </w:r>
      <w:r w:rsidR="00D44E35" w:rsidRPr="0049743C">
        <w:rPr>
          <w:sz w:val="28"/>
          <w:szCs w:val="28"/>
        </w:rPr>
        <w:t xml:space="preserve"> meaningful and workable direction</w:t>
      </w:r>
      <w:r w:rsidR="002C3009" w:rsidRPr="0049743C">
        <w:rPr>
          <w:sz w:val="28"/>
          <w:szCs w:val="28"/>
        </w:rPr>
        <w:t>s</w:t>
      </w:r>
      <w:r w:rsidR="00D44E35" w:rsidRPr="0049743C">
        <w:rPr>
          <w:sz w:val="28"/>
          <w:szCs w:val="28"/>
        </w:rPr>
        <w:t xml:space="preserve"> in assessing the</w:t>
      </w:r>
      <w:r w:rsidR="000B4819" w:rsidRPr="0049743C">
        <w:rPr>
          <w:sz w:val="28"/>
          <w:szCs w:val="28"/>
        </w:rPr>
        <w:t xml:space="preserve"> weight to be attached to the opinion of the psychiatrists</w:t>
      </w:r>
      <w:r w:rsidR="00D44E35" w:rsidRPr="0049743C">
        <w:rPr>
          <w:sz w:val="28"/>
          <w:szCs w:val="28"/>
        </w:rPr>
        <w:t xml:space="preserve">, </w:t>
      </w:r>
      <w:r w:rsidR="000B4819" w:rsidRPr="0049743C">
        <w:rPr>
          <w:sz w:val="28"/>
          <w:szCs w:val="28"/>
        </w:rPr>
        <w:t>t</w:t>
      </w:r>
      <w:r w:rsidR="00D44E35" w:rsidRPr="0049743C">
        <w:rPr>
          <w:sz w:val="28"/>
          <w:szCs w:val="28"/>
        </w:rPr>
        <w:t>he direction given by the Judge in the instant case</w:t>
      </w:r>
      <w:r w:rsidR="000B4819" w:rsidRPr="0049743C">
        <w:rPr>
          <w:sz w:val="28"/>
          <w:szCs w:val="28"/>
        </w:rPr>
        <w:t xml:space="preserve"> </w:t>
      </w:r>
      <w:r w:rsidR="00FB1034" w:rsidRPr="0049743C">
        <w:rPr>
          <w:sz w:val="28"/>
          <w:szCs w:val="28"/>
        </w:rPr>
        <w:t>wa</w:t>
      </w:r>
      <w:r w:rsidR="000B4819" w:rsidRPr="0049743C">
        <w:rPr>
          <w:sz w:val="28"/>
          <w:szCs w:val="28"/>
        </w:rPr>
        <w:t xml:space="preserve">s perfectly </w:t>
      </w:r>
      <w:r w:rsidR="001E4278" w:rsidRPr="0049743C">
        <w:rPr>
          <w:sz w:val="28"/>
          <w:szCs w:val="28"/>
        </w:rPr>
        <w:t xml:space="preserve">comprehensible to the jury and </w:t>
      </w:r>
      <w:r w:rsidR="000B4819" w:rsidRPr="0049743C">
        <w:rPr>
          <w:sz w:val="28"/>
          <w:szCs w:val="28"/>
        </w:rPr>
        <w:t>adequate</w:t>
      </w:r>
      <w:r w:rsidR="001E4278" w:rsidRPr="0049743C">
        <w:rPr>
          <w:sz w:val="28"/>
          <w:szCs w:val="28"/>
        </w:rPr>
        <w:t xml:space="preserve"> in safeguarding the legitimate interests of the </w:t>
      </w:r>
      <w:r w:rsidR="002B6EE1" w:rsidRPr="0049743C">
        <w:rPr>
          <w:sz w:val="28"/>
          <w:szCs w:val="28"/>
        </w:rPr>
        <w:t>Appellant</w:t>
      </w:r>
      <w:r w:rsidR="000B4819" w:rsidRPr="0049743C">
        <w:rPr>
          <w:sz w:val="28"/>
          <w:szCs w:val="28"/>
        </w:rPr>
        <w:t xml:space="preserve">. </w:t>
      </w:r>
      <w:r w:rsidR="00AC6082" w:rsidRPr="0049743C">
        <w:rPr>
          <w:sz w:val="28"/>
          <w:szCs w:val="28"/>
        </w:rPr>
        <w:t xml:space="preserve">The Judge plainly left it to the jury to decide if they could act upon the opinion of Dr Choi based on the </w:t>
      </w:r>
      <w:r w:rsidR="002B6EE1" w:rsidRPr="0049743C">
        <w:rPr>
          <w:sz w:val="28"/>
          <w:szCs w:val="28"/>
        </w:rPr>
        <w:t>Appellant</w:t>
      </w:r>
      <w:r w:rsidR="00AC6082" w:rsidRPr="0049743C">
        <w:rPr>
          <w:sz w:val="28"/>
          <w:szCs w:val="28"/>
        </w:rPr>
        <w:t xml:space="preserve">’s unsworn assertion that he </w:t>
      </w:r>
      <w:r w:rsidR="00364353" w:rsidRPr="0049743C">
        <w:rPr>
          <w:sz w:val="28"/>
          <w:szCs w:val="28"/>
        </w:rPr>
        <w:t xml:space="preserve">had </w:t>
      </w:r>
      <w:r w:rsidR="00AC6082" w:rsidRPr="0049743C">
        <w:rPr>
          <w:sz w:val="28"/>
          <w:szCs w:val="28"/>
        </w:rPr>
        <w:t xml:space="preserve">suffered from earlier hallucinations and delusions. The Judge </w:t>
      </w:r>
      <w:r w:rsidR="00FB1034" w:rsidRPr="0049743C">
        <w:rPr>
          <w:sz w:val="28"/>
          <w:szCs w:val="28"/>
        </w:rPr>
        <w:t xml:space="preserve">stressed that it was a matter for the jury to consider that such </w:t>
      </w:r>
      <w:r w:rsidR="00364353" w:rsidRPr="0049743C">
        <w:rPr>
          <w:sz w:val="28"/>
          <w:szCs w:val="28"/>
        </w:rPr>
        <w:t xml:space="preserve">an </w:t>
      </w:r>
      <w:r w:rsidR="00FB1034" w:rsidRPr="0049743C">
        <w:rPr>
          <w:sz w:val="28"/>
          <w:szCs w:val="28"/>
        </w:rPr>
        <w:t xml:space="preserve">unsworn assertion was only </w:t>
      </w:r>
      <w:r w:rsidR="00FB1034" w:rsidRPr="0049743C">
        <w:rPr>
          <w:sz w:val="28"/>
          <w:szCs w:val="28"/>
        </w:rPr>
        <w:lastRenderedPageBreak/>
        <w:t xml:space="preserve">made to Dr Choi but not to Dr Tang and Dr Lui. </w:t>
      </w:r>
      <w:r w:rsidR="002F3040">
        <w:rPr>
          <w:sz w:val="28"/>
          <w:szCs w:val="28"/>
        </w:rPr>
        <w:t>Her Ladyship</w:t>
      </w:r>
      <w:r w:rsidR="00FB1034" w:rsidRPr="0049743C">
        <w:rPr>
          <w:sz w:val="28"/>
          <w:szCs w:val="28"/>
        </w:rPr>
        <w:t xml:space="preserve"> also highlighted the explanation given by the </w:t>
      </w:r>
      <w:r w:rsidR="002B6EE1" w:rsidRPr="0049743C">
        <w:rPr>
          <w:sz w:val="28"/>
          <w:szCs w:val="28"/>
        </w:rPr>
        <w:t>Appellant</w:t>
      </w:r>
      <w:r w:rsidR="00FB1034" w:rsidRPr="0049743C">
        <w:rPr>
          <w:sz w:val="28"/>
          <w:szCs w:val="28"/>
        </w:rPr>
        <w:t xml:space="preserve"> for such omission from his statements to Dr Tang and Dr Lui. In the circumstances of the present case, these directions are probably more helpful to the jury than </w:t>
      </w:r>
      <w:r w:rsidR="002A11DE" w:rsidRPr="0049743C">
        <w:rPr>
          <w:sz w:val="28"/>
          <w:szCs w:val="28"/>
        </w:rPr>
        <w:t>a</w:t>
      </w:r>
      <w:r w:rsidR="00FB1034" w:rsidRPr="0049743C">
        <w:rPr>
          <w:sz w:val="28"/>
          <w:szCs w:val="28"/>
        </w:rPr>
        <w:t xml:space="preserve"> direction</w:t>
      </w:r>
      <w:r w:rsidR="00722E34" w:rsidRPr="0049743C">
        <w:rPr>
          <w:sz w:val="28"/>
          <w:szCs w:val="28"/>
        </w:rPr>
        <w:t xml:space="preserve"> under</w:t>
      </w:r>
      <w:r w:rsidR="002A11DE" w:rsidRPr="0049743C">
        <w:rPr>
          <w:sz w:val="28"/>
          <w:szCs w:val="28"/>
        </w:rPr>
        <w:t xml:space="preserve"> </w:t>
      </w:r>
      <w:r w:rsidR="00FB1034" w:rsidRPr="0049743C">
        <w:rPr>
          <w:sz w:val="28"/>
          <w:szCs w:val="28"/>
        </w:rPr>
        <w:t>the Proposed New Approach.</w:t>
      </w:r>
      <w:r w:rsidR="002A11DE" w:rsidRPr="0049743C">
        <w:rPr>
          <w:sz w:val="28"/>
          <w:szCs w:val="28"/>
        </w:rPr>
        <w:t xml:space="preserve"> </w:t>
      </w:r>
      <w:r w:rsidR="00714362" w:rsidRPr="0049743C">
        <w:rPr>
          <w:sz w:val="28"/>
          <w:szCs w:val="28"/>
        </w:rPr>
        <w:t>A</w:t>
      </w:r>
      <w:r w:rsidR="00722E34" w:rsidRPr="0049743C">
        <w:rPr>
          <w:sz w:val="28"/>
          <w:szCs w:val="28"/>
        </w:rPr>
        <w:t xml:space="preserve">dopting </w:t>
      </w:r>
      <w:r w:rsidR="002A11DE" w:rsidRPr="0049743C">
        <w:rPr>
          <w:sz w:val="28"/>
          <w:szCs w:val="28"/>
        </w:rPr>
        <w:t xml:space="preserve">the Proposed New Approach would </w:t>
      </w:r>
      <w:r w:rsidR="00714362" w:rsidRPr="0049743C">
        <w:rPr>
          <w:sz w:val="28"/>
          <w:szCs w:val="28"/>
        </w:rPr>
        <w:t xml:space="preserve">not </w:t>
      </w:r>
      <w:r w:rsidR="002A11DE" w:rsidRPr="0049743C">
        <w:rPr>
          <w:sz w:val="28"/>
          <w:szCs w:val="28"/>
        </w:rPr>
        <w:t xml:space="preserve">lead to a different outcome in the present case. </w:t>
      </w:r>
      <w:r w:rsidR="00FB1034" w:rsidRPr="0049743C">
        <w:rPr>
          <w:sz w:val="28"/>
          <w:szCs w:val="28"/>
        </w:rPr>
        <w:t xml:space="preserve">   </w:t>
      </w:r>
      <w:r w:rsidR="00AC6082" w:rsidRPr="0049743C">
        <w:rPr>
          <w:sz w:val="28"/>
          <w:szCs w:val="28"/>
        </w:rPr>
        <w:t xml:space="preserve"> </w:t>
      </w:r>
    </w:p>
    <w:p w:rsidR="0041412D" w:rsidRPr="0049743C" w:rsidRDefault="0041412D" w:rsidP="00F6462F">
      <w:pPr>
        <w:tabs>
          <w:tab w:val="left" w:pos="1440"/>
        </w:tabs>
        <w:spacing w:after="0" w:line="360" w:lineRule="auto"/>
        <w:jc w:val="both"/>
        <w:rPr>
          <w:sz w:val="28"/>
          <w:szCs w:val="28"/>
        </w:rPr>
      </w:pPr>
    </w:p>
    <w:p w:rsidR="00AE2701" w:rsidRPr="0049743C" w:rsidRDefault="00597770" w:rsidP="00F6462F">
      <w:pPr>
        <w:numPr>
          <w:ilvl w:val="0"/>
          <w:numId w:val="12"/>
        </w:numPr>
        <w:tabs>
          <w:tab w:val="left" w:pos="1440"/>
        </w:tabs>
        <w:spacing w:after="0" w:line="360" w:lineRule="auto"/>
        <w:ind w:left="0" w:firstLine="0"/>
        <w:jc w:val="both"/>
        <w:rPr>
          <w:sz w:val="28"/>
          <w:szCs w:val="28"/>
        </w:rPr>
      </w:pPr>
      <w:r>
        <w:rPr>
          <w:sz w:val="28"/>
          <w:szCs w:val="28"/>
        </w:rPr>
        <w:tab/>
      </w:r>
      <w:r w:rsidR="00AE2701" w:rsidRPr="0049743C">
        <w:rPr>
          <w:sz w:val="28"/>
          <w:szCs w:val="28"/>
        </w:rPr>
        <w:t>As regards the situation where it is established by medical evidence that a defendant is unfit to testify</w:t>
      </w:r>
      <w:r w:rsidR="00F95A07" w:rsidRPr="0049743C">
        <w:rPr>
          <w:rStyle w:val="FootnoteReference"/>
          <w:sz w:val="28"/>
          <w:szCs w:val="28"/>
        </w:rPr>
        <w:footnoteReference w:id="55"/>
      </w:r>
      <w:r w:rsidR="006E59DE" w:rsidRPr="0049743C">
        <w:rPr>
          <w:sz w:val="28"/>
          <w:szCs w:val="28"/>
        </w:rPr>
        <w:t xml:space="preserve">, </w:t>
      </w:r>
      <w:r w:rsidR="00AE2701" w:rsidRPr="0049743C">
        <w:rPr>
          <w:sz w:val="28"/>
          <w:szCs w:val="28"/>
        </w:rPr>
        <w:t xml:space="preserve">the </w:t>
      </w:r>
      <w:r w:rsidR="00722E34" w:rsidRPr="0049743C">
        <w:rPr>
          <w:sz w:val="28"/>
          <w:szCs w:val="28"/>
        </w:rPr>
        <w:t xml:space="preserve">judge should direct the </w:t>
      </w:r>
      <w:r w:rsidR="00AE2701" w:rsidRPr="0049743C">
        <w:rPr>
          <w:sz w:val="28"/>
          <w:szCs w:val="28"/>
        </w:rPr>
        <w:t xml:space="preserve">jury </w:t>
      </w:r>
      <w:r w:rsidR="00722E34" w:rsidRPr="0049743C">
        <w:rPr>
          <w:sz w:val="28"/>
          <w:szCs w:val="28"/>
        </w:rPr>
        <w:t>to</w:t>
      </w:r>
      <w:r w:rsidR="00AB00B9" w:rsidRPr="0049743C">
        <w:rPr>
          <w:sz w:val="28"/>
          <w:szCs w:val="28"/>
        </w:rPr>
        <w:t xml:space="preserve"> take evidence</w:t>
      </w:r>
      <w:r w:rsidR="00AE2701" w:rsidRPr="0049743C">
        <w:rPr>
          <w:sz w:val="28"/>
          <w:szCs w:val="28"/>
        </w:rPr>
        <w:t xml:space="preserve"> </w:t>
      </w:r>
      <w:r w:rsidR="00364353" w:rsidRPr="0049743C">
        <w:rPr>
          <w:sz w:val="28"/>
          <w:szCs w:val="28"/>
        </w:rPr>
        <w:t xml:space="preserve">of such unfitness </w:t>
      </w:r>
      <w:r w:rsidR="00AE2701" w:rsidRPr="0049743C">
        <w:rPr>
          <w:sz w:val="28"/>
          <w:szCs w:val="28"/>
        </w:rPr>
        <w:t xml:space="preserve">into account in assessing the weight to be attached to the expert opinion </w:t>
      </w:r>
      <w:r w:rsidR="00722E34" w:rsidRPr="0049743C">
        <w:rPr>
          <w:sz w:val="28"/>
          <w:szCs w:val="28"/>
        </w:rPr>
        <w:t xml:space="preserve">even though it may be based </w:t>
      </w:r>
      <w:r w:rsidR="00CE1649" w:rsidRPr="0049743C">
        <w:rPr>
          <w:sz w:val="28"/>
          <w:szCs w:val="28"/>
        </w:rPr>
        <w:t xml:space="preserve">on the </w:t>
      </w:r>
      <w:r w:rsidR="00AE2701" w:rsidRPr="0049743C">
        <w:rPr>
          <w:sz w:val="28"/>
          <w:szCs w:val="28"/>
        </w:rPr>
        <w:t>out-of-court statement</w:t>
      </w:r>
      <w:r w:rsidR="00364353" w:rsidRPr="0049743C">
        <w:rPr>
          <w:sz w:val="28"/>
          <w:szCs w:val="28"/>
        </w:rPr>
        <w:t>s</w:t>
      </w:r>
      <w:r w:rsidR="00AE2701" w:rsidRPr="0049743C">
        <w:rPr>
          <w:sz w:val="28"/>
          <w:szCs w:val="28"/>
        </w:rPr>
        <w:t xml:space="preserve"> of such a defendant. </w:t>
      </w:r>
      <w:r w:rsidR="00FC5E22" w:rsidRPr="0049743C">
        <w:rPr>
          <w:sz w:val="28"/>
          <w:szCs w:val="28"/>
        </w:rPr>
        <w:t xml:space="preserve">The inability to testify may be temporary and </w:t>
      </w:r>
      <w:r w:rsidR="00364353" w:rsidRPr="0049743C">
        <w:rPr>
          <w:sz w:val="28"/>
          <w:szCs w:val="28"/>
        </w:rPr>
        <w:t xml:space="preserve">an </w:t>
      </w:r>
      <w:r w:rsidR="00FC5E22" w:rsidRPr="0049743C">
        <w:rPr>
          <w:sz w:val="28"/>
          <w:szCs w:val="28"/>
        </w:rPr>
        <w:t xml:space="preserve">adjournment can be </w:t>
      </w:r>
      <w:r w:rsidR="00AB00B9" w:rsidRPr="0049743C">
        <w:rPr>
          <w:sz w:val="28"/>
          <w:szCs w:val="28"/>
        </w:rPr>
        <w:t>considered</w:t>
      </w:r>
      <w:r w:rsidR="00FC5E22" w:rsidRPr="0049743C">
        <w:rPr>
          <w:sz w:val="28"/>
          <w:szCs w:val="28"/>
        </w:rPr>
        <w:t xml:space="preserve"> to </w:t>
      </w:r>
      <w:r w:rsidR="00AB00B9" w:rsidRPr="0049743C">
        <w:rPr>
          <w:sz w:val="28"/>
          <w:szCs w:val="28"/>
        </w:rPr>
        <w:t>give</w:t>
      </w:r>
      <w:r w:rsidR="00FC5E22" w:rsidRPr="0049743C">
        <w:rPr>
          <w:sz w:val="28"/>
          <w:szCs w:val="28"/>
        </w:rPr>
        <w:t xml:space="preserve"> time to a defendant to recover after receiving necessary treatment. </w:t>
      </w:r>
      <w:r w:rsidR="00FB1034" w:rsidRPr="0049743C">
        <w:rPr>
          <w:sz w:val="28"/>
          <w:szCs w:val="28"/>
        </w:rPr>
        <w:t xml:space="preserve">There can be </w:t>
      </w:r>
      <w:r w:rsidR="003600D6" w:rsidRPr="0049743C">
        <w:rPr>
          <w:sz w:val="28"/>
          <w:szCs w:val="28"/>
        </w:rPr>
        <w:t xml:space="preserve">a </w:t>
      </w:r>
      <w:r w:rsidR="00FB1034" w:rsidRPr="0049743C">
        <w:rPr>
          <w:sz w:val="28"/>
          <w:szCs w:val="28"/>
        </w:rPr>
        <w:t xml:space="preserve">dispute on the extent of the disability and experts may disagree </w:t>
      </w:r>
      <w:r w:rsidR="00FC5E22" w:rsidRPr="0049743C">
        <w:rPr>
          <w:sz w:val="28"/>
          <w:szCs w:val="28"/>
        </w:rPr>
        <w:t xml:space="preserve">with each other </w:t>
      </w:r>
      <w:r w:rsidR="00FB1034" w:rsidRPr="0049743C">
        <w:rPr>
          <w:sz w:val="28"/>
          <w:szCs w:val="28"/>
        </w:rPr>
        <w:t xml:space="preserve">in that regard. </w:t>
      </w:r>
      <w:r w:rsidR="00FC5E22" w:rsidRPr="0049743C">
        <w:rPr>
          <w:sz w:val="28"/>
          <w:szCs w:val="28"/>
        </w:rPr>
        <w:t>Such dispute</w:t>
      </w:r>
      <w:r w:rsidR="003600D6" w:rsidRPr="0049743C">
        <w:rPr>
          <w:sz w:val="28"/>
          <w:szCs w:val="28"/>
        </w:rPr>
        <w:t>s</w:t>
      </w:r>
      <w:r w:rsidR="00FC5E22" w:rsidRPr="0049743C">
        <w:rPr>
          <w:sz w:val="28"/>
          <w:szCs w:val="28"/>
        </w:rPr>
        <w:t>, like other factual disputes, would have to be decided by the jury, not the</w:t>
      </w:r>
      <w:r w:rsidR="00AB00B9" w:rsidRPr="0049743C">
        <w:rPr>
          <w:sz w:val="28"/>
          <w:szCs w:val="28"/>
        </w:rPr>
        <w:t xml:space="preserve"> trial</w:t>
      </w:r>
      <w:r w:rsidR="00FC5E22" w:rsidRPr="0049743C">
        <w:rPr>
          <w:sz w:val="28"/>
          <w:szCs w:val="28"/>
        </w:rPr>
        <w:t xml:space="preserve"> judge. </w:t>
      </w:r>
      <w:r w:rsidR="00FB1034" w:rsidRPr="0049743C">
        <w:rPr>
          <w:sz w:val="28"/>
          <w:szCs w:val="28"/>
        </w:rPr>
        <w:t xml:space="preserve">In </w:t>
      </w:r>
      <w:r w:rsidR="00FC5E22" w:rsidRPr="0049743C">
        <w:rPr>
          <w:sz w:val="28"/>
          <w:szCs w:val="28"/>
        </w:rPr>
        <w:t>some</w:t>
      </w:r>
      <w:r w:rsidR="00FB1034" w:rsidRPr="0049743C">
        <w:rPr>
          <w:sz w:val="28"/>
          <w:szCs w:val="28"/>
        </w:rPr>
        <w:t xml:space="preserve"> cases, there could be </w:t>
      </w:r>
      <w:r w:rsidR="00FC5E22" w:rsidRPr="0049743C">
        <w:rPr>
          <w:sz w:val="28"/>
          <w:szCs w:val="28"/>
        </w:rPr>
        <w:t>other</w:t>
      </w:r>
      <w:r w:rsidR="00FB1034" w:rsidRPr="0049743C">
        <w:rPr>
          <w:sz w:val="28"/>
          <w:szCs w:val="28"/>
        </w:rPr>
        <w:t xml:space="preserve"> evidence o</w:t>
      </w:r>
      <w:r w:rsidR="00FC5E22" w:rsidRPr="0049743C">
        <w:rPr>
          <w:sz w:val="28"/>
          <w:szCs w:val="28"/>
        </w:rPr>
        <w:t>n</w:t>
      </w:r>
      <w:r w:rsidR="00FB1034" w:rsidRPr="0049743C">
        <w:rPr>
          <w:sz w:val="28"/>
          <w:szCs w:val="28"/>
        </w:rPr>
        <w:t xml:space="preserve"> </w:t>
      </w:r>
      <w:r w:rsidR="00FC5E22" w:rsidRPr="0049743C">
        <w:rPr>
          <w:sz w:val="28"/>
          <w:szCs w:val="28"/>
        </w:rPr>
        <w:t>the</w:t>
      </w:r>
      <w:r w:rsidR="00FB1034" w:rsidRPr="0049743C">
        <w:rPr>
          <w:sz w:val="28"/>
          <w:szCs w:val="28"/>
        </w:rPr>
        <w:t xml:space="preserve"> medical history</w:t>
      </w:r>
      <w:r w:rsidR="00CE1649" w:rsidRPr="0049743C">
        <w:rPr>
          <w:sz w:val="28"/>
          <w:szCs w:val="28"/>
        </w:rPr>
        <w:t xml:space="preserve"> of a defendant</w:t>
      </w:r>
      <w:r w:rsidR="00FB1034" w:rsidRPr="0049743C">
        <w:rPr>
          <w:sz w:val="28"/>
          <w:szCs w:val="28"/>
        </w:rPr>
        <w:t xml:space="preserve"> to support </w:t>
      </w:r>
      <w:r w:rsidR="00AB00B9" w:rsidRPr="0049743C">
        <w:rPr>
          <w:sz w:val="28"/>
          <w:szCs w:val="28"/>
        </w:rPr>
        <w:t>the defence</w:t>
      </w:r>
      <w:r w:rsidR="00FB1034" w:rsidRPr="0049743C">
        <w:rPr>
          <w:sz w:val="28"/>
          <w:szCs w:val="28"/>
        </w:rPr>
        <w:t xml:space="preserve"> case o</w:t>
      </w:r>
      <w:r w:rsidR="00AB00B9" w:rsidRPr="0049743C">
        <w:rPr>
          <w:sz w:val="28"/>
          <w:szCs w:val="28"/>
        </w:rPr>
        <w:t>n</w:t>
      </w:r>
      <w:r w:rsidR="00FB1034" w:rsidRPr="0049743C">
        <w:rPr>
          <w:sz w:val="28"/>
          <w:szCs w:val="28"/>
        </w:rPr>
        <w:t xml:space="preserve"> abnormality of mind</w:t>
      </w:r>
      <w:r w:rsidR="000C0BDC" w:rsidRPr="0049743C">
        <w:rPr>
          <w:sz w:val="28"/>
          <w:szCs w:val="28"/>
        </w:rPr>
        <w:t>.</w:t>
      </w:r>
      <w:r w:rsidR="00AE2701" w:rsidRPr="0049743C">
        <w:rPr>
          <w:sz w:val="28"/>
          <w:szCs w:val="28"/>
        </w:rPr>
        <w:t xml:space="preserve"> </w:t>
      </w:r>
    </w:p>
    <w:p w:rsidR="0041412D" w:rsidRPr="0049743C" w:rsidRDefault="0041412D" w:rsidP="00F6462F">
      <w:pPr>
        <w:tabs>
          <w:tab w:val="left" w:pos="1440"/>
        </w:tabs>
        <w:spacing w:after="0" w:line="360" w:lineRule="auto"/>
        <w:jc w:val="both"/>
        <w:rPr>
          <w:sz w:val="28"/>
          <w:szCs w:val="28"/>
        </w:rPr>
      </w:pPr>
    </w:p>
    <w:p w:rsidR="006E59DE" w:rsidRPr="0049743C" w:rsidRDefault="00597770" w:rsidP="00F6462F">
      <w:pPr>
        <w:numPr>
          <w:ilvl w:val="0"/>
          <w:numId w:val="12"/>
        </w:numPr>
        <w:tabs>
          <w:tab w:val="left" w:pos="1440"/>
        </w:tabs>
        <w:spacing w:after="0" w:line="360" w:lineRule="auto"/>
        <w:ind w:left="0" w:firstLine="0"/>
        <w:jc w:val="both"/>
        <w:rPr>
          <w:sz w:val="28"/>
          <w:szCs w:val="28"/>
        </w:rPr>
      </w:pPr>
      <w:r>
        <w:rPr>
          <w:sz w:val="28"/>
          <w:szCs w:val="28"/>
        </w:rPr>
        <w:tab/>
      </w:r>
      <w:r w:rsidR="00AE2701" w:rsidRPr="0049743C">
        <w:rPr>
          <w:sz w:val="28"/>
          <w:szCs w:val="28"/>
        </w:rPr>
        <w:t xml:space="preserve">Further, </w:t>
      </w:r>
      <w:r w:rsidR="006E59DE" w:rsidRPr="0049743C">
        <w:rPr>
          <w:sz w:val="28"/>
          <w:szCs w:val="28"/>
        </w:rPr>
        <w:t>I am unable to agree with the C</w:t>
      </w:r>
      <w:r w:rsidR="00AE2701" w:rsidRPr="0049743C">
        <w:rPr>
          <w:sz w:val="28"/>
          <w:szCs w:val="28"/>
        </w:rPr>
        <w:t xml:space="preserve">ourt of </w:t>
      </w:r>
      <w:r w:rsidR="006E59DE" w:rsidRPr="0049743C">
        <w:rPr>
          <w:sz w:val="28"/>
          <w:szCs w:val="28"/>
        </w:rPr>
        <w:t>A</w:t>
      </w:r>
      <w:r w:rsidR="00AE2701" w:rsidRPr="0049743C">
        <w:rPr>
          <w:sz w:val="28"/>
          <w:szCs w:val="28"/>
        </w:rPr>
        <w:t>ppeal</w:t>
      </w:r>
      <w:r w:rsidR="006E59DE" w:rsidRPr="0049743C">
        <w:rPr>
          <w:sz w:val="28"/>
          <w:szCs w:val="28"/>
        </w:rPr>
        <w:t xml:space="preserve"> over its concern about disproportionality.</w:t>
      </w:r>
      <w:r w:rsidR="00AE2701" w:rsidRPr="0049743C">
        <w:rPr>
          <w:sz w:val="28"/>
          <w:szCs w:val="28"/>
        </w:rPr>
        <w:t xml:space="preserve"> </w:t>
      </w:r>
      <w:r w:rsidR="00AC6082" w:rsidRPr="0049743C">
        <w:rPr>
          <w:sz w:val="28"/>
          <w:szCs w:val="28"/>
        </w:rPr>
        <w:t>I</w:t>
      </w:r>
      <w:r w:rsidR="00AE2701" w:rsidRPr="0049743C">
        <w:rPr>
          <w:sz w:val="28"/>
          <w:szCs w:val="28"/>
        </w:rPr>
        <w:t>t is wron</w:t>
      </w:r>
      <w:r w:rsidR="002F3040">
        <w:rPr>
          <w:sz w:val="28"/>
          <w:szCs w:val="28"/>
        </w:rPr>
        <w:t>g in principle to re-characteris</w:t>
      </w:r>
      <w:r w:rsidR="00AE2701" w:rsidRPr="0049743C">
        <w:rPr>
          <w:sz w:val="28"/>
          <w:szCs w:val="28"/>
        </w:rPr>
        <w:t xml:space="preserve">e the hearsay nature of a piece of evidence simply because a defendant suffers from a condition that renders him unfit to testify in a particular case. </w:t>
      </w:r>
      <w:r w:rsidR="000C0BDC" w:rsidRPr="0049743C">
        <w:rPr>
          <w:sz w:val="28"/>
          <w:szCs w:val="28"/>
        </w:rPr>
        <w:t xml:space="preserve">Since </w:t>
      </w:r>
      <w:r w:rsidR="00AE2701" w:rsidRPr="0049743C">
        <w:rPr>
          <w:sz w:val="28"/>
          <w:szCs w:val="28"/>
        </w:rPr>
        <w:t>the HO place</w:t>
      </w:r>
      <w:r w:rsidR="00AE1CCF" w:rsidRPr="0049743C">
        <w:rPr>
          <w:sz w:val="28"/>
          <w:szCs w:val="28"/>
        </w:rPr>
        <w:t>s</w:t>
      </w:r>
      <w:r w:rsidR="00AE2701" w:rsidRPr="0049743C">
        <w:rPr>
          <w:sz w:val="28"/>
          <w:szCs w:val="28"/>
        </w:rPr>
        <w:t xml:space="preserve"> the burden of proof in respect of the partial defence of diminished </w:t>
      </w:r>
      <w:r w:rsidR="00AE2701" w:rsidRPr="0049743C">
        <w:rPr>
          <w:sz w:val="28"/>
          <w:szCs w:val="28"/>
        </w:rPr>
        <w:lastRenderedPageBreak/>
        <w:t>responsibility on the defendant</w:t>
      </w:r>
      <w:r w:rsidR="000C0BDC" w:rsidRPr="0049743C">
        <w:rPr>
          <w:sz w:val="28"/>
          <w:szCs w:val="28"/>
        </w:rPr>
        <w:t xml:space="preserve">, he </w:t>
      </w:r>
      <w:r w:rsidR="002F3040">
        <w:rPr>
          <w:sz w:val="28"/>
          <w:szCs w:val="28"/>
        </w:rPr>
        <w:t xml:space="preserve">or she </w:t>
      </w:r>
      <w:r w:rsidR="000C0BDC" w:rsidRPr="0049743C">
        <w:rPr>
          <w:sz w:val="28"/>
          <w:szCs w:val="28"/>
        </w:rPr>
        <w:t xml:space="preserve">has to discharge that burden by admissible evidence. </w:t>
      </w:r>
      <w:r w:rsidR="00CE1649" w:rsidRPr="0049743C">
        <w:rPr>
          <w:sz w:val="28"/>
          <w:szCs w:val="28"/>
        </w:rPr>
        <w:t>E</w:t>
      </w:r>
      <w:r w:rsidR="00722E34" w:rsidRPr="0049743C">
        <w:rPr>
          <w:sz w:val="28"/>
          <w:szCs w:val="28"/>
        </w:rPr>
        <w:t xml:space="preserve">ven in cases where no meaningful </w:t>
      </w:r>
      <w:r w:rsidR="003600D6" w:rsidRPr="0049743C">
        <w:rPr>
          <w:sz w:val="28"/>
          <w:szCs w:val="28"/>
        </w:rPr>
        <w:t xml:space="preserve">testimony </w:t>
      </w:r>
      <w:r w:rsidR="00722E34" w:rsidRPr="0049743C">
        <w:rPr>
          <w:sz w:val="28"/>
          <w:szCs w:val="28"/>
        </w:rPr>
        <w:t>could be</w:t>
      </w:r>
      <w:r w:rsidR="00F95A07" w:rsidRPr="0049743C">
        <w:rPr>
          <w:sz w:val="28"/>
          <w:szCs w:val="28"/>
        </w:rPr>
        <w:t xml:space="preserve"> obtained</w:t>
      </w:r>
      <w:r w:rsidR="00722E34" w:rsidRPr="0049743C">
        <w:rPr>
          <w:sz w:val="28"/>
          <w:szCs w:val="28"/>
        </w:rPr>
        <w:t xml:space="preserve"> from a defendant,</w:t>
      </w:r>
      <w:r w:rsidR="006E59DE" w:rsidRPr="0049743C">
        <w:rPr>
          <w:sz w:val="28"/>
          <w:szCs w:val="28"/>
        </w:rPr>
        <w:t xml:space="preserve"> it is </w:t>
      </w:r>
      <w:r w:rsidR="00CE1649" w:rsidRPr="0049743C">
        <w:rPr>
          <w:sz w:val="28"/>
          <w:szCs w:val="28"/>
        </w:rPr>
        <w:t>quite</w:t>
      </w:r>
      <w:r w:rsidR="00722E34" w:rsidRPr="0049743C">
        <w:rPr>
          <w:sz w:val="28"/>
          <w:szCs w:val="28"/>
        </w:rPr>
        <w:t xml:space="preserve"> </w:t>
      </w:r>
      <w:r w:rsidR="006E59DE" w:rsidRPr="0049743C">
        <w:rPr>
          <w:sz w:val="28"/>
          <w:szCs w:val="28"/>
        </w:rPr>
        <w:t xml:space="preserve">possible for </w:t>
      </w:r>
      <w:r w:rsidR="00722E34" w:rsidRPr="0049743C">
        <w:rPr>
          <w:sz w:val="28"/>
          <w:szCs w:val="28"/>
        </w:rPr>
        <w:t>an expert to form an opinion on abnormality of mind and substantial impairment based on</w:t>
      </w:r>
      <w:r w:rsidR="006E59DE" w:rsidRPr="0049743C">
        <w:rPr>
          <w:sz w:val="28"/>
          <w:szCs w:val="28"/>
        </w:rPr>
        <w:t xml:space="preserve"> other evidence. </w:t>
      </w:r>
      <w:r w:rsidR="00CE1649" w:rsidRPr="0049743C">
        <w:rPr>
          <w:sz w:val="28"/>
          <w:szCs w:val="28"/>
        </w:rPr>
        <w:t>As discussed below, it is rare that the expert opinion would not be admissible.</w:t>
      </w:r>
    </w:p>
    <w:p w:rsidR="0041412D" w:rsidRPr="0049743C" w:rsidRDefault="0041412D" w:rsidP="0041412D">
      <w:pPr>
        <w:tabs>
          <w:tab w:val="left" w:pos="1440"/>
        </w:tabs>
        <w:spacing w:after="0" w:line="360" w:lineRule="auto"/>
        <w:ind w:right="-90"/>
        <w:jc w:val="both"/>
        <w:rPr>
          <w:sz w:val="28"/>
          <w:szCs w:val="28"/>
        </w:rPr>
      </w:pPr>
    </w:p>
    <w:p w:rsidR="008804CC" w:rsidRPr="0049743C" w:rsidRDefault="00F179BD" w:rsidP="00C51B43">
      <w:pPr>
        <w:shd w:val="clear" w:color="auto" w:fill="FFFFFF"/>
        <w:tabs>
          <w:tab w:val="left" w:pos="1440"/>
        </w:tabs>
        <w:spacing w:after="0" w:line="360" w:lineRule="auto"/>
        <w:ind w:right="-90"/>
        <w:jc w:val="both"/>
        <w:rPr>
          <w:b/>
          <w:i/>
          <w:color w:val="000000"/>
          <w:sz w:val="28"/>
          <w:szCs w:val="28"/>
        </w:rPr>
      </w:pPr>
      <w:r w:rsidRPr="0049743C">
        <w:rPr>
          <w:b/>
          <w:i/>
          <w:color w:val="000000"/>
          <w:sz w:val="28"/>
          <w:szCs w:val="28"/>
        </w:rPr>
        <w:t xml:space="preserve">B4. </w:t>
      </w:r>
      <w:r w:rsidR="0041412D" w:rsidRPr="0049743C">
        <w:rPr>
          <w:b/>
          <w:i/>
          <w:color w:val="000000"/>
          <w:sz w:val="28"/>
          <w:szCs w:val="28"/>
        </w:rPr>
        <w:tab/>
      </w:r>
      <w:r w:rsidRPr="0049743C">
        <w:rPr>
          <w:b/>
          <w:i/>
          <w:color w:val="000000"/>
          <w:sz w:val="28"/>
          <w:szCs w:val="28"/>
        </w:rPr>
        <w:t xml:space="preserve">Medical history and state of mind </w:t>
      </w:r>
    </w:p>
    <w:p w:rsidR="00F179BD" w:rsidRPr="0049743C" w:rsidRDefault="00597770" w:rsidP="00B651F9">
      <w:pPr>
        <w:numPr>
          <w:ilvl w:val="0"/>
          <w:numId w:val="12"/>
        </w:numPr>
        <w:tabs>
          <w:tab w:val="left" w:pos="1440"/>
        </w:tabs>
        <w:spacing w:before="200" w:after="0" w:line="360" w:lineRule="auto"/>
        <w:ind w:left="0" w:firstLine="0"/>
        <w:jc w:val="both"/>
        <w:rPr>
          <w:sz w:val="28"/>
          <w:szCs w:val="28"/>
        </w:rPr>
      </w:pPr>
      <w:r>
        <w:rPr>
          <w:sz w:val="28"/>
          <w:szCs w:val="28"/>
        </w:rPr>
        <w:tab/>
      </w:r>
      <w:r w:rsidR="00F179BD" w:rsidRPr="0049743C">
        <w:rPr>
          <w:sz w:val="28"/>
          <w:szCs w:val="28"/>
        </w:rPr>
        <w:t xml:space="preserve">I turn to Mr Chau’s submission in his printed case that the existing law needs clarification in respect of admissibility of out-of-court statements made by an accused to an expert on feelings, symptoms or medical history. </w:t>
      </w:r>
    </w:p>
    <w:p w:rsidR="0041412D" w:rsidRPr="0049743C" w:rsidRDefault="0041412D" w:rsidP="0041412D">
      <w:pPr>
        <w:tabs>
          <w:tab w:val="left" w:pos="1440"/>
        </w:tabs>
        <w:spacing w:before="120" w:after="0" w:line="360" w:lineRule="auto"/>
        <w:ind w:right="-86"/>
        <w:jc w:val="both"/>
        <w:rPr>
          <w:sz w:val="28"/>
          <w:szCs w:val="28"/>
        </w:rPr>
      </w:pPr>
    </w:p>
    <w:p w:rsidR="00F179BD" w:rsidRDefault="00597770" w:rsidP="00F6462F">
      <w:pPr>
        <w:numPr>
          <w:ilvl w:val="0"/>
          <w:numId w:val="12"/>
        </w:numPr>
        <w:tabs>
          <w:tab w:val="left" w:pos="1440"/>
        </w:tabs>
        <w:spacing w:after="0" w:line="360" w:lineRule="auto"/>
        <w:ind w:left="0" w:firstLine="0"/>
        <w:jc w:val="both"/>
        <w:rPr>
          <w:sz w:val="28"/>
          <w:szCs w:val="28"/>
        </w:rPr>
      </w:pPr>
      <w:r>
        <w:rPr>
          <w:sz w:val="28"/>
          <w:szCs w:val="28"/>
        </w:rPr>
        <w:tab/>
      </w:r>
      <w:r w:rsidR="00F179BD" w:rsidRPr="0049743C">
        <w:rPr>
          <w:sz w:val="28"/>
          <w:szCs w:val="28"/>
        </w:rPr>
        <w:t>With respect, I do not find any difficulty in th</w:t>
      </w:r>
      <w:r w:rsidR="003600D6" w:rsidRPr="0049743C">
        <w:rPr>
          <w:sz w:val="28"/>
          <w:szCs w:val="28"/>
        </w:rPr>
        <w:t>is</w:t>
      </w:r>
      <w:r w:rsidR="00F179BD" w:rsidRPr="0049743C">
        <w:rPr>
          <w:sz w:val="28"/>
          <w:szCs w:val="28"/>
        </w:rPr>
        <w:t xml:space="preserve"> regard. Insofar as such statements are relevant to the opinion proffered by an expert, they are admissible as evidence of the basis on which such opinion was given but they are not evidence of the truth of such statements.  </w:t>
      </w:r>
    </w:p>
    <w:p w:rsidR="001B0DB0" w:rsidRPr="0049743C" w:rsidRDefault="001B0DB0" w:rsidP="001B0DB0">
      <w:pPr>
        <w:tabs>
          <w:tab w:val="left" w:pos="1440"/>
        </w:tabs>
        <w:spacing w:after="0" w:line="360" w:lineRule="auto"/>
        <w:jc w:val="both"/>
        <w:rPr>
          <w:sz w:val="28"/>
          <w:szCs w:val="28"/>
        </w:rPr>
      </w:pPr>
    </w:p>
    <w:p w:rsidR="00F179BD" w:rsidRPr="0049743C" w:rsidRDefault="00597770" w:rsidP="00F6462F">
      <w:pPr>
        <w:numPr>
          <w:ilvl w:val="0"/>
          <w:numId w:val="12"/>
        </w:numPr>
        <w:tabs>
          <w:tab w:val="left" w:pos="1440"/>
        </w:tabs>
        <w:spacing w:after="0" w:line="360" w:lineRule="auto"/>
        <w:ind w:left="0" w:firstLine="0"/>
        <w:jc w:val="both"/>
        <w:rPr>
          <w:sz w:val="28"/>
          <w:szCs w:val="28"/>
        </w:rPr>
      </w:pPr>
      <w:r>
        <w:rPr>
          <w:sz w:val="28"/>
          <w:szCs w:val="28"/>
        </w:rPr>
        <w:tab/>
      </w:r>
      <w:r w:rsidR="00F179BD" w:rsidRPr="0049743C">
        <w:rPr>
          <w:sz w:val="28"/>
          <w:szCs w:val="28"/>
        </w:rPr>
        <w:t>Medical history or background information about the mental condition of an accused does not fall within any common law exception to the hearsay rule. In</w:t>
      </w:r>
      <w:r w:rsidR="00F179BD" w:rsidRPr="0049743C">
        <w:rPr>
          <w:i/>
          <w:sz w:val="28"/>
          <w:szCs w:val="28"/>
        </w:rPr>
        <w:t xml:space="preserve"> R v Gordon</w:t>
      </w:r>
      <w:r w:rsidR="00F179BD" w:rsidRPr="00D279A8">
        <w:rPr>
          <w:rStyle w:val="FootnoteReference"/>
          <w:sz w:val="28"/>
          <w:szCs w:val="28"/>
        </w:rPr>
        <w:footnoteReference w:id="56"/>
      </w:r>
      <w:r w:rsidR="00F179BD" w:rsidRPr="0049743C">
        <w:rPr>
          <w:i/>
          <w:sz w:val="28"/>
          <w:szCs w:val="28"/>
        </w:rPr>
        <w:t xml:space="preserve"> </w:t>
      </w:r>
      <w:r w:rsidR="00F179BD" w:rsidRPr="0049743C">
        <w:rPr>
          <w:sz w:val="28"/>
          <w:szCs w:val="28"/>
        </w:rPr>
        <w:t xml:space="preserve">the defendant was charged with maliciously inflicting grievous bodily harm with intent. He made admissions of guilt in </w:t>
      </w:r>
      <w:r w:rsidR="00D279A8">
        <w:rPr>
          <w:sz w:val="28"/>
          <w:szCs w:val="28"/>
        </w:rPr>
        <w:t xml:space="preserve">an </w:t>
      </w:r>
      <w:r w:rsidR="00F179BD" w:rsidRPr="0049743C">
        <w:rPr>
          <w:sz w:val="28"/>
          <w:szCs w:val="28"/>
        </w:rPr>
        <w:t xml:space="preserve">interview by police officers. At trial, he denied that he was guilty of the attack </w:t>
      </w:r>
      <w:r w:rsidR="006E38F4" w:rsidRPr="0049743C">
        <w:rPr>
          <w:sz w:val="28"/>
          <w:szCs w:val="28"/>
        </w:rPr>
        <w:t xml:space="preserve">on the victim </w:t>
      </w:r>
      <w:r w:rsidR="00F179BD" w:rsidRPr="0049743C">
        <w:rPr>
          <w:sz w:val="28"/>
          <w:szCs w:val="28"/>
        </w:rPr>
        <w:t xml:space="preserve">and tried to explain the earlier admissions on the basis that he </w:t>
      </w:r>
      <w:r w:rsidR="00AB00B9" w:rsidRPr="0049743C">
        <w:rPr>
          <w:sz w:val="28"/>
          <w:szCs w:val="28"/>
        </w:rPr>
        <w:t>was</w:t>
      </w:r>
      <w:r w:rsidR="00F179BD" w:rsidRPr="0049743C">
        <w:rPr>
          <w:sz w:val="28"/>
          <w:szCs w:val="28"/>
        </w:rPr>
        <w:t xml:space="preserve"> motivated by a pathological aversion</w:t>
      </w:r>
      <w:r w:rsidR="00AB00B9" w:rsidRPr="0049743C">
        <w:rPr>
          <w:sz w:val="28"/>
          <w:szCs w:val="28"/>
        </w:rPr>
        <w:t xml:space="preserve"> in making the admissions</w:t>
      </w:r>
      <w:r w:rsidR="00F179BD" w:rsidRPr="0049743C">
        <w:rPr>
          <w:sz w:val="28"/>
          <w:szCs w:val="28"/>
        </w:rPr>
        <w:t xml:space="preserve">. A </w:t>
      </w:r>
      <w:r w:rsidR="00F179BD" w:rsidRPr="0049743C">
        <w:rPr>
          <w:sz w:val="28"/>
          <w:szCs w:val="28"/>
        </w:rPr>
        <w:lastRenderedPageBreak/>
        <w:t xml:space="preserve">psychiatrist was called on his behalf. The judge expressed concern about the information given by the defendant’s mother to the psychiatrist concerning the upbringing of the defendant and his girlfriend’s information on </w:t>
      </w:r>
      <w:r w:rsidR="00D279A8">
        <w:rPr>
          <w:sz w:val="28"/>
          <w:szCs w:val="28"/>
        </w:rPr>
        <w:t>her relationship with him</w:t>
      </w:r>
      <w:r w:rsidR="00F179BD" w:rsidRPr="0049743C">
        <w:rPr>
          <w:sz w:val="28"/>
          <w:szCs w:val="28"/>
        </w:rPr>
        <w:t xml:space="preserve"> since the defence did not intend to call the mother and the girlfriend to give evidence. The psychiatrist told the court categorically that he was unable to offer a professional assessment without their information. This eventually led to the withdrawal by defence counsel of the psychiatrist as a witness</w:t>
      </w:r>
      <w:r w:rsidR="00F179BD" w:rsidRPr="0049743C">
        <w:rPr>
          <w:rStyle w:val="FootnoteReference"/>
          <w:sz w:val="28"/>
          <w:szCs w:val="28"/>
        </w:rPr>
        <w:footnoteReference w:id="57"/>
      </w:r>
      <w:r w:rsidR="00F179BD" w:rsidRPr="0049743C">
        <w:rPr>
          <w:sz w:val="28"/>
          <w:szCs w:val="28"/>
        </w:rPr>
        <w:t>. The New South Wales Criminal Court of Appeal held that the withdrawal in such circumstances was not an irregularity. In refusing to grant leave to appeal, the High Court of Australia</w:t>
      </w:r>
      <w:r w:rsidR="00D279A8">
        <w:rPr>
          <w:rStyle w:val="FootnoteReference"/>
          <w:sz w:val="28"/>
          <w:szCs w:val="28"/>
        </w:rPr>
        <w:footnoteReference w:id="58"/>
      </w:r>
      <w:r w:rsidR="00F179BD" w:rsidRPr="0049743C">
        <w:rPr>
          <w:sz w:val="28"/>
          <w:szCs w:val="28"/>
        </w:rPr>
        <w:t xml:space="preserve"> observed that such statements could not be regarded as “original evidence” which need not be confirmed by other evidence adduced before the court. </w:t>
      </w:r>
    </w:p>
    <w:p w:rsidR="00FE28BB" w:rsidRPr="0049743C" w:rsidRDefault="00FE28BB" w:rsidP="00FE28BB">
      <w:pPr>
        <w:tabs>
          <w:tab w:val="left" w:pos="1440"/>
        </w:tabs>
        <w:spacing w:after="0" w:line="360" w:lineRule="auto"/>
        <w:ind w:right="-90"/>
        <w:jc w:val="both"/>
        <w:rPr>
          <w:sz w:val="28"/>
          <w:szCs w:val="28"/>
        </w:rPr>
      </w:pPr>
    </w:p>
    <w:p w:rsidR="00F179BD" w:rsidRPr="0049743C" w:rsidRDefault="00597770" w:rsidP="0049743C">
      <w:pPr>
        <w:numPr>
          <w:ilvl w:val="0"/>
          <w:numId w:val="12"/>
        </w:numPr>
        <w:tabs>
          <w:tab w:val="left" w:pos="1440"/>
        </w:tabs>
        <w:spacing w:after="0" w:line="360" w:lineRule="auto"/>
        <w:ind w:left="0" w:right="-90" w:firstLine="0"/>
        <w:jc w:val="both"/>
        <w:rPr>
          <w:sz w:val="28"/>
          <w:szCs w:val="28"/>
        </w:rPr>
      </w:pPr>
      <w:r>
        <w:rPr>
          <w:sz w:val="28"/>
          <w:szCs w:val="28"/>
        </w:rPr>
        <w:tab/>
      </w:r>
      <w:r w:rsidR="00F179BD" w:rsidRPr="0049743C">
        <w:rPr>
          <w:sz w:val="28"/>
          <w:szCs w:val="28"/>
        </w:rPr>
        <w:t xml:space="preserve">In </w:t>
      </w:r>
      <w:r w:rsidR="00F179BD" w:rsidRPr="0049743C">
        <w:rPr>
          <w:i/>
          <w:sz w:val="28"/>
          <w:szCs w:val="28"/>
        </w:rPr>
        <w:t xml:space="preserve">Walton v </w:t>
      </w:r>
      <w:r w:rsidR="00D279A8">
        <w:rPr>
          <w:i/>
          <w:sz w:val="28"/>
          <w:szCs w:val="28"/>
        </w:rPr>
        <w:t>The Queen</w:t>
      </w:r>
      <w:r w:rsidR="00F179BD" w:rsidRPr="00D279A8">
        <w:rPr>
          <w:rStyle w:val="FootnoteReference"/>
          <w:sz w:val="28"/>
          <w:szCs w:val="28"/>
        </w:rPr>
        <w:footnoteReference w:id="59"/>
      </w:r>
      <w:r w:rsidR="00F179BD" w:rsidRPr="0049743C">
        <w:rPr>
          <w:i/>
          <w:sz w:val="28"/>
          <w:szCs w:val="28"/>
        </w:rPr>
        <w:t xml:space="preserve"> </w:t>
      </w:r>
      <w:r w:rsidR="00FE28BB" w:rsidRPr="0049743C">
        <w:rPr>
          <w:sz w:val="28"/>
          <w:szCs w:val="28"/>
        </w:rPr>
        <w:t>Mason CJ said:</w:t>
      </w:r>
    </w:p>
    <w:p w:rsidR="00F179BD" w:rsidRPr="0049743C" w:rsidRDefault="00F179BD" w:rsidP="00B651F9">
      <w:pPr>
        <w:tabs>
          <w:tab w:val="left" w:pos="1440"/>
        </w:tabs>
        <w:spacing w:before="200" w:after="0" w:line="240" w:lineRule="auto"/>
        <w:ind w:left="720" w:right="360"/>
        <w:jc w:val="both"/>
        <w:rPr>
          <w:szCs w:val="24"/>
        </w:rPr>
      </w:pPr>
      <w:r w:rsidRPr="0049743C">
        <w:rPr>
          <w:szCs w:val="24"/>
        </w:rPr>
        <w:t>“</w:t>
      </w:r>
      <w:r w:rsidR="00D279A8">
        <w:rPr>
          <w:szCs w:val="24"/>
        </w:rPr>
        <w:t>… e</w:t>
      </w:r>
      <w:r w:rsidRPr="0049743C">
        <w:rPr>
          <w:szCs w:val="24"/>
        </w:rPr>
        <w:t xml:space="preserve">vidence of a relevant out-of-court statement is admissible evidence of the maker’s knowledge or state of mind </w:t>
      </w:r>
      <w:r w:rsidRPr="0049743C">
        <w:rPr>
          <w:b/>
          <w:i/>
          <w:szCs w:val="24"/>
        </w:rPr>
        <w:t>when he made the statement</w:t>
      </w:r>
      <w:r w:rsidRPr="0049743C">
        <w:rPr>
          <w:szCs w:val="24"/>
        </w:rPr>
        <w:t xml:space="preserve"> in a case where such knowledge or state of mind is a fact in issue or a fact relevant to a fact in issue.”</w:t>
      </w:r>
      <w:r w:rsidRPr="0049743C">
        <w:rPr>
          <w:rStyle w:val="FootnoteReference"/>
          <w:szCs w:val="24"/>
        </w:rPr>
        <w:footnoteReference w:id="60"/>
      </w:r>
      <w:r w:rsidRPr="0049743C">
        <w:rPr>
          <w:szCs w:val="24"/>
        </w:rPr>
        <w:t xml:space="preserve"> (my emphasis)</w:t>
      </w:r>
    </w:p>
    <w:p w:rsidR="00FE28BB" w:rsidRPr="0049743C" w:rsidRDefault="00FE28BB" w:rsidP="00C51B43">
      <w:pPr>
        <w:tabs>
          <w:tab w:val="left" w:pos="1440"/>
        </w:tabs>
        <w:spacing w:after="0" w:line="360" w:lineRule="auto"/>
        <w:ind w:right="-90"/>
        <w:jc w:val="both"/>
        <w:rPr>
          <w:sz w:val="28"/>
          <w:szCs w:val="28"/>
        </w:rPr>
      </w:pPr>
    </w:p>
    <w:p w:rsidR="00F179BD" w:rsidRPr="0049743C" w:rsidRDefault="00597770" w:rsidP="00F6462F">
      <w:pPr>
        <w:numPr>
          <w:ilvl w:val="0"/>
          <w:numId w:val="12"/>
        </w:numPr>
        <w:tabs>
          <w:tab w:val="left" w:pos="1440"/>
        </w:tabs>
        <w:spacing w:after="0" w:line="360" w:lineRule="auto"/>
        <w:ind w:left="0" w:firstLine="0"/>
        <w:jc w:val="both"/>
        <w:rPr>
          <w:sz w:val="28"/>
          <w:szCs w:val="28"/>
        </w:rPr>
      </w:pPr>
      <w:r>
        <w:rPr>
          <w:sz w:val="28"/>
          <w:szCs w:val="28"/>
        </w:rPr>
        <w:tab/>
      </w:r>
      <w:r w:rsidR="00F179BD" w:rsidRPr="0049743C">
        <w:rPr>
          <w:sz w:val="28"/>
          <w:szCs w:val="28"/>
        </w:rPr>
        <w:t xml:space="preserve">His Honour further explained that the rationale for admitting original evidence stemmed from such evidence having an </w:t>
      </w:r>
      <w:r w:rsidR="00D279A8">
        <w:rPr>
          <w:sz w:val="28"/>
          <w:szCs w:val="28"/>
        </w:rPr>
        <w:t>“</w:t>
      </w:r>
      <w:r w:rsidR="00F179BD" w:rsidRPr="0049743C">
        <w:rPr>
          <w:sz w:val="28"/>
          <w:szCs w:val="28"/>
        </w:rPr>
        <w:t>independent evidentiary value</w:t>
      </w:r>
      <w:r w:rsidR="00D279A8">
        <w:rPr>
          <w:sz w:val="28"/>
          <w:szCs w:val="28"/>
        </w:rPr>
        <w:t>”</w:t>
      </w:r>
      <w:r w:rsidR="00F179BD" w:rsidRPr="0049743C">
        <w:rPr>
          <w:sz w:val="28"/>
          <w:szCs w:val="28"/>
        </w:rPr>
        <w:t xml:space="preserve"> in pro</w:t>
      </w:r>
      <w:r w:rsidR="00D279A8">
        <w:rPr>
          <w:sz w:val="28"/>
          <w:szCs w:val="28"/>
        </w:rPr>
        <w:t xml:space="preserve">ving </w:t>
      </w:r>
      <w:r w:rsidR="00F179BD" w:rsidRPr="0049743C">
        <w:rPr>
          <w:sz w:val="28"/>
          <w:szCs w:val="28"/>
        </w:rPr>
        <w:t>the accused’s mental state apart from his own reliability and veracity</w:t>
      </w:r>
      <w:r w:rsidR="00F179BD" w:rsidRPr="0049743C">
        <w:rPr>
          <w:rStyle w:val="FootnoteReference"/>
          <w:sz w:val="28"/>
          <w:szCs w:val="28"/>
        </w:rPr>
        <w:footnoteReference w:id="61"/>
      </w:r>
      <w:r w:rsidR="00F179BD" w:rsidRPr="0049743C">
        <w:rPr>
          <w:sz w:val="28"/>
          <w:szCs w:val="28"/>
        </w:rPr>
        <w:t xml:space="preserve">. </w:t>
      </w:r>
    </w:p>
    <w:p w:rsidR="00FE28BB" w:rsidRPr="0049743C" w:rsidRDefault="00FE28BB" w:rsidP="00FE28BB">
      <w:pPr>
        <w:tabs>
          <w:tab w:val="left" w:pos="1440"/>
        </w:tabs>
        <w:spacing w:after="0" w:line="360" w:lineRule="auto"/>
        <w:ind w:right="-90"/>
        <w:jc w:val="both"/>
        <w:rPr>
          <w:sz w:val="28"/>
          <w:szCs w:val="28"/>
        </w:rPr>
      </w:pPr>
    </w:p>
    <w:p w:rsidR="00F179BD" w:rsidRPr="0049743C" w:rsidRDefault="00597770" w:rsidP="00F6462F">
      <w:pPr>
        <w:numPr>
          <w:ilvl w:val="0"/>
          <w:numId w:val="12"/>
        </w:numPr>
        <w:tabs>
          <w:tab w:val="left" w:pos="1440"/>
        </w:tabs>
        <w:spacing w:after="0" w:line="360" w:lineRule="auto"/>
        <w:ind w:left="0" w:firstLine="0"/>
        <w:jc w:val="both"/>
        <w:rPr>
          <w:sz w:val="28"/>
          <w:szCs w:val="28"/>
        </w:rPr>
      </w:pPr>
      <w:r>
        <w:rPr>
          <w:sz w:val="28"/>
          <w:szCs w:val="28"/>
        </w:rPr>
        <w:lastRenderedPageBreak/>
        <w:tab/>
      </w:r>
      <w:r w:rsidR="00F179BD" w:rsidRPr="0049743C">
        <w:rPr>
          <w:sz w:val="28"/>
          <w:szCs w:val="28"/>
        </w:rPr>
        <w:t xml:space="preserve">Statements made by an accused to a psychiatrist concerning his medical history or his </w:t>
      </w:r>
      <w:r w:rsidR="00F179BD" w:rsidRPr="0049743C">
        <w:rPr>
          <w:b/>
          <w:sz w:val="28"/>
          <w:szCs w:val="28"/>
        </w:rPr>
        <w:t>past</w:t>
      </w:r>
      <w:r w:rsidR="00F179BD" w:rsidRPr="0049743C">
        <w:rPr>
          <w:sz w:val="28"/>
          <w:szCs w:val="28"/>
        </w:rPr>
        <w:t xml:space="preserve"> state of mind for the purpose of an expert opinion do not have such independent evidentiary value. These statements are different from a person’s </w:t>
      </w:r>
      <w:r w:rsidR="00F179BD" w:rsidRPr="0049743C">
        <w:rPr>
          <w:b/>
          <w:sz w:val="28"/>
          <w:szCs w:val="28"/>
        </w:rPr>
        <w:t>contemporaneous</w:t>
      </w:r>
      <w:r w:rsidR="00F179BD" w:rsidRPr="0049743C">
        <w:rPr>
          <w:sz w:val="28"/>
          <w:szCs w:val="28"/>
        </w:rPr>
        <w:t xml:space="preserve"> statement regarding his or her current health or feelings which could be the best original evidence of such condition or sentiments</w:t>
      </w:r>
      <w:r w:rsidR="00F179BD" w:rsidRPr="0049743C">
        <w:rPr>
          <w:rStyle w:val="FootnoteReference"/>
          <w:sz w:val="28"/>
          <w:szCs w:val="28"/>
        </w:rPr>
        <w:footnoteReference w:id="62"/>
      </w:r>
      <w:r w:rsidR="00F179BD" w:rsidRPr="0049743C">
        <w:rPr>
          <w:sz w:val="28"/>
          <w:szCs w:val="28"/>
        </w:rPr>
        <w:t xml:space="preserve">.   </w:t>
      </w:r>
    </w:p>
    <w:p w:rsidR="00FE28BB" w:rsidRPr="0049743C" w:rsidRDefault="00FE28BB" w:rsidP="00FE28BB">
      <w:pPr>
        <w:tabs>
          <w:tab w:val="left" w:pos="1440"/>
        </w:tabs>
        <w:spacing w:after="0" w:line="360" w:lineRule="auto"/>
        <w:ind w:right="-90"/>
        <w:jc w:val="both"/>
        <w:rPr>
          <w:sz w:val="28"/>
          <w:szCs w:val="28"/>
        </w:rPr>
      </w:pPr>
    </w:p>
    <w:p w:rsidR="00F179BD" w:rsidRPr="0049743C" w:rsidRDefault="00F179BD" w:rsidP="00F6462F">
      <w:pPr>
        <w:numPr>
          <w:ilvl w:val="0"/>
          <w:numId w:val="12"/>
        </w:numPr>
        <w:tabs>
          <w:tab w:val="left" w:pos="1440"/>
        </w:tabs>
        <w:spacing w:after="0" w:line="360" w:lineRule="auto"/>
        <w:ind w:left="0" w:firstLine="0"/>
        <w:jc w:val="both"/>
        <w:rPr>
          <w:sz w:val="28"/>
          <w:szCs w:val="28"/>
        </w:rPr>
      </w:pPr>
      <w:r w:rsidRPr="0049743C">
        <w:rPr>
          <w:sz w:val="28"/>
          <w:szCs w:val="28"/>
        </w:rPr>
        <w:t xml:space="preserve"> </w:t>
      </w:r>
      <w:r w:rsidR="00597770">
        <w:rPr>
          <w:sz w:val="28"/>
          <w:szCs w:val="28"/>
        </w:rPr>
        <w:tab/>
      </w:r>
      <w:r w:rsidRPr="0049743C">
        <w:rPr>
          <w:sz w:val="28"/>
          <w:szCs w:val="28"/>
        </w:rPr>
        <w:t xml:space="preserve">In light of the above, I must disagree with the approach of </w:t>
      </w:r>
      <w:r w:rsidR="00297B6E" w:rsidRPr="0049743C">
        <w:rPr>
          <w:sz w:val="28"/>
          <w:szCs w:val="28"/>
        </w:rPr>
        <w:t xml:space="preserve">Justice </w:t>
      </w:r>
      <w:r w:rsidRPr="0049743C">
        <w:rPr>
          <w:sz w:val="28"/>
          <w:szCs w:val="28"/>
        </w:rPr>
        <w:t xml:space="preserve">Prior in </w:t>
      </w:r>
      <w:r w:rsidRPr="0049743C">
        <w:rPr>
          <w:i/>
          <w:sz w:val="28"/>
          <w:szCs w:val="28"/>
        </w:rPr>
        <w:t>R v Pangallo</w:t>
      </w:r>
      <w:r w:rsidRPr="0049743C">
        <w:rPr>
          <w:rStyle w:val="FootnoteReference"/>
          <w:i/>
          <w:sz w:val="28"/>
          <w:szCs w:val="28"/>
        </w:rPr>
        <w:footnoteReference w:id="63"/>
      </w:r>
      <w:r w:rsidRPr="0049743C">
        <w:rPr>
          <w:i/>
          <w:sz w:val="28"/>
          <w:szCs w:val="28"/>
        </w:rPr>
        <w:t xml:space="preserve">. </w:t>
      </w:r>
      <w:r w:rsidRPr="0049743C">
        <w:rPr>
          <w:sz w:val="28"/>
          <w:szCs w:val="28"/>
        </w:rPr>
        <w:t xml:space="preserve">The defendant was charged with the murder of his wife and two sons-in-law and attempted murder of the mother of one of those sons-in-law. The only issue was insanity. </w:t>
      </w:r>
      <w:r w:rsidR="00297B6E" w:rsidRPr="0049743C">
        <w:rPr>
          <w:sz w:val="28"/>
          <w:szCs w:val="28"/>
        </w:rPr>
        <w:t>Justice Prior</w:t>
      </w:r>
      <w:r w:rsidRPr="0049743C">
        <w:rPr>
          <w:i/>
          <w:sz w:val="28"/>
          <w:szCs w:val="28"/>
        </w:rPr>
        <w:t xml:space="preserve"> </w:t>
      </w:r>
      <w:r w:rsidRPr="0049743C">
        <w:rPr>
          <w:sz w:val="28"/>
          <w:szCs w:val="28"/>
        </w:rPr>
        <w:t>admitted the statements of the defendant made to the psychiatrist in an interview which took place a few days after the killings as original evidence of his bodily feelings b</w:t>
      </w:r>
      <w:r w:rsidR="00BE2DDC">
        <w:rPr>
          <w:sz w:val="28"/>
          <w:szCs w:val="28"/>
        </w:rPr>
        <w:t>ecause the statements were made</w:t>
      </w:r>
      <w:r w:rsidRPr="0049743C">
        <w:rPr>
          <w:sz w:val="28"/>
          <w:szCs w:val="28"/>
        </w:rPr>
        <w:t xml:space="preserve"> “soon afterwards” as the defendant had not </w:t>
      </w:r>
      <w:r w:rsidR="00BE2DDC">
        <w:rPr>
          <w:sz w:val="28"/>
          <w:szCs w:val="28"/>
        </w:rPr>
        <w:t xml:space="preserve">yet </w:t>
      </w:r>
      <w:r w:rsidRPr="0049743C">
        <w:rPr>
          <w:sz w:val="28"/>
          <w:szCs w:val="28"/>
        </w:rPr>
        <w:t>had treatment for his condition</w:t>
      </w:r>
      <w:r w:rsidRPr="0049743C">
        <w:rPr>
          <w:rStyle w:val="FootnoteReference"/>
          <w:sz w:val="28"/>
          <w:szCs w:val="28"/>
        </w:rPr>
        <w:footnoteReference w:id="64"/>
      </w:r>
      <w:r w:rsidRPr="0049743C">
        <w:rPr>
          <w:sz w:val="28"/>
          <w:szCs w:val="28"/>
        </w:rPr>
        <w:t xml:space="preserve">. </w:t>
      </w:r>
      <w:r w:rsidR="00297B6E" w:rsidRPr="0049743C">
        <w:rPr>
          <w:sz w:val="28"/>
          <w:szCs w:val="28"/>
        </w:rPr>
        <w:t xml:space="preserve">Justice </w:t>
      </w:r>
      <w:r w:rsidRPr="0049743C">
        <w:rPr>
          <w:sz w:val="28"/>
          <w:szCs w:val="28"/>
        </w:rPr>
        <w:t xml:space="preserve">Prior also admitted statements made by the defendant </w:t>
      </w:r>
      <w:r w:rsidR="00AB00B9" w:rsidRPr="0049743C">
        <w:rPr>
          <w:sz w:val="28"/>
          <w:szCs w:val="28"/>
        </w:rPr>
        <w:t xml:space="preserve">at subsequent interviews which took place more than one year afterwards </w:t>
      </w:r>
      <w:r w:rsidRPr="0049743C">
        <w:rPr>
          <w:sz w:val="28"/>
          <w:szCs w:val="28"/>
        </w:rPr>
        <w:t>as original evidence about his mental state at the time</w:t>
      </w:r>
      <w:r w:rsidR="002C3009" w:rsidRPr="0049743C">
        <w:rPr>
          <w:sz w:val="28"/>
          <w:szCs w:val="28"/>
        </w:rPr>
        <w:t xml:space="preserve"> of</w:t>
      </w:r>
      <w:r w:rsidRPr="0049743C">
        <w:rPr>
          <w:sz w:val="28"/>
          <w:szCs w:val="28"/>
        </w:rPr>
        <w:t xml:space="preserve"> the killings</w:t>
      </w:r>
      <w:r w:rsidRPr="0049743C">
        <w:rPr>
          <w:rStyle w:val="FootnoteReference"/>
          <w:sz w:val="28"/>
          <w:szCs w:val="28"/>
        </w:rPr>
        <w:footnoteReference w:id="65"/>
      </w:r>
      <w:r w:rsidRPr="0049743C">
        <w:rPr>
          <w:sz w:val="28"/>
          <w:szCs w:val="28"/>
        </w:rPr>
        <w:t>.</w:t>
      </w:r>
    </w:p>
    <w:p w:rsidR="001C2428" w:rsidRPr="0049743C" w:rsidRDefault="001C2428" w:rsidP="00F6462F">
      <w:pPr>
        <w:tabs>
          <w:tab w:val="left" w:pos="1440"/>
        </w:tabs>
        <w:spacing w:after="0" w:line="360" w:lineRule="auto"/>
        <w:jc w:val="both"/>
        <w:rPr>
          <w:sz w:val="28"/>
          <w:szCs w:val="28"/>
        </w:rPr>
      </w:pPr>
    </w:p>
    <w:p w:rsidR="00F179BD" w:rsidRPr="0049743C" w:rsidRDefault="00597770" w:rsidP="00F6462F">
      <w:pPr>
        <w:numPr>
          <w:ilvl w:val="0"/>
          <w:numId w:val="12"/>
        </w:numPr>
        <w:tabs>
          <w:tab w:val="left" w:pos="1440"/>
        </w:tabs>
        <w:spacing w:after="0" w:line="360" w:lineRule="auto"/>
        <w:ind w:left="0" w:firstLine="0"/>
        <w:jc w:val="both"/>
        <w:rPr>
          <w:sz w:val="28"/>
          <w:szCs w:val="28"/>
        </w:rPr>
      </w:pPr>
      <w:r>
        <w:rPr>
          <w:sz w:val="28"/>
          <w:szCs w:val="28"/>
        </w:rPr>
        <w:tab/>
      </w:r>
      <w:r w:rsidR="00F179BD" w:rsidRPr="0049743C">
        <w:rPr>
          <w:sz w:val="28"/>
          <w:szCs w:val="28"/>
        </w:rPr>
        <w:t xml:space="preserve">With respect, the learned judge failed to distinguish between a statement about the current state of mind of the defendant when he was interviewed and a statement about what the defendant experienced at the time of the killings. The rationale for admitting the former statement </w:t>
      </w:r>
      <w:r w:rsidR="00F95A07" w:rsidRPr="0049743C">
        <w:rPr>
          <w:sz w:val="28"/>
          <w:szCs w:val="28"/>
        </w:rPr>
        <w:t xml:space="preserve">as evidence </w:t>
      </w:r>
      <w:r w:rsidR="00F95A07" w:rsidRPr="0049743C">
        <w:rPr>
          <w:sz w:val="28"/>
          <w:szCs w:val="28"/>
        </w:rPr>
        <w:lastRenderedPageBreak/>
        <w:t xml:space="preserve">of truth </w:t>
      </w:r>
      <w:r w:rsidR="00F179BD" w:rsidRPr="0049743C">
        <w:rPr>
          <w:sz w:val="28"/>
          <w:szCs w:val="28"/>
        </w:rPr>
        <w:t xml:space="preserve">cannot be applied </w:t>
      </w:r>
      <w:r w:rsidR="00F95A07" w:rsidRPr="0049743C">
        <w:rPr>
          <w:sz w:val="28"/>
          <w:szCs w:val="28"/>
        </w:rPr>
        <w:t>to</w:t>
      </w:r>
      <w:r w:rsidR="00F179BD" w:rsidRPr="0049743C">
        <w:rPr>
          <w:sz w:val="28"/>
          <w:szCs w:val="28"/>
        </w:rPr>
        <w:t xml:space="preserve"> admit the latter</w:t>
      </w:r>
      <w:r w:rsidR="00F95A07" w:rsidRPr="0049743C">
        <w:rPr>
          <w:sz w:val="28"/>
          <w:szCs w:val="28"/>
        </w:rPr>
        <w:t xml:space="preserve"> for the same purpose</w:t>
      </w:r>
      <w:r w:rsidR="00F179BD" w:rsidRPr="0049743C">
        <w:rPr>
          <w:sz w:val="28"/>
          <w:szCs w:val="28"/>
        </w:rPr>
        <w:t>. As a matter of Hong Kong law</w:t>
      </w:r>
      <w:r w:rsidR="00F179BD" w:rsidRPr="0049743C">
        <w:rPr>
          <w:rStyle w:val="FootnoteReference"/>
          <w:sz w:val="28"/>
          <w:szCs w:val="28"/>
        </w:rPr>
        <w:footnoteReference w:id="66"/>
      </w:r>
      <w:r w:rsidR="00F179BD" w:rsidRPr="0049743C">
        <w:rPr>
          <w:sz w:val="28"/>
          <w:szCs w:val="28"/>
        </w:rPr>
        <w:t xml:space="preserve">, the test for admitting </w:t>
      </w:r>
      <w:r w:rsidR="00F179BD" w:rsidRPr="0049743C">
        <w:rPr>
          <w:i/>
          <w:sz w:val="28"/>
          <w:szCs w:val="28"/>
        </w:rPr>
        <w:t>res gestae</w:t>
      </w:r>
      <w:r w:rsidR="00F179BD" w:rsidRPr="0049743C">
        <w:rPr>
          <w:sz w:val="28"/>
          <w:szCs w:val="28"/>
        </w:rPr>
        <w:t xml:space="preserve"> evidence as discussed in </w:t>
      </w:r>
      <w:r w:rsidR="00F179BD" w:rsidRPr="0049743C">
        <w:rPr>
          <w:i/>
          <w:sz w:val="28"/>
          <w:szCs w:val="28"/>
        </w:rPr>
        <w:t>R v Andrews</w:t>
      </w:r>
      <w:r w:rsidR="00F179BD" w:rsidRPr="00BE2DDC">
        <w:rPr>
          <w:rStyle w:val="FootnoteReference"/>
          <w:sz w:val="28"/>
          <w:szCs w:val="28"/>
        </w:rPr>
        <w:footnoteReference w:id="67"/>
      </w:r>
      <w:r w:rsidR="00F179BD" w:rsidRPr="0049743C">
        <w:rPr>
          <w:sz w:val="28"/>
          <w:szCs w:val="28"/>
        </w:rPr>
        <w:t xml:space="preserve"> is applicable</w:t>
      </w:r>
      <w:r w:rsidR="00F95A07" w:rsidRPr="0049743C">
        <w:rPr>
          <w:sz w:val="28"/>
          <w:szCs w:val="28"/>
        </w:rPr>
        <w:t>. The test</w:t>
      </w:r>
      <w:r w:rsidR="00F179BD" w:rsidRPr="0049743C">
        <w:rPr>
          <w:sz w:val="28"/>
          <w:szCs w:val="28"/>
        </w:rPr>
        <w:t xml:space="preserve"> requires, amongst other things, the statement to be sufficiently spontaneous in that it must be so closely associated with the event that it can fairly be stated that the mind of the declarant was still dominated by the event. The judge must also be satisfied that the circumstances were such that there was no possibility of any concoction or distortion to the advantage of the maker</w:t>
      </w:r>
      <w:r w:rsidR="00F179BD" w:rsidRPr="0049743C">
        <w:rPr>
          <w:rStyle w:val="FootnoteReference"/>
          <w:sz w:val="28"/>
          <w:szCs w:val="28"/>
        </w:rPr>
        <w:footnoteReference w:id="68"/>
      </w:r>
      <w:r w:rsidR="00F179BD" w:rsidRPr="0049743C">
        <w:rPr>
          <w:sz w:val="28"/>
          <w:szCs w:val="28"/>
        </w:rPr>
        <w:t xml:space="preserve">.  </w:t>
      </w:r>
    </w:p>
    <w:p w:rsidR="00FE28BB" w:rsidRPr="0049743C" w:rsidRDefault="00FE28BB" w:rsidP="00F6462F">
      <w:pPr>
        <w:tabs>
          <w:tab w:val="left" w:pos="1440"/>
        </w:tabs>
        <w:spacing w:after="0" w:line="360" w:lineRule="auto"/>
        <w:jc w:val="both"/>
        <w:rPr>
          <w:sz w:val="28"/>
          <w:szCs w:val="28"/>
        </w:rPr>
      </w:pPr>
    </w:p>
    <w:p w:rsidR="000754EF" w:rsidRPr="0049743C" w:rsidRDefault="00597770" w:rsidP="00F6462F">
      <w:pPr>
        <w:numPr>
          <w:ilvl w:val="0"/>
          <w:numId w:val="12"/>
        </w:numPr>
        <w:shd w:val="clear" w:color="auto" w:fill="FFFFFF"/>
        <w:tabs>
          <w:tab w:val="left" w:pos="1440"/>
        </w:tabs>
        <w:spacing w:after="0" w:line="360" w:lineRule="auto"/>
        <w:ind w:left="0" w:firstLine="0"/>
        <w:jc w:val="both"/>
        <w:rPr>
          <w:rFonts w:ascii="Arial" w:hAnsi="Arial" w:cs="Arial"/>
          <w:color w:val="000000"/>
          <w:sz w:val="28"/>
          <w:szCs w:val="28"/>
        </w:rPr>
      </w:pPr>
      <w:r>
        <w:rPr>
          <w:sz w:val="28"/>
          <w:szCs w:val="28"/>
        </w:rPr>
        <w:tab/>
      </w:r>
      <w:r w:rsidR="00F179BD" w:rsidRPr="0049743C">
        <w:rPr>
          <w:sz w:val="28"/>
          <w:szCs w:val="28"/>
        </w:rPr>
        <w:t xml:space="preserve">In the context of the present appeal, there is no basis for suggesting that the statements made by the </w:t>
      </w:r>
      <w:r w:rsidR="002B6EE1" w:rsidRPr="0049743C">
        <w:rPr>
          <w:sz w:val="28"/>
          <w:szCs w:val="28"/>
        </w:rPr>
        <w:t>Appellant</w:t>
      </w:r>
      <w:r w:rsidR="00F179BD" w:rsidRPr="0049743C">
        <w:rPr>
          <w:sz w:val="28"/>
          <w:szCs w:val="28"/>
        </w:rPr>
        <w:t xml:space="preserve"> to Dr Tang, Dr Lui or Dr Choi had the requisite degree of spontaneity. Nor can it be suggested that they come within the scope of original evidence of his state of mind.</w:t>
      </w:r>
    </w:p>
    <w:p w:rsidR="005F05C0" w:rsidRPr="0049743C" w:rsidRDefault="005F05C0" w:rsidP="00F6462F">
      <w:pPr>
        <w:shd w:val="clear" w:color="auto" w:fill="FFFFFF"/>
        <w:tabs>
          <w:tab w:val="left" w:pos="1440"/>
        </w:tabs>
        <w:spacing w:after="0" w:line="360" w:lineRule="auto"/>
        <w:jc w:val="both"/>
        <w:rPr>
          <w:rFonts w:ascii="Arial" w:hAnsi="Arial" w:cs="Arial"/>
          <w:color w:val="000000"/>
          <w:sz w:val="28"/>
          <w:szCs w:val="28"/>
        </w:rPr>
      </w:pPr>
    </w:p>
    <w:p w:rsidR="00624B52" w:rsidRPr="0049743C" w:rsidRDefault="00624B52" w:rsidP="00F6462F">
      <w:pPr>
        <w:tabs>
          <w:tab w:val="left" w:pos="1440"/>
        </w:tabs>
        <w:spacing w:after="0" w:line="360" w:lineRule="auto"/>
        <w:jc w:val="both"/>
        <w:rPr>
          <w:b/>
          <w:i/>
          <w:sz w:val="28"/>
          <w:szCs w:val="28"/>
        </w:rPr>
      </w:pPr>
      <w:r w:rsidRPr="0049743C">
        <w:rPr>
          <w:b/>
          <w:i/>
          <w:sz w:val="28"/>
          <w:szCs w:val="28"/>
        </w:rPr>
        <w:t>B</w:t>
      </w:r>
      <w:r w:rsidR="000754EF" w:rsidRPr="0049743C">
        <w:rPr>
          <w:b/>
          <w:i/>
          <w:sz w:val="28"/>
          <w:szCs w:val="28"/>
        </w:rPr>
        <w:t>4</w:t>
      </w:r>
      <w:r w:rsidRPr="0049743C">
        <w:rPr>
          <w:b/>
          <w:i/>
          <w:sz w:val="28"/>
          <w:szCs w:val="28"/>
        </w:rPr>
        <w:t xml:space="preserve">. </w:t>
      </w:r>
      <w:r w:rsidR="00597770">
        <w:rPr>
          <w:b/>
          <w:i/>
          <w:sz w:val="28"/>
          <w:szCs w:val="28"/>
        </w:rPr>
        <w:tab/>
      </w:r>
      <w:r w:rsidRPr="0049743C">
        <w:rPr>
          <w:b/>
          <w:i/>
          <w:sz w:val="28"/>
          <w:szCs w:val="28"/>
        </w:rPr>
        <w:t>The basis rule</w:t>
      </w:r>
    </w:p>
    <w:p w:rsidR="006C7F6A" w:rsidRPr="0049743C" w:rsidRDefault="00597770" w:rsidP="00B651F9">
      <w:pPr>
        <w:numPr>
          <w:ilvl w:val="0"/>
          <w:numId w:val="12"/>
        </w:numPr>
        <w:tabs>
          <w:tab w:val="left" w:pos="1440"/>
        </w:tabs>
        <w:spacing w:before="200" w:after="0" w:line="360" w:lineRule="auto"/>
        <w:ind w:left="0" w:firstLine="0"/>
        <w:jc w:val="both"/>
        <w:rPr>
          <w:sz w:val="28"/>
          <w:szCs w:val="28"/>
        </w:rPr>
      </w:pPr>
      <w:r>
        <w:rPr>
          <w:sz w:val="28"/>
          <w:szCs w:val="28"/>
        </w:rPr>
        <w:tab/>
      </w:r>
      <w:r w:rsidR="00624B52" w:rsidRPr="0049743C">
        <w:rPr>
          <w:sz w:val="28"/>
          <w:szCs w:val="28"/>
        </w:rPr>
        <w:t xml:space="preserve">The second part of the certified question addresses the </w:t>
      </w:r>
      <w:r w:rsidR="000E7DC4" w:rsidRPr="0049743C">
        <w:rPr>
          <w:sz w:val="28"/>
          <w:szCs w:val="28"/>
        </w:rPr>
        <w:t>possible in</w:t>
      </w:r>
      <w:r w:rsidR="00624B52" w:rsidRPr="0049743C">
        <w:rPr>
          <w:sz w:val="28"/>
          <w:szCs w:val="28"/>
        </w:rPr>
        <w:t xml:space="preserve">admissibility of </w:t>
      </w:r>
      <w:r w:rsidR="006E38F4" w:rsidRPr="0049743C">
        <w:rPr>
          <w:sz w:val="28"/>
          <w:szCs w:val="28"/>
        </w:rPr>
        <w:t>an</w:t>
      </w:r>
      <w:r w:rsidR="00624B52" w:rsidRPr="0049743C">
        <w:rPr>
          <w:sz w:val="28"/>
          <w:szCs w:val="28"/>
        </w:rPr>
        <w:t xml:space="preserve"> expert opinion when its factual foundation is not supported by any evidence. </w:t>
      </w:r>
      <w:r w:rsidR="00C27868" w:rsidRPr="0049743C">
        <w:rPr>
          <w:sz w:val="28"/>
          <w:szCs w:val="28"/>
        </w:rPr>
        <w:t>It is not an issue in the present case since the expert opinions of the psychiatrists were admitted as evidence for the jury to consider. A</w:t>
      </w:r>
      <w:r w:rsidR="006C7F6A" w:rsidRPr="0049743C">
        <w:rPr>
          <w:sz w:val="28"/>
          <w:szCs w:val="28"/>
        </w:rPr>
        <w:t xml:space="preserve">part from the out-of-court statements of the </w:t>
      </w:r>
      <w:r w:rsidR="002B6EE1" w:rsidRPr="0049743C">
        <w:rPr>
          <w:sz w:val="28"/>
          <w:szCs w:val="28"/>
        </w:rPr>
        <w:t>Appellant</w:t>
      </w:r>
      <w:r w:rsidR="006C7F6A" w:rsidRPr="0049743C">
        <w:rPr>
          <w:sz w:val="28"/>
          <w:szCs w:val="28"/>
        </w:rPr>
        <w:t>, there was other evidence relevant to the defence of diminished responsibility</w:t>
      </w:r>
      <w:r w:rsidR="00C27868" w:rsidRPr="0049743C">
        <w:rPr>
          <w:sz w:val="28"/>
          <w:szCs w:val="28"/>
        </w:rPr>
        <w:t xml:space="preserve"> which the psychiatrists </w:t>
      </w:r>
      <w:r w:rsidR="00F95A07" w:rsidRPr="0049743C">
        <w:rPr>
          <w:sz w:val="28"/>
          <w:szCs w:val="28"/>
        </w:rPr>
        <w:t xml:space="preserve">duly </w:t>
      </w:r>
      <w:r w:rsidR="00C27868" w:rsidRPr="0049743C">
        <w:rPr>
          <w:sz w:val="28"/>
          <w:szCs w:val="28"/>
        </w:rPr>
        <w:t>took</w:t>
      </w:r>
      <w:r w:rsidR="00BE2DDC">
        <w:rPr>
          <w:sz w:val="28"/>
          <w:szCs w:val="28"/>
        </w:rPr>
        <w:t xml:space="preserve"> into</w:t>
      </w:r>
      <w:r w:rsidR="00C27868" w:rsidRPr="0049743C">
        <w:rPr>
          <w:sz w:val="28"/>
          <w:szCs w:val="28"/>
        </w:rPr>
        <w:t xml:space="preserve"> account:</w:t>
      </w:r>
      <w:r w:rsidR="006C7F6A" w:rsidRPr="0049743C">
        <w:rPr>
          <w:sz w:val="28"/>
          <w:szCs w:val="28"/>
        </w:rPr>
        <w:t xml:space="preserve"> </w:t>
      </w:r>
      <w:r w:rsidR="00BE2DDC">
        <w:rPr>
          <w:sz w:val="28"/>
          <w:szCs w:val="28"/>
        </w:rPr>
        <w:t xml:space="preserve">his urine sample which contained </w:t>
      </w:r>
      <w:r w:rsidR="00C27868" w:rsidRPr="0049743C">
        <w:rPr>
          <w:sz w:val="28"/>
          <w:szCs w:val="28"/>
        </w:rPr>
        <w:t>t</w:t>
      </w:r>
      <w:r w:rsidR="006C7F6A" w:rsidRPr="0049743C">
        <w:rPr>
          <w:sz w:val="28"/>
          <w:szCs w:val="28"/>
        </w:rPr>
        <w:t xml:space="preserve">races </w:t>
      </w:r>
      <w:r w:rsidR="006C7F6A" w:rsidRPr="0049743C">
        <w:rPr>
          <w:sz w:val="28"/>
          <w:szCs w:val="28"/>
        </w:rPr>
        <w:lastRenderedPageBreak/>
        <w:t xml:space="preserve">of </w:t>
      </w:r>
      <w:r w:rsidR="00BE2DDC">
        <w:rPr>
          <w:sz w:val="28"/>
          <w:szCs w:val="28"/>
        </w:rPr>
        <w:t>“</w:t>
      </w:r>
      <w:r w:rsidR="006C7F6A" w:rsidRPr="0049743C">
        <w:rPr>
          <w:sz w:val="28"/>
          <w:szCs w:val="28"/>
        </w:rPr>
        <w:t>Ice</w:t>
      </w:r>
      <w:r w:rsidR="00BE2DDC">
        <w:rPr>
          <w:sz w:val="28"/>
          <w:szCs w:val="28"/>
        </w:rPr>
        <w:t>”</w:t>
      </w:r>
      <w:r w:rsidR="00C27868" w:rsidRPr="0049743C">
        <w:rPr>
          <w:sz w:val="28"/>
          <w:szCs w:val="28"/>
        </w:rPr>
        <w:t>;</w:t>
      </w:r>
      <w:r w:rsidR="006C7F6A" w:rsidRPr="0049743C">
        <w:rPr>
          <w:sz w:val="28"/>
          <w:szCs w:val="28"/>
        </w:rPr>
        <w:t xml:space="preserve"> </w:t>
      </w:r>
      <w:r w:rsidR="00C27868" w:rsidRPr="0049743C">
        <w:rPr>
          <w:sz w:val="28"/>
          <w:szCs w:val="28"/>
        </w:rPr>
        <w:t>h</w:t>
      </w:r>
      <w:r w:rsidR="006C7F6A" w:rsidRPr="0049743C">
        <w:rPr>
          <w:sz w:val="28"/>
          <w:szCs w:val="28"/>
        </w:rPr>
        <w:t>is conversation with the deceased in the taxi journey</w:t>
      </w:r>
      <w:r w:rsidR="00ED42D3" w:rsidRPr="0049743C">
        <w:rPr>
          <w:sz w:val="28"/>
          <w:szCs w:val="28"/>
        </w:rPr>
        <w:t>;</w:t>
      </w:r>
      <w:r w:rsidR="006C7F6A" w:rsidRPr="0049743C">
        <w:rPr>
          <w:sz w:val="28"/>
          <w:szCs w:val="28"/>
        </w:rPr>
        <w:t xml:space="preserve"> his att</w:t>
      </w:r>
      <w:r w:rsidR="00ED42D3" w:rsidRPr="0049743C">
        <w:rPr>
          <w:sz w:val="28"/>
          <w:szCs w:val="28"/>
        </w:rPr>
        <w:t xml:space="preserve">empt to strangle himself and </w:t>
      </w:r>
      <w:r w:rsidR="000E7DC4" w:rsidRPr="0049743C">
        <w:rPr>
          <w:sz w:val="28"/>
          <w:szCs w:val="28"/>
        </w:rPr>
        <w:t xml:space="preserve">his </w:t>
      </w:r>
      <w:r w:rsidR="00ED42D3" w:rsidRPr="0049743C">
        <w:rPr>
          <w:sz w:val="28"/>
          <w:szCs w:val="28"/>
        </w:rPr>
        <w:t>bit</w:t>
      </w:r>
      <w:r w:rsidR="000E7DC4" w:rsidRPr="0049743C">
        <w:rPr>
          <w:sz w:val="28"/>
          <w:szCs w:val="28"/>
        </w:rPr>
        <w:t>ing of</w:t>
      </w:r>
      <w:r w:rsidR="006C7F6A" w:rsidRPr="0049743C">
        <w:rPr>
          <w:sz w:val="28"/>
          <w:szCs w:val="28"/>
        </w:rPr>
        <w:t xml:space="preserve"> his tongue</w:t>
      </w:r>
      <w:r w:rsidR="00C27868" w:rsidRPr="0049743C">
        <w:rPr>
          <w:sz w:val="28"/>
          <w:szCs w:val="28"/>
        </w:rPr>
        <w:t xml:space="preserve">. </w:t>
      </w:r>
      <w:r w:rsidR="00F95A07" w:rsidRPr="0049743C">
        <w:rPr>
          <w:sz w:val="28"/>
          <w:szCs w:val="28"/>
        </w:rPr>
        <w:t>In such circumstances, t</w:t>
      </w:r>
      <w:r w:rsidR="0094496A" w:rsidRPr="0049743C">
        <w:rPr>
          <w:sz w:val="28"/>
          <w:szCs w:val="28"/>
        </w:rPr>
        <w:t xml:space="preserve">he Judge </w:t>
      </w:r>
      <w:r w:rsidR="00CE26C6" w:rsidRPr="0049743C">
        <w:rPr>
          <w:sz w:val="28"/>
          <w:szCs w:val="28"/>
        </w:rPr>
        <w:t>was obliged to</w:t>
      </w:r>
      <w:r w:rsidR="0094496A" w:rsidRPr="0049743C">
        <w:rPr>
          <w:sz w:val="28"/>
          <w:szCs w:val="28"/>
        </w:rPr>
        <w:t xml:space="preserve"> leav</w:t>
      </w:r>
      <w:r w:rsidR="00F95A07" w:rsidRPr="0049743C">
        <w:rPr>
          <w:sz w:val="28"/>
          <w:szCs w:val="28"/>
        </w:rPr>
        <w:t>e</w:t>
      </w:r>
      <w:r w:rsidR="0094496A" w:rsidRPr="0049743C">
        <w:rPr>
          <w:sz w:val="28"/>
          <w:szCs w:val="28"/>
        </w:rPr>
        <w:t xml:space="preserve"> the issue of diminished responsibility </w:t>
      </w:r>
      <w:r w:rsidR="00ED42D3" w:rsidRPr="0049743C">
        <w:rPr>
          <w:sz w:val="28"/>
          <w:szCs w:val="28"/>
        </w:rPr>
        <w:t xml:space="preserve">to the jury </w:t>
      </w:r>
      <w:r w:rsidR="00CE26C6" w:rsidRPr="0049743C">
        <w:rPr>
          <w:sz w:val="28"/>
          <w:szCs w:val="28"/>
        </w:rPr>
        <w:t xml:space="preserve">and </w:t>
      </w:r>
      <w:r w:rsidR="00ED42D3" w:rsidRPr="0049743C">
        <w:rPr>
          <w:sz w:val="28"/>
          <w:szCs w:val="28"/>
        </w:rPr>
        <w:t xml:space="preserve">let them decide on </w:t>
      </w:r>
      <w:r w:rsidR="00CE26C6" w:rsidRPr="0049743C">
        <w:rPr>
          <w:sz w:val="28"/>
          <w:szCs w:val="28"/>
        </w:rPr>
        <w:t>the weight to be attached to the evidence of each expert</w:t>
      </w:r>
      <w:r w:rsidR="0094496A" w:rsidRPr="0049743C">
        <w:rPr>
          <w:sz w:val="28"/>
          <w:szCs w:val="28"/>
        </w:rPr>
        <w:t>.</w:t>
      </w:r>
      <w:r w:rsidR="006C7F6A" w:rsidRPr="0049743C">
        <w:rPr>
          <w:sz w:val="28"/>
          <w:szCs w:val="28"/>
        </w:rPr>
        <w:t xml:space="preserve">   </w:t>
      </w:r>
    </w:p>
    <w:p w:rsidR="00FE28BB" w:rsidRPr="0049743C" w:rsidRDefault="00FE28BB" w:rsidP="00FE28BB">
      <w:pPr>
        <w:tabs>
          <w:tab w:val="left" w:pos="1440"/>
        </w:tabs>
        <w:spacing w:after="0" w:line="360" w:lineRule="auto"/>
        <w:ind w:right="-90"/>
        <w:jc w:val="both"/>
        <w:rPr>
          <w:sz w:val="28"/>
          <w:szCs w:val="28"/>
        </w:rPr>
      </w:pPr>
    </w:p>
    <w:p w:rsidR="00E4103F" w:rsidRPr="0049743C" w:rsidRDefault="00023C18" w:rsidP="00F6462F">
      <w:pPr>
        <w:numPr>
          <w:ilvl w:val="0"/>
          <w:numId w:val="12"/>
        </w:numPr>
        <w:tabs>
          <w:tab w:val="left" w:pos="1440"/>
        </w:tabs>
        <w:spacing w:after="0" w:line="360" w:lineRule="auto"/>
        <w:ind w:left="0" w:firstLine="0"/>
        <w:jc w:val="both"/>
        <w:rPr>
          <w:sz w:val="28"/>
          <w:szCs w:val="28"/>
        </w:rPr>
      </w:pPr>
      <w:r>
        <w:rPr>
          <w:sz w:val="28"/>
          <w:szCs w:val="28"/>
        </w:rPr>
        <w:tab/>
      </w:r>
      <w:r w:rsidR="00231964" w:rsidRPr="0049743C">
        <w:rPr>
          <w:sz w:val="28"/>
          <w:szCs w:val="28"/>
        </w:rPr>
        <w:t>As observed by the C</w:t>
      </w:r>
      <w:r w:rsidR="00AD0D43" w:rsidRPr="0049743C">
        <w:rPr>
          <w:sz w:val="28"/>
          <w:szCs w:val="28"/>
        </w:rPr>
        <w:t xml:space="preserve">ourt of </w:t>
      </w:r>
      <w:r w:rsidR="00231964" w:rsidRPr="0049743C">
        <w:rPr>
          <w:sz w:val="28"/>
          <w:szCs w:val="28"/>
        </w:rPr>
        <w:t>A</w:t>
      </w:r>
      <w:r w:rsidR="00AD0D43" w:rsidRPr="0049743C">
        <w:rPr>
          <w:sz w:val="28"/>
          <w:szCs w:val="28"/>
        </w:rPr>
        <w:t>ppeal</w:t>
      </w:r>
      <w:r w:rsidR="00C27868" w:rsidRPr="0049743C">
        <w:rPr>
          <w:rStyle w:val="FootnoteReference"/>
          <w:sz w:val="28"/>
          <w:szCs w:val="28"/>
        </w:rPr>
        <w:footnoteReference w:id="69"/>
      </w:r>
      <w:r w:rsidR="00231964" w:rsidRPr="0049743C">
        <w:rPr>
          <w:sz w:val="28"/>
          <w:szCs w:val="28"/>
        </w:rPr>
        <w:t>, the practice generally adopted in Hong Kong is to regard a failure by an accused to testify as going to the weight of the expert opinion evidence rather than its admissibility</w:t>
      </w:r>
      <w:r w:rsidR="00F94412" w:rsidRPr="0049743C">
        <w:rPr>
          <w:rStyle w:val="FootnoteReference"/>
          <w:sz w:val="28"/>
          <w:szCs w:val="28"/>
        </w:rPr>
        <w:footnoteReference w:id="70"/>
      </w:r>
      <w:r w:rsidR="00231964" w:rsidRPr="0049743C">
        <w:rPr>
          <w:sz w:val="28"/>
          <w:szCs w:val="28"/>
        </w:rPr>
        <w:t xml:space="preserve">. </w:t>
      </w:r>
      <w:r w:rsidR="00C27868" w:rsidRPr="0049743C">
        <w:rPr>
          <w:sz w:val="28"/>
          <w:szCs w:val="28"/>
        </w:rPr>
        <w:t xml:space="preserve">Though </w:t>
      </w:r>
      <w:r w:rsidR="009C6AB9" w:rsidRPr="0049743C">
        <w:rPr>
          <w:sz w:val="28"/>
          <w:szCs w:val="28"/>
        </w:rPr>
        <w:t>Mr Lai</w:t>
      </w:r>
      <w:r w:rsidR="00C5529E">
        <w:rPr>
          <w:sz w:val="28"/>
          <w:szCs w:val="28"/>
        </w:rPr>
        <w:t>, for the Respondent</w:t>
      </w:r>
      <w:r w:rsidR="00C5529E">
        <w:rPr>
          <w:rStyle w:val="FootnoteReference"/>
          <w:sz w:val="28"/>
          <w:szCs w:val="28"/>
        </w:rPr>
        <w:footnoteReference w:id="71"/>
      </w:r>
      <w:r w:rsidR="00C5529E">
        <w:rPr>
          <w:sz w:val="28"/>
          <w:szCs w:val="28"/>
        </w:rPr>
        <w:t>,</w:t>
      </w:r>
      <w:r w:rsidR="009C6AB9" w:rsidRPr="0049743C">
        <w:rPr>
          <w:sz w:val="28"/>
          <w:szCs w:val="28"/>
        </w:rPr>
        <w:t xml:space="preserve"> did not </w:t>
      </w:r>
      <w:r w:rsidR="00C27868" w:rsidRPr="0049743C">
        <w:rPr>
          <w:sz w:val="28"/>
          <w:szCs w:val="28"/>
        </w:rPr>
        <w:t xml:space="preserve">rule out the possibility that a judge may refuse </w:t>
      </w:r>
      <w:r w:rsidR="00E4103F" w:rsidRPr="0049743C">
        <w:rPr>
          <w:sz w:val="28"/>
          <w:szCs w:val="28"/>
        </w:rPr>
        <w:t xml:space="preserve">to admit psychiatric </w:t>
      </w:r>
      <w:r w:rsidR="00C27868" w:rsidRPr="0049743C">
        <w:rPr>
          <w:sz w:val="28"/>
          <w:szCs w:val="28"/>
        </w:rPr>
        <w:t>e</w:t>
      </w:r>
      <w:r w:rsidR="00E4103F" w:rsidRPr="0049743C">
        <w:rPr>
          <w:sz w:val="28"/>
          <w:szCs w:val="28"/>
        </w:rPr>
        <w:t xml:space="preserve">vidence when </w:t>
      </w:r>
      <w:r w:rsidR="00C27868" w:rsidRPr="0049743C">
        <w:rPr>
          <w:sz w:val="28"/>
          <w:szCs w:val="28"/>
        </w:rPr>
        <w:t>there is no evidence whatsoever to support</w:t>
      </w:r>
      <w:r w:rsidR="00E4103F" w:rsidRPr="0049743C">
        <w:rPr>
          <w:sz w:val="28"/>
          <w:szCs w:val="28"/>
        </w:rPr>
        <w:t xml:space="preserve"> the factual basis for such report</w:t>
      </w:r>
      <w:r w:rsidR="00C27868" w:rsidRPr="0049743C">
        <w:rPr>
          <w:sz w:val="28"/>
          <w:szCs w:val="28"/>
        </w:rPr>
        <w:t xml:space="preserve">, he emphasized that </w:t>
      </w:r>
      <w:r w:rsidR="00C27868" w:rsidRPr="0049743C">
        <w:rPr>
          <w:iCs/>
          <w:sz w:val="28"/>
          <w:szCs w:val="28"/>
        </w:rPr>
        <w:t xml:space="preserve">it is very rare that an expert’s opinion is </w:t>
      </w:r>
      <w:r w:rsidR="00ED42D3" w:rsidRPr="0049743C">
        <w:rPr>
          <w:iCs/>
          <w:sz w:val="28"/>
          <w:szCs w:val="28"/>
        </w:rPr>
        <w:t xml:space="preserve">proffered solely on the basis of </w:t>
      </w:r>
      <w:r w:rsidR="00A27F27" w:rsidRPr="0049743C">
        <w:rPr>
          <w:iCs/>
          <w:sz w:val="28"/>
          <w:szCs w:val="28"/>
        </w:rPr>
        <w:t>the out-of-court statement of a defendant</w:t>
      </w:r>
      <w:r w:rsidR="00C27868" w:rsidRPr="0049743C">
        <w:rPr>
          <w:iCs/>
          <w:sz w:val="28"/>
          <w:szCs w:val="28"/>
        </w:rPr>
        <w:t xml:space="preserve">. </w:t>
      </w:r>
      <w:r w:rsidR="00A27F27" w:rsidRPr="0049743C">
        <w:rPr>
          <w:iCs/>
          <w:sz w:val="28"/>
          <w:szCs w:val="28"/>
        </w:rPr>
        <w:t xml:space="preserve">As observed by </w:t>
      </w:r>
      <w:r w:rsidR="00CE26C6" w:rsidRPr="0049743C">
        <w:rPr>
          <w:iCs/>
          <w:sz w:val="28"/>
          <w:szCs w:val="28"/>
        </w:rPr>
        <w:t xml:space="preserve">Justice </w:t>
      </w:r>
      <w:r w:rsidR="00A27F27" w:rsidRPr="0049743C">
        <w:rPr>
          <w:iCs/>
          <w:sz w:val="28"/>
          <w:szCs w:val="28"/>
        </w:rPr>
        <w:t>S</w:t>
      </w:r>
      <w:r w:rsidR="0094496A" w:rsidRPr="0049743C">
        <w:rPr>
          <w:iCs/>
          <w:sz w:val="28"/>
          <w:szCs w:val="28"/>
        </w:rPr>
        <w:t>o</w:t>
      </w:r>
      <w:r w:rsidR="00A27F27" w:rsidRPr="0049743C">
        <w:rPr>
          <w:iCs/>
          <w:sz w:val="28"/>
          <w:szCs w:val="28"/>
        </w:rPr>
        <w:t>p</w:t>
      </w:r>
      <w:r w:rsidR="0094496A" w:rsidRPr="0049743C">
        <w:rPr>
          <w:iCs/>
          <w:sz w:val="28"/>
          <w:szCs w:val="28"/>
        </w:rPr>
        <w:t>in</w:t>
      </w:r>
      <w:r w:rsidR="00A27F27" w:rsidRPr="0049743C">
        <w:rPr>
          <w:iCs/>
          <w:sz w:val="28"/>
          <w:szCs w:val="28"/>
        </w:rPr>
        <w:t>ka</w:t>
      </w:r>
      <w:r w:rsidR="0094496A" w:rsidRPr="0049743C">
        <w:rPr>
          <w:iCs/>
          <w:sz w:val="28"/>
          <w:szCs w:val="28"/>
        </w:rPr>
        <w:t>, w</w:t>
      </w:r>
      <w:r w:rsidR="00C27868" w:rsidRPr="0049743C">
        <w:rPr>
          <w:iCs/>
          <w:sz w:val="28"/>
          <w:szCs w:val="28"/>
        </w:rPr>
        <w:t>here an expert’s opinion is based in part upon suspect information and in part upon either admitted facts or facts sought to be proved, the matter is purely one of weight</w:t>
      </w:r>
      <w:r w:rsidR="00C5529E" w:rsidRPr="0049743C">
        <w:rPr>
          <w:rStyle w:val="FootnoteReference"/>
          <w:iCs/>
          <w:sz w:val="28"/>
          <w:szCs w:val="28"/>
        </w:rPr>
        <w:footnoteReference w:id="72"/>
      </w:r>
      <w:r w:rsidR="00E4103F" w:rsidRPr="0049743C">
        <w:rPr>
          <w:sz w:val="28"/>
          <w:szCs w:val="28"/>
        </w:rPr>
        <w:t>.</w:t>
      </w:r>
    </w:p>
    <w:p w:rsidR="00FE28BB" w:rsidRPr="0049743C" w:rsidRDefault="00FE28BB" w:rsidP="00F6462F">
      <w:pPr>
        <w:tabs>
          <w:tab w:val="left" w:pos="1440"/>
        </w:tabs>
        <w:spacing w:after="0" w:line="360" w:lineRule="auto"/>
        <w:jc w:val="both"/>
        <w:rPr>
          <w:sz w:val="28"/>
          <w:szCs w:val="28"/>
        </w:rPr>
      </w:pPr>
    </w:p>
    <w:p w:rsidR="0094496A" w:rsidRPr="0049743C" w:rsidRDefault="00023C18" w:rsidP="00F6462F">
      <w:pPr>
        <w:numPr>
          <w:ilvl w:val="0"/>
          <w:numId w:val="12"/>
        </w:numPr>
        <w:tabs>
          <w:tab w:val="left" w:pos="1440"/>
        </w:tabs>
        <w:spacing w:after="0" w:line="360" w:lineRule="auto"/>
        <w:ind w:left="0" w:firstLine="0"/>
        <w:jc w:val="both"/>
        <w:rPr>
          <w:sz w:val="28"/>
          <w:szCs w:val="28"/>
        </w:rPr>
      </w:pPr>
      <w:r>
        <w:rPr>
          <w:sz w:val="28"/>
          <w:szCs w:val="28"/>
        </w:rPr>
        <w:tab/>
      </w:r>
      <w:r w:rsidR="0094496A" w:rsidRPr="0049743C">
        <w:rPr>
          <w:sz w:val="28"/>
          <w:szCs w:val="28"/>
        </w:rPr>
        <w:t>I</w:t>
      </w:r>
      <w:r w:rsidR="002C6E2E" w:rsidRPr="0049743C">
        <w:rPr>
          <w:sz w:val="28"/>
          <w:szCs w:val="28"/>
        </w:rPr>
        <w:t xml:space="preserve">n my </w:t>
      </w:r>
      <w:r w:rsidR="00ED42D3" w:rsidRPr="0049743C">
        <w:rPr>
          <w:sz w:val="28"/>
          <w:szCs w:val="28"/>
        </w:rPr>
        <w:t>judgment</w:t>
      </w:r>
      <w:r w:rsidR="002C6E2E" w:rsidRPr="0049743C">
        <w:rPr>
          <w:sz w:val="28"/>
          <w:szCs w:val="28"/>
        </w:rPr>
        <w:t xml:space="preserve">, </w:t>
      </w:r>
      <w:r w:rsidR="0094496A" w:rsidRPr="0049743C">
        <w:rPr>
          <w:sz w:val="28"/>
          <w:szCs w:val="28"/>
        </w:rPr>
        <w:t xml:space="preserve">this is the right approach. </w:t>
      </w:r>
      <w:r w:rsidR="002C6E2E" w:rsidRPr="0049743C">
        <w:rPr>
          <w:sz w:val="28"/>
          <w:szCs w:val="28"/>
        </w:rPr>
        <w:t xml:space="preserve">Mr Lai assured us that this is the approach generally adopted by </w:t>
      </w:r>
      <w:r w:rsidR="00CE26C6" w:rsidRPr="0049743C">
        <w:rPr>
          <w:sz w:val="28"/>
          <w:szCs w:val="28"/>
        </w:rPr>
        <w:t xml:space="preserve">the </w:t>
      </w:r>
      <w:r w:rsidR="002C6E2E" w:rsidRPr="0049743C">
        <w:rPr>
          <w:sz w:val="28"/>
          <w:szCs w:val="28"/>
        </w:rPr>
        <w:t xml:space="preserve">prosecution in Hong Kong. </w:t>
      </w:r>
      <w:r w:rsidR="0094496A" w:rsidRPr="0049743C">
        <w:rPr>
          <w:sz w:val="28"/>
          <w:szCs w:val="28"/>
        </w:rPr>
        <w:t xml:space="preserve">As discussed, the Court of Appeal in </w:t>
      </w:r>
      <w:r w:rsidR="0094496A" w:rsidRPr="0049743C">
        <w:rPr>
          <w:i/>
          <w:sz w:val="28"/>
          <w:szCs w:val="28"/>
        </w:rPr>
        <w:t xml:space="preserve">Kissel </w:t>
      </w:r>
      <w:r w:rsidR="0094496A" w:rsidRPr="0049743C">
        <w:rPr>
          <w:sz w:val="28"/>
          <w:szCs w:val="28"/>
        </w:rPr>
        <w:t>dealt with a different situation</w:t>
      </w:r>
      <w:r w:rsidR="009B2B06" w:rsidRPr="0049743C">
        <w:rPr>
          <w:sz w:val="28"/>
          <w:szCs w:val="28"/>
        </w:rPr>
        <w:t>.</w:t>
      </w:r>
      <w:r w:rsidR="0094496A" w:rsidRPr="0049743C">
        <w:rPr>
          <w:sz w:val="28"/>
          <w:szCs w:val="28"/>
        </w:rPr>
        <w:t xml:space="preserve"> </w:t>
      </w:r>
      <w:r w:rsidR="009B2B06" w:rsidRPr="0049743C">
        <w:rPr>
          <w:sz w:val="28"/>
          <w:szCs w:val="28"/>
        </w:rPr>
        <w:t xml:space="preserve">Due </w:t>
      </w:r>
      <w:r w:rsidR="00C5529E">
        <w:rPr>
          <w:sz w:val="28"/>
          <w:szCs w:val="28"/>
        </w:rPr>
        <w:t xml:space="preserve">to </w:t>
      </w:r>
      <w:r w:rsidR="0094496A" w:rsidRPr="0049743C">
        <w:rPr>
          <w:sz w:val="28"/>
          <w:szCs w:val="28"/>
        </w:rPr>
        <w:t xml:space="preserve">the risk of confusion to the jury as to the nature of the opinion </w:t>
      </w:r>
      <w:r w:rsidR="009B2B06" w:rsidRPr="0049743C">
        <w:rPr>
          <w:sz w:val="28"/>
          <w:szCs w:val="28"/>
        </w:rPr>
        <w:t xml:space="preserve">of the non-testifying expert, I agree that reference to such opinion in the report of the testifying expert should be excluded. </w:t>
      </w:r>
      <w:r w:rsidR="00ED42D3" w:rsidRPr="0049743C">
        <w:rPr>
          <w:sz w:val="28"/>
          <w:szCs w:val="28"/>
        </w:rPr>
        <w:t>However, i</w:t>
      </w:r>
      <w:r w:rsidR="009B2B06" w:rsidRPr="0049743C">
        <w:rPr>
          <w:sz w:val="28"/>
          <w:szCs w:val="28"/>
        </w:rPr>
        <w:t xml:space="preserve">t does not follow that a </w:t>
      </w:r>
      <w:r w:rsidR="009B2B06" w:rsidRPr="0049743C">
        <w:rPr>
          <w:sz w:val="28"/>
          <w:szCs w:val="28"/>
        </w:rPr>
        <w:lastRenderedPageBreak/>
        <w:t>similar direction needs to be given in respect of out-of-court statement</w:t>
      </w:r>
      <w:r w:rsidR="00C5529E">
        <w:rPr>
          <w:sz w:val="28"/>
          <w:szCs w:val="28"/>
        </w:rPr>
        <w:t>s</w:t>
      </w:r>
      <w:r w:rsidR="009B2B06" w:rsidRPr="0049743C">
        <w:rPr>
          <w:sz w:val="28"/>
          <w:szCs w:val="28"/>
        </w:rPr>
        <w:t xml:space="preserve"> of an accused </w:t>
      </w:r>
      <w:r w:rsidR="00C5529E">
        <w:rPr>
          <w:sz w:val="28"/>
          <w:szCs w:val="28"/>
        </w:rPr>
        <w:t xml:space="preserve">which are </w:t>
      </w:r>
      <w:r w:rsidR="009B2B06" w:rsidRPr="0049743C">
        <w:rPr>
          <w:sz w:val="28"/>
          <w:szCs w:val="28"/>
        </w:rPr>
        <w:t>included in expert reports. On the contrary, the</w:t>
      </w:r>
      <w:r w:rsidR="00ED42D3" w:rsidRPr="0049743C">
        <w:rPr>
          <w:sz w:val="28"/>
          <w:szCs w:val="28"/>
        </w:rPr>
        <w:t xml:space="preserve"> factual basis of an opinion</w:t>
      </w:r>
      <w:r w:rsidR="009B2B06" w:rsidRPr="0049743C">
        <w:rPr>
          <w:sz w:val="28"/>
          <w:szCs w:val="28"/>
        </w:rPr>
        <w:t xml:space="preserve"> should be set out in the report so that the jury can properly </w:t>
      </w:r>
      <w:r w:rsidR="00ED42D3" w:rsidRPr="0049743C">
        <w:rPr>
          <w:sz w:val="28"/>
          <w:szCs w:val="28"/>
        </w:rPr>
        <w:t xml:space="preserve">assess </w:t>
      </w:r>
      <w:r w:rsidR="009B2B06" w:rsidRPr="0049743C">
        <w:rPr>
          <w:sz w:val="28"/>
          <w:szCs w:val="28"/>
        </w:rPr>
        <w:t>the weight to be attached to</w:t>
      </w:r>
      <w:r w:rsidR="00ED42D3" w:rsidRPr="0049743C">
        <w:rPr>
          <w:sz w:val="28"/>
          <w:szCs w:val="28"/>
        </w:rPr>
        <w:t xml:space="preserve"> the opinion</w:t>
      </w:r>
      <w:r w:rsidR="009B2B06" w:rsidRPr="0049743C">
        <w:rPr>
          <w:sz w:val="28"/>
          <w:szCs w:val="28"/>
        </w:rPr>
        <w:t xml:space="preserve">.  </w:t>
      </w:r>
    </w:p>
    <w:p w:rsidR="00FE28BB" w:rsidRPr="0049743C" w:rsidRDefault="00FE28BB" w:rsidP="00FE28BB">
      <w:pPr>
        <w:tabs>
          <w:tab w:val="left" w:pos="1440"/>
        </w:tabs>
        <w:spacing w:after="0" w:line="360" w:lineRule="auto"/>
        <w:ind w:right="-90"/>
        <w:jc w:val="both"/>
        <w:rPr>
          <w:sz w:val="28"/>
          <w:szCs w:val="28"/>
        </w:rPr>
      </w:pPr>
    </w:p>
    <w:p w:rsidR="000A00FD" w:rsidRDefault="00023C18" w:rsidP="00F6462F">
      <w:pPr>
        <w:numPr>
          <w:ilvl w:val="0"/>
          <w:numId w:val="12"/>
        </w:numPr>
        <w:tabs>
          <w:tab w:val="left" w:pos="1440"/>
        </w:tabs>
        <w:spacing w:after="0" w:line="360" w:lineRule="auto"/>
        <w:ind w:left="0" w:firstLine="0"/>
        <w:jc w:val="both"/>
        <w:rPr>
          <w:sz w:val="28"/>
          <w:szCs w:val="28"/>
        </w:rPr>
      </w:pPr>
      <w:r>
        <w:rPr>
          <w:sz w:val="28"/>
          <w:szCs w:val="28"/>
        </w:rPr>
        <w:tab/>
      </w:r>
      <w:r w:rsidR="009B2B06" w:rsidRPr="0049743C">
        <w:rPr>
          <w:sz w:val="28"/>
          <w:szCs w:val="28"/>
        </w:rPr>
        <w:t xml:space="preserve">Given that the issue does not arise here, it would not be appropriate for this Court to postulate </w:t>
      </w:r>
      <w:r w:rsidR="00CE26C6" w:rsidRPr="0049743C">
        <w:rPr>
          <w:sz w:val="28"/>
          <w:szCs w:val="28"/>
        </w:rPr>
        <w:t xml:space="preserve">the circumstances in which </w:t>
      </w:r>
      <w:r w:rsidR="009B2B06" w:rsidRPr="0049743C">
        <w:rPr>
          <w:sz w:val="28"/>
          <w:szCs w:val="28"/>
        </w:rPr>
        <w:t xml:space="preserve">a trial judge </w:t>
      </w:r>
      <w:r w:rsidR="00CE26C6" w:rsidRPr="0049743C">
        <w:rPr>
          <w:sz w:val="28"/>
          <w:szCs w:val="28"/>
        </w:rPr>
        <w:t xml:space="preserve">could properly rule that an </w:t>
      </w:r>
      <w:r w:rsidR="009B2B06" w:rsidRPr="0049743C">
        <w:rPr>
          <w:sz w:val="28"/>
          <w:szCs w:val="28"/>
        </w:rPr>
        <w:t>expert opinion</w:t>
      </w:r>
      <w:r w:rsidR="00CE26C6" w:rsidRPr="0049743C">
        <w:rPr>
          <w:sz w:val="28"/>
          <w:szCs w:val="28"/>
        </w:rPr>
        <w:t xml:space="preserve"> is inadmissible</w:t>
      </w:r>
      <w:r w:rsidR="009B2B06" w:rsidRPr="0049743C">
        <w:rPr>
          <w:sz w:val="28"/>
          <w:szCs w:val="28"/>
        </w:rPr>
        <w:t xml:space="preserve">. </w:t>
      </w:r>
      <w:r w:rsidR="00CE26C6" w:rsidRPr="0049743C">
        <w:rPr>
          <w:sz w:val="28"/>
          <w:szCs w:val="28"/>
        </w:rPr>
        <w:t xml:space="preserve">It </w:t>
      </w:r>
      <w:r w:rsidR="00ED42D3" w:rsidRPr="0049743C">
        <w:rPr>
          <w:sz w:val="28"/>
          <w:szCs w:val="28"/>
        </w:rPr>
        <w:t>is</w:t>
      </w:r>
      <w:r w:rsidR="000079E7" w:rsidRPr="0049743C">
        <w:rPr>
          <w:sz w:val="28"/>
          <w:szCs w:val="28"/>
        </w:rPr>
        <w:t xml:space="preserve"> </w:t>
      </w:r>
      <w:r w:rsidR="00CE26C6" w:rsidRPr="0049743C">
        <w:rPr>
          <w:sz w:val="28"/>
          <w:szCs w:val="28"/>
        </w:rPr>
        <w:t xml:space="preserve">not helpful to generalise </w:t>
      </w:r>
      <w:r w:rsidR="000A00FD" w:rsidRPr="0049743C">
        <w:rPr>
          <w:sz w:val="28"/>
          <w:szCs w:val="28"/>
        </w:rPr>
        <w:t xml:space="preserve">since such </w:t>
      </w:r>
      <w:r w:rsidR="002C3009" w:rsidRPr="0049743C">
        <w:rPr>
          <w:sz w:val="28"/>
          <w:szCs w:val="28"/>
        </w:rPr>
        <w:t xml:space="preserve">a </w:t>
      </w:r>
      <w:r w:rsidR="000A00FD" w:rsidRPr="0049743C">
        <w:rPr>
          <w:sz w:val="28"/>
          <w:szCs w:val="28"/>
        </w:rPr>
        <w:t>decision</w:t>
      </w:r>
      <w:r w:rsidR="000079E7" w:rsidRPr="0049743C">
        <w:rPr>
          <w:sz w:val="28"/>
          <w:szCs w:val="28"/>
        </w:rPr>
        <w:t xml:space="preserve"> obviously depends very</w:t>
      </w:r>
      <w:r w:rsidR="00CE26C6" w:rsidRPr="0049743C">
        <w:rPr>
          <w:sz w:val="28"/>
          <w:szCs w:val="28"/>
        </w:rPr>
        <w:t xml:space="preserve"> much on the </w:t>
      </w:r>
      <w:r w:rsidR="006E38F4" w:rsidRPr="0049743C">
        <w:rPr>
          <w:sz w:val="28"/>
          <w:szCs w:val="28"/>
        </w:rPr>
        <w:t>facts and circumstance</w:t>
      </w:r>
      <w:r w:rsidR="00A50C83" w:rsidRPr="0049743C">
        <w:rPr>
          <w:sz w:val="28"/>
          <w:szCs w:val="28"/>
        </w:rPr>
        <w:t>s</w:t>
      </w:r>
      <w:r w:rsidR="006E38F4" w:rsidRPr="0049743C">
        <w:rPr>
          <w:sz w:val="28"/>
          <w:szCs w:val="28"/>
        </w:rPr>
        <w:t xml:space="preserve"> of each case having regard to the </w:t>
      </w:r>
      <w:r w:rsidR="00CE26C6" w:rsidRPr="0049743C">
        <w:rPr>
          <w:sz w:val="28"/>
          <w:szCs w:val="28"/>
        </w:rPr>
        <w:t>issue</w:t>
      </w:r>
      <w:r w:rsidR="00C5529E">
        <w:rPr>
          <w:sz w:val="28"/>
          <w:szCs w:val="28"/>
        </w:rPr>
        <w:t>s</w:t>
      </w:r>
      <w:r w:rsidR="00CE26C6" w:rsidRPr="0049743C">
        <w:rPr>
          <w:sz w:val="28"/>
          <w:szCs w:val="28"/>
        </w:rPr>
        <w:t xml:space="preserve"> in dispute, the content of the out-of-court statement,</w:t>
      </w:r>
      <w:r w:rsidR="000079E7" w:rsidRPr="0049743C">
        <w:rPr>
          <w:sz w:val="28"/>
          <w:szCs w:val="28"/>
        </w:rPr>
        <w:t xml:space="preserve"> its inherent reliability,</w:t>
      </w:r>
      <w:r w:rsidR="00CE26C6" w:rsidRPr="0049743C">
        <w:rPr>
          <w:sz w:val="28"/>
          <w:szCs w:val="28"/>
        </w:rPr>
        <w:t xml:space="preserve"> the significance of the statement to the opinion of the expert</w:t>
      </w:r>
      <w:r w:rsidR="00C5529E">
        <w:rPr>
          <w:sz w:val="28"/>
          <w:szCs w:val="28"/>
        </w:rPr>
        <w:t>,</w:t>
      </w:r>
      <w:r w:rsidR="00CE26C6" w:rsidRPr="0049743C">
        <w:rPr>
          <w:sz w:val="28"/>
          <w:szCs w:val="28"/>
        </w:rPr>
        <w:t xml:space="preserve"> and the reasons for the lack of other evidence on the same issue. </w:t>
      </w:r>
    </w:p>
    <w:p w:rsidR="00683E32" w:rsidRPr="0049743C" w:rsidRDefault="00683E32" w:rsidP="00683E32">
      <w:pPr>
        <w:tabs>
          <w:tab w:val="left" w:pos="1440"/>
        </w:tabs>
        <w:spacing w:after="0" w:line="360" w:lineRule="auto"/>
        <w:jc w:val="both"/>
        <w:rPr>
          <w:sz w:val="28"/>
          <w:szCs w:val="28"/>
        </w:rPr>
      </w:pPr>
    </w:p>
    <w:p w:rsidR="006C7F6A" w:rsidRDefault="00023C18" w:rsidP="00F6462F">
      <w:pPr>
        <w:numPr>
          <w:ilvl w:val="0"/>
          <w:numId w:val="12"/>
        </w:numPr>
        <w:tabs>
          <w:tab w:val="left" w:pos="1440"/>
        </w:tabs>
        <w:spacing w:after="0" w:line="360" w:lineRule="auto"/>
        <w:ind w:left="0" w:firstLine="0"/>
        <w:jc w:val="both"/>
        <w:rPr>
          <w:sz w:val="28"/>
          <w:szCs w:val="28"/>
        </w:rPr>
      </w:pPr>
      <w:r>
        <w:rPr>
          <w:sz w:val="28"/>
          <w:szCs w:val="28"/>
        </w:rPr>
        <w:tab/>
      </w:r>
      <w:r w:rsidR="00F70203" w:rsidRPr="0049743C">
        <w:rPr>
          <w:sz w:val="28"/>
          <w:szCs w:val="28"/>
        </w:rPr>
        <w:t xml:space="preserve">In this connection, the distinction between a civil trial and a criminal trial before a jury must be borne in mind. </w:t>
      </w:r>
      <w:r w:rsidR="009B2B06" w:rsidRPr="0049743C">
        <w:rPr>
          <w:sz w:val="28"/>
          <w:szCs w:val="28"/>
        </w:rPr>
        <w:t xml:space="preserve">In a trial by jury, a trial judge </w:t>
      </w:r>
      <w:r w:rsidR="000A00FD" w:rsidRPr="0049743C">
        <w:rPr>
          <w:sz w:val="28"/>
          <w:szCs w:val="28"/>
        </w:rPr>
        <w:t>should</w:t>
      </w:r>
      <w:r w:rsidR="009B2B06" w:rsidRPr="0049743C">
        <w:rPr>
          <w:sz w:val="28"/>
          <w:szCs w:val="28"/>
        </w:rPr>
        <w:t xml:space="preserve"> not </w:t>
      </w:r>
      <w:r w:rsidR="00F70203" w:rsidRPr="0049743C">
        <w:rPr>
          <w:sz w:val="28"/>
          <w:szCs w:val="28"/>
        </w:rPr>
        <w:t xml:space="preserve">inadvertently </w:t>
      </w:r>
      <w:r w:rsidR="009B2B06" w:rsidRPr="0049743C">
        <w:rPr>
          <w:sz w:val="28"/>
          <w:szCs w:val="28"/>
        </w:rPr>
        <w:t xml:space="preserve">usurp the role of the jury as the fact finder. </w:t>
      </w:r>
      <w:r w:rsidR="00F70203" w:rsidRPr="0049743C">
        <w:rPr>
          <w:sz w:val="28"/>
          <w:szCs w:val="28"/>
        </w:rPr>
        <w:t>W</w:t>
      </w:r>
      <w:r w:rsidR="009B2B06" w:rsidRPr="0049743C">
        <w:rPr>
          <w:sz w:val="28"/>
          <w:szCs w:val="28"/>
        </w:rPr>
        <w:t>he</w:t>
      </w:r>
      <w:r w:rsidR="00F70203" w:rsidRPr="0049743C">
        <w:rPr>
          <w:sz w:val="28"/>
          <w:szCs w:val="28"/>
        </w:rPr>
        <w:t>n</w:t>
      </w:r>
      <w:r w:rsidR="009B2B06" w:rsidRPr="0049743C">
        <w:rPr>
          <w:sz w:val="28"/>
          <w:szCs w:val="28"/>
        </w:rPr>
        <w:t xml:space="preserve"> diminished responsibility is raised as a defence, it would </w:t>
      </w:r>
      <w:r w:rsidR="00F70203" w:rsidRPr="0049743C">
        <w:rPr>
          <w:sz w:val="28"/>
          <w:szCs w:val="28"/>
        </w:rPr>
        <w:t>r</w:t>
      </w:r>
      <w:r w:rsidR="009B2B06" w:rsidRPr="0049743C">
        <w:rPr>
          <w:sz w:val="28"/>
          <w:szCs w:val="28"/>
        </w:rPr>
        <w:t>a</w:t>
      </w:r>
      <w:r w:rsidR="00F70203" w:rsidRPr="0049743C">
        <w:rPr>
          <w:sz w:val="28"/>
          <w:szCs w:val="28"/>
        </w:rPr>
        <w:t>rely be appropriate</w:t>
      </w:r>
      <w:r w:rsidR="009B2B06" w:rsidRPr="0049743C">
        <w:rPr>
          <w:sz w:val="28"/>
          <w:szCs w:val="28"/>
        </w:rPr>
        <w:t xml:space="preserve"> for a judge to rule that an expert opinion relied upon by the defence is inadmissible </w:t>
      </w:r>
      <w:r w:rsidR="000079E7" w:rsidRPr="0049743C">
        <w:rPr>
          <w:sz w:val="28"/>
          <w:szCs w:val="28"/>
        </w:rPr>
        <w:t>when its</w:t>
      </w:r>
      <w:r w:rsidR="009B2B06" w:rsidRPr="0049743C">
        <w:rPr>
          <w:sz w:val="28"/>
          <w:szCs w:val="28"/>
        </w:rPr>
        <w:t xml:space="preserve"> factual foundation</w:t>
      </w:r>
      <w:r w:rsidR="000079E7" w:rsidRPr="0049743C">
        <w:rPr>
          <w:sz w:val="28"/>
          <w:szCs w:val="28"/>
        </w:rPr>
        <w:t xml:space="preserve"> is in dispute (and thus should be determined by the jury)</w:t>
      </w:r>
      <w:r w:rsidR="00F70203" w:rsidRPr="0049743C">
        <w:rPr>
          <w:sz w:val="28"/>
          <w:szCs w:val="28"/>
        </w:rPr>
        <w:t xml:space="preserve"> since such </w:t>
      </w:r>
      <w:r w:rsidR="000079E7" w:rsidRPr="0049743C">
        <w:rPr>
          <w:sz w:val="28"/>
          <w:szCs w:val="28"/>
        </w:rPr>
        <w:t xml:space="preserve">a </w:t>
      </w:r>
      <w:r w:rsidR="00F70203" w:rsidRPr="0049743C">
        <w:rPr>
          <w:sz w:val="28"/>
          <w:szCs w:val="28"/>
        </w:rPr>
        <w:t>ruling would effectively withdraw th</w:t>
      </w:r>
      <w:r w:rsidR="000079E7" w:rsidRPr="0049743C">
        <w:rPr>
          <w:sz w:val="28"/>
          <w:szCs w:val="28"/>
        </w:rPr>
        <w:t>at</w:t>
      </w:r>
      <w:r w:rsidR="00F70203" w:rsidRPr="0049743C">
        <w:rPr>
          <w:sz w:val="28"/>
          <w:szCs w:val="28"/>
        </w:rPr>
        <w:t xml:space="preserve"> defence from the consideration of the jury.</w:t>
      </w:r>
      <w:r w:rsidR="009B2B06" w:rsidRPr="0049743C">
        <w:rPr>
          <w:sz w:val="28"/>
          <w:szCs w:val="28"/>
        </w:rPr>
        <w:t xml:space="preserve"> </w:t>
      </w:r>
    </w:p>
    <w:p w:rsidR="00B651F9" w:rsidRDefault="00B651F9" w:rsidP="00FE28BB">
      <w:pPr>
        <w:tabs>
          <w:tab w:val="left" w:pos="1440"/>
        </w:tabs>
        <w:spacing w:after="0" w:line="360" w:lineRule="auto"/>
        <w:ind w:right="-86"/>
        <w:jc w:val="both"/>
        <w:rPr>
          <w:sz w:val="28"/>
          <w:szCs w:val="28"/>
        </w:rPr>
      </w:pPr>
    </w:p>
    <w:p w:rsidR="00D740C8" w:rsidRPr="0049743C" w:rsidRDefault="00D740C8" w:rsidP="00FE28BB">
      <w:pPr>
        <w:tabs>
          <w:tab w:val="left" w:pos="1440"/>
        </w:tabs>
        <w:spacing w:after="0" w:line="360" w:lineRule="auto"/>
        <w:ind w:right="-86"/>
        <w:jc w:val="both"/>
        <w:rPr>
          <w:b/>
          <w:bCs/>
          <w:i/>
          <w:iCs/>
          <w:sz w:val="28"/>
          <w:szCs w:val="28"/>
        </w:rPr>
      </w:pPr>
      <w:r w:rsidRPr="0049743C">
        <w:rPr>
          <w:b/>
          <w:bCs/>
          <w:i/>
          <w:iCs/>
          <w:sz w:val="28"/>
          <w:szCs w:val="28"/>
        </w:rPr>
        <w:t xml:space="preserve">C. </w:t>
      </w:r>
      <w:r w:rsidR="00FE28BB" w:rsidRPr="0049743C">
        <w:rPr>
          <w:b/>
          <w:bCs/>
          <w:i/>
          <w:iCs/>
          <w:sz w:val="28"/>
          <w:szCs w:val="28"/>
        </w:rPr>
        <w:tab/>
      </w:r>
      <w:r w:rsidRPr="0049743C">
        <w:rPr>
          <w:b/>
          <w:bCs/>
          <w:i/>
          <w:iCs/>
          <w:sz w:val="28"/>
          <w:szCs w:val="28"/>
        </w:rPr>
        <w:t>Answers to the certified question and disposition of the appeal</w:t>
      </w:r>
    </w:p>
    <w:p w:rsidR="009944F9" w:rsidRPr="0049743C" w:rsidRDefault="00597770" w:rsidP="00B651F9">
      <w:pPr>
        <w:numPr>
          <w:ilvl w:val="0"/>
          <w:numId w:val="12"/>
        </w:numPr>
        <w:tabs>
          <w:tab w:val="left" w:pos="1440"/>
        </w:tabs>
        <w:spacing w:before="200" w:after="0" w:line="360" w:lineRule="auto"/>
        <w:ind w:left="0" w:firstLine="0"/>
        <w:jc w:val="both"/>
        <w:rPr>
          <w:sz w:val="28"/>
          <w:szCs w:val="28"/>
        </w:rPr>
      </w:pPr>
      <w:r>
        <w:rPr>
          <w:sz w:val="28"/>
          <w:szCs w:val="28"/>
        </w:rPr>
        <w:tab/>
      </w:r>
      <w:r w:rsidR="009944F9" w:rsidRPr="0049743C">
        <w:rPr>
          <w:sz w:val="28"/>
          <w:szCs w:val="28"/>
        </w:rPr>
        <w:t xml:space="preserve">In short, I </w:t>
      </w:r>
      <w:r w:rsidR="006E38F4" w:rsidRPr="0049743C">
        <w:rPr>
          <w:sz w:val="28"/>
          <w:szCs w:val="28"/>
        </w:rPr>
        <w:t>respectfully</w:t>
      </w:r>
      <w:r w:rsidR="000A00FD" w:rsidRPr="0049743C">
        <w:rPr>
          <w:sz w:val="28"/>
          <w:szCs w:val="28"/>
        </w:rPr>
        <w:t xml:space="preserve"> </w:t>
      </w:r>
      <w:r w:rsidR="00C52A61" w:rsidRPr="0049743C">
        <w:rPr>
          <w:sz w:val="28"/>
          <w:szCs w:val="28"/>
        </w:rPr>
        <w:t xml:space="preserve">reject </w:t>
      </w:r>
      <w:r w:rsidR="000A00FD" w:rsidRPr="0049743C">
        <w:rPr>
          <w:sz w:val="28"/>
          <w:szCs w:val="28"/>
        </w:rPr>
        <w:t xml:space="preserve">the suggestion of the Court of Appeal </w:t>
      </w:r>
      <w:r w:rsidR="009944F9" w:rsidRPr="0049743C">
        <w:rPr>
          <w:sz w:val="28"/>
          <w:szCs w:val="28"/>
        </w:rPr>
        <w:t>to creat</w:t>
      </w:r>
      <w:r w:rsidR="000A00FD" w:rsidRPr="0049743C">
        <w:rPr>
          <w:sz w:val="28"/>
          <w:szCs w:val="28"/>
        </w:rPr>
        <w:t>e</w:t>
      </w:r>
      <w:r w:rsidR="009944F9" w:rsidRPr="0049743C">
        <w:rPr>
          <w:sz w:val="28"/>
          <w:szCs w:val="28"/>
        </w:rPr>
        <w:t xml:space="preserve"> a new exception to the hearsay rule for statements made by </w:t>
      </w:r>
      <w:r w:rsidR="009944F9" w:rsidRPr="0049743C">
        <w:rPr>
          <w:sz w:val="28"/>
          <w:szCs w:val="28"/>
        </w:rPr>
        <w:lastRenderedPageBreak/>
        <w:t>an accused person to psychiatrists</w:t>
      </w:r>
      <w:r w:rsidR="00A72D7A" w:rsidRPr="0049743C">
        <w:rPr>
          <w:sz w:val="28"/>
          <w:szCs w:val="28"/>
        </w:rPr>
        <w:t xml:space="preserve"> by extending the mixed statement rule to these statements</w:t>
      </w:r>
      <w:r w:rsidR="009944F9" w:rsidRPr="0049743C">
        <w:rPr>
          <w:sz w:val="28"/>
          <w:szCs w:val="28"/>
        </w:rPr>
        <w:t xml:space="preserve">. </w:t>
      </w:r>
    </w:p>
    <w:p w:rsidR="00FE28BB" w:rsidRPr="0049743C" w:rsidRDefault="00FE28BB" w:rsidP="00F6462F">
      <w:pPr>
        <w:tabs>
          <w:tab w:val="left" w:pos="1440"/>
        </w:tabs>
        <w:spacing w:after="0" w:line="360" w:lineRule="auto"/>
        <w:jc w:val="both"/>
        <w:rPr>
          <w:sz w:val="28"/>
          <w:szCs w:val="28"/>
        </w:rPr>
      </w:pPr>
    </w:p>
    <w:p w:rsidR="00051776" w:rsidRPr="0049743C" w:rsidRDefault="00023C18" w:rsidP="00F6462F">
      <w:pPr>
        <w:numPr>
          <w:ilvl w:val="0"/>
          <w:numId w:val="12"/>
        </w:numPr>
        <w:tabs>
          <w:tab w:val="left" w:pos="1440"/>
        </w:tabs>
        <w:spacing w:after="0" w:line="360" w:lineRule="auto"/>
        <w:ind w:left="0" w:firstLine="0"/>
        <w:jc w:val="both"/>
        <w:rPr>
          <w:sz w:val="28"/>
          <w:szCs w:val="28"/>
        </w:rPr>
      </w:pPr>
      <w:r>
        <w:rPr>
          <w:sz w:val="28"/>
          <w:szCs w:val="28"/>
        </w:rPr>
        <w:tab/>
      </w:r>
      <w:r w:rsidR="00A72D7A" w:rsidRPr="0049743C">
        <w:rPr>
          <w:sz w:val="28"/>
          <w:szCs w:val="28"/>
        </w:rPr>
        <w:t xml:space="preserve">The answer to the certified question is </w:t>
      </w:r>
      <w:r w:rsidR="00051776" w:rsidRPr="0049743C">
        <w:rPr>
          <w:sz w:val="28"/>
          <w:szCs w:val="28"/>
        </w:rPr>
        <w:t>as foll</w:t>
      </w:r>
      <w:r w:rsidR="008306D9" w:rsidRPr="0049743C">
        <w:rPr>
          <w:sz w:val="28"/>
          <w:szCs w:val="28"/>
        </w:rPr>
        <w:t>ows:</w:t>
      </w:r>
    </w:p>
    <w:p w:rsidR="00A72D7A" w:rsidRPr="0049743C" w:rsidRDefault="00051776" w:rsidP="00B651F9">
      <w:pPr>
        <w:numPr>
          <w:ilvl w:val="2"/>
          <w:numId w:val="12"/>
        </w:numPr>
        <w:tabs>
          <w:tab w:val="clear" w:pos="2160"/>
        </w:tabs>
        <w:spacing w:before="200" w:after="0" w:line="360" w:lineRule="auto"/>
        <w:ind w:left="1440"/>
        <w:jc w:val="both"/>
        <w:rPr>
          <w:sz w:val="28"/>
          <w:szCs w:val="28"/>
        </w:rPr>
      </w:pPr>
      <w:r w:rsidRPr="0049743C">
        <w:rPr>
          <w:sz w:val="28"/>
          <w:szCs w:val="28"/>
        </w:rPr>
        <w:t>An accused’s out-of-court statement to a medical expert regarding his background and state of mind at the time of the offence is a hearsay statement by nature insofar as it is deployed to prove the truth of its contents. On the other hand, if the statement is admitted only for the purpose of showing what the accused had said to an expert, it is not deployed for a testimonial purpose and is admissible without infringing the hearsay rule, see</w:t>
      </w:r>
      <w:r w:rsidR="00A72D7A" w:rsidRPr="0049743C">
        <w:rPr>
          <w:sz w:val="28"/>
          <w:szCs w:val="28"/>
        </w:rPr>
        <w:t xml:space="preserve"> [2</w:t>
      </w:r>
      <w:r w:rsidR="00C5529E">
        <w:rPr>
          <w:sz w:val="28"/>
          <w:szCs w:val="28"/>
        </w:rPr>
        <w:t>8</w:t>
      </w:r>
      <w:r w:rsidR="00A72D7A" w:rsidRPr="0049743C">
        <w:rPr>
          <w:sz w:val="28"/>
          <w:szCs w:val="28"/>
        </w:rPr>
        <w:t>] above</w:t>
      </w:r>
      <w:r w:rsidRPr="0049743C">
        <w:rPr>
          <w:sz w:val="28"/>
          <w:szCs w:val="28"/>
        </w:rPr>
        <w:t>;</w:t>
      </w:r>
    </w:p>
    <w:p w:rsidR="008306D9" w:rsidRPr="0049743C" w:rsidRDefault="008306D9" w:rsidP="00F6462F">
      <w:pPr>
        <w:spacing w:after="0" w:line="360" w:lineRule="auto"/>
        <w:ind w:left="720"/>
        <w:jc w:val="both"/>
        <w:rPr>
          <w:sz w:val="28"/>
          <w:szCs w:val="28"/>
        </w:rPr>
      </w:pPr>
    </w:p>
    <w:p w:rsidR="004E7DDE" w:rsidRPr="0049743C" w:rsidRDefault="004E7DDE" w:rsidP="00F6462F">
      <w:pPr>
        <w:numPr>
          <w:ilvl w:val="2"/>
          <w:numId w:val="12"/>
        </w:numPr>
        <w:tabs>
          <w:tab w:val="clear" w:pos="2160"/>
        </w:tabs>
        <w:spacing w:after="0" w:line="360" w:lineRule="auto"/>
        <w:ind w:left="1440"/>
        <w:jc w:val="both"/>
        <w:rPr>
          <w:sz w:val="28"/>
          <w:szCs w:val="28"/>
        </w:rPr>
      </w:pPr>
      <w:r w:rsidRPr="0049743C">
        <w:rPr>
          <w:iCs/>
          <w:sz w:val="28"/>
          <w:szCs w:val="28"/>
        </w:rPr>
        <w:t>It is very rare that an expert’s opinion is proffered solely on the basis of the out-of-court statement of an accused. Where an expert’s opinion is based in part upon suspect information and in part upon either admitted facts or facts sought to be proved, the matter is purely one of weight</w:t>
      </w:r>
      <w:r w:rsidRPr="0049743C">
        <w:rPr>
          <w:sz w:val="28"/>
          <w:szCs w:val="28"/>
        </w:rPr>
        <w:t>. When diminished responsibility is raised as a defence, it would rarely be appropriate for a judge to rule that an expert opinion relied upon by the defence is inadmissible when its factual foundation is in dispute, see [</w:t>
      </w:r>
      <w:r w:rsidR="00C5529E">
        <w:rPr>
          <w:sz w:val="28"/>
          <w:szCs w:val="28"/>
        </w:rPr>
        <w:t>61</w:t>
      </w:r>
      <w:r w:rsidRPr="0049743C">
        <w:rPr>
          <w:sz w:val="28"/>
          <w:szCs w:val="28"/>
        </w:rPr>
        <w:t>] to [6</w:t>
      </w:r>
      <w:r w:rsidR="004F05B5">
        <w:rPr>
          <w:sz w:val="28"/>
          <w:szCs w:val="28"/>
        </w:rPr>
        <w:t>4</w:t>
      </w:r>
      <w:r w:rsidRPr="0049743C">
        <w:rPr>
          <w:sz w:val="28"/>
          <w:szCs w:val="28"/>
        </w:rPr>
        <w:t>] above.</w:t>
      </w:r>
    </w:p>
    <w:p w:rsidR="008306D9" w:rsidRPr="0049743C" w:rsidRDefault="008306D9" w:rsidP="008306D9">
      <w:pPr>
        <w:spacing w:after="0" w:line="360" w:lineRule="auto"/>
        <w:ind w:left="720" w:right="-90"/>
        <w:jc w:val="both"/>
        <w:rPr>
          <w:sz w:val="28"/>
          <w:szCs w:val="28"/>
        </w:rPr>
      </w:pPr>
    </w:p>
    <w:p w:rsidR="00BC27E5" w:rsidRDefault="00023C18" w:rsidP="0049743C">
      <w:pPr>
        <w:numPr>
          <w:ilvl w:val="0"/>
          <w:numId w:val="12"/>
        </w:numPr>
        <w:tabs>
          <w:tab w:val="left" w:pos="1440"/>
        </w:tabs>
        <w:spacing w:after="0" w:line="360" w:lineRule="auto"/>
        <w:ind w:left="0" w:right="-90" w:firstLine="0"/>
        <w:jc w:val="both"/>
        <w:rPr>
          <w:sz w:val="28"/>
          <w:szCs w:val="28"/>
        </w:rPr>
      </w:pPr>
      <w:r>
        <w:rPr>
          <w:sz w:val="28"/>
          <w:szCs w:val="28"/>
        </w:rPr>
        <w:tab/>
      </w:r>
      <w:r w:rsidR="00FD16A9" w:rsidRPr="0049743C">
        <w:rPr>
          <w:sz w:val="28"/>
          <w:szCs w:val="28"/>
        </w:rPr>
        <w:t>I</w:t>
      </w:r>
      <w:r w:rsidR="009944F9" w:rsidRPr="0049743C">
        <w:rPr>
          <w:sz w:val="28"/>
          <w:szCs w:val="28"/>
        </w:rPr>
        <w:t>t follows that the appeal should be dismissed.</w:t>
      </w:r>
      <w:r w:rsidR="00D740C8" w:rsidRPr="0049743C">
        <w:rPr>
          <w:sz w:val="28"/>
          <w:szCs w:val="28"/>
        </w:rPr>
        <w:t xml:space="preserve"> </w:t>
      </w:r>
      <w:r w:rsidR="00273ED7" w:rsidRPr="0049743C">
        <w:rPr>
          <w:sz w:val="28"/>
          <w:szCs w:val="28"/>
        </w:rPr>
        <w:t xml:space="preserve"> </w:t>
      </w:r>
    </w:p>
    <w:p w:rsidR="00BC27E5" w:rsidRDefault="00BC27E5" w:rsidP="00BC27E5">
      <w:pPr>
        <w:tabs>
          <w:tab w:val="left" w:pos="1440"/>
        </w:tabs>
        <w:spacing w:after="0" w:line="360" w:lineRule="auto"/>
        <w:ind w:right="-86"/>
        <w:jc w:val="both"/>
        <w:rPr>
          <w:sz w:val="28"/>
          <w:szCs w:val="28"/>
        </w:rPr>
      </w:pPr>
    </w:p>
    <w:p w:rsidR="001B0DB0" w:rsidRDefault="001B0DB0" w:rsidP="00BC27E5">
      <w:pPr>
        <w:tabs>
          <w:tab w:val="left" w:pos="1440"/>
        </w:tabs>
        <w:spacing w:after="0" w:line="360" w:lineRule="auto"/>
        <w:ind w:right="-86"/>
        <w:jc w:val="both"/>
        <w:rPr>
          <w:sz w:val="28"/>
          <w:szCs w:val="28"/>
        </w:rPr>
      </w:pPr>
    </w:p>
    <w:p w:rsidR="00BC27E5" w:rsidRPr="003938F2" w:rsidRDefault="00BC27E5" w:rsidP="00E25676">
      <w:pPr>
        <w:tabs>
          <w:tab w:val="left" w:pos="1440"/>
        </w:tabs>
        <w:spacing w:after="0" w:line="360" w:lineRule="auto"/>
        <w:ind w:right="-86"/>
        <w:jc w:val="both"/>
        <w:rPr>
          <w:rFonts w:eastAsia="等线"/>
          <w:color w:val="000000" w:themeColor="text1"/>
          <w:sz w:val="28"/>
          <w:szCs w:val="28"/>
        </w:rPr>
      </w:pPr>
      <w:r w:rsidRPr="003938F2">
        <w:rPr>
          <w:rFonts w:eastAsia="等线"/>
          <w:color w:val="000000" w:themeColor="text1"/>
          <w:sz w:val="28"/>
          <w:szCs w:val="28"/>
        </w:rPr>
        <w:lastRenderedPageBreak/>
        <w:t>Lord Hoffmann NPJ:</w:t>
      </w:r>
    </w:p>
    <w:p w:rsidR="005C23B3" w:rsidRPr="003938F2" w:rsidRDefault="005C23B3" w:rsidP="005C23B3">
      <w:pPr>
        <w:pStyle w:val="Normal1"/>
        <w:numPr>
          <w:ilvl w:val="0"/>
          <w:numId w:val="12"/>
        </w:numPr>
        <w:tabs>
          <w:tab w:val="clear" w:pos="720"/>
          <w:tab w:val="clear" w:pos="3168"/>
          <w:tab w:val="clear" w:pos="4018"/>
          <w:tab w:val="left" w:pos="1440"/>
        </w:tabs>
        <w:spacing w:before="200"/>
        <w:ind w:left="0" w:firstLine="0"/>
        <w:rPr>
          <w:color w:val="000000" w:themeColor="text1"/>
        </w:rPr>
      </w:pPr>
      <w:r w:rsidRPr="003938F2">
        <w:rPr>
          <w:color w:val="000000" w:themeColor="text1"/>
        </w:rPr>
        <w:t>I agree with the judgment of Mr Justice Lam PJ.</w:t>
      </w:r>
    </w:p>
    <w:p w:rsidR="00E25676" w:rsidRPr="003938F2" w:rsidRDefault="00E25676" w:rsidP="0078323B">
      <w:pPr>
        <w:adjustRightInd w:val="0"/>
        <w:snapToGrid w:val="0"/>
        <w:spacing w:after="0" w:line="360" w:lineRule="auto"/>
        <w:outlineLvl w:val="0"/>
        <w:rPr>
          <w:color w:val="000000" w:themeColor="text1"/>
          <w:sz w:val="28"/>
          <w:szCs w:val="28"/>
        </w:rPr>
      </w:pPr>
    </w:p>
    <w:p w:rsidR="0078323B" w:rsidRPr="003938F2" w:rsidRDefault="0078323B" w:rsidP="0078323B">
      <w:pPr>
        <w:adjustRightInd w:val="0"/>
        <w:snapToGrid w:val="0"/>
        <w:spacing w:after="0" w:line="360" w:lineRule="auto"/>
        <w:outlineLvl w:val="0"/>
        <w:rPr>
          <w:color w:val="000000" w:themeColor="text1"/>
          <w:sz w:val="28"/>
          <w:szCs w:val="28"/>
        </w:rPr>
      </w:pPr>
      <w:r w:rsidRPr="003938F2">
        <w:rPr>
          <w:color w:val="000000" w:themeColor="text1"/>
          <w:sz w:val="28"/>
          <w:szCs w:val="28"/>
        </w:rPr>
        <w:t>Chief Justice Cheung:</w:t>
      </w:r>
    </w:p>
    <w:p w:rsidR="0078323B" w:rsidRPr="003938F2" w:rsidRDefault="0078323B" w:rsidP="0078323B">
      <w:pPr>
        <w:pStyle w:val="Normal1"/>
        <w:tabs>
          <w:tab w:val="clear" w:pos="3168"/>
          <w:tab w:val="clear" w:pos="4018"/>
          <w:tab w:val="left" w:pos="1440"/>
        </w:tabs>
        <w:spacing w:before="200"/>
        <w:rPr>
          <w:color w:val="000000" w:themeColor="text1"/>
          <w:lang w:eastAsia="zh-TW"/>
        </w:rPr>
      </w:pPr>
      <w:r w:rsidRPr="003938F2">
        <w:rPr>
          <w:color w:val="000000" w:themeColor="text1"/>
        </w:rPr>
        <w:t>69.</w:t>
      </w:r>
      <w:r w:rsidRPr="003938F2">
        <w:rPr>
          <w:color w:val="000000" w:themeColor="text1"/>
        </w:rPr>
        <w:tab/>
      </w:r>
      <w:r w:rsidRPr="003938F2">
        <w:rPr>
          <w:rFonts w:hint="eastAsia"/>
          <w:color w:val="000000" w:themeColor="text1"/>
          <w:lang w:eastAsia="zh-TW"/>
        </w:rPr>
        <w:t>Accordingly, the appeal is unanimously dismissed.</w:t>
      </w:r>
    </w:p>
    <w:p w:rsidR="0078323B" w:rsidRPr="003938F2" w:rsidRDefault="0078323B" w:rsidP="00372245">
      <w:pPr>
        <w:tabs>
          <w:tab w:val="left" w:pos="1440"/>
        </w:tabs>
        <w:spacing w:after="0" w:line="240" w:lineRule="auto"/>
        <w:ind w:right="-90"/>
        <w:jc w:val="both"/>
        <w:rPr>
          <w:color w:val="000000" w:themeColor="text1"/>
          <w:sz w:val="28"/>
          <w:szCs w:val="28"/>
        </w:rPr>
      </w:pPr>
      <w:r w:rsidRPr="003938F2">
        <w:rPr>
          <w:color w:val="000000" w:themeColor="text1"/>
          <w:sz w:val="28"/>
          <w:szCs w:val="28"/>
        </w:rPr>
        <w:t xml:space="preserve">             </w:t>
      </w:r>
    </w:p>
    <w:p w:rsidR="00372245" w:rsidRPr="003938F2" w:rsidRDefault="00372245" w:rsidP="00372245">
      <w:pPr>
        <w:tabs>
          <w:tab w:val="left" w:pos="1440"/>
        </w:tabs>
        <w:spacing w:after="0" w:line="240" w:lineRule="auto"/>
        <w:ind w:right="-90"/>
        <w:jc w:val="both"/>
        <w:rPr>
          <w:color w:val="000000" w:themeColor="text1"/>
          <w:sz w:val="28"/>
          <w:szCs w:val="28"/>
        </w:rPr>
      </w:pPr>
    </w:p>
    <w:p w:rsidR="0078323B" w:rsidRPr="003938F2" w:rsidRDefault="0078323B" w:rsidP="00372245">
      <w:pPr>
        <w:tabs>
          <w:tab w:val="left" w:pos="1440"/>
        </w:tabs>
        <w:spacing w:after="0" w:line="240" w:lineRule="auto"/>
        <w:ind w:right="-90"/>
        <w:jc w:val="both"/>
        <w:rPr>
          <w:color w:val="000000" w:themeColor="text1"/>
          <w:sz w:val="28"/>
          <w:szCs w:val="28"/>
        </w:rPr>
      </w:pPr>
    </w:p>
    <w:p w:rsidR="00372245" w:rsidRPr="003938F2" w:rsidRDefault="00372245" w:rsidP="00372245">
      <w:pPr>
        <w:tabs>
          <w:tab w:val="left" w:pos="1440"/>
        </w:tabs>
        <w:spacing w:after="0" w:line="240" w:lineRule="auto"/>
        <w:ind w:right="-90"/>
        <w:jc w:val="both"/>
        <w:rPr>
          <w:color w:val="000000" w:themeColor="text1"/>
          <w:sz w:val="28"/>
          <w:szCs w:val="28"/>
        </w:rPr>
      </w:pPr>
    </w:p>
    <w:p w:rsidR="0078323B" w:rsidRPr="003938F2" w:rsidRDefault="0078323B" w:rsidP="00372245">
      <w:pPr>
        <w:tabs>
          <w:tab w:val="left" w:pos="1440"/>
        </w:tabs>
        <w:spacing w:after="0" w:line="240" w:lineRule="auto"/>
        <w:ind w:right="-90"/>
        <w:jc w:val="both"/>
        <w:rPr>
          <w:color w:val="000000" w:themeColor="text1"/>
          <w:sz w:val="28"/>
          <w:szCs w:val="28"/>
        </w:rPr>
      </w:pPr>
    </w:p>
    <w:p w:rsidR="0078323B" w:rsidRPr="003938F2" w:rsidRDefault="0078323B" w:rsidP="00372245">
      <w:pPr>
        <w:tabs>
          <w:tab w:val="left" w:pos="1440"/>
        </w:tabs>
        <w:spacing w:after="0" w:line="240" w:lineRule="auto"/>
        <w:ind w:right="-90"/>
        <w:jc w:val="both"/>
        <w:rPr>
          <w:color w:val="000000" w:themeColor="text1"/>
          <w:sz w:val="28"/>
          <w:szCs w:val="28"/>
        </w:rPr>
      </w:pPr>
    </w:p>
    <w:tbl>
      <w:tblPr>
        <w:tblW w:w="9188" w:type="dxa"/>
        <w:jc w:val="center"/>
        <w:tblLook w:val="0000" w:firstRow="0" w:lastRow="0" w:firstColumn="0" w:lastColumn="0" w:noHBand="0" w:noVBand="0"/>
      </w:tblPr>
      <w:tblGrid>
        <w:gridCol w:w="3062"/>
        <w:gridCol w:w="3063"/>
        <w:gridCol w:w="3063"/>
      </w:tblGrid>
      <w:tr w:rsidR="003938F2" w:rsidRPr="003938F2" w:rsidTr="008236EA">
        <w:trPr>
          <w:trHeight w:val="576"/>
          <w:jc w:val="center"/>
        </w:trPr>
        <w:tc>
          <w:tcPr>
            <w:tcW w:w="3062" w:type="dxa"/>
            <w:vAlign w:val="bottom"/>
          </w:tcPr>
          <w:p w:rsidR="00E25676" w:rsidRPr="003938F2" w:rsidRDefault="00E25676" w:rsidP="008236EA">
            <w:pPr>
              <w:pStyle w:val="BodyTextIndent"/>
              <w:tabs>
                <w:tab w:val="left" w:pos="540"/>
              </w:tabs>
              <w:ind w:left="450" w:right="118" w:hanging="450"/>
              <w:jc w:val="center"/>
              <w:rPr>
                <w:color w:val="000000" w:themeColor="text1"/>
                <w:sz w:val="28"/>
                <w:szCs w:val="28"/>
              </w:rPr>
            </w:pPr>
            <w:r w:rsidRPr="003938F2">
              <w:rPr>
                <w:color w:val="000000" w:themeColor="text1"/>
                <w:sz w:val="28"/>
                <w:szCs w:val="28"/>
              </w:rPr>
              <w:t>(Andrew Cheung)</w:t>
            </w:r>
          </w:p>
        </w:tc>
        <w:tc>
          <w:tcPr>
            <w:tcW w:w="3063" w:type="dxa"/>
            <w:vAlign w:val="bottom"/>
          </w:tcPr>
          <w:p w:rsidR="00E25676" w:rsidRPr="003938F2" w:rsidRDefault="00E25676" w:rsidP="008236EA">
            <w:pPr>
              <w:pStyle w:val="BodyTextIndent"/>
              <w:tabs>
                <w:tab w:val="left" w:pos="540"/>
              </w:tabs>
              <w:ind w:left="450" w:right="118" w:hanging="450"/>
              <w:jc w:val="center"/>
              <w:rPr>
                <w:color w:val="000000" w:themeColor="text1"/>
                <w:sz w:val="28"/>
                <w:szCs w:val="28"/>
              </w:rPr>
            </w:pPr>
            <w:r w:rsidRPr="003938F2">
              <w:rPr>
                <w:color w:val="000000" w:themeColor="text1"/>
                <w:sz w:val="28"/>
                <w:szCs w:val="28"/>
              </w:rPr>
              <w:t>(R A V Ribeiro)</w:t>
            </w:r>
          </w:p>
        </w:tc>
        <w:tc>
          <w:tcPr>
            <w:tcW w:w="3063" w:type="dxa"/>
            <w:vAlign w:val="bottom"/>
          </w:tcPr>
          <w:p w:rsidR="00E25676" w:rsidRPr="003938F2" w:rsidRDefault="00E25676" w:rsidP="00E25676">
            <w:pPr>
              <w:pStyle w:val="BodyTextIndent"/>
              <w:tabs>
                <w:tab w:val="left" w:pos="540"/>
              </w:tabs>
              <w:ind w:left="446" w:right="115" w:hanging="446"/>
              <w:jc w:val="center"/>
              <w:rPr>
                <w:color w:val="000000" w:themeColor="text1"/>
                <w:sz w:val="28"/>
                <w:szCs w:val="28"/>
              </w:rPr>
            </w:pPr>
            <w:r w:rsidRPr="003938F2">
              <w:rPr>
                <w:color w:val="000000" w:themeColor="text1"/>
                <w:sz w:val="28"/>
                <w:szCs w:val="28"/>
              </w:rPr>
              <w:t>(Joseph Fok)</w:t>
            </w:r>
          </w:p>
        </w:tc>
      </w:tr>
      <w:tr w:rsidR="00E25676" w:rsidRPr="003938F2" w:rsidTr="008236EA">
        <w:trPr>
          <w:trHeight w:val="288"/>
          <w:jc w:val="center"/>
        </w:trPr>
        <w:tc>
          <w:tcPr>
            <w:tcW w:w="3062" w:type="dxa"/>
            <w:vAlign w:val="center"/>
          </w:tcPr>
          <w:p w:rsidR="00E25676" w:rsidRPr="003938F2" w:rsidRDefault="00E25676" w:rsidP="008236EA">
            <w:pPr>
              <w:pStyle w:val="BodyTextIndent"/>
              <w:tabs>
                <w:tab w:val="left" w:pos="540"/>
              </w:tabs>
              <w:ind w:left="450" w:right="118" w:hanging="450"/>
              <w:jc w:val="center"/>
              <w:rPr>
                <w:color w:val="000000" w:themeColor="text1"/>
                <w:sz w:val="28"/>
                <w:szCs w:val="28"/>
              </w:rPr>
            </w:pPr>
            <w:r w:rsidRPr="003938F2">
              <w:rPr>
                <w:color w:val="000000" w:themeColor="text1"/>
                <w:sz w:val="28"/>
                <w:szCs w:val="28"/>
              </w:rPr>
              <w:t>Chief Justice</w:t>
            </w:r>
          </w:p>
        </w:tc>
        <w:tc>
          <w:tcPr>
            <w:tcW w:w="3063" w:type="dxa"/>
            <w:vAlign w:val="center"/>
          </w:tcPr>
          <w:p w:rsidR="00E25676" w:rsidRPr="003938F2" w:rsidRDefault="00E25676" w:rsidP="008236EA">
            <w:pPr>
              <w:pStyle w:val="BodyTextIndent"/>
              <w:tabs>
                <w:tab w:val="left" w:pos="540"/>
              </w:tabs>
              <w:ind w:left="450" w:right="118" w:hanging="450"/>
              <w:jc w:val="center"/>
              <w:rPr>
                <w:color w:val="000000" w:themeColor="text1"/>
                <w:sz w:val="28"/>
                <w:szCs w:val="28"/>
              </w:rPr>
            </w:pPr>
            <w:r w:rsidRPr="003938F2">
              <w:rPr>
                <w:color w:val="000000" w:themeColor="text1"/>
                <w:sz w:val="28"/>
                <w:szCs w:val="28"/>
              </w:rPr>
              <w:t>Permanent Judge</w:t>
            </w:r>
          </w:p>
        </w:tc>
        <w:tc>
          <w:tcPr>
            <w:tcW w:w="3063" w:type="dxa"/>
            <w:vAlign w:val="center"/>
          </w:tcPr>
          <w:p w:rsidR="00E25676" w:rsidRPr="003938F2" w:rsidRDefault="00E25676" w:rsidP="008236EA">
            <w:pPr>
              <w:pStyle w:val="BodyTextIndent"/>
              <w:tabs>
                <w:tab w:val="left" w:pos="540"/>
              </w:tabs>
              <w:ind w:left="450" w:right="118" w:hanging="450"/>
              <w:jc w:val="center"/>
              <w:rPr>
                <w:color w:val="000000" w:themeColor="text1"/>
                <w:sz w:val="28"/>
                <w:szCs w:val="28"/>
              </w:rPr>
            </w:pPr>
            <w:r w:rsidRPr="003938F2">
              <w:rPr>
                <w:color w:val="000000" w:themeColor="text1"/>
                <w:sz w:val="28"/>
                <w:szCs w:val="28"/>
              </w:rPr>
              <w:t>Permanent Judge</w:t>
            </w:r>
          </w:p>
        </w:tc>
      </w:tr>
    </w:tbl>
    <w:p w:rsidR="00E25676" w:rsidRPr="003938F2" w:rsidRDefault="00E25676" w:rsidP="00E25676">
      <w:pPr>
        <w:pStyle w:val="BodyTextIndent"/>
        <w:tabs>
          <w:tab w:val="left" w:pos="540"/>
        </w:tabs>
        <w:ind w:left="450" w:right="118" w:hanging="450"/>
        <w:rPr>
          <w:color w:val="000000" w:themeColor="text1"/>
          <w:kern w:val="0"/>
          <w:sz w:val="28"/>
          <w:lang w:val="en-GB"/>
        </w:rPr>
      </w:pPr>
    </w:p>
    <w:p w:rsidR="00E25676" w:rsidRPr="003938F2" w:rsidRDefault="00E25676" w:rsidP="00E25676">
      <w:pPr>
        <w:pStyle w:val="BodyTextIndent"/>
        <w:tabs>
          <w:tab w:val="left" w:pos="540"/>
        </w:tabs>
        <w:ind w:left="450" w:right="118" w:hanging="450"/>
        <w:rPr>
          <w:color w:val="000000" w:themeColor="text1"/>
          <w:kern w:val="0"/>
          <w:sz w:val="28"/>
          <w:lang w:val="en-GB"/>
        </w:rPr>
      </w:pPr>
    </w:p>
    <w:p w:rsidR="00E25676" w:rsidRPr="003938F2" w:rsidRDefault="00E25676" w:rsidP="00E25676">
      <w:pPr>
        <w:pStyle w:val="BodyTextIndent"/>
        <w:tabs>
          <w:tab w:val="left" w:pos="540"/>
        </w:tabs>
        <w:ind w:left="450" w:right="118" w:hanging="450"/>
        <w:rPr>
          <w:color w:val="000000" w:themeColor="text1"/>
          <w:kern w:val="0"/>
          <w:sz w:val="28"/>
          <w:lang w:val="en-GB"/>
        </w:rPr>
      </w:pPr>
    </w:p>
    <w:p w:rsidR="00E25676" w:rsidRPr="003938F2" w:rsidRDefault="00E25676" w:rsidP="00E25676">
      <w:pPr>
        <w:pStyle w:val="BodyTextIndent"/>
        <w:tabs>
          <w:tab w:val="left" w:pos="540"/>
        </w:tabs>
        <w:ind w:left="450" w:right="118" w:hanging="450"/>
        <w:rPr>
          <w:color w:val="000000" w:themeColor="text1"/>
          <w:kern w:val="0"/>
          <w:sz w:val="28"/>
          <w:lang w:val="en-GB"/>
        </w:rPr>
      </w:pPr>
    </w:p>
    <w:p w:rsidR="00E25676" w:rsidRPr="003938F2" w:rsidRDefault="00E25676" w:rsidP="00E25676">
      <w:pPr>
        <w:pStyle w:val="BodyTextIndent"/>
        <w:tabs>
          <w:tab w:val="left" w:pos="540"/>
        </w:tabs>
        <w:ind w:left="450" w:right="118" w:hanging="450"/>
        <w:rPr>
          <w:color w:val="000000" w:themeColor="text1"/>
          <w:kern w:val="0"/>
          <w:sz w:val="28"/>
          <w:lang w:val="en-GB"/>
        </w:rPr>
      </w:pPr>
    </w:p>
    <w:p w:rsidR="00E25676" w:rsidRPr="003938F2" w:rsidRDefault="00E25676" w:rsidP="00E25676">
      <w:pPr>
        <w:pStyle w:val="BodyTextIndent"/>
        <w:tabs>
          <w:tab w:val="left" w:pos="540"/>
        </w:tabs>
        <w:ind w:left="450" w:right="118" w:hanging="450"/>
        <w:rPr>
          <w:color w:val="000000" w:themeColor="text1"/>
          <w:kern w:val="0"/>
          <w:sz w:val="28"/>
          <w:lang w:val="en-GB"/>
        </w:rPr>
      </w:pPr>
    </w:p>
    <w:tbl>
      <w:tblPr>
        <w:tblW w:w="9188" w:type="dxa"/>
        <w:jc w:val="center"/>
        <w:tblLook w:val="0000" w:firstRow="0" w:lastRow="0" w:firstColumn="0" w:lastColumn="0" w:noHBand="0" w:noVBand="0"/>
      </w:tblPr>
      <w:tblGrid>
        <w:gridCol w:w="4594"/>
        <w:gridCol w:w="4594"/>
      </w:tblGrid>
      <w:tr w:rsidR="003938F2" w:rsidRPr="003938F2" w:rsidTr="008236EA">
        <w:trPr>
          <w:trHeight w:val="576"/>
          <w:jc w:val="center"/>
        </w:trPr>
        <w:tc>
          <w:tcPr>
            <w:tcW w:w="4594" w:type="dxa"/>
            <w:vAlign w:val="bottom"/>
          </w:tcPr>
          <w:p w:rsidR="00E25676" w:rsidRPr="003938F2" w:rsidRDefault="00E25676" w:rsidP="008236EA">
            <w:pPr>
              <w:pStyle w:val="BodyTextIndent"/>
              <w:tabs>
                <w:tab w:val="left" w:pos="540"/>
              </w:tabs>
              <w:ind w:left="450" w:right="118" w:hanging="450"/>
              <w:jc w:val="center"/>
              <w:rPr>
                <w:color w:val="000000" w:themeColor="text1"/>
                <w:sz w:val="28"/>
                <w:szCs w:val="28"/>
              </w:rPr>
            </w:pPr>
            <w:r w:rsidRPr="003938F2">
              <w:rPr>
                <w:color w:val="000000" w:themeColor="text1"/>
                <w:sz w:val="28"/>
                <w:szCs w:val="28"/>
              </w:rPr>
              <w:t>(M H Lam)</w:t>
            </w:r>
          </w:p>
        </w:tc>
        <w:tc>
          <w:tcPr>
            <w:tcW w:w="4594" w:type="dxa"/>
            <w:vAlign w:val="bottom"/>
          </w:tcPr>
          <w:p w:rsidR="00E25676" w:rsidRPr="003938F2" w:rsidRDefault="00E25676" w:rsidP="008236EA">
            <w:pPr>
              <w:pStyle w:val="BodyTextIndent"/>
              <w:tabs>
                <w:tab w:val="left" w:pos="540"/>
              </w:tabs>
              <w:ind w:left="450" w:right="118" w:hanging="450"/>
              <w:jc w:val="center"/>
              <w:rPr>
                <w:color w:val="000000" w:themeColor="text1"/>
                <w:sz w:val="28"/>
                <w:szCs w:val="28"/>
              </w:rPr>
            </w:pPr>
            <w:r w:rsidRPr="003938F2">
              <w:rPr>
                <w:color w:val="000000" w:themeColor="text1"/>
                <w:sz w:val="28"/>
                <w:szCs w:val="28"/>
              </w:rPr>
              <w:t>(Lord Hoffmann)</w:t>
            </w:r>
          </w:p>
        </w:tc>
      </w:tr>
      <w:tr w:rsidR="00E25676" w:rsidRPr="003938F2" w:rsidTr="008236EA">
        <w:trPr>
          <w:trHeight w:val="288"/>
          <w:jc w:val="center"/>
        </w:trPr>
        <w:tc>
          <w:tcPr>
            <w:tcW w:w="4594" w:type="dxa"/>
            <w:vAlign w:val="center"/>
          </w:tcPr>
          <w:p w:rsidR="00E25676" w:rsidRPr="003938F2" w:rsidRDefault="00E25676" w:rsidP="008236EA">
            <w:pPr>
              <w:pStyle w:val="BodyTextIndent"/>
              <w:tabs>
                <w:tab w:val="left" w:pos="540"/>
              </w:tabs>
              <w:ind w:left="450" w:right="118" w:hanging="450"/>
              <w:jc w:val="center"/>
              <w:rPr>
                <w:color w:val="000000" w:themeColor="text1"/>
                <w:sz w:val="28"/>
                <w:szCs w:val="28"/>
              </w:rPr>
            </w:pPr>
            <w:r w:rsidRPr="003938F2">
              <w:rPr>
                <w:color w:val="000000" w:themeColor="text1"/>
                <w:sz w:val="28"/>
                <w:szCs w:val="28"/>
              </w:rPr>
              <w:t>Permanent Judge</w:t>
            </w:r>
          </w:p>
        </w:tc>
        <w:tc>
          <w:tcPr>
            <w:tcW w:w="4594" w:type="dxa"/>
            <w:vAlign w:val="center"/>
          </w:tcPr>
          <w:p w:rsidR="00E25676" w:rsidRPr="003938F2" w:rsidRDefault="00E25676" w:rsidP="008236EA">
            <w:pPr>
              <w:pStyle w:val="BodyTextIndent"/>
              <w:tabs>
                <w:tab w:val="left" w:pos="540"/>
              </w:tabs>
              <w:ind w:left="450" w:right="118" w:hanging="450"/>
              <w:jc w:val="center"/>
              <w:rPr>
                <w:color w:val="000000" w:themeColor="text1"/>
                <w:sz w:val="28"/>
                <w:szCs w:val="28"/>
              </w:rPr>
            </w:pPr>
            <w:r w:rsidRPr="003938F2">
              <w:rPr>
                <w:color w:val="000000" w:themeColor="text1"/>
                <w:sz w:val="28"/>
                <w:szCs w:val="28"/>
              </w:rPr>
              <w:t>Non-Permanent Judge</w:t>
            </w:r>
          </w:p>
        </w:tc>
      </w:tr>
    </w:tbl>
    <w:p w:rsidR="0078323B" w:rsidRPr="003938F2" w:rsidRDefault="0078323B" w:rsidP="0078323B">
      <w:pPr>
        <w:pStyle w:val="BodyTextIndent"/>
        <w:tabs>
          <w:tab w:val="left" w:pos="540"/>
        </w:tabs>
        <w:ind w:left="450" w:right="118" w:hanging="450"/>
        <w:rPr>
          <w:color w:val="000000" w:themeColor="text1"/>
          <w:kern w:val="0"/>
          <w:sz w:val="28"/>
          <w:lang w:val="en-GB"/>
        </w:rPr>
      </w:pPr>
    </w:p>
    <w:p w:rsidR="0078323B" w:rsidRPr="003938F2" w:rsidRDefault="0078323B" w:rsidP="0078323B">
      <w:pPr>
        <w:spacing w:after="0" w:line="240" w:lineRule="auto"/>
        <w:jc w:val="both"/>
        <w:rPr>
          <w:color w:val="000000" w:themeColor="text1"/>
          <w:szCs w:val="20"/>
        </w:rPr>
      </w:pPr>
    </w:p>
    <w:p w:rsidR="0078323B" w:rsidRPr="003938F2" w:rsidRDefault="0078323B" w:rsidP="0078323B">
      <w:pPr>
        <w:pStyle w:val="BodyTextIndent"/>
        <w:tabs>
          <w:tab w:val="left" w:pos="540"/>
        </w:tabs>
        <w:ind w:left="450" w:hanging="450"/>
        <w:rPr>
          <w:color w:val="000000" w:themeColor="text1"/>
          <w:kern w:val="0"/>
          <w:sz w:val="28"/>
          <w:lang w:val="en-GB"/>
        </w:rPr>
      </w:pPr>
      <w:r w:rsidRPr="003938F2">
        <w:rPr>
          <w:color w:val="000000" w:themeColor="text1"/>
          <w:kern w:val="0"/>
          <w:sz w:val="28"/>
          <w:lang w:val="en-GB"/>
        </w:rPr>
        <w:t>Mr Phil Chau SC and Mr Kei Rui Tien, instructed by Simon Si &amp; Co, assigned by the Director of Legal Aid, for the Appellant</w:t>
      </w:r>
    </w:p>
    <w:p w:rsidR="0078323B" w:rsidRPr="003938F2" w:rsidRDefault="0078323B" w:rsidP="0078323B">
      <w:pPr>
        <w:pStyle w:val="BodyTextIndent"/>
        <w:tabs>
          <w:tab w:val="left" w:pos="540"/>
        </w:tabs>
        <w:ind w:left="450" w:hanging="450"/>
        <w:rPr>
          <w:color w:val="000000" w:themeColor="text1"/>
          <w:kern w:val="0"/>
          <w:sz w:val="28"/>
          <w:lang w:val="en-GB"/>
        </w:rPr>
      </w:pPr>
    </w:p>
    <w:p w:rsidR="0078323B" w:rsidRPr="003938F2" w:rsidRDefault="0078323B" w:rsidP="0078323B">
      <w:pPr>
        <w:pStyle w:val="BodyTextIndent"/>
        <w:tabs>
          <w:tab w:val="left" w:pos="540"/>
        </w:tabs>
        <w:ind w:left="450" w:hanging="450"/>
        <w:rPr>
          <w:color w:val="000000" w:themeColor="text1"/>
          <w:kern w:val="0"/>
          <w:sz w:val="28"/>
        </w:rPr>
      </w:pPr>
      <w:r w:rsidRPr="003938F2">
        <w:rPr>
          <w:color w:val="000000" w:themeColor="text1"/>
          <w:kern w:val="0"/>
          <w:sz w:val="28"/>
          <w:lang w:val="en-GB"/>
        </w:rPr>
        <w:t>Mr Ned Lai, DDPP (Ag) and Ms Karen Ng, SPP, of the Department of Justice, for the Respondent</w:t>
      </w:r>
    </w:p>
    <w:p w:rsidR="0078323B" w:rsidRPr="003938F2" w:rsidRDefault="0078323B" w:rsidP="0078323B">
      <w:pPr>
        <w:pStyle w:val="BodyTextIndent"/>
        <w:tabs>
          <w:tab w:val="left" w:pos="540"/>
        </w:tabs>
        <w:ind w:left="450" w:right="118" w:hanging="450"/>
        <w:rPr>
          <w:color w:val="000000" w:themeColor="text1"/>
          <w:kern w:val="0"/>
          <w:sz w:val="28"/>
          <w:lang w:val="en-GB"/>
        </w:rPr>
      </w:pPr>
    </w:p>
    <w:p w:rsidR="00913E2D" w:rsidRPr="003938F2" w:rsidRDefault="00727AF8" w:rsidP="0049743C">
      <w:pPr>
        <w:tabs>
          <w:tab w:val="left" w:pos="1440"/>
        </w:tabs>
        <w:spacing w:after="0" w:line="360" w:lineRule="auto"/>
        <w:ind w:right="-90"/>
        <w:jc w:val="both"/>
        <w:rPr>
          <w:color w:val="000000" w:themeColor="text1"/>
          <w:sz w:val="28"/>
          <w:szCs w:val="28"/>
        </w:rPr>
      </w:pPr>
      <w:r w:rsidRPr="003938F2">
        <w:rPr>
          <w:color w:val="000000" w:themeColor="text1"/>
          <w:sz w:val="28"/>
          <w:szCs w:val="28"/>
        </w:rPr>
        <w:t xml:space="preserve">  </w:t>
      </w:r>
    </w:p>
    <w:sectPr w:rsidR="00913E2D" w:rsidRPr="003938F2" w:rsidSect="004F05B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26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D6B" w:rsidRDefault="00833D6B" w:rsidP="004B7A56">
      <w:pPr>
        <w:spacing w:after="0" w:line="240" w:lineRule="auto"/>
      </w:pPr>
      <w:r>
        <w:separator/>
      </w:r>
    </w:p>
  </w:endnote>
  <w:endnote w:type="continuationSeparator" w:id="0">
    <w:p w:rsidR="00833D6B" w:rsidRDefault="00833D6B" w:rsidP="004B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435" w:rsidRDefault="001304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435" w:rsidRDefault="001304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435" w:rsidRDefault="00130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D6B" w:rsidRDefault="00833D6B" w:rsidP="004B7A56">
      <w:pPr>
        <w:spacing w:after="0" w:line="240" w:lineRule="auto"/>
      </w:pPr>
      <w:r>
        <w:separator/>
      </w:r>
    </w:p>
  </w:footnote>
  <w:footnote w:type="continuationSeparator" w:id="0">
    <w:p w:rsidR="00833D6B" w:rsidRDefault="00833D6B" w:rsidP="004B7A56">
      <w:pPr>
        <w:spacing w:after="0" w:line="240" w:lineRule="auto"/>
      </w:pPr>
      <w:r>
        <w:continuationSeparator/>
      </w:r>
    </w:p>
  </w:footnote>
  <w:footnote w:id="1">
    <w:p w:rsidR="00B64C69" w:rsidRPr="00C0301A" w:rsidRDefault="00B64C69" w:rsidP="00414F0F">
      <w:pPr>
        <w:pStyle w:val="FootnoteText"/>
        <w:tabs>
          <w:tab w:val="left" w:pos="360"/>
        </w:tabs>
        <w:spacing w:after="0" w:line="240" w:lineRule="auto"/>
      </w:pPr>
      <w:r w:rsidRPr="00C0301A">
        <w:rPr>
          <w:rStyle w:val="FootnoteReference"/>
        </w:rPr>
        <w:footnoteRef/>
      </w:r>
      <w:r w:rsidRPr="00C0301A">
        <w:t xml:space="preserve"> </w:t>
      </w:r>
      <w:r w:rsidR="00C51B43" w:rsidRPr="00C0301A">
        <w:tab/>
      </w:r>
      <w:r w:rsidRPr="00C0301A">
        <w:t xml:space="preserve">[1986] 1 AC 41 at </w:t>
      </w:r>
      <w:r w:rsidR="00C0301A" w:rsidRPr="00C0301A">
        <w:rPr>
          <w:rFonts w:eastAsia="PMingLiU"/>
          <w:lang w:eastAsia="zh-HK"/>
        </w:rPr>
        <w:t>p.</w:t>
      </w:r>
      <w:r w:rsidRPr="00C0301A">
        <w:t>54</w:t>
      </w:r>
      <w:r w:rsidR="00D315C7" w:rsidRPr="00C0301A">
        <w:t>.</w:t>
      </w:r>
    </w:p>
  </w:footnote>
  <w:footnote w:id="2">
    <w:p w:rsidR="00991BAA" w:rsidRDefault="00991BAA" w:rsidP="00414F0F">
      <w:pPr>
        <w:pStyle w:val="FootnoteText"/>
        <w:tabs>
          <w:tab w:val="left" w:pos="360"/>
        </w:tabs>
        <w:spacing w:after="0" w:line="240" w:lineRule="auto"/>
      </w:pPr>
      <w:r>
        <w:rPr>
          <w:rStyle w:val="FootnoteReference"/>
        </w:rPr>
        <w:footnoteRef/>
      </w:r>
      <w:r>
        <w:t xml:space="preserve"> </w:t>
      </w:r>
      <w:r w:rsidR="00414F0F">
        <w:tab/>
      </w:r>
      <w:r>
        <w:rPr>
          <w:rFonts w:hint="eastAsia"/>
        </w:rPr>
        <w:t>[</w:t>
      </w:r>
      <w:r>
        <w:t>2021] 4 HKLRD 423</w:t>
      </w:r>
      <w:r w:rsidR="00C0301A">
        <w:t xml:space="preserve"> (“CA Judgment”) (</w:t>
      </w:r>
      <w:r w:rsidR="00E31BF4">
        <w:rPr>
          <w:rFonts w:hint="eastAsia"/>
        </w:rPr>
        <w:t>M</w:t>
      </w:r>
      <w:r w:rsidR="00E31BF4">
        <w:t>acrae V-P, McWalters and Zervos JJA</w:t>
      </w:r>
      <w:r w:rsidR="00C0301A">
        <w:t>)</w:t>
      </w:r>
      <w:r w:rsidR="00D315C7">
        <w:t>.</w:t>
      </w:r>
    </w:p>
  </w:footnote>
  <w:footnote w:id="3">
    <w:p w:rsidR="0050094C" w:rsidRPr="0050094C" w:rsidRDefault="0050094C" w:rsidP="0050094C">
      <w:pPr>
        <w:pStyle w:val="FootnoteText"/>
        <w:spacing w:after="0" w:line="240" w:lineRule="auto"/>
        <w:ind w:left="360" w:hanging="360"/>
      </w:pPr>
      <w:r>
        <w:rPr>
          <w:rStyle w:val="FootnoteReference"/>
        </w:rPr>
        <w:footnoteRef/>
      </w:r>
      <w:r>
        <w:t xml:space="preserve"> </w:t>
      </w:r>
      <w:r>
        <w:tab/>
      </w:r>
      <w:r w:rsidRPr="0050094C">
        <w:rPr>
          <w:i/>
        </w:rPr>
        <w:t>Ibid</w:t>
      </w:r>
      <w:r>
        <w:t xml:space="preserve"> at [132</w:t>
      </w:r>
      <w:r w:rsidR="00E31BF4">
        <w:t>]</w:t>
      </w:r>
      <w:r>
        <w:t>.</w:t>
      </w:r>
    </w:p>
  </w:footnote>
  <w:footnote w:id="4">
    <w:p w:rsidR="00991BAA" w:rsidRPr="002539D1" w:rsidRDefault="00991BAA" w:rsidP="00414F0F">
      <w:pPr>
        <w:pStyle w:val="FootnoteText"/>
        <w:spacing w:after="0" w:line="240" w:lineRule="auto"/>
        <w:ind w:left="360" w:hanging="360"/>
        <w:jc w:val="both"/>
      </w:pPr>
      <w:r>
        <w:rPr>
          <w:rStyle w:val="FootnoteReference"/>
        </w:rPr>
        <w:footnoteRef/>
      </w:r>
      <w:r>
        <w:t xml:space="preserve"> </w:t>
      </w:r>
      <w:r w:rsidR="00414F0F">
        <w:tab/>
      </w:r>
      <w:r>
        <w:rPr>
          <w:rFonts w:hint="eastAsia"/>
        </w:rPr>
        <w:t>S</w:t>
      </w:r>
      <w:r>
        <w:t xml:space="preserve">ection 3(3) of the Homicide Ordinance Cap 339. See also </w:t>
      </w:r>
      <w:r>
        <w:rPr>
          <w:i/>
        </w:rPr>
        <w:t xml:space="preserve">HKSAR v Tsim Sum Kit, Ada </w:t>
      </w:r>
      <w:r>
        <w:t>[2024] HKCFA 14 at [37] to [42].</w:t>
      </w:r>
    </w:p>
  </w:footnote>
  <w:footnote w:id="5">
    <w:p w:rsidR="00C93025" w:rsidRPr="00774953" w:rsidRDefault="00C93025" w:rsidP="008306D9">
      <w:pPr>
        <w:pStyle w:val="FootnoteText"/>
        <w:tabs>
          <w:tab w:val="left" w:pos="360"/>
        </w:tabs>
        <w:spacing w:after="0" w:line="240" w:lineRule="auto"/>
        <w:ind w:left="360" w:hanging="360"/>
        <w:jc w:val="both"/>
      </w:pPr>
      <w:r w:rsidRPr="0049743C">
        <w:rPr>
          <w:rStyle w:val="FootnoteReference"/>
        </w:rPr>
        <w:footnoteRef/>
      </w:r>
      <w:r w:rsidRPr="0049743C">
        <w:t xml:space="preserve"> </w:t>
      </w:r>
      <w:r w:rsidRPr="0049743C">
        <w:tab/>
        <w:t>The specifi</w:t>
      </w:r>
      <w:r w:rsidR="00C0301A">
        <w:t>ed causes are those set out in S</w:t>
      </w:r>
      <w:r w:rsidRPr="0049743C">
        <w:t>ection 3(1), viz.</w:t>
      </w:r>
      <w:r w:rsidRPr="0049743C">
        <w:rPr>
          <w:szCs w:val="24"/>
          <w:shd w:val="clear" w:color="auto" w:fill="FFFFFF"/>
        </w:rPr>
        <w:t xml:space="preserve"> abnormality of mind </w:t>
      </w:r>
      <w:r w:rsidR="00E31BF4">
        <w:rPr>
          <w:szCs w:val="24"/>
          <w:shd w:val="clear" w:color="auto" w:fill="FFFFFF"/>
        </w:rPr>
        <w:t>“</w:t>
      </w:r>
      <w:r w:rsidRPr="0049743C">
        <w:rPr>
          <w:szCs w:val="24"/>
          <w:shd w:val="clear" w:color="auto" w:fill="FFFFFF"/>
        </w:rPr>
        <w:t>arising from a condition of arrested or retarded development of mind or any inherent causes or induced by disease or injury</w:t>
      </w:r>
      <w:r w:rsidR="00E31BF4">
        <w:rPr>
          <w:szCs w:val="24"/>
          <w:shd w:val="clear" w:color="auto" w:fill="FFFFFF"/>
        </w:rPr>
        <w:t>”</w:t>
      </w:r>
      <w:r w:rsidRPr="0049743C">
        <w:rPr>
          <w:szCs w:val="24"/>
          <w:shd w:val="clear" w:color="auto" w:fill="FFFFFF"/>
        </w:rPr>
        <w:t xml:space="preserve">. Psychosis is a </w:t>
      </w:r>
      <w:r w:rsidRPr="00774953">
        <w:rPr>
          <w:szCs w:val="24"/>
          <w:shd w:val="clear" w:color="auto" w:fill="FFFFFF"/>
        </w:rPr>
        <w:t>disease of the mind but intoxication is not</w:t>
      </w:r>
      <w:r w:rsidR="00A60FD0">
        <w:rPr>
          <w:szCs w:val="24"/>
          <w:shd w:val="clear" w:color="auto" w:fill="FFFFFF"/>
        </w:rPr>
        <w:t>, see</w:t>
      </w:r>
      <w:r w:rsidR="00E31BF4" w:rsidRPr="00774953">
        <w:rPr>
          <w:szCs w:val="24"/>
          <w:shd w:val="clear" w:color="auto" w:fill="FFFFFF"/>
        </w:rPr>
        <w:t xml:space="preserve"> </w:t>
      </w:r>
      <w:r w:rsidR="00E31BF4" w:rsidRPr="00774953">
        <w:rPr>
          <w:i/>
        </w:rPr>
        <w:t xml:space="preserve">Archbold Hong Kong 2024 Criminal Law, Pleadings, Evidence and Practice </w:t>
      </w:r>
      <w:r w:rsidR="00E31BF4" w:rsidRPr="00774953">
        <w:t>at [20-121]</w:t>
      </w:r>
      <w:r w:rsidR="00A60FD0">
        <w:t xml:space="preserve"> and [20-122]</w:t>
      </w:r>
      <w:r w:rsidRPr="00774953">
        <w:rPr>
          <w:szCs w:val="24"/>
          <w:shd w:val="clear" w:color="auto" w:fill="FFFFFF"/>
        </w:rPr>
        <w:t>.</w:t>
      </w:r>
      <w:r w:rsidRPr="00774953">
        <w:t xml:space="preserve"> </w:t>
      </w:r>
    </w:p>
  </w:footnote>
  <w:footnote w:id="6">
    <w:p w:rsidR="00991BAA" w:rsidRPr="001A66F5" w:rsidRDefault="00991BAA" w:rsidP="008306D9">
      <w:pPr>
        <w:pStyle w:val="FootnoteText"/>
        <w:spacing w:after="0" w:line="240" w:lineRule="auto"/>
        <w:ind w:left="360" w:hanging="360"/>
        <w:jc w:val="both"/>
      </w:pPr>
      <w:r w:rsidRPr="00774953">
        <w:rPr>
          <w:rStyle w:val="FootnoteReference"/>
        </w:rPr>
        <w:footnoteRef/>
      </w:r>
      <w:r w:rsidRPr="00774953">
        <w:t xml:space="preserve"> </w:t>
      </w:r>
      <w:r w:rsidR="00414F0F" w:rsidRPr="00774953">
        <w:tab/>
      </w:r>
      <w:r w:rsidRPr="00774953">
        <w:t>[2024] HKCFA 14</w:t>
      </w:r>
      <w:r w:rsidR="006E013C" w:rsidRPr="00774953">
        <w:t>.</w:t>
      </w:r>
    </w:p>
  </w:footnote>
  <w:footnote w:id="7">
    <w:p w:rsidR="00991BAA" w:rsidRPr="001A66F5" w:rsidRDefault="00991BAA" w:rsidP="008306D9">
      <w:pPr>
        <w:pStyle w:val="FootnoteText"/>
        <w:spacing w:after="0" w:line="240" w:lineRule="auto"/>
        <w:ind w:left="360" w:hanging="360"/>
        <w:jc w:val="both"/>
      </w:pPr>
      <w:r>
        <w:rPr>
          <w:rStyle w:val="FootnoteReference"/>
        </w:rPr>
        <w:footnoteRef/>
      </w:r>
      <w:r>
        <w:t xml:space="preserve"> </w:t>
      </w:r>
      <w:r w:rsidR="00414F0F">
        <w:tab/>
      </w:r>
      <w:r w:rsidR="00774953">
        <w:rPr>
          <w:i/>
        </w:rPr>
        <w:t xml:space="preserve">Ibid </w:t>
      </w:r>
      <w:r w:rsidR="00774953" w:rsidRPr="00774953">
        <w:t>at</w:t>
      </w:r>
      <w:r>
        <w:rPr>
          <w:i/>
        </w:rPr>
        <w:t xml:space="preserve"> </w:t>
      </w:r>
      <w:r>
        <w:t>[38].</w:t>
      </w:r>
    </w:p>
  </w:footnote>
  <w:footnote w:id="8">
    <w:p w:rsidR="0050094C" w:rsidRDefault="0050094C" w:rsidP="0050094C">
      <w:pPr>
        <w:pStyle w:val="FootnoteText"/>
        <w:ind w:left="360" w:hanging="360"/>
      </w:pPr>
      <w:r>
        <w:rPr>
          <w:rStyle w:val="FootnoteReference"/>
        </w:rPr>
        <w:footnoteRef/>
      </w:r>
      <w:r w:rsidR="00C0301A">
        <w:t xml:space="preserve"> </w:t>
      </w:r>
      <w:r w:rsidR="00C0301A">
        <w:tab/>
        <w:t>See footnote 5</w:t>
      </w:r>
      <w:r>
        <w:t xml:space="preserve"> above.</w:t>
      </w:r>
    </w:p>
  </w:footnote>
  <w:footnote w:id="9">
    <w:p w:rsidR="000C6A48" w:rsidRDefault="000C6A48" w:rsidP="000C6A48">
      <w:pPr>
        <w:pStyle w:val="FootnoteText"/>
        <w:ind w:left="360" w:hanging="360"/>
      </w:pPr>
      <w:r>
        <w:rPr>
          <w:rStyle w:val="FootnoteReference"/>
        </w:rPr>
        <w:footnoteRef/>
      </w:r>
      <w:r>
        <w:t xml:space="preserve"> </w:t>
      </w:r>
      <w:r>
        <w:tab/>
        <w:t>B1/7 at [12].</w:t>
      </w:r>
    </w:p>
  </w:footnote>
  <w:footnote w:id="10">
    <w:p w:rsidR="00DC0894" w:rsidRPr="00AD5722" w:rsidRDefault="00DC0894" w:rsidP="006219CC">
      <w:pPr>
        <w:pStyle w:val="FootnoteText"/>
        <w:tabs>
          <w:tab w:val="left" w:pos="360"/>
        </w:tabs>
        <w:spacing w:after="0" w:line="240" w:lineRule="auto"/>
      </w:pPr>
      <w:r>
        <w:rPr>
          <w:rStyle w:val="FootnoteReference"/>
        </w:rPr>
        <w:footnoteRef/>
      </w:r>
      <w:r>
        <w:t xml:space="preserve"> </w:t>
      </w:r>
      <w:r w:rsidR="006219CC">
        <w:tab/>
      </w:r>
      <w:r>
        <w:t>B3/413</w:t>
      </w:r>
      <w:r w:rsidR="009A4E21">
        <w:t>.</w:t>
      </w:r>
    </w:p>
  </w:footnote>
  <w:footnote w:id="11">
    <w:p w:rsidR="00991BAA" w:rsidRDefault="00991BAA" w:rsidP="006219CC">
      <w:pPr>
        <w:pStyle w:val="FootnoteText"/>
        <w:tabs>
          <w:tab w:val="left" w:pos="360"/>
        </w:tabs>
        <w:spacing w:after="0" w:line="240" w:lineRule="auto"/>
      </w:pPr>
      <w:r>
        <w:rPr>
          <w:rStyle w:val="FootnoteReference"/>
        </w:rPr>
        <w:footnoteRef/>
      </w:r>
      <w:r>
        <w:t xml:space="preserve"> </w:t>
      </w:r>
      <w:r w:rsidR="006219CC">
        <w:tab/>
      </w:r>
      <w:r w:rsidR="00AD5722">
        <w:t>B3</w:t>
      </w:r>
      <w:r w:rsidRPr="00F85BD5">
        <w:t>/411</w:t>
      </w:r>
      <w:r w:rsidR="009A4E21">
        <w:t>.</w:t>
      </w:r>
    </w:p>
  </w:footnote>
  <w:footnote w:id="12">
    <w:p w:rsidR="00991BAA" w:rsidRPr="005422BA" w:rsidRDefault="00991BAA" w:rsidP="006219CC">
      <w:pPr>
        <w:pStyle w:val="FootnoteText"/>
        <w:tabs>
          <w:tab w:val="left" w:pos="360"/>
        </w:tabs>
        <w:spacing w:after="0" w:line="240" w:lineRule="auto"/>
      </w:pPr>
      <w:r>
        <w:rPr>
          <w:rStyle w:val="FootnoteReference"/>
        </w:rPr>
        <w:footnoteRef/>
      </w:r>
      <w:r w:rsidR="009A4E21">
        <w:tab/>
      </w:r>
      <w:r w:rsidR="00AD5722">
        <w:t>B3</w:t>
      </w:r>
      <w:r>
        <w:t>/423-424</w:t>
      </w:r>
      <w:r w:rsidR="009A4E21">
        <w:t>.</w:t>
      </w:r>
    </w:p>
  </w:footnote>
  <w:footnote w:id="13">
    <w:p w:rsidR="00991BAA" w:rsidRDefault="00991BAA" w:rsidP="00D315C7">
      <w:pPr>
        <w:pStyle w:val="FootnoteText"/>
        <w:tabs>
          <w:tab w:val="left" w:pos="360"/>
        </w:tabs>
        <w:spacing w:after="0" w:line="240" w:lineRule="auto"/>
        <w:ind w:left="360" w:hanging="360"/>
      </w:pPr>
      <w:r>
        <w:rPr>
          <w:rStyle w:val="FootnoteReference"/>
        </w:rPr>
        <w:footnoteRef/>
      </w:r>
      <w:r>
        <w:t xml:space="preserve"> </w:t>
      </w:r>
      <w:r w:rsidR="006219CC">
        <w:tab/>
      </w:r>
      <w:r w:rsidR="00AD5722">
        <w:t>B3</w:t>
      </w:r>
      <w:r w:rsidRPr="00AC0932">
        <w:t>/411</w:t>
      </w:r>
      <w:r w:rsidR="00D315C7">
        <w:t>.</w:t>
      </w:r>
    </w:p>
  </w:footnote>
  <w:footnote w:id="14">
    <w:p w:rsidR="00991BAA" w:rsidRDefault="00991BAA" w:rsidP="00D315C7">
      <w:pPr>
        <w:pStyle w:val="FootnoteText"/>
        <w:tabs>
          <w:tab w:val="left" w:pos="360"/>
        </w:tabs>
        <w:spacing w:after="0" w:line="240" w:lineRule="auto"/>
      </w:pPr>
      <w:r>
        <w:rPr>
          <w:rStyle w:val="FootnoteReference"/>
        </w:rPr>
        <w:footnoteRef/>
      </w:r>
      <w:r>
        <w:t xml:space="preserve"> </w:t>
      </w:r>
      <w:r w:rsidR="009A4E21">
        <w:tab/>
      </w:r>
      <w:r w:rsidRPr="00AC0932">
        <w:t>B</w:t>
      </w:r>
      <w:r w:rsidR="00AD5722">
        <w:t>3</w:t>
      </w:r>
      <w:r w:rsidRPr="00AC0932">
        <w:t>/419</w:t>
      </w:r>
      <w:r w:rsidR="009A4E21">
        <w:t>.</w:t>
      </w:r>
    </w:p>
  </w:footnote>
  <w:footnote w:id="15">
    <w:p w:rsidR="00991BAA" w:rsidRDefault="00991BAA" w:rsidP="00D315C7">
      <w:pPr>
        <w:pStyle w:val="FootnoteText"/>
        <w:tabs>
          <w:tab w:val="left" w:pos="360"/>
        </w:tabs>
        <w:spacing w:after="0" w:line="240" w:lineRule="auto"/>
      </w:pPr>
      <w:r>
        <w:rPr>
          <w:rStyle w:val="FootnoteReference"/>
        </w:rPr>
        <w:footnoteRef/>
      </w:r>
      <w:r>
        <w:t xml:space="preserve"> </w:t>
      </w:r>
      <w:r w:rsidR="009A4E21">
        <w:tab/>
      </w:r>
      <w:r>
        <w:rPr>
          <w:rFonts w:eastAsia="Times New Roman"/>
          <w:lang w:val="en-US"/>
        </w:rPr>
        <w:t>B</w:t>
      </w:r>
      <w:r w:rsidR="00AD5722">
        <w:rPr>
          <w:rFonts w:eastAsia="Times New Roman"/>
          <w:lang w:val="en-US"/>
        </w:rPr>
        <w:t>3</w:t>
      </w:r>
      <w:r>
        <w:rPr>
          <w:rFonts w:eastAsia="Times New Roman"/>
          <w:lang w:val="en-US"/>
        </w:rPr>
        <w:t>/422</w:t>
      </w:r>
      <w:r w:rsidR="009A4E21">
        <w:rPr>
          <w:rFonts w:eastAsia="Times New Roman"/>
          <w:lang w:val="en-US"/>
        </w:rPr>
        <w:t>.</w:t>
      </w:r>
    </w:p>
  </w:footnote>
  <w:footnote w:id="16">
    <w:p w:rsidR="00991BAA" w:rsidRPr="009844AA" w:rsidRDefault="00991BAA" w:rsidP="00D315C7">
      <w:pPr>
        <w:pStyle w:val="FootnoteText"/>
        <w:spacing w:after="0" w:line="240" w:lineRule="auto"/>
        <w:ind w:left="360" w:hanging="360"/>
        <w:jc w:val="both"/>
      </w:pPr>
      <w:r>
        <w:rPr>
          <w:rStyle w:val="FootnoteReference"/>
        </w:rPr>
        <w:footnoteRef/>
      </w:r>
      <w:r>
        <w:t xml:space="preserve"> </w:t>
      </w:r>
      <w:r w:rsidR="009A4E21">
        <w:tab/>
      </w:r>
      <w:r>
        <w:t>[2014] 1 HKLRD 460</w:t>
      </w:r>
      <w:r w:rsidR="00D315C7">
        <w:t>.</w:t>
      </w:r>
    </w:p>
  </w:footnote>
  <w:footnote w:id="17">
    <w:p w:rsidR="00FF57EB" w:rsidRPr="00C0301A" w:rsidRDefault="00FF57EB" w:rsidP="00D315C7">
      <w:pPr>
        <w:pStyle w:val="FootnoteText"/>
        <w:spacing w:after="0" w:line="240" w:lineRule="auto"/>
        <w:ind w:left="360" w:hanging="360"/>
        <w:jc w:val="both"/>
        <w:rPr>
          <w:rFonts w:eastAsia="PMingLiU"/>
          <w:lang w:eastAsia="zh-TW"/>
        </w:rPr>
      </w:pPr>
      <w:r>
        <w:rPr>
          <w:rStyle w:val="FootnoteReference"/>
        </w:rPr>
        <w:footnoteRef/>
      </w:r>
      <w:r>
        <w:t xml:space="preserve"> </w:t>
      </w:r>
      <w:r w:rsidR="009A4E21">
        <w:tab/>
      </w:r>
      <w:r>
        <w:rPr>
          <w:i/>
        </w:rPr>
        <w:t xml:space="preserve">Ramsay v Watson </w:t>
      </w:r>
      <w:r>
        <w:rPr>
          <w:rFonts w:hint="eastAsia"/>
        </w:rPr>
        <w:t>(</w:t>
      </w:r>
      <w:r>
        <w:t xml:space="preserve">1961) 108 CLR 642; </w:t>
      </w:r>
      <w:r>
        <w:rPr>
          <w:i/>
        </w:rPr>
        <w:t xml:space="preserve">R v Ahmed Din </w:t>
      </w:r>
      <w:r>
        <w:rPr>
          <w:rFonts w:hint="eastAsia"/>
        </w:rPr>
        <w:t>(</w:t>
      </w:r>
      <w:r>
        <w:t xml:space="preserve">1962) 46 Cr App R 269; </w:t>
      </w:r>
      <w:r>
        <w:rPr>
          <w:i/>
        </w:rPr>
        <w:t xml:space="preserve">R v Bathurst </w:t>
      </w:r>
      <w:r>
        <w:rPr>
          <w:rFonts w:hint="eastAsia"/>
        </w:rPr>
        <w:t>(</w:t>
      </w:r>
      <w:r>
        <w:t xml:space="preserve">1968) 52 Cr App R 251; </w:t>
      </w:r>
      <w:r>
        <w:rPr>
          <w:i/>
        </w:rPr>
        <w:t>R v</w:t>
      </w:r>
      <w:r w:rsidR="000C6A48">
        <w:rPr>
          <w:i/>
        </w:rPr>
        <w:t xml:space="preserve"> Colin</w:t>
      </w:r>
      <w:r>
        <w:rPr>
          <w:i/>
        </w:rPr>
        <w:t xml:space="preserve"> Bradshaw </w:t>
      </w:r>
      <w:r>
        <w:rPr>
          <w:rFonts w:hint="eastAsia"/>
        </w:rPr>
        <w:t>(</w:t>
      </w:r>
      <w:r>
        <w:t>198</w:t>
      </w:r>
      <w:r w:rsidR="000C6A48">
        <w:t>6</w:t>
      </w:r>
      <w:r>
        <w:t>) 82 Cr App R 79</w:t>
      </w:r>
      <w:r w:rsidR="00A803C4">
        <w:t xml:space="preserve">; </w:t>
      </w:r>
      <w:r w:rsidR="00A803C4">
        <w:rPr>
          <w:i/>
        </w:rPr>
        <w:t xml:space="preserve">Gordon v R </w:t>
      </w:r>
      <w:r w:rsidR="00A803C4">
        <w:t xml:space="preserve">(1982) 41 ALR 64; </w:t>
      </w:r>
      <w:r w:rsidR="00A803C4">
        <w:rPr>
          <w:i/>
        </w:rPr>
        <w:t xml:space="preserve">Walton v </w:t>
      </w:r>
      <w:r w:rsidR="00774953">
        <w:rPr>
          <w:i/>
        </w:rPr>
        <w:t xml:space="preserve">The Queen </w:t>
      </w:r>
      <w:r w:rsidR="00A803C4">
        <w:t xml:space="preserve">(1989) 166 CLR 283; </w:t>
      </w:r>
      <w:r w:rsidR="00A803C4">
        <w:rPr>
          <w:i/>
        </w:rPr>
        <w:t xml:space="preserve">R v Hendrie </w:t>
      </w:r>
      <w:r w:rsidR="00A803C4">
        <w:t xml:space="preserve">(1985) 37 SASR 581; </w:t>
      </w:r>
      <w:r w:rsidR="00A803C4">
        <w:rPr>
          <w:i/>
        </w:rPr>
        <w:t xml:space="preserve">R v Pangallo </w:t>
      </w:r>
      <w:r w:rsidR="00A803C4">
        <w:t>(1989) 51 SASR 254</w:t>
      </w:r>
      <w:r w:rsidR="009A4E21">
        <w:t>.</w:t>
      </w:r>
    </w:p>
  </w:footnote>
  <w:footnote w:id="18">
    <w:p w:rsidR="00991BAA" w:rsidRPr="009844AA" w:rsidRDefault="00991BAA" w:rsidP="009A4E21">
      <w:pPr>
        <w:pStyle w:val="FootnoteText"/>
        <w:spacing w:after="0" w:line="240" w:lineRule="auto"/>
        <w:ind w:left="360" w:hanging="360"/>
        <w:jc w:val="both"/>
      </w:pPr>
      <w:r>
        <w:rPr>
          <w:rStyle w:val="FootnoteReference"/>
        </w:rPr>
        <w:footnoteRef/>
      </w:r>
      <w:r>
        <w:t xml:space="preserve"> </w:t>
      </w:r>
      <w:r w:rsidR="009A4E21">
        <w:tab/>
      </w:r>
      <w:r w:rsidR="00774953">
        <w:t xml:space="preserve">See </w:t>
      </w:r>
      <w:r w:rsidR="00C0301A">
        <w:t>CA Judgment at [119]</w:t>
      </w:r>
      <w:r>
        <w:t>.</w:t>
      </w:r>
    </w:p>
  </w:footnote>
  <w:footnote w:id="19">
    <w:p w:rsidR="00991BAA" w:rsidRPr="009844AA" w:rsidRDefault="00991BAA" w:rsidP="009A4E21">
      <w:pPr>
        <w:pStyle w:val="FootnoteText"/>
        <w:spacing w:after="0" w:line="240" w:lineRule="auto"/>
        <w:ind w:left="360" w:hanging="360"/>
        <w:jc w:val="both"/>
      </w:pPr>
      <w:r>
        <w:rPr>
          <w:rStyle w:val="FootnoteReference"/>
        </w:rPr>
        <w:footnoteRef/>
      </w:r>
      <w:r>
        <w:t xml:space="preserve"> </w:t>
      </w:r>
      <w:r w:rsidR="009A4E21">
        <w:tab/>
      </w:r>
      <w:r w:rsidR="00774953">
        <w:t>See CA J</w:t>
      </w:r>
      <w:r>
        <w:t>udgment at [1</w:t>
      </w:r>
      <w:r w:rsidR="004641F8">
        <w:t>24</w:t>
      </w:r>
      <w:r>
        <w:t>].</w:t>
      </w:r>
    </w:p>
  </w:footnote>
  <w:footnote w:id="20">
    <w:p w:rsidR="00991BAA" w:rsidRPr="009844AA" w:rsidRDefault="00991BAA" w:rsidP="009A4E21">
      <w:pPr>
        <w:pStyle w:val="FootnoteText"/>
        <w:spacing w:after="0" w:line="240" w:lineRule="auto"/>
        <w:ind w:left="360" w:hanging="360"/>
        <w:jc w:val="both"/>
      </w:pPr>
      <w:r>
        <w:rPr>
          <w:rStyle w:val="FootnoteReference"/>
        </w:rPr>
        <w:footnoteRef/>
      </w:r>
      <w:r>
        <w:t xml:space="preserve"> </w:t>
      </w:r>
      <w:r w:rsidR="009A4E21">
        <w:tab/>
      </w:r>
      <w:r w:rsidR="00774953">
        <w:t>See CA J</w:t>
      </w:r>
      <w:r>
        <w:t>udgment at [125].</w:t>
      </w:r>
    </w:p>
  </w:footnote>
  <w:footnote w:id="21">
    <w:p w:rsidR="00991BAA" w:rsidRPr="001E4278" w:rsidRDefault="00991BAA" w:rsidP="009A4E21">
      <w:pPr>
        <w:pStyle w:val="FootnoteText"/>
        <w:spacing w:after="0" w:line="240" w:lineRule="auto"/>
        <w:ind w:left="360" w:hanging="360"/>
        <w:jc w:val="both"/>
      </w:pPr>
      <w:r>
        <w:rPr>
          <w:rStyle w:val="FootnoteReference"/>
        </w:rPr>
        <w:footnoteRef/>
      </w:r>
      <w:r w:rsidR="009A4E21">
        <w:tab/>
      </w:r>
      <w:r>
        <w:t>[1988] 1 WLR 7</w:t>
      </w:r>
      <w:r w:rsidR="00F92396">
        <w:t>. The directions were taken from the judgment of Lord Lane</w:t>
      </w:r>
      <w:r w:rsidR="001E4278">
        <w:t xml:space="preserve"> CJ</w:t>
      </w:r>
      <w:r w:rsidR="00F92396">
        <w:t xml:space="preserve"> in </w:t>
      </w:r>
      <w:r w:rsidR="00F92396">
        <w:rPr>
          <w:i/>
          <w:iCs/>
        </w:rPr>
        <w:t>R v</w:t>
      </w:r>
      <w:r w:rsidR="00251F09">
        <w:rPr>
          <w:i/>
          <w:iCs/>
        </w:rPr>
        <w:t xml:space="preserve"> Findlay</w:t>
      </w:r>
      <w:r w:rsidR="00F92396">
        <w:rPr>
          <w:i/>
          <w:iCs/>
        </w:rPr>
        <w:t xml:space="preserve"> Duncan</w:t>
      </w:r>
      <w:r w:rsidR="001E4278">
        <w:rPr>
          <w:i/>
          <w:iCs/>
        </w:rPr>
        <w:t xml:space="preserve"> </w:t>
      </w:r>
      <w:r w:rsidR="001E4278">
        <w:t>(1981) 73 Cr App R 359.</w:t>
      </w:r>
      <w:r w:rsidR="00EE3F02">
        <w:t xml:space="preserve"> A mixed statement is a statement made by an accused </w:t>
      </w:r>
      <w:r w:rsidR="00BF784E">
        <w:t xml:space="preserve">which in part comprises admission and in part exculpatory or self-serving statement. </w:t>
      </w:r>
    </w:p>
  </w:footnote>
  <w:footnote w:id="22">
    <w:p w:rsidR="00991BAA" w:rsidRPr="009844AA" w:rsidRDefault="00991BAA" w:rsidP="009A4E21">
      <w:pPr>
        <w:pStyle w:val="FootnoteText"/>
        <w:spacing w:after="0" w:line="240" w:lineRule="auto"/>
        <w:ind w:left="360" w:hanging="360"/>
      </w:pPr>
      <w:r>
        <w:rPr>
          <w:rStyle w:val="FootnoteReference"/>
        </w:rPr>
        <w:footnoteRef/>
      </w:r>
      <w:r>
        <w:t xml:space="preserve"> </w:t>
      </w:r>
      <w:r w:rsidR="009A4E21">
        <w:tab/>
      </w:r>
      <w:r w:rsidR="00774953">
        <w:t>See CA J</w:t>
      </w:r>
      <w:r>
        <w:t>udgment at [126] to [132]</w:t>
      </w:r>
      <w:r w:rsidR="009A4E21">
        <w:t>.</w:t>
      </w:r>
    </w:p>
  </w:footnote>
  <w:footnote w:id="23">
    <w:p w:rsidR="00991BAA" w:rsidRPr="0095317C" w:rsidRDefault="00991BAA" w:rsidP="001076F3">
      <w:pPr>
        <w:pStyle w:val="FootnoteText"/>
        <w:spacing w:after="0" w:line="240" w:lineRule="auto"/>
        <w:ind w:left="360" w:hanging="360"/>
        <w:jc w:val="both"/>
      </w:pPr>
      <w:r>
        <w:rPr>
          <w:rStyle w:val="FootnoteReference"/>
        </w:rPr>
        <w:footnoteRef/>
      </w:r>
      <w:r>
        <w:t xml:space="preserve"> </w:t>
      </w:r>
      <w:r w:rsidR="001076F3">
        <w:tab/>
      </w:r>
      <w:r>
        <w:t xml:space="preserve">See </w:t>
      </w:r>
      <w:r>
        <w:rPr>
          <w:i/>
        </w:rPr>
        <w:t>Oei Hengky Wiryo v HKSAR (No2)</w:t>
      </w:r>
      <w:r w:rsidR="00251F09">
        <w:rPr>
          <w:i/>
        </w:rPr>
        <w:t xml:space="preserve"> </w:t>
      </w:r>
      <w:r>
        <w:t>(2007) 10 HKCFAR 98.</w:t>
      </w:r>
    </w:p>
  </w:footnote>
  <w:footnote w:id="24">
    <w:p w:rsidR="00450B09" w:rsidRPr="00F0187C" w:rsidRDefault="00450B09" w:rsidP="001076F3">
      <w:pPr>
        <w:pStyle w:val="FootnoteText"/>
        <w:spacing w:after="0" w:line="240" w:lineRule="auto"/>
        <w:ind w:left="360" w:hanging="360"/>
        <w:jc w:val="both"/>
      </w:pPr>
      <w:r>
        <w:rPr>
          <w:rStyle w:val="FootnoteReference"/>
        </w:rPr>
        <w:footnoteRef/>
      </w:r>
      <w:r>
        <w:t xml:space="preserve"> </w:t>
      </w:r>
      <w:r w:rsidR="001076F3">
        <w:tab/>
      </w:r>
      <w:r>
        <w:rPr>
          <w:rFonts w:hint="eastAsia"/>
        </w:rPr>
        <w:t>S</w:t>
      </w:r>
      <w:r>
        <w:t xml:space="preserve">ee </w:t>
      </w:r>
      <w:r>
        <w:rPr>
          <w:i/>
        </w:rPr>
        <w:t xml:space="preserve">HKSAR v Milne John </w:t>
      </w:r>
      <w:r>
        <w:t>(2022) 25 HKCFAR 257 at [32] to [37].</w:t>
      </w:r>
    </w:p>
  </w:footnote>
  <w:footnote w:id="25">
    <w:p w:rsidR="002D593D" w:rsidRPr="002D593D" w:rsidRDefault="002D593D" w:rsidP="0049743C">
      <w:pPr>
        <w:pStyle w:val="FootnoteText"/>
        <w:spacing w:after="0" w:line="240" w:lineRule="auto"/>
        <w:ind w:left="360" w:hanging="360"/>
      </w:pPr>
      <w:r>
        <w:rPr>
          <w:rStyle w:val="FootnoteReference"/>
        </w:rPr>
        <w:footnoteRef/>
      </w:r>
      <w:r>
        <w:t xml:space="preserve"> </w:t>
      </w:r>
      <w:r>
        <w:tab/>
      </w:r>
      <w:r w:rsidRPr="00CF785A">
        <w:rPr>
          <w:i/>
          <w:iCs/>
        </w:rPr>
        <w:t xml:space="preserve">R v Khan </w:t>
      </w:r>
      <w:r w:rsidRPr="00CF785A">
        <w:t>[1990] 2 SCR 531; see also the cases cited at footnote 4</w:t>
      </w:r>
      <w:r w:rsidR="00C0301A">
        <w:t>6</w:t>
      </w:r>
      <w:r w:rsidRPr="00CF785A">
        <w:t xml:space="preserve"> below</w:t>
      </w:r>
      <w:r>
        <w:t>.</w:t>
      </w:r>
    </w:p>
  </w:footnote>
  <w:footnote w:id="26">
    <w:p w:rsidR="00991BAA" w:rsidRPr="00B21E86" w:rsidRDefault="00991BAA" w:rsidP="0049743C">
      <w:pPr>
        <w:pStyle w:val="FootnoteText"/>
        <w:spacing w:after="0" w:line="240" w:lineRule="auto"/>
        <w:ind w:left="360" w:hanging="360"/>
        <w:jc w:val="both"/>
      </w:pPr>
      <w:r>
        <w:rPr>
          <w:rStyle w:val="FootnoteReference"/>
        </w:rPr>
        <w:footnoteRef/>
      </w:r>
      <w:r>
        <w:t xml:space="preserve"> </w:t>
      </w:r>
      <w:r w:rsidR="001076F3">
        <w:tab/>
      </w:r>
      <w:r>
        <w:t>See</w:t>
      </w:r>
      <w:r>
        <w:rPr>
          <w:i/>
        </w:rPr>
        <w:t xml:space="preserve"> Phillion v The Queen </w:t>
      </w:r>
      <w:r>
        <w:t>[1978] 1 SCR 18;</w:t>
      </w:r>
      <w:r>
        <w:rPr>
          <w:i/>
        </w:rPr>
        <w:t xml:space="preserve"> R v Abbey </w:t>
      </w:r>
      <w:r>
        <w:t xml:space="preserve">[1982] 2 SCR 24; </w:t>
      </w:r>
      <w:r>
        <w:rPr>
          <w:i/>
        </w:rPr>
        <w:t xml:space="preserve">R v Lavallee </w:t>
      </w:r>
      <w:r>
        <w:t xml:space="preserve">[1990] 1 SCR 852; </w:t>
      </w:r>
      <w:r w:rsidR="003D7D5C">
        <w:t xml:space="preserve">and </w:t>
      </w:r>
      <w:r>
        <w:rPr>
          <w:i/>
        </w:rPr>
        <w:t xml:space="preserve">R v Giesbrecht </w:t>
      </w:r>
      <w:r>
        <w:t>[1994] 2 SCR 482 upholding the decision of the Manitoba Court of Appeal in (1993) 85 Man R(2d) 69.</w:t>
      </w:r>
      <w:r w:rsidR="00F079E5">
        <w:t xml:space="preserve">  </w:t>
      </w:r>
    </w:p>
  </w:footnote>
  <w:footnote w:id="27">
    <w:p w:rsidR="00991BAA" w:rsidRDefault="00991BAA" w:rsidP="00A2374A">
      <w:pPr>
        <w:pStyle w:val="FootnoteText"/>
        <w:spacing w:after="0" w:line="240" w:lineRule="auto"/>
        <w:ind w:left="360" w:hanging="360"/>
      </w:pPr>
      <w:r>
        <w:rPr>
          <w:rStyle w:val="FootnoteReference"/>
        </w:rPr>
        <w:footnoteRef/>
      </w:r>
      <w:r>
        <w:t xml:space="preserve"> </w:t>
      </w:r>
      <w:r w:rsidR="00A2374A">
        <w:tab/>
      </w:r>
      <w:r w:rsidRPr="00A469F3">
        <w:rPr>
          <w:i/>
        </w:rPr>
        <w:t>Ramsay v Watson</w:t>
      </w:r>
      <w:r>
        <w:rPr>
          <w:rFonts w:hint="eastAsia"/>
        </w:rPr>
        <w:t xml:space="preserve"> (</w:t>
      </w:r>
      <w:r>
        <w:t xml:space="preserve">1961) 108 CLR 642 at </w:t>
      </w:r>
      <w:r w:rsidR="003D7D5C">
        <w:t>pp.</w:t>
      </w:r>
      <w:r>
        <w:t>648</w:t>
      </w:r>
      <w:r w:rsidR="003D7D5C">
        <w:t xml:space="preserve"> to 64</w:t>
      </w:r>
      <w:r>
        <w:t>9</w:t>
      </w:r>
      <w:r w:rsidR="001076F3">
        <w:t>.</w:t>
      </w:r>
      <w:r>
        <w:t xml:space="preserve"> </w:t>
      </w:r>
    </w:p>
  </w:footnote>
  <w:footnote w:id="28">
    <w:p w:rsidR="00991BAA" w:rsidRPr="00F43402" w:rsidRDefault="00991BAA" w:rsidP="00A2374A">
      <w:pPr>
        <w:pStyle w:val="FootnoteText"/>
        <w:spacing w:after="0" w:line="240" w:lineRule="auto"/>
        <w:ind w:left="360" w:hanging="360"/>
      </w:pPr>
      <w:r>
        <w:rPr>
          <w:rStyle w:val="FootnoteReference"/>
        </w:rPr>
        <w:footnoteRef/>
      </w:r>
      <w:r>
        <w:t xml:space="preserve"> </w:t>
      </w:r>
      <w:r w:rsidR="00A2374A">
        <w:tab/>
      </w:r>
      <w:r>
        <w:rPr>
          <w:i/>
        </w:rPr>
        <w:t xml:space="preserve">R v Bradshaw </w:t>
      </w:r>
      <w:r>
        <w:rPr>
          <w:rFonts w:hint="eastAsia"/>
        </w:rPr>
        <w:t>(</w:t>
      </w:r>
      <w:r>
        <w:t>1985) 82 Cr App R 79 at</w:t>
      </w:r>
      <w:r w:rsidR="003D7D5C">
        <w:t xml:space="preserve"> p.</w:t>
      </w:r>
      <w:r>
        <w:t>83</w:t>
      </w:r>
      <w:r w:rsidR="001076F3">
        <w:t>.</w:t>
      </w:r>
      <w:r>
        <w:t xml:space="preserve"> </w:t>
      </w:r>
      <w:r w:rsidR="00FC3A35">
        <w:t xml:space="preserve"> </w:t>
      </w:r>
    </w:p>
  </w:footnote>
  <w:footnote w:id="29">
    <w:p w:rsidR="00991BAA" w:rsidRPr="00991BAA" w:rsidRDefault="00991BAA" w:rsidP="00A2374A">
      <w:pPr>
        <w:pStyle w:val="FootnoteText"/>
        <w:spacing w:after="0" w:line="240" w:lineRule="auto"/>
        <w:ind w:left="360" w:hanging="360"/>
      </w:pPr>
      <w:r>
        <w:rPr>
          <w:rStyle w:val="FootnoteReference"/>
        </w:rPr>
        <w:footnoteRef/>
      </w:r>
      <w:r>
        <w:t xml:space="preserve"> </w:t>
      </w:r>
      <w:r w:rsidR="00A2374A">
        <w:tab/>
      </w:r>
      <w:r>
        <w:rPr>
          <w:i/>
        </w:rPr>
        <w:t xml:space="preserve">R v Lavallee </w:t>
      </w:r>
      <w:r>
        <w:t>[1990] 1 SCR 852 at p.900</w:t>
      </w:r>
      <w:r w:rsidR="00FC3A35">
        <w:t xml:space="preserve"> per Sopinka</w:t>
      </w:r>
      <w:r w:rsidR="004E6B41">
        <w:t xml:space="preserve"> J</w:t>
      </w:r>
      <w:r w:rsidR="001076F3">
        <w:t>.</w:t>
      </w:r>
    </w:p>
  </w:footnote>
  <w:footnote w:id="30">
    <w:p w:rsidR="001B768F" w:rsidRPr="001B768F" w:rsidRDefault="001B768F" w:rsidP="001C2428">
      <w:pPr>
        <w:pStyle w:val="FootnoteText"/>
        <w:spacing w:after="0" w:line="240" w:lineRule="auto"/>
        <w:ind w:left="360" w:hanging="360"/>
      </w:pPr>
      <w:r>
        <w:rPr>
          <w:rStyle w:val="FootnoteReference"/>
        </w:rPr>
        <w:footnoteRef/>
      </w:r>
      <w:r>
        <w:t xml:space="preserve"> </w:t>
      </w:r>
      <w:r w:rsidR="00A2374A">
        <w:tab/>
      </w:r>
      <w:r>
        <w:t>[2014] 1 HKLRD 460</w:t>
      </w:r>
      <w:r w:rsidR="00A94C48">
        <w:t xml:space="preserve">.  </w:t>
      </w:r>
    </w:p>
  </w:footnote>
  <w:footnote w:id="31">
    <w:p w:rsidR="00190D80" w:rsidRDefault="00190D80" w:rsidP="00190D80">
      <w:pPr>
        <w:pStyle w:val="FootnoteText"/>
        <w:spacing w:after="0" w:line="240" w:lineRule="auto"/>
        <w:ind w:left="360" w:hanging="360"/>
      </w:pPr>
      <w:r>
        <w:rPr>
          <w:rStyle w:val="FootnoteReference"/>
        </w:rPr>
        <w:footnoteRef/>
      </w:r>
      <w:r>
        <w:t xml:space="preserve"> </w:t>
      </w:r>
      <w:r>
        <w:tab/>
        <w:t xml:space="preserve">Hong Kong Judicial Institute’s Specimen Directions in Jury Trials (Vol 2, November 2020 Revision), Chapter 110 </w:t>
      </w:r>
      <w:r w:rsidRPr="003D7D5C">
        <w:t>(“Specimen Directions on Expert Evidence”).</w:t>
      </w:r>
    </w:p>
  </w:footnote>
  <w:footnote w:id="32">
    <w:p w:rsidR="00132864" w:rsidRPr="00132864" w:rsidRDefault="00132864" w:rsidP="003D7D5C">
      <w:pPr>
        <w:pStyle w:val="FootnoteText"/>
        <w:spacing w:after="0" w:line="240" w:lineRule="auto"/>
        <w:ind w:left="360" w:hanging="360"/>
      </w:pPr>
      <w:r>
        <w:rPr>
          <w:rStyle w:val="FootnoteReference"/>
        </w:rPr>
        <w:footnoteRef/>
      </w:r>
      <w:r>
        <w:t xml:space="preserve"> </w:t>
      </w:r>
      <w:r w:rsidR="00A2374A">
        <w:tab/>
      </w:r>
      <w:r w:rsidR="003D7D5C">
        <w:t xml:space="preserve">[2014] 1 HKLRD 460, </w:t>
      </w:r>
      <w:r>
        <w:t>at [142]</w:t>
      </w:r>
      <w:r w:rsidR="00271EFD">
        <w:t xml:space="preserve"> and [148]</w:t>
      </w:r>
      <w:r>
        <w:t>.</w:t>
      </w:r>
    </w:p>
  </w:footnote>
  <w:footnote w:id="33">
    <w:p w:rsidR="00132864" w:rsidRPr="00271EFD" w:rsidRDefault="00132864" w:rsidP="003D7D5C">
      <w:pPr>
        <w:pStyle w:val="FootnoteText"/>
        <w:spacing w:after="0" w:line="240" w:lineRule="auto"/>
        <w:ind w:left="360" w:hanging="360"/>
        <w:jc w:val="both"/>
      </w:pPr>
      <w:r>
        <w:rPr>
          <w:rStyle w:val="FootnoteReference"/>
        </w:rPr>
        <w:footnoteRef/>
      </w:r>
      <w:r>
        <w:t xml:space="preserve"> </w:t>
      </w:r>
      <w:r w:rsidR="00A2374A">
        <w:tab/>
      </w:r>
      <w:r w:rsidR="003D7D5C">
        <w:rPr>
          <w:i/>
        </w:rPr>
        <w:t>Ibid</w:t>
      </w:r>
      <w:r w:rsidR="00271EFD">
        <w:t>, at [144].</w:t>
      </w:r>
      <w:r w:rsidR="00A94C48">
        <w:t xml:space="preserve"> The defendant’s application for leave to appeal to this Court was unsuccessful, see </w:t>
      </w:r>
      <w:r w:rsidR="00A94C48">
        <w:rPr>
          <w:i/>
        </w:rPr>
        <w:t xml:space="preserve">HKSAR v Nancy Ann Kissel </w:t>
      </w:r>
      <w:r w:rsidR="00A94C48">
        <w:t>FAMC 63/2013</w:t>
      </w:r>
      <w:r w:rsidR="00C0301A">
        <w:t>,</w:t>
      </w:r>
      <w:r w:rsidR="00A94C48">
        <w:t xml:space="preserve"> 13 May 2014.</w:t>
      </w:r>
    </w:p>
  </w:footnote>
  <w:footnote w:id="34">
    <w:p w:rsidR="00DD101B" w:rsidRDefault="00DD101B" w:rsidP="003D7D5C">
      <w:pPr>
        <w:pStyle w:val="FootnoteText"/>
        <w:spacing w:after="0" w:line="240" w:lineRule="auto"/>
        <w:ind w:left="360" w:hanging="360"/>
      </w:pPr>
      <w:r>
        <w:rPr>
          <w:rStyle w:val="FootnoteReference"/>
        </w:rPr>
        <w:footnoteRef/>
      </w:r>
      <w:r>
        <w:t xml:space="preserve"> </w:t>
      </w:r>
      <w:r w:rsidR="00D51F88">
        <w:tab/>
      </w:r>
      <w:r>
        <w:rPr>
          <w:rFonts w:hint="eastAsia"/>
        </w:rPr>
        <w:t>S</w:t>
      </w:r>
      <w:r>
        <w:t xml:space="preserve">pecimen Directions </w:t>
      </w:r>
      <w:r w:rsidR="00C0301A">
        <w:t>on Expert Evidence</w:t>
      </w:r>
      <w:r>
        <w:t>,</w:t>
      </w:r>
      <w:r w:rsidR="00D51F88">
        <w:t xml:space="preserve"> in particular p.110-4.</w:t>
      </w:r>
    </w:p>
  </w:footnote>
  <w:footnote w:id="35">
    <w:p w:rsidR="00C760AD" w:rsidRPr="00C760AD" w:rsidRDefault="00C760AD" w:rsidP="003D7D5C">
      <w:pPr>
        <w:pStyle w:val="FootnoteText"/>
        <w:spacing w:after="0" w:line="240" w:lineRule="auto"/>
        <w:ind w:left="360" w:hanging="360"/>
      </w:pPr>
      <w:r>
        <w:rPr>
          <w:rStyle w:val="FootnoteReference"/>
        </w:rPr>
        <w:footnoteRef/>
      </w:r>
      <w:r>
        <w:t xml:space="preserve"> </w:t>
      </w:r>
      <w:r w:rsidR="00D51F88">
        <w:tab/>
      </w:r>
      <w:r w:rsidR="00DD101B">
        <w:t>CA Judgment at [91]</w:t>
      </w:r>
      <w:r w:rsidR="00D51F88">
        <w:t>.</w:t>
      </w:r>
    </w:p>
  </w:footnote>
  <w:footnote w:id="36">
    <w:p w:rsidR="00991BAA" w:rsidRPr="00C027FF" w:rsidRDefault="00991BAA" w:rsidP="003D7D5C">
      <w:pPr>
        <w:pStyle w:val="FootnoteText"/>
        <w:spacing w:after="0" w:line="240" w:lineRule="auto"/>
        <w:ind w:left="360" w:hanging="360"/>
      </w:pPr>
      <w:r>
        <w:rPr>
          <w:rStyle w:val="FootnoteReference"/>
        </w:rPr>
        <w:footnoteRef/>
      </w:r>
      <w:r w:rsidR="003D7D5C">
        <w:tab/>
      </w:r>
      <w:r>
        <w:t xml:space="preserve">Appearing together with Mr Tien for the </w:t>
      </w:r>
      <w:r w:rsidR="003D7D5C">
        <w:t>Appellant</w:t>
      </w:r>
      <w:r w:rsidR="00D51F88">
        <w:t>.</w:t>
      </w:r>
    </w:p>
  </w:footnote>
  <w:footnote w:id="37">
    <w:p w:rsidR="003D7D5C" w:rsidRDefault="003D7D5C" w:rsidP="003D7D5C">
      <w:pPr>
        <w:pStyle w:val="FootnoteText"/>
        <w:spacing w:after="0" w:line="240" w:lineRule="auto"/>
        <w:ind w:left="360" w:hanging="360"/>
      </w:pPr>
      <w:r>
        <w:rPr>
          <w:rStyle w:val="FootnoteReference"/>
        </w:rPr>
        <w:footnoteRef/>
      </w:r>
      <w:r>
        <w:t xml:space="preserve"> </w:t>
      </w:r>
      <w:r>
        <w:tab/>
      </w:r>
      <w:r>
        <w:rPr>
          <w:rFonts w:hint="eastAsia"/>
        </w:rPr>
        <w:t>A</w:t>
      </w:r>
      <w:r>
        <w:t xml:space="preserve"> principle laid down by the majority in </w:t>
      </w:r>
      <w:r>
        <w:rPr>
          <w:i/>
        </w:rPr>
        <w:t xml:space="preserve">Myers v Director of Public Prosecutions </w:t>
      </w:r>
      <w:r>
        <w:t xml:space="preserve">[1965] AC 1001 and followed by the House of Lords in </w:t>
      </w:r>
      <w:r>
        <w:rPr>
          <w:i/>
        </w:rPr>
        <w:t xml:space="preserve">R v Blastland </w:t>
      </w:r>
      <w:r>
        <w:t>[1986] 1 AC 41 at p</w:t>
      </w:r>
      <w:r w:rsidR="0032487E">
        <w:t xml:space="preserve">p.52 to </w:t>
      </w:r>
      <w:r>
        <w:t>5</w:t>
      </w:r>
      <w:r w:rsidR="0032487E">
        <w:t>3</w:t>
      </w:r>
      <w:r>
        <w:t>.</w:t>
      </w:r>
    </w:p>
  </w:footnote>
  <w:footnote w:id="38">
    <w:p w:rsidR="00145BBF" w:rsidRDefault="00145BBF" w:rsidP="00597770">
      <w:pPr>
        <w:pStyle w:val="FootnoteText"/>
        <w:spacing w:after="0" w:line="240" w:lineRule="auto"/>
        <w:ind w:left="360" w:hanging="360"/>
      </w:pPr>
      <w:r>
        <w:rPr>
          <w:rStyle w:val="FootnoteReference"/>
        </w:rPr>
        <w:footnoteRef/>
      </w:r>
      <w:r>
        <w:t xml:space="preserve"> </w:t>
      </w:r>
      <w:r w:rsidR="00D51F88">
        <w:tab/>
      </w:r>
      <w:r>
        <w:t>(2000) 3 HKCFAR 322 at p</w:t>
      </w:r>
      <w:r w:rsidR="0032487E">
        <w:t>p.327 to 32</w:t>
      </w:r>
      <w:r>
        <w:t>8</w:t>
      </w:r>
      <w:r w:rsidR="00D51F88">
        <w:t>.</w:t>
      </w:r>
    </w:p>
  </w:footnote>
  <w:footnote w:id="39">
    <w:p w:rsidR="00145BBF" w:rsidRDefault="00145BBF" w:rsidP="00597770">
      <w:pPr>
        <w:pStyle w:val="FootnoteText"/>
        <w:spacing w:after="0" w:line="240" w:lineRule="auto"/>
        <w:ind w:left="360" w:hanging="360"/>
      </w:pPr>
      <w:r>
        <w:rPr>
          <w:rStyle w:val="FootnoteReference"/>
        </w:rPr>
        <w:footnoteRef/>
      </w:r>
      <w:r>
        <w:t xml:space="preserve"> </w:t>
      </w:r>
      <w:r w:rsidR="00D51F88">
        <w:tab/>
      </w:r>
      <w:r>
        <w:t>(2016) 19 HKCFAR 187 at [11]</w:t>
      </w:r>
      <w:r w:rsidR="00D51F88">
        <w:t>.</w:t>
      </w:r>
    </w:p>
  </w:footnote>
  <w:footnote w:id="40">
    <w:p w:rsidR="00AE2CA6" w:rsidRDefault="00AE2CA6" w:rsidP="00597770">
      <w:pPr>
        <w:pStyle w:val="FootnoteText"/>
        <w:spacing w:after="0" w:line="240" w:lineRule="auto"/>
        <w:ind w:left="360" w:hanging="360"/>
        <w:jc w:val="both"/>
      </w:pPr>
      <w:r>
        <w:rPr>
          <w:rStyle w:val="FootnoteReference"/>
        </w:rPr>
        <w:footnoteRef/>
      </w:r>
      <w:r>
        <w:t xml:space="preserve"> </w:t>
      </w:r>
      <w:r w:rsidR="00D51F88">
        <w:tab/>
      </w:r>
      <w:r>
        <w:rPr>
          <w:rFonts w:hint="eastAsia"/>
        </w:rPr>
        <w:t>N</w:t>
      </w:r>
      <w:r>
        <w:t>otwithstanding the lapse of the Evidence (Amendment) Bill 2018 in the Sixth Term of the Legislative Council, the Government is committed to taking forward the legislative exercise with the aim of re-introducing an amendment bill afresh in the current term of the Legislative Council.</w:t>
      </w:r>
      <w:r w:rsidR="00873B2E">
        <w:t xml:space="preserve"> The proposed amendments in Sections 55O and 55P of the Evidence (Amendment) Bill 2018 set out the requirements of necessity and threshold reliability for admission of hearsay evidence in criminal proceedings.</w:t>
      </w:r>
    </w:p>
  </w:footnote>
  <w:footnote w:id="41">
    <w:p w:rsidR="00991BAA" w:rsidRDefault="00991BAA" w:rsidP="00597770">
      <w:pPr>
        <w:pStyle w:val="FootnoteText"/>
        <w:spacing w:after="0" w:line="240" w:lineRule="auto"/>
        <w:ind w:left="360" w:hanging="360"/>
        <w:jc w:val="both"/>
      </w:pPr>
      <w:r>
        <w:rPr>
          <w:rStyle w:val="FootnoteReference"/>
        </w:rPr>
        <w:footnoteRef/>
      </w:r>
      <w:r>
        <w:t xml:space="preserve"> </w:t>
      </w:r>
      <w:r w:rsidR="00D51F88">
        <w:tab/>
      </w:r>
      <w:r>
        <w:rPr>
          <w:rFonts w:hint="eastAsia"/>
        </w:rPr>
        <w:t>(</w:t>
      </w:r>
      <w:r>
        <w:t>1989) 166 CLR 283</w:t>
      </w:r>
      <w:r w:rsidR="00D51F88">
        <w:t>.</w:t>
      </w:r>
    </w:p>
  </w:footnote>
  <w:footnote w:id="42">
    <w:p w:rsidR="00991BAA" w:rsidRPr="000F3459" w:rsidRDefault="00991BAA" w:rsidP="008306D9">
      <w:pPr>
        <w:pStyle w:val="FootnoteText"/>
        <w:spacing w:after="0" w:line="240" w:lineRule="auto"/>
        <w:ind w:left="360" w:hanging="360"/>
        <w:jc w:val="both"/>
      </w:pPr>
      <w:r>
        <w:rPr>
          <w:rStyle w:val="FootnoteReference"/>
        </w:rPr>
        <w:footnoteRef/>
      </w:r>
      <w:r w:rsidR="00D51F88">
        <w:tab/>
      </w:r>
      <w:r w:rsidR="0032487E">
        <w:rPr>
          <w:i/>
        </w:rPr>
        <w:t>Ibid</w:t>
      </w:r>
      <w:r>
        <w:rPr>
          <w:i/>
        </w:rPr>
        <w:t xml:space="preserve"> </w:t>
      </w:r>
      <w:r>
        <w:t xml:space="preserve">at p.293. It should be noted that in this part of the discussion, Mason CJ was not addressing the state of mind exception which was referred to in the earlier part of his judgment. See the discussion by the CA at CA Judgment [94] to [101]. As held therein, the state of mind exception is not relevant in the present appeal.   </w:t>
      </w:r>
    </w:p>
  </w:footnote>
  <w:footnote w:id="43">
    <w:p w:rsidR="00574E0B" w:rsidRPr="00574E0B" w:rsidRDefault="00574E0B" w:rsidP="001C2428">
      <w:pPr>
        <w:pStyle w:val="FootnoteText"/>
        <w:spacing w:after="0" w:line="240" w:lineRule="auto"/>
        <w:ind w:left="360" w:hanging="360"/>
      </w:pPr>
      <w:r>
        <w:rPr>
          <w:rStyle w:val="FootnoteReference"/>
        </w:rPr>
        <w:footnoteRef/>
      </w:r>
      <w:r>
        <w:t xml:space="preserve"> </w:t>
      </w:r>
      <w:r w:rsidR="00D51F88">
        <w:tab/>
      </w:r>
      <w:r>
        <w:t xml:space="preserve">See CA Judgment at [131]. His Lordship cited the judgment of Mason CJ at [102]. </w:t>
      </w:r>
    </w:p>
  </w:footnote>
  <w:footnote w:id="44">
    <w:p w:rsidR="00991BAA" w:rsidRPr="00EA7239" w:rsidRDefault="00991BAA" w:rsidP="001C2428">
      <w:pPr>
        <w:pStyle w:val="FootnoteText"/>
        <w:spacing w:after="0" w:line="240" w:lineRule="auto"/>
        <w:ind w:left="360" w:hanging="360"/>
        <w:jc w:val="both"/>
      </w:pPr>
      <w:r>
        <w:rPr>
          <w:rStyle w:val="FootnoteReference"/>
        </w:rPr>
        <w:footnoteRef/>
      </w:r>
      <w:r>
        <w:t xml:space="preserve"> </w:t>
      </w:r>
      <w:r w:rsidR="00D51F88">
        <w:tab/>
      </w:r>
      <w:r>
        <w:rPr>
          <w:rFonts w:hint="eastAsia"/>
          <w:i/>
        </w:rPr>
        <w:t>S</w:t>
      </w:r>
      <w:r>
        <w:rPr>
          <w:i/>
        </w:rPr>
        <w:t xml:space="preserve">upra </w:t>
      </w:r>
      <w:r>
        <w:t xml:space="preserve">at p.304 per </w:t>
      </w:r>
      <w:r w:rsidRPr="00543D9A">
        <w:t>Wilson, Dawson and Toohey JJ</w:t>
      </w:r>
      <w:r>
        <w:t>. The fifth member, Dean</w:t>
      </w:r>
      <w:r w:rsidR="00B7300D">
        <w:t>e</w:t>
      </w:r>
      <w:r>
        <w:t xml:space="preserve"> J was disposed to accept that the hearsay rule should be applied with flexibility though he</w:t>
      </w:r>
      <w:r>
        <w:rPr>
          <w:i/>
        </w:rPr>
        <w:t xml:space="preserve"> </w:t>
      </w:r>
      <w:r>
        <w:t>confined his observation to the facts of the case, see p.308.</w:t>
      </w:r>
      <w:r w:rsidR="00EA7239">
        <w:t xml:space="preserve"> </w:t>
      </w:r>
    </w:p>
  </w:footnote>
  <w:footnote w:id="45">
    <w:p w:rsidR="00EF3B80" w:rsidRPr="00EF3B80" w:rsidRDefault="00EF3B80" w:rsidP="00D51F88">
      <w:pPr>
        <w:pStyle w:val="FootnoteText"/>
        <w:spacing w:after="0" w:line="240" w:lineRule="auto"/>
        <w:ind w:left="360" w:hanging="360"/>
        <w:jc w:val="both"/>
      </w:pPr>
      <w:r>
        <w:rPr>
          <w:rStyle w:val="FootnoteReference"/>
        </w:rPr>
        <w:footnoteRef/>
      </w:r>
      <w:r>
        <w:t xml:space="preserve"> </w:t>
      </w:r>
      <w:r w:rsidR="00D51F88">
        <w:tab/>
      </w:r>
      <w:r w:rsidRPr="00A62F6B">
        <w:rPr>
          <w:i/>
        </w:rPr>
        <w:t xml:space="preserve">R v Smith </w:t>
      </w:r>
      <w:r>
        <w:t xml:space="preserve">[1989] 3 NZLR 405; </w:t>
      </w:r>
      <w:r w:rsidRPr="00A62F6B">
        <w:rPr>
          <w:i/>
        </w:rPr>
        <w:t xml:space="preserve">R v Rongonui </w:t>
      </w:r>
      <w:r>
        <w:t>[2000] 2 NZLR 385</w:t>
      </w:r>
      <w:r w:rsidR="001C2428">
        <w:t>.</w:t>
      </w:r>
    </w:p>
  </w:footnote>
  <w:footnote w:id="46">
    <w:p w:rsidR="00EF3B80" w:rsidRPr="00876B70" w:rsidRDefault="00EF3B80" w:rsidP="00D51F88">
      <w:pPr>
        <w:pStyle w:val="FootnoteText"/>
        <w:spacing w:after="0" w:line="240" w:lineRule="auto"/>
        <w:ind w:left="360" w:hanging="360"/>
        <w:jc w:val="both"/>
      </w:pPr>
      <w:r>
        <w:rPr>
          <w:rStyle w:val="FootnoteReference"/>
        </w:rPr>
        <w:footnoteRef/>
      </w:r>
      <w:r>
        <w:t xml:space="preserve"> </w:t>
      </w:r>
      <w:r w:rsidR="00D51F88">
        <w:tab/>
      </w:r>
      <w:r>
        <w:rPr>
          <w:i/>
        </w:rPr>
        <w:t>R v Khan</w:t>
      </w:r>
      <w:r>
        <w:t xml:space="preserve"> </w:t>
      </w:r>
      <w:bookmarkStart w:id="1" w:name="_Hlk183263040"/>
      <w:r>
        <w:t>[1990] 2 SCR 531</w:t>
      </w:r>
      <w:bookmarkEnd w:id="1"/>
      <w:r>
        <w:t xml:space="preserve">; </w:t>
      </w:r>
      <w:r w:rsidR="00FC3F46">
        <w:rPr>
          <w:i/>
        </w:rPr>
        <w:t xml:space="preserve">R v Finta </w:t>
      </w:r>
      <w:r w:rsidR="00FC3F46">
        <w:t xml:space="preserve">[1994] 1 SCR 701; </w:t>
      </w:r>
      <w:r w:rsidR="00FC3F46">
        <w:rPr>
          <w:i/>
        </w:rPr>
        <w:t xml:space="preserve">R v Starr </w:t>
      </w:r>
      <w:r w:rsidR="00876B70">
        <w:t>[2000] 2 SCR 144.</w:t>
      </w:r>
    </w:p>
  </w:footnote>
  <w:footnote w:id="47">
    <w:p w:rsidR="0018224F" w:rsidRDefault="0018224F" w:rsidP="008306D9">
      <w:pPr>
        <w:pStyle w:val="FootnoteText"/>
        <w:spacing w:after="0" w:line="240" w:lineRule="auto"/>
        <w:ind w:left="360" w:hanging="360"/>
      </w:pPr>
      <w:r>
        <w:rPr>
          <w:rStyle w:val="FootnoteReference"/>
        </w:rPr>
        <w:footnoteRef/>
      </w:r>
      <w:r w:rsidR="0041412D">
        <w:tab/>
      </w:r>
      <w:r>
        <w:rPr>
          <w:rFonts w:hint="eastAsia"/>
        </w:rPr>
        <w:t>[</w:t>
      </w:r>
      <w:r>
        <w:t>1988] 1 WLR 7</w:t>
      </w:r>
      <w:r w:rsidR="0041412D">
        <w:t>.</w:t>
      </w:r>
    </w:p>
  </w:footnote>
  <w:footnote w:id="48">
    <w:p w:rsidR="006E59DE" w:rsidRPr="006E59DE" w:rsidRDefault="006E59DE" w:rsidP="008306D9">
      <w:pPr>
        <w:pStyle w:val="FootnoteText"/>
        <w:spacing w:after="0" w:line="240" w:lineRule="auto"/>
        <w:ind w:left="360" w:hanging="360"/>
      </w:pPr>
      <w:r>
        <w:rPr>
          <w:rStyle w:val="FootnoteReference"/>
        </w:rPr>
        <w:footnoteRef/>
      </w:r>
      <w:r w:rsidR="0041412D">
        <w:tab/>
      </w:r>
      <w:r>
        <w:t xml:space="preserve">(1979) 69 Cr App R 365. See also </w:t>
      </w:r>
      <w:r>
        <w:rPr>
          <w:i/>
        </w:rPr>
        <w:t xml:space="preserve">Blackstone’s Criminal Practice 2024 </w:t>
      </w:r>
      <w:r w:rsidR="00B7300D" w:rsidRPr="00B7300D">
        <w:t>at</w:t>
      </w:r>
      <w:r w:rsidRPr="00B7300D">
        <w:t xml:space="preserve"> </w:t>
      </w:r>
      <w:r w:rsidR="00B7300D" w:rsidRPr="00B7300D">
        <w:t>[</w:t>
      </w:r>
      <w:r>
        <w:t>F18.93</w:t>
      </w:r>
      <w:r w:rsidR="00B7300D">
        <w:t>]</w:t>
      </w:r>
      <w:r w:rsidR="0041412D">
        <w:t>.</w:t>
      </w:r>
    </w:p>
  </w:footnote>
  <w:footnote w:id="49">
    <w:p w:rsidR="00DA5D74" w:rsidRPr="00DA5D74" w:rsidRDefault="00DA5D74" w:rsidP="008306D9">
      <w:pPr>
        <w:pStyle w:val="FootnoteText"/>
        <w:spacing w:after="0" w:line="240" w:lineRule="auto"/>
        <w:ind w:left="360" w:hanging="360"/>
      </w:pPr>
      <w:r>
        <w:rPr>
          <w:rStyle w:val="FootnoteReference"/>
        </w:rPr>
        <w:footnoteRef/>
      </w:r>
      <w:r w:rsidR="008306D9">
        <w:tab/>
      </w:r>
      <w:r>
        <w:t xml:space="preserve">[2001] 1 HKC 363 at </w:t>
      </w:r>
      <w:r w:rsidR="00B7300D">
        <w:t>p.</w:t>
      </w:r>
      <w:r>
        <w:t xml:space="preserve">369. </w:t>
      </w:r>
    </w:p>
  </w:footnote>
  <w:footnote w:id="50">
    <w:p w:rsidR="00A73B9F" w:rsidRPr="009012B0" w:rsidRDefault="00A73B9F" w:rsidP="008306D9">
      <w:pPr>
        <w:pStyle w:val="FootnoteText"/>
        <w:spacing w:after="0" w:line="240" w:lineRule="auto"/>
        <w:ind w:left="360" w:hanging="360"/>
      </w:pPr>
      <w:r>
        <w:rPr>
          <w:rStyle w:val="FootnoteReference"/>
        </w:rPr>
        <w:footnoteRef/>
      </w:r>
      <w:r w:rsidR="0041412D">
        <w:tab/>
      </w:r>
      <w:r>
        <w:rPr>
          <w:rFonts w:hint="eastAsia"/>
        </w:rPr>
        <w:t>T</w:t>
      </w:r>
      <w:r>
        <w:t xml:space="preserve">he approach was laid down by Lord Lane CJ in </w:t>
      </w:r>
      <w:r w:rsidR="009012B0">
        <w:rPr>
          <w:i/>
        </w:rPr>
        <w:t xml:space="preserve">R v Duncan </w:t>
      </w:r>
      <w:r w:rsidR="009012B0">
        <w:t>(1981) 73 Cr App R 359</w:t>
      </w:r>
      <w:r w:rsidR="0041412D">
        <w:t>.</w:t>
      </w:r>
    </w:p>
  </w:footnote>
  <w:footnote w:id="51">
    <w:p w:rsidR="0018224F" w:rsidRPr="0018224F" w:rsidRDefault="0018224F" w:rsidP="0041412D">
      <w:pPr>
        <w:pStyle w:val="FootnoteText"/>
        <w:spacing w:after="0" w:line="240" w:lineRule="auto"/>
        <w:ind w:left="360" w:hanging="360"/>
      </w:pPr>
      <w:r>
        <w:rPr>
          <w:rStyle w:val="FootnoteReference"/>
        </w:rPr>
        <w:footnoteRef/>
      </w:r>
      <w:r>
        <w:t xml:space="preserve"> </w:t>
      </w:r>
      <w:r w:rsidR="0041412D">
        <w:tab/>
      </w:r>
      <w:r w:rsidR="00334191">
        <w:rPr>
          <w:rFonts w:hint="eastAsia"/>
        </w:rPr>
        <w:t>[</w:t>
      </w:r>
      <w:r w:rsidR="00334191">
        <w:t xml:space="preserve">1988] 1 WLR 7 </w:t>
      </w:r>
      <w:r>
        <w:t>at p.15D to F</w:t>
      </w:r>
      <w:r w:rsidR="0041412D">
        <w:t>.</w:t>
      </w:r>
    </w:p>
  </w:footnote>
  <w:footnote w:id="52">
    <w:p w:rsidR="00451A8C" w:rsidRPr="00451A8C" w:rsidRDefault="00451A8C" w:rsidP="0041412D">
      <w:pPr>
        <w:pStyle w:val="FootnoteText"/>
        <w:spacing w:after="0" w:line="240" w:lineRule="auto"/>
        <w:ind w:left="360" w:hanging="360"/>
      </w:pPr>
      <w:r>
        <w:rPr>
          <w:rStyle w:val="FootnoteReference"/>
        </w:rPr>
        <w:footnoteRef/>
      </w:r>
      <w:r>
        <w:t xml:space="preserve"> </w:t>
      </w:r>
      <w:r w:rsidR="0041412D">
        <w:tab/>
      </w:r>
      <w:r w:rsidR="002F3040">
        <w:t xml:space="preserve">[1975] QB 834 at </w:t>
      </w:r>
      <w:r>
        <w:t>p.8</w:t>
      </w:r>
      <w:r w:rsidR="002F3040">
        <w:t>40E to F</w:t>
      </w:r>
      <w:r w:rsidR="0041412D">
        <w:t>.</w:t>
      </w:r>
    </w:p>
  </w:footnote>
  <w:footnote w:id="53">
    <w:p w:rsidR="003251BD" w:rsidRPr="00451A8C" w:rsidRDefault="003251BD" w:rsidP="0041412D">
      <w:pPr>
        <w:pStyle w:val="FootnoteText"/>
        <w:spacing w:after="0" w:line="240" w:lineRule="auto"/>
        <w:ind w:left="360" w:hanging="360"/>
      </w:pPr>
      <w:r>
        <w:rPr>
          <w:rStyle w:val="FootnoteReference"/>
        </w:rPr>
        <w:footnoteRef/>
      </w:r>
      <w:r>
        <w:t xml:space="preserve"> </w:t>
      </w:r>
      <w:r w:rsidR="0041412D">
        <w:tab/>
      </w:r>
      <w:r>
        <w:t xml:space="preserve">BC8111151 </w:t>
      </w:r>
      <w:r w:rsidR="00AC6082">
        <w:t xml:space="preserve">New South Wales Criminal Court of Appeal </w:t>
      </w:r>
      <w:r>
        <w:t>(unreported</w:t>
      </w:r>
      <w:r w:rsidR="002F3040">
        <w:t>, No 44 of 1981)</w:t>
      </w:r>
      <w:r>
        <w:t xml:space="preserve"> 13 Aug</w:t>
      </w:r>
      <w:r w:rsidR="002F3040">
        <w:t>ust</w:t>
      </w:r>
      <w:r>
        <w:t xml:space="preserve"> 1981.</w:t>
      </w:r>
    </w:p>
  </w:footnote>
  <w:footnote w:id="54">
    <w:p w:rsidR="000B4819" w:rsidRPr="000B4819" w:rsidRDefault="000B4819" w:rsidP="0041412D">
      <w:pPr>
        <w:pStyle w:val="FootnoteText"/>
        <w:spacing w:after="0" w:line="240" w:lineRule="auto"/>
        <w:ind w:left="360" w:hanging="360"/>
      </w:pPr>
      <w:r>
        <w:rPr>
          <w:rStyle w:val="FootnoteReference"/>
        </w:rPr>
        <w:footnoteRef/>
      </w:r>
      <w:r>
        <w:t xml:space="preserve"> </w:t>
      </w:r>
      <w:r w:rsidR="0041412D">
        <w:tab/>
      </w:r>
      <w:r>
        <w:t>See [</w:t>
      </w:r>
      <w:r w:rsidR="002F3040">
        <w:t>4</w:t>
      </w:r>
      <w:r>
        <w:t>] above.</w:t>
      </w:r>
    </w:p>
  </w:footnote>
  <w:footnote w:id="55">
    <w:p w:rsidR="00F95A07" w:rsidRDefault="00F95A07" w:rsidP="0041412D">
      <w:pPr>
        <w:pStyle w:val="FootnoteText"/>
        <w:ind w:left="360" w:hanging="360"/>
      </w:pPr>
      <w:r>
        <w:rPr>
          <w:rStyle w:val="FootnoteReference"/>
        </w:rPr>
        <w:footnoteRef/>
      </w:r>
      <w:r>
        <w:t xml:space="preserve"> </w:t>
      </w:r>
      <w:r w:rsidR="0041412D">
        <w:tab/>
      </w:r>
      <w:r>
        <w:t>Mr Chau quite properly accepted that the present case does not fall within this scenario.</w:t>
      </w:r>
    </w:p>
  </w:footnote>
  <w:footnote w:id="56">
    <w:p w:rsidR="00F179BD" w:rsidRPr="00DA600F" w:rsidRDefault="00F179BD" w:rsidP="00D279A8">
      <w:pPr>
        <w:pStyle w:val="FootnoteText"/>
        <w:spacing w:after="0" w:line="240" w:lineRule="auto"/>
        <w:ind w:left="360" w:hanging="360"/>
      </w:pPr>
      <w:r>
        <w:rPr>
          <w:rStyle w:val="FootnoteReference"/>
        </w:rPr>
        <w:footnoteRef/>
      </w:r>
      <w:r>
        <w:t xml:space="preserve"> </w:t>
      </w:r>
      <w:r w:rsidR="00FE28BB">
        <w:tab/>
      </w:r>
      <w:r w:rsidR="00D279A8">
        <w:t>New South Wales Criminal Court of Appeal see footnote 5</w:t>
      </w:r>
      <w:r w:rsidR="00C0301A">
        <w:t>3</w:t>
      </w:r>
      <w:r w:rsidR="00D279A8">
        <w:t xml:space="preserve"> above. </w:t>
      </w:r>
    </w:p>
  </w:footnote>
  <w:footnote w:id="57">
    <w:p w:rsidR="00F179BD" w:rsidRDefault="00F179BD" w:rsidP="00F6462F">
      <w:pPr>
        <w:pStyle w:val="FootnoteText"/>
        <w:spacing w:after="0" w:line="240" w:lineRule="auto"/>
        <w:ind w:left="360" w:hanging="360"/>
        <w:jc w:val="both"/>
      </w:pPr>
      <w:r>
        <w:rPr>
          <w:rStyle w:val="FootnoteReference"/>
        </w:rPr>
        <w:footnoteRef/>
      </w:r>
      <w:r>
        <w:t xml:space="preserve"> </w:t>
      </w:r>
      <w:r w:rsidR="00FE28BB">
        <w:tab/>
      </w:r>
      <w:r>
        <w:t>The unreported judgment of the New South Wales Criminal Court of Appeal of 13 Aug</w:t>
      </w:r>
      <w:r w:rsidR="002F3040">
        <w:t>ust</w:t>
      </w:r>
      <w:r>
        <w:t xml:space="preserve"> 1981 was included in the authorities placed before us.</w:t>
      </w:r>
    </w:p>
  </w:footnote>
  <w:footnote w:id="58">
    <w:p w:rsidR="00D279A8" w:rsidRDefault="00D279A8" w:rsidP="00D279A8">
      <w:pPr>
        <w:pStyle w:val="FootnoteText"/>
        <w:spacing w:after="0" w:line="240" w:lineRule="auto"/>
        <w:ind w:left="360" w:hanging="360"/>
      </w:pPr>
      <w:r>
        <w:rPr>
          <w:rStyle w:val="FootnoteReference"/>
        </w:rPr>
        <w:footnoteRef/>
      </w:r>
      <w:r>
        <w:t xml:space="preserve"> </w:t>
      </w:r>
      <w:r>
        <w:tab/>
        <w:t>(1982) 41 ALR 64.</w:t>
      </w:r>
    </w:p>
  </w:footnote>
  <w:footnote w:id="59">
    <w:p w:rsidR="00F179BD" w:rsidRDefault="00F179BD" w:rsidP="00D279A8">
      <w:pPr>
        <w:pStyle w:val="FootnoteText"/>
        <w:spacing w:after="0" w:line="240" w:lineRule="auto"/>
        <w:ind w:left="360" w:hanging="360"/>
      </w:pPr>
      <w:r>
        <w:rPr>
          <w:rStyle w:val="FootnoteReference"/>
        </w:rPr>
        <w:footnoteRef/>
      </w:r>
      <w:r>
        <w:t xml:space="preserve"> </w:t>
      </w:r>
      <w:r w:rsidR="00FE28BB">
        <w:tab/>
        <w:t>(1989) 166 CLR 283.</w:t>
      </w:r>
    </w:p>
  </w:footnote>
  <w:footnote w:id="60">
    <w:p w:rsidR="00F179BD" w:rsidRPr="00BA11C6" w:rsidRDefault="00F179BD" w:rsidP="00D279A8">
      <w:pPr>
        <w:pStyle w:val="FootnoteText"/>
        <w:spacing w:after="0" w:line="240" w:lineRule="auto"/>
        <w:ind w:left="360" w:hanging="360"/>
      </w:pPr>
      <w:r>
        <w:rPr>
          <w:rStyle w:val="FootnoteReference"/>
        </w:rPr>
        <w:footnoteRef/>
      </w:r>
      <w:r>
        <w:t xml:space="preserve"> </w:t>
      </w:r>
      <w:r w:rsidR="00FE28BB">
        <w:tab/>
      </w:r>
      <w:r w:rsidR="000D2FA3" w:rsidRPr="000D2FA3">
        <w:rPr>
          <w:i/>
        </w:rPr>
        <w:t>Ibid</w:t>
      </w:r>
      <w:r w:rsidR="000D2FA3">
        <w:t xml:space="preserve"> </w:t>
      </w:r>
      <w:r>
        <w:t xml:space="preserve">at p.288. See also </w:t>
      </w:r>
      <w:r>
        <w:rPr>
          <w:i/>
        </w:rPr>
        <w:t xml:space="preserve">R v Blastland </w:t>
      </w:r>
      <w:r>
        <w:t>[1986] 1 AC 41 at p.54C to E.</w:t>
      </w:r>
    </w:p>
  </w:footnote>
  <w:footnote w:id="61">
    <w:p w:rsidR="00F179BD" w:rsidRPr="00751F2E" w:rsidRDefault="00F179BD" w:rsidP="008306D9">
      <w:pPr>
        <w:pStyle w:val="FootnoteText"/>
        <w:spacing w:after="0" w:line="240" w:lineRule="auto"/>
        <w:ind w:left="360" w:hanging="360"/>
        <w:jc w:val="both"/>
      </w:pPr>
      <w:r>
        <w:rPr>
          <w:rStyle w:val="FootnoteReference"/>
        </w:rPr>
        <w:footnoteRef/>
      </w:r>
      <w:r>
        <w:t xml:space="preserve"> </w:t>
      </w:r>
      <w:r w:rsidR="00FE28BB">
        <w:tab/>
      </w:r>
      <w:r w:rsidR="000D2FA3">
        <w:rPr>
          <w:i/>
        </w:rPr>
        <w:t>Ibid</w:t>
      </w:r>
      <w:r>
        <w:rPr>
          <w:i/>
        </w:rPr>
        <w:t xml:space="preserve"> </w:t>
      </w:r>
      <w:r>
        <w:t>at p.289</w:t>
      </w:r>
      <w:r w:rsidR="00FE28BB">
        <w:t>.</w:t>
      </w:r>
    </w:p>
  </w:footnote>
  <w:footnote w:id="62">
    <w:p w:rsidR="00F179BD" w:rsidRPr="00D635B7" w:rsidRDefault="00F179BD" w:rsidP="00F6462F">
      <w:pPr>
        <w:pStyle w:val="FootnoteText"/>
        <w:spacing w:after="0" w:line="240" w:lineRule="auto"/>
        <w:ind w:left="360" w:right="-90" w:hanging="360"/>
        <w:jc w:val="both"/>
      </w:pPr>
      <w:r>
        <w:rPr>
          <w:rStyle w:val="FootnoteReference"/>
        </w:rPr>
        <w:footnoteRef/>
      </w:r>
      <w:r>
        <w:t xml:space="preserve"> </w:t>
      </w:r>
      <w:r w:rsidR="00FE28BB">
        <w:tab/>
      </w:r>
      <w:r>
        <w:rPr>
          <w:i/>
        </w:rPr>
        <w:t>Archbold Hong Kong 2024</w:t>
      </w:r>
      <w:r w:rsidRPr="00E829C2">
        <w:rPr>
          <w:i/>
        </w:rPr>
        <w:t xml:space="preserve"> </w:t>
      </w:r>
      <w:r>
        <w:rPr>
          <w:i/>
        </w:rPr>
        <w:t>Criminal Law, Pleadings, Evidence and Practice</w:t>
      </w:r>
      <w:r w:rsidRPr="000D2FA3">
        <w:t xml:space="preserve"> </w:t>
      </w:r>
      <w:r w:rsidR="000D2FA3" w:rsidRPr="000D2FA3">
        <w:t xml:space="preserve">at </w:t>
      </w:r>
      <w:r w:rsidR="000D2FA3">
        <w:t>[</w:t>
      </w:r>
      <w:r>
        <w:t>11-9</w:t>
      </w:r>
      <w:r w:rsidR="000D2FA3">
        <w:t>]</w:t>
      </w:r>
      <w:r>
        <w:t xml:space="preserve">; see also </w:t>
      </w:r>
      <w:r>
        <w:rPr>
          <w:i/>
        </w:rPr>
        <w:t xml:space="preserve">Cross &amp; Tapper on Evidence </w:t>
      </w:r>
      <w:r>
        <w:t>13</w:t>
      </w:r>
      <w:r w:rsidRPr="00D635B7">
        <w:rPr>
          <w:vertAlign w:val="superscript"/>
        </w:rPr>
        <w:t>th</w:t>
      </w:r>
      <w:r>
        <w:t xml:space="preserve"> Edn, </w:t>
      </w:r>
      <w:r w:rsidR="000D2FA3">
        <w:t>at p</w:t>
      </w:r>
      <w:r w:rsidR="00BE2DDC">
        <w:t xml:space="preserve">p.582 to </w:t>
      </w:r>
      <w:r>
        <w:t>583</w:t>
      </w:r>
      <w:r w:rsidR="00FE28BB">
        <w:t>.</w:t>
      </w:r>
    </w:p>
  </w:footnote>
  <w:footnote w:id="63">
    <w:p w:rsidR="00F179BD" w:rsidRDefault="00F179BD" w:rsidP="00FE28BB">
      <w:pPr>
        <w:pStyle w:val="FootnoteText"/>
        <w:spacing w:after="0" w:line="240" w:lineRule="auto"/>
        <w:ind w:left="360" w:hanging="360"/>
        <w:jc w:val="both"/>
      </w:pPr>
      <w:r>
        <w:rPr>
          <w:rStyle w:val="FootnoteReference"/>
        </w:rPr>
        <w:footnoteRef/>
      </w:r>
      <w:r>
        <w:t xml:space="preserve"> </w:t>
      </w:r>
      <w:r w:rsidR="00FE28BB">
        <w:tab/>
      </w:r>
      <w:r>
        <w:rPr>
          <w:rFonts w:hint="eastAsia"/>
        </w:rPr>
        <w:t>(</w:t>
      </w:r>
      <w:r>
        <w:t>1989) 51 SASR 254</w:t>
      </w:r>
      <w:r w:rsidR="00FE28BB">
        <w:t>.</w:t>
      </w:r>
    </w:p>
  </w:footnote>
  <w:footnote w:id="64">
    <w:p w:rsidR="00F179BD" w:rsidRDefault="00F179BD" w:rsidP="00FE28BB">
      <w:pPr>
        <w:pStyle w:val="FootnoteText"/>
        <w:spacing w:after="0" w:line="240" w:lineRule="auto"/>
        <w:ind w:left="360" w:hanging="360"/>
        <w:jc w:val="both"/>
      </w:pPr>
      <w:r>
        <w:rPr>
          <w:rStyle w:val="FootnoteReference"/>
        </w:rPr>
        <w:footnoteRef/>
      </w:r>
      <w:r>
        <w:t xml:space="preserve"> </w:t>
      </w:r>
      <w:r w:rsidR="00FE28BB">
        <w:tab/>
      </w:r>
      <w:r w:rsidR="000D2FA3">
        <w:rPr>
          <w:i/>
        </w:rPr>
        <w:t>Ibid</w:t>
      </w:r>
      <w:r>
        <w:rPr>
          <w:i/>
        </w:rPr>
        <w:t xml:space="preserve"> </w:t>
      </w:r>
      <w:r>
        <w:t>at p.269</w:t>
      </w:r>
      <w:r w:rsidR="00FE28BB">
        <w:t>.</w:t>
      </w:r>
    </w:p>
  </w:footnote>
  <w:footnote w:id="65">
    <w:p w:rsidR="00F179BD" w:rsidRDefault="00F179BD" w:rsidP="001C2428">
      <w:pPr>
        <w:pStyle w:val="FootnoteText"/>
        <w:spacing w:after="0" w:line="240" w:lineRule="auto"/>
        <w:ind w:left="360" w:hanging="360"/>
      </w:pPr>
      <w:r>
        <w:rPr>
          <w:rStyle w:val="FootnoteReference"/>
        </w:rPr>
        <w:footnoteRef/>
      </w:r>
      <w:r>
        <w:t xml:space="preserve"> </w:t>
      </w:r>
      <w:r w:rsidR="00FE28BB">
        <w:tab/>
      </w:r>
      <w:r w:rsidR="00BE2DDC" w:rsidRPr="00BE2DDC">
        <w:rPr>
          <w:i/>
        </w:rPr>
        <w:t>Ibid</w:t>
      </w:r>
      <w:r w:rsidRPr="00BE2DDC">
        <w:rPr>
          <w:i/>
        </w:rPr>
        <w:t xml:space="preserve"> </w:t>
      </w:r>
      <w:r>
        <w:t xml:space="preserve">at </w:t>
      </w:r>
      <w:r w:rsidR="00BE2DDC">
        <w:t xml:space="preserve">p.270 to </w:t>
      </w:r>
      <w:r>
        <w:t>271.</w:t>
      </w:r>
    </w:p>
  </w:footnote>
  <w:footnote w:id="66">
    <w:p w:rsidR="00F179BD" w:rsidRPr="00E85401" w:rsidRDefault="00F179BD" w:rsidP="001C2428">
      <w:pPr>
        <w:pStyle w:val="FootnoteText"/>
        <w:spacing w:after="0" w:line="240" w:lineRule="auto"/>
        <w:ind w:left="360" w:hanging="360"/>
        <w:jc w:val="both"/>
      </w:pPr>
      <w:r>
        <w:rPr>
          <w:rStyle w:val="FootnoteReference"/>
        </w:rPr>
        <w:footnoteRef/>
      </w:r>
      <w:r>
        <w:t xml:space="preserve"> </w:t>
      </w:r>
      <w:r w:rsidR="00FE28BB">
        <w:tab/>
      </w:r>
      <w:r>
        <w:rPr>
          <w:i/>
        </w:rPr>
        <w:t xml:space="preserve">Archbold Hong Kong 2024 Criminal Law, Pleadings, Evidence and Practice </w:t>
      </w:r>
      <w:r>
        <w:t>a</w:t>
      </w:r>
      <w:r w:rsidR="00BE2DDC">
        <w:t>t</w:t>
      </w:r>
      <w:r>
        <w:t xml:space="preserve"> </w:t>
      </w:r>
      <w:r w:rsidR="00BE2DDC">
        <w:t>[</w:t>
      </w:r>
      <w:r>
        <w:t>11-17</w:t>
      </w:r>
      <w:r w:rsidR="00BE2DDC">
        <w:t>]</w:t>
      </w:r>
      <w:r>
        <w:t xml:space="preserve"> and </w:t>
      </w:r>
      <w:r w:rsidR="00BE2DDC">
        <w:t>[</w:t>
      </w:r>
      <w:r>
        <w:t>11-18</w:t>
      </w:r>
      <w:r w:rsidR="00BE2DDC">
        <w:t>]</w:t>
      </w:r>
      <w:r>
        <w:t xml:space="preserve">. See also </w:t>
      </w:r>
      <w:r>
        <w:rPr>
          <w:i/>
        </w:rPr>
        <w:t xml:space="preserve">HKSAR v Li Cheung Yin </w:t>
      </w:r>
      <w:r>
        <w:t xml:space="preserve">[2018] HKCFI 581 at [14] to [16]; </w:t>
      </w:r>
      <w:r>
        <w:rPr>
          <w:i/>
        </w:rPr>
        <w:t xml:space="preserve">HKSAR v “Z” </w:t>
      </w:r>
      <w:r>
        <w:t>HCMA 291/2010, 5 Sept</w:t>
      </w:r>
      <w:r w:rsidR="00C0301A">
        <w:t>ember</w:t>
      </w:r>
      <w:r>
        <w:t xml:space="preserve"> 2011, at [24].</w:t>
      </w:r>
    </w:p>
  </w:footnote>
  <w:footnote w:id="67">
    <w:p w:rsidR="00F179BD" w:rsidRDefault="00F179BD" w:rsidP="00FE28BB">
      <w:pPr>
        <w:pStyle w:val="FootnoteText"/>
        <w:spacing w:after="0" w:line="240" w:lineRule="auto"/>
        <w:ind w:left="360" w:hanging="360"/>
        <w:jc w:val="both"/>
      </w:pPr>
      <w:r>
        <w:rPr>
          <w:rStyle w:val="FootnoteReference"/>
        </w:rPr>
        <w:footnoteRef/>
      </w:r>
      <w:r>
        <w:t xml:space="preserve"> </w:t>
      </w:r>
      <w:r w:rsidR="00FE28BB">
        <w:tab/>
      </w:r>
      <w:r>
        <w:t>[1987]</w:t>
      </w:r>
      <w:r w:rsidR="00BE2DDC">
        <w:t xml:space="preserve"> 1 </w:t>
      </w:r>
      <w:r>
        <w:t>AC 281</w:t>
      </w:r>
      <w:r w:rsidR="00FE28BB">
        <w:t>.</w:t>
      </w:r>
    </w:p>
  </w:footnote>
  <w:footnote w:id="68">
    <w:p w:rsidR="00F179BD" w:rsidRPr="001300F5" w:rsidRDefault="00F179BD" w:rsidP="00FE28BB">
      <w:pPr>
        <w:pStyle w:val="FootnoteText"/>
        <w:spacing w:after="0" w:line="240" w:lineRule="auto"/>
        <w:ind w:left="360" w:hanging="360"/>
        <w:jc w:val="both"/>
      </w:pPr>
      <w:r>
        <w:rPr>
          <w:rStyle w:val="FootnoteReference"/>
        </w:rPr>
        <w:footnoteRef/>
      </w:r>
      <w:r>
        <w:t xml:space="preserve"> </w:t>
      </w:r>
      <w:r w:rsidR="00FE28BB">
        <w:tab/>
      </w:r>
      <w:r>
        <w:t xml:space="preserve">In </w:t>
      </w:r>
      <w:r>
        <w:rPr>
          <w:i/>
        </w:rPr>
        <w:t>R v Andrews</w:t>
      </w:r>
      <w:r>
        <w:t xml:space="preserve"> the House of Lords summarized the principles governing </w:t>
      </w:r>
      <w:r>
        <w:rPr>
          <w:i/>
        </w:rPr>
        <w:t>res gestae</w:t>
      </w:r>
      <w:r>
        <w:t xml:space="preserve">.  </w:t>
      </w:r>
    </w:p>
  </w:footnote>
  <w:footnote w:id="69">
    <w:p w:rsidR="00C27868" w:rsidRPr="00C27868" w:rsidRDefault="00C27868" w:rsidP="00FE28BB">
      <w:pPr>
        <w:pStyle w:val="FootnoteText"/>
        <w:spacing w:after="0" w:line="240" w:lineRule="auto"/>
        <w:ind w:left="360" w:hanging="360"/>
      </w:pPr>
      <w:r>
        <w:rPr>
          <w:rStyle w:val="FootnoteReference"/>
        </w:rPr>
        <w:footnoteRef/>
      </w:r>
      <w:r>
        <w:t xml:space="preserve"> </w:t>
      </w:r>
      <w:r w:rsidR="00FE28BB">
        <w:tab/>
      </w:r>
      <w:r w:rsidR="00774953">
        <w:t>CA J</w:t>
      </w:r>
      <w:r>
        <w:t>udgment at [91].</w:t>
      </w:r>
    </w:p>
  </w:footnote>
  <w:footnote w:id="70">
    <w:p w:rsidR="00991BAA" w:rsidRDefault="00991BAA" w:rsidP="00FE28BB">
      <w:pPr>
        <w:pStyle w:val="FootnoteText"/>
        <w:spacing w:after="0" w:line="240" w:lineRule="auto"/>
        <w:ind w:left="360" w:hanging="360"/>
      </w:pPr>
      <w:r>
        <w:rPr>
          <w:rStyle w:val="FootnoteReference"/>
        </w:rPr>
        <w:footnoteRef/>
      </w:r>
      <w:r>
        <w:t xml:space="preserve"> </w:t>
      </w:r>
      <w:r w:rsidR="00FE28BB">
        <w:tab/>
      </w:r>
      <w:r w:rsidR="00C5529E">
        <w:t>See also Specimen Directions on Expert Evidence.</w:t>
      </w:r>
    </w:p>
  </w:footnote>
  <w:footnote w:id="71">
    <w:p w:rsidR="00C5529E" w:rsidRPr="00C5529E" w:rsidRDefault="00C5529E" w:rsidP="00C5529E">
      <w:pPr>
        <w:pStyle w:val="FootnoteText"/>
        <w:spacing w:after="0" w:line="240" w:lineRule="auto"/>
        <w:ind w:left="360" w:hanging="360"/>
      </w:pPr>
      <w:r>
        <w:rPr>
          <w:rStyle w:val="FootnoteReference"/>
        </w:rPr>
        <w:footnoteRef/>
      </w:r>
      <w:r>
        <w:t xml:space="preserve"> </w:t>
      </w:r>
      <w:r>
        <w:tab/>
        <w:t>Appearing together with Ms Ng.</w:t>
      </w:r>
    </w:p>
  </w:footnote>
  <w:footnote w:id="72">
    <w:p w:rsidR="00C5529E" w:rsidRDefault="00C5529E" w:rsidP="00C5529E">
      <w:pPr>
        <w:pStyle w:val="FootnoteText"/>
        <w:spacing w:after="0" w:line="240" w:lineRule="auto"/>
        <w:ind w:left="360" w:hanging="360"/>
      </w:pPr>
      <w:r>
        <w:rPr>
          <w:rStyle w:val="FootnoteReference"/>
        </w:rPr>
        <w:footnoteRef/>
      </w:r>
      <w:r>
        <w:t xml:space="preserve"> </w:t>
      </w:r>
      <w:r>
        <w:tab/>
      </w:r>
      <w:r>
        <w:rPr>
          <w:i/>
        </w:rPr>
        <w:t xml:space="preserve">R v Lavallee </w:t>
      </w:r>
      <w:r>
        <w:t>[1990] 1 SCR 852 at p.900, cited at [29(c)]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435" w:rsidRDefault="001304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4C0" w:rsidRPr="004634C0" w:rsidRDefault="004634C0" w:rsidP="004634C0">
    <w:pPr>
      <w:pStyle w:val="Header"/>
      <w:spacing w:after="0" w:line="240" w:lineRule="auto"/>
      <w:jc w:val="center"/>
      <w:rPr>
        <w:color w:val="000000" w:themeColor="text1"/>
        <w:sz w:val="28"/>
        <w:szCs w:val="28"/>
      </w:rPr>
    </w:pPr>
  </w:p>
  <w:p w:rsidR="008306D9" w:rsidRPr="004F05B5" w:rsidRDefault="008306D9" w:rsidP="004634C0">
    <w:pPr>
      <w:pStyle w:val="Header"/>
      <w:spacing w:before="120" w:after="0" w:line="360" w:lineRule="auto"/>
      <w:jc w:val="center"/>
      <w:rPr>
        <w:color w:val="000000" w:themeColor="text1"/>
        <w:sz w:val="28"/>
        <w:szCs w:val="28"/>
      </w:rPr>
    </w:pPr>
    <w:r w:rsidRPr="004F05B5">
      <w:rPr>
        <w:color w:val="000000" w:themeColor="text1"/>
        <w:sz w:val="28"/>
        <w:szCs w:val="28"/>
      </w:rPr>
      <w:t xml:space="preserve">- </w:t>
    </w:r>
    <w:r w:rsidRPr="004F05B5">
      <w:rPr>
        <w:color w:val="000000" w:themeColor="text1"/>
        <w:sz w:val="28"/>
        <w:szCs w:val="28"/>
      </w:rPr>
      <w:fldChar w:fldCharType="begin"/>
    </w:r>
    <w:r w:rsidRPr="004F05B5">
      <w:rPr>
        <w:color w:val="000000" w:themeColor="text1"/>
        <w:sz w:val="28"/>
        <w:szCs w:val="28"/>
      </w:rPr>
      <w:instrText xml:space="preserve"> PAGE   \* MERGEFORMAT </w:instrText>
    </w:r>
    <w:r w:rsidRPr="004F05B5">
      <w:rPr>
        <w:color w:val="000000" w:themeColor="text1"/>
        <w:sz w:val="28"/>
        <w:szCs w:val="28"/>
      </w:rPr>
      <w:fldChar w:fldCharType="separate"/>
    </w:r>
    <w:r w:rsidR="007633EB">
      <w:rPr>
        <w:noProof/>
        <w:color w:val="000000" w:themeColor="text1"/>
        <w:sz w:val="28"/>
        <w:szCs w:val="28"/>
      </w:rPr>
      <w:t>29</w:t>
    </w:r>
    <w:r w:rsidRPr="004F05B5">
      <w:rPr>
        <w:noProof/>
        <w:color w:val="000000" w:themeColor="text1"/>
        <w:sz w:val="28"/>
        <w:szCs w:val="28"/>
      </w:rPr>
      <w:fldChar w:fldCharType="end"/>
    </w:r>
    <w:r w:rsidRPr="004F05B5">
      <w:rPr>
        <w:noProof/>
        <w:color w:val="000000" w:themeColor="text1"/>
        <w:sz w:val="28"/>
        <w:szCs w:val="28"/>
      </w:rPr>
      <w:t xml:space="preserve"> -</w:t>
    </w:r>
  </w:p>
  <w:p w:rsidR="00414F0F" w:rsidRDefault="00414F0F" w:rsidP="004634C0">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6D9" w:rsidRDefault="008306D9">
    <w:pPr>
      <w:pStyle w:val="Header"/>
      <w:jc w:val="center"/>
    </w:pPr>
  </w:p>
  <w:p w:rsidR="008306D9" w:rsidRDefault="00830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30C19"/>
    <w:multiLevelType w:val="hybridMultilevel"/>
    <w:tmpl w:val="A3D23C2C"/>
    <w:lvl w:ilvl="0" w:tplc="4A6EF54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BA83CEC"/>
    <w:multiLevelType w:val="hybridMultilevel"/>
    <w:tmpl w:val="C738319E"/>
    <w:lvl w:ilvl="0" w:tplc="5F966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1E68B7"/>
    <w:multiLevelType w:val="multilevel"/>
    <w:tmpl w:val="3C9C947A"/>
    <w:lvl w:ilvl="0">
      <w:start w:val="1"/>
      <w:numFmt w:val="decimal"/>
      <w:lvlText w:val="%1."/>
      <w:lvlJc w:val="left"/>
      <w:pPr>
        <w:tabs>
          <w:tab w:val="num" w:pos="720"/>
        </w:tabs>
        <w:ind w:left="720" w:hanging="720"/>
      </w:pPr>
      <w:rPr>
        <w:rFonts w:ascii="Times New Roman" w:hAnsi="Times New Roman" w:cs="Times New Roman"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24284230"/>
    <w:multiLevelType w:val="multilevel"/>
    <w:tmpl w:val="B86A6CEC"/>
    <w:lvl w:ilvl="0">
      <w:start w:val="1"/>
      <w:numFmt w:val="decimal"/>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 w15:restartNumberingAfterBreak="0">
    <w:nsid w:val="39861277"/>
    <w:multiLevelType w:val="hybridMultilevel"/>
    <w:tmpl w:val="4F6091B4"/>
    <w:lvl w:ilvl="0" w:tplc="F4CCBE0A">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008C7"/>
    <w:multiLevelType w:val="hybridMultilevel"/>
    <w:tmpl w:val="B49C6D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DA17B95"/>
    <w:multiLevelType w:val="hybridMultilevel"/>
    <w:tmpl w:val="5058B34A"/>
    <w:lvl w:ilvl="0" w:tplc="4A6EF5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5C5AEF"/>
    <w:multiLevelType w:val="hybridMultilevel"/>
    <w:tmpl w:val="EFC85B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57A9E"/>
    <w:multiLevelType w:val="hybridMultilevel"/>
    <w:tmpl w:val="B88A247E"/>
    <w:lvl w:ilvl="0" w:tplc="C910E5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D138A5"/>
    <w:multiLevelType w:val="hybridMultilevel"/>
    <w:tmpl w:val="65282BF6"/>
    <w:lvl w:ilvl="0" w:tplc="BAA4B84E">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E4F2D970">
      <w:start w:val="1"/>
      <w:numFmt w:val="lowerLetter"/>
      <w:lvlText w:val="(%3)"/>
      <w:lvlJc w:val="left"/>
      <w:pPr>
        <w:ind w:left="2385" w:hanging="40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80F7E"/>
    <w:multiLevelType w:val="hybridMultilevel"/>
    <w:tmpl w:val="5F2EDE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E972E3"/>
    <w:multiLevelType w:val="multilevel"/>
    <w:tmpl w:val="3C9C947A"/>
    <w:lvl w:ilvl="0">
      <w:start w:val="1"/>
      <w:numFmt w:val="decimal"/>
      <w:lvlText w:val="%1."/>
      <w:lvlJc w:val="left"/>
      <w:pPr>
        <w:tabs>
          <w:tab w:val="num" w:pos="720"/>
        </w:tabs>
        <w:ind w:left="720" w:hanging="720"/>
      </w:pPr>
      <w:rPr>
        <w:rFonts w:ascii="Times New Roman" w:hAnsi="Times New Roman" w:cs="Times New Roman"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6E370825"/>
    <w:multiLevelType w:val="hybridMultilevel"/>
    <w:tmpl w:val="3D3A4DDC"/>
    <w:lvl w:ilvl="0" w:tplc="C910E5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E06192"/>
    <w:multiLevelType w:val="hybridMultilevel"/>
    <w:tmpl w:val="36CE0D72"/>
    <w:lvl w:ilvl="0" w:tplc="06203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13"/>
  </w:num>
  <w:num w:numId="4">
    <w:abstractNumId w:val="1"/>
  </w:num>
  <w:num w:numId="5">
    <w:abstractNumId w:val="6"/>
  </w:num>
  <w:num w:numId="6">
    <w:abstractNumId w:val="7"/>
  </w:num>
  <w:num w:numId="7">
    <w:abstractNumId w:val="10"/>
  </w:num>
  <w:num w:numId="8">
    <w:abstractNumId w:val="5"/>
  </w:num>
  <w:num w:numId="9">
    <w:abstractNumId w:val="0"/>
  </w:num>
  <w:num w:numId="10">
    <w:abstractNumId w:val="8"/>
  </w:num>
  <w:num w:numId="11">
    <w:abstractNumId w:val="3"/>
  </w:num>
  <w:num w:numId="12">
    <w:abstractNumId w:val="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9AE"/>
    <w:rsid w:val="000079E7"/>
    <w:rsid w:val="00017EE3"/>
    <w:rsid w:val="00020169"/>
    <w:rsid w:val="0002079D"/>
    <w:rsid w:val="0002393F"/>
    <w:rsid w:val="00023C18"/>
    <w:rsid w:val="000242CD"/>
    <w:rsid w:val="000303FE"/>
    <w:rsid w:val="00051776"/>
    <w:rsid w:val="0005539F"/>
    <w:rsid w:val="00061265"/>
    <w:rsid w:val="00062E51"/>
    <w:rsid w:val="000754EF"/>
    <w:rsid w:val="00075D36"/>
    <w:rsid w:val="00084277"/>
    <w:rsid w:val="00085C52"/>
    <w:rsid w:val="00092989"/>
    <w:rsid w:val="000A00FD"/>
    <w:rsid w:val="000A6E06"/>
    <w:rsid w:val="000B3385"/>
    <w:rsid w:val="000B4819"/>
    <w:rsid w:val="000C0BDC"/>
    <w:rsid w:val="000C28CC"/>
    <w:rsid w:val="000C6A48"/>
    <w:rsid w:val="000C6BAF"/>
    <w:rsid w:val="000D2FA3"/>
    <w:rsid w:val="000D4ADB"/>
    <w:rsid w:val="000E3F82"/>
    <w:rsid w:val="000E4427"/>
    <w:rsid w:val="000E7DC4"/>
    <w:rsid w:val="000F2C1C"/>
    <w:rsid w:val="000F3459"/>
    <w:rsid w:val="000F661B"/>
    <w:rsid w:val="001050F3"/>
    <w:rsid w:val="00105CEB"/>
    <w:rsid w:val="001069B5"/>
    <w:rsid w:val="001076F3"/>
    <w:rsid w:val="001300F5"/>
    <w:rsid w:val="00130435"/>
    <w:rsid w:val="00132864"/>
    <w:rsid w:val="001413F3"/>
    <w:rsid w:val="00145BBF"/>
    <w:rsid w:val="00151A1B"/>
    <w:rsid w:val="0016107F"/>
    <w:rsid w:val="00161E8A"/>
    <w:rsid w:val="0016632F"/>
    <w:rsid w:val="001664D2"/>
    <w:rsid w:val="00172BA6"/>
    <w:rsid w:val="001775B9"/>
    <w:rsid w:val="0018224F"/>
    <w:rsid w:val="00182B4A"/>
    <w:rsid w:val="00190D80"/>
    <w:rsid w:val="001931A8"/>
    <w:rsid w:val="001A09AE"/>
    <w:rsid w:val="001A5701"/>
    <w:rsid w:val="001A66F5"/>
    <w:rsid w:val="001B0DB0"/>
    <w:rsid w:val="001B768F"/>
    <w:rsid w:val="001C2428"/>
    <w:rsid w:val="001E074E"/>
    <w:rsid w:val="001E22A9"/>
    <w:rsid w:val="001E4278"/>
    <w:rsid w:val="002067CD"/>
    <w:rsid w:val="002109F5"/>
    <w:rsid w:val="00211D17"/>
    <w:rsid w:val="00214F34"/>
    <w:rsid w:val="00231964"/>
    <w:rsid w:val="00233E5F"/>
    <w:rsid w:val="00237D0F"/>
    <w:rsid w:val="00241020"/>
    <w:rsid w:val="00244DE4"/>
    <w:rsid w:val="00245546"/>
    <w:rsid w:val="00251F09"/>
    <w:rsid w:val="002539D1"/>
    <w:rsid w:val="00255C6F"/>
    <w:rsid w:val="00271EFD"/>
    <w:rsid w:val="002729FD"/>
    <w:rsid w:val="00273ED7"/>
    <w:rsid w:val="00297B6E"/>
    <w:rsid w:val="002A107F"/>
    <w:rsid w:val="002A11DE"/>
    <w:rsid w:val="002B36D8"/>
    <w:rsid w:val="002B3C2F"/>
    <w:rsid w:val="002B6EE1"/>
    <w:rsid w:val="002C1441"/>
    <w:rsid w:val="002C3009"/>
    <w:rsid w:val="002C53A7"/>
    <w:rsid w:val="002C6E2E"/>
    <w:rsid w:val="002D593D"/>
    <w:rsid w:val="002E3AA5"/>
    <w:rsid w:val="002F3040"/>
    <w:rsid w:val="00301524"/>
    <w:rsid w:val="00303545"/>
    <w:rsid w:val="0031398F"/>
    <w:rsid w:val="00316A65"/>
    <w:rsid w:val="00317FD3"/>
    <w:rsid w:val="00320DCF"/>
    <w:rsid w:val="0032487E"/>
    <w:rsid w:val="003251BD"/>
    <w:rsid w:val="00327772"/>
    <w:rsid w:val="00334191"/>
    <w:rsid w:val="00334530"/>
    <w:rsid w:val="00340416"/>
    <w:rsid w:val="00346345"/>
    <w:rsid w:val="003513AF"/>
    <w:rsid w:val="003600D6"/>
    <w:rsid w:val="00364353"/>
    <w:rsid w:val="00365163"/>
    <w:rsid w:val="00367D1C"/>
    <w:rsid w:val="00372245"/>
    <w:rsid w:val="00376044"/>
    <w:rsid w:val="00385874"/>
    <w:rsid w:val="003858D5"/>
    <w:rsid w:val="00387206"/>
    <w:rsid w:val="003913D8"/>
    <w:rsid w:val="003938F2"/>
    <w:rsid w:val="003952A5"/>
    <w:rsid w:val="003A55AB"/>
    <w:rsid w:val="003B43B6"/>
    <w:rsid w:val="003C4162"/>
    <w:rsid w:val="003C49BF"/>
    <w:rsid w:val="003D3CF2"/>
    <w:rsid w:val="003D7D5C"/>
    <w:rsid w:val="003E721B"/>
    <w:rsid w:val="003F41B0"/>
    <w:rsid w:val="003F49D2"/>
    <w:rsid w:val="003F4D88"/>
    <w:rsid w:val="003F5ACE"/>
    <w:rsid w:val="0041412D"/>
    <w:rsid w:val="00414F0F"/>
    <w:rsid w:val="0041619B"/>
    <w:rsid w:val="00444EA1"/>
    <w:rsid w:val="00450B09"/>
    <w:rsid w:val="0045169F"/>
    <w:rsid w:val="00451A8C"/>
    <w:rsid w:val="004546C1"/>
    <w:rsid w:val="004551AA"/>
    <w:rsid w:val="004634C0"/>
    <w:rsid w:val="004641F8"/>
    <w:rsid w:val="004726C9"/>
    <w:rsid w:val="0047544F"/>
    <w:rsid w:val="00480A8F"/>
    <w:rsid w:val="00487DB2"/>
    <w:rsid w:val="0049743C"/>
    <w:rsid w:val="004B7A56"/>
    <w:rsid w:val="004C54BF"/>
    <w:rsid w:val="004E6B41"/>
    <w:rsid w:val="004E7DDE"/>
    <w:rsid w:val="004F05B5"/>
    <w:rsid w:val="004F4EAF"/>
    <w:rsid w:val="004F63D0"/>
    <w:rsid w:val="0050094C"/>
    <w:rsid w:val="005017CD"/>
    <w:rsid w:val="005050C8"/>
    <w:rsid w:val="00513D92"/>
    <w:rsid w:val="005422BA"/>
    <w:rsid w:val="00542E2C"/>
    <w:rsid w:val="00543D9A"/>
    <w:rsid w:val="00547DD6"/>
    <w:rsid w:val="00550FAE"/>
    <w:rsid w:val="00567AA3"/>
    <w:rsid w:val="005714F6"/>
    <w:rsid w:val="005720AA"/>
    <w:rsid w:val="005746E8"/>
    <w:rsid w:val="00574E0B"/>
    <w:rsid w:val="005846F6"/>
    <w:rsid w:val="00593D35"/>
    <w:rsid w:val="005967CC"/>
    <w:rsid w:val="00597770"/>
    <w:rsid w:val="005A1447"/>
    <w:rsid w:val="005A29CA"/>
    <w:rsid w:val="005A3B90"/>
    <w:rsid w:val="005C23B3"/>
    <w:rsid w:val="005C63D6"/>
    <w:rsid w:val="005E44EB"/>
    <w:rsid w:val="005F05C0"/>
    <w:rsid w:val="006219CC"/>
    <w:rsid w:val="006249D0"/>
    <w:rsid w:val="00624B52"/>
    <w:rsid w:val="00634943"/>
    <w:rsid w:val="006408FB"/>
    <w:rsid w:val="00654886"/>
    <w:rsid w:val="00656E43"/>
    <w:rsid w:val="0066499B"/>
    <w:rsid w:val="00674641"/>
    <w:rsid w:val="00674BCE"/>
    <w:rsid w:val="00683E32"/>
    <w:rsid w:val="00696105"/>
    <w:rsid w:val="006A6F26"/>
    <w:rsid w:val="006C7F6A"/>
    <w:rsid w:val="006E013C"/>
    <w:rsid w:val="006E38F4"/>
    <w:rsid w:val="006E59DE"/>
    <w:rsid w:val="0070058F"/>
    <w:rsid w:val="0070794D"/>
    <w:rsid w:val="00714362"/>
    <w:rsid w:val="00715B67"/>
    <w:rsid w:val="00722E34"/>
    <w:rsid w:val="00727AF8"/>
    <w:rsid w:val="00741E97"/>
    <w:rsid w:val="00751F2E"/>
    <w:rsid w:val="007633EB"/>
    <w:rsid w:val="00764C03"/>
    <w:rsid w:val="00772307"/>
    <w:rsid w:val="00774953"/>
    <w:rsid w:val="00781EC8"/>
    <w:rsid w:val="0078323B"/>
    <w:rsid w:val="00785438"/>
    <w:rsid w:val="0079369D"/>
    <w:rsid w:val="00795D40"/>
    <w:rsid w:val="007967B0"/>
    <w:rsid w:val="007A1F4D"/>
    <w:rsid w:val="007A2391"/>
    <w:rsid w:val="007A2EA5"/>
    <w:rsid w:val="007B68DF"/>
    <w:rsid w:val="007C3705"/>
    <w:rsid w:val="007C5A6B"/>
    <w:rsid w:val="007D346F"/>
    <w:rsid w:val="007E4258"/>
    <w:rsid w:val="007E5EBE"/>
    <w:rsid w:val="007E63BF"/>
    <w:rsid w:val="00806D29"/>
    <w:rsid w:val="00823A8B"/>
    <w:rsid w:val="00825621"/>
    <w:rsid w:val="008306D9"/>
    <w:rsid w:val="00832FE4"/>
    <w:rsid w:val="00833D6B"/>
    <w:rsid w:val="00840AD5"/>
    <w:rsid w:val="00840E18"/>
    <w:rsid w:val="008519DF"/>
    <w:rsid w:val="00851F93"/>
    <w:rsid w:val="00852547"/>
    <w:rsid w:val="0085762E"/>
    <w:rsid w:val="00864429"/>
    <w:rsid w:val="00866E53"/>
    <w:rsid w:val="00873AF6"/>
    <w:rsid w:val="00873B2E"/>
    <w:rsid w:val="00876B70"/>
    <w:rsid w:val="008804CC"/>
    <w:rsid w:val="00881F38"/>
    <w:rsid w:val="00882042"/>
    <w:rsid w:val="00882339"/>
    <w:rsid w:val="008850FC"/>
    <w:rsid w:val="008960FD"/>
    <w:rsid w:val="008A2FD8"/>
    <w:rsid w:val="008B5320"/>
    <w:rsid w:val="008E166F"/>
    <w:rsid w:val="008E7D68"/>
    <w:rsid w:val="008F115F"/>
    <w:rsid w:val="008F620B"/>
    <w:rsid w:val="009012B0"/>
    <w:rsid w:val="00904817"/>
    <w:rsid w:val="00913E2D"/>
    <w:rsid w:val="0091678A"/>
    <w:rsid w:val="0094496A"/>
    <w:rsid w:val="0095317C"/>
    <w:rsid w:val="00953920"/>
    <w:rsid w:val="00974BF1"/>
    <w:rsid w:val="00977843"/>
    <w:rsid w:val="009844AA"/>
    <w:rsid w:val="0099019E"/>
    <w:rsid w:val="00991BAA"/>
    <w:rsid w:val="009944F9"/>
    <w:rsid w:val="009A2BC6"/>
    <w:rsid w:val="009A4E21"/>
    <w:rsid w:val="009B28CC"/>
    <w:rsid w:val="009B2B06"/>
    <w:rsid w:val="009B7C4B"/>
    <w:rsid w:val="009C6AB9"/>
    <w:rsid w:val="009D114F"/>
    <w:rsid w:val="009D4CDB"/>
    <w:rsid w:val="009E5A74"/>
    <w:rsid w:val="009F0547"/>
    <w:rsid w:val="009F3944"/>
    <w:rsid w:val="00A003AF"/>
    <w:rsid w:val="00A17DEB"/>
    <w:rsid w:val="00A228D7"/>
    <w:rsid w:val="00A2374A"/>
    <w:rsid w:val="00A27F27"/>
    <w:rsid w:val="00A469F3"/>
    <w:rsid w:val="00A50C83"/>
    <w:rsid w:val="00A60FD0"/>
    <w:rsid w:val="00A62F6B"/>
    <w:rsid w:val="00A643B6"/>
    <w:rsid w:val="00A72D7A"/>
    <w:rsid w:val="00A73B9F"/>
    <w:rsid w:val="00A7406D"/>
    <w:rsid w:val="00A751D3"/>
    <w:rsid w:val="00A803C4"/>
    <w:rsid w:val="00A8241F"/>
    <w:rsid w:val="00A83A90"/>
    <w:rsid w:val="00A84616"/>
    <w:rsid w:val="00A86F90"/>
    <w:rsid w:val="00A90567"/>
    <w:rsid w:val="00A94C48"/>
    <w:rsid w:val="00AA3201"/>
    <w:rsid w:val="00AB00B9"/>
    <w:rsid w:val="00AB4171"/>
    <w:rsid w:val="00AC0932"/>
    <w:rsid w:val="00AC6082"/>
    <w:rsid w:val="00AC7B24"/>
    <w:rsid w:val="00AD0A9C"/>
    <w:rsid w:val="00AD0D43"/>
    <w:rsid w:val="00AD551D"/>
    <w:rsid w:val="00AD5722"/>
    <w:rsid w:val="00AE1CCF"/>
    <w:rsid w:val="00AE2701"/>
    <w:rsid w:val="00AE2CA6"/>
    <w:rsid w:val="00AF34E7"/>
    <w:rsid w:val="00AF4699"/>
    <w:rsid w:val="00B07C5A"/>
    <w:rsid w:val="00B11B7A"/>
    <w:rsid w:val="00B170E9"/>
    <w:rsid w:val="00B21E86"/>
    <w:rsid w:val="00B25D00"/>
    <w:rsid w:val="00B330F4"/>
    <w:rsid w:val="00B42743"/>
    <w:rsid w:val="00B55B6A"/>
    <w:rsid w:val="00B64C69"/>
    <w:rsid w:val="00B651F9"/>
    <w:rsid w:val="00B7300D"/>
    <w:rsid w:val="00B75D56"/>
    <w:rsid w:val="00BA004E"/>
    <w:rsid w:val="00BA11C6"/>
    <w:rsid w:val="00BA131D"/>
    <w:rsid w:val="00BC07CB"/>
    <w:rsid w:val="00BC27E5"/>
    <w:rsid w:val="00BC34F3"/>
    <w:rsid w:val="00BD72B1"/>
    <w:rsid w:val="00BE2DDC"/>
    <w:rsid w:val="00BE75AF"/>
    <w:rsid w:val="00BF784E"/>
    <w:rsid w:val="00BF7991"/>
    <w:rsid w:val="00C025B3"/>
    <w:rsid w:val="00C027FF"/>
    <w:rsid w:val="00C0301A"/>
    <w:rsid w:val="00C11AF8"/>
    <w:rsid w:val="00C13FE9"/>
    <w:rsid w:val="00C14FB5"/>
    <w:rsid w:val="00C27868"/>
    <w:rsid w:val="00C27F32"/>
    <w:rsid w:val="00C430A0"/>
    <w:rsid w:val="00C45721"/>
    <w:rsid w:val="00C51B43"/>
    <w:rsid w:val="00C52A61"/>
    <w:rsid w:val="00C5529E"/>
    <w:rsid w:val="00C64463"/>
    <w:rsid w:val="00C760AD"/>
    <w:rsid w:val="00C84B08"/>
    <w:rsid w:val="00C93025"/>
    <w:rsid w:val="00C948D7"/>
    <w:rsid w:val="00CA2FD9"/>
    <w:rsid w:val="00CB44D4"/>
    <w:rsid w:val="00CD1EAE"/>
    <w:rsid w:val="00CE1649"/>
    <w:rsid w:val="00CE26C6"/>
    <w:rsid w:val="00CF2169"/>
    <w:rsid w:val="00D00476"/>
    <w:rsid w:val="00D254B0"/>
    <w:rsid w:val="00D279A8"/>
    <w:rsid w:val="00D315C7"/>
    <w:rsid w:val="00D42E95"/>
    <w:rsid w:val="00D44E35"/>
    <w:rsid w:val="00D50E27"/>
    <w:rsid w:val="00D51F88"/>
    <w:rsid w:val="00D635B7"/>
    <w:rsid w:val="00D740C8"/>
    <w:rsid w:val="00D764EC"/>
    <w:rsid w:val="00D80C32"/>
    <w:rsid w:val="00D82799"/>
    <w:rsid w:val="00D85CB6"/>
    <w:rsid w:val="00D87144"/>
    <w:rsid w:val="00DA1C98"/>
    <w:rsid w:val="00DA409A"/>
    <w:rsid w:val="00DA5D74"/>
    <w:rsid w:val="00DA600F"/>
    <w:rsid w:val="00DA7882"/>
    <w:rsid w:val="00DB2C06"/>
    <w:rsid w:val="00DC0894"/>
    <w:rsid w:val="00DC151C"/>
    <w:rsid w:val="00DD101B"/>
    <w:rsid w:val="00DD3F81"/>
    <w:rsid w:val="00DF1D94"/>
    <w:rsid w:val="00DF375A"/>
    <w:rsid w:val="00DF7734"/>
    <w:rsid w:val="00E06603"/>
    <w:rsid w:val="00E073C2"/>
    <w:rsid w:val="00E22073"/>
    <w:rsid w:val="00E25676"/>
    <w:rsid w:val="00E31BF4"/>
    <w:rsid w:val="00E343BD"/>
    <w:rsid w:val="00E4103F"/>
    <w:rsid w:val="00E5041A"/>
    <w:rsid w:val="00E56880"/>
    <w:rsid w:val="00E64887"/>
    <w:rsid w:val="00E74BB2"/>
    <w:rsid w:val="00E77533"/>
    <w:rsid w:val="00E80E4E"/>
    <w:rsid w:val="00E829C2"/>
    <w:rsid w:val="00E84459"/>
    <w:rsid w:val="00E85401"/>
    <w:rsid w:val="00E93901"/>
    <w:rsid w:val="00EA7239"/>
    <w:rsid w:val="00EB0F96"/>
    <w:rsid w:val="00EB6282"/>
    <w:rsid w:val="00EC4B26"/>
    <w:rsid w:val="00ED34A2"/>
    <w:rsid w:val="00ED42D3"/>
    <w:rsid w:val="00ED6245"/>
    <w:rsid w:val="00EE3F02"/>
    <w:rsid w:val="00EE4CD5"/>
    <w:rsid w:val="00EE55F7"/>
    <w:rsid w:val="00EF08F5"/>
    <w:rsid w:val="00EF3B80"/>
    <w:rsid w:val="00F0187C"/>
    <w:rsid w:val="00F054CC"/>
    <w:rsid w:val="00F079E5"/>
    <w:rsid w:val="00F144BF"/>
    <w:rsid w:val="00F179BD"/>
    <w:rsid w:val="00F35E1A"/>
    <w:rsid w:val="00F416EA"/>
    <w:rsid w:val="00F43069"/>
    <w:rsid w:val="00F43402"/>
    <w:rsid w:val="00F45CCF"/>
    <w:rsid w:val="00F51CE8"/>
    <w:rsid w:val="00F54BE8"/>
    <w:rsid w:val="00F561DD"/>
    <w:rsid w:val="00F60BE7"/>
    <w:rsid w:val="00F62BE1"/>
    <w:rsid w:val="00F6462F"/>
    <w:rsid w:val="00F64D92"/>
    <w:rsid w:val="00F65FA4"/>
    <w:rsid w:val="00F70203"/>
    <w:rsid w:val="00F81E5E"/>
    <w:rsid w:val="00F85BD5"/>
    <w:rsid w:val="00F90E24"/>
    <w:rsid w:val="00F92396"/>
    <w:rsid w:val="00F94412"/>
    <w:rsid w:val="00F95A07"/>
    <w:rsid w:val="00FA7565"/>
    <w:rsid w:val="00FA7E53"/>
    <w:rsid w:val="00FB1034"/>
    <w:rsid w:val="00FB6A57"/>
    <w:rsid w:val="00FC3A35"/>
    <w:rsid w:val="00FC3F46"/>
    <w:rsid w:val="00FC5E22"/>
    <w:rsid w:val="00FD16A9"/>
    <w:rsid w:val="00FD43F5"/>
    <w:rsid w:val="00FD5941"/>
    <w:rsid w:val="00FE28BB"/>
    <w:rsid w:val="00FE3BF6"/>
    <w:rsid w:val="00FF3BA9"/>
    <w:rsid w:val="00FF5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603"/>
    <w:pPr>
      <w:spacing w:after="200" w:line="276" w:lineRule="auto"/>
    </w:pPr>
    <w:rPr>
      <w:rFonts w:ascii="Times New Roman" w:hAnsi="Times New Roman"/>
      <w:sz w:val="24"/>
      <w:szCs w:val="22"/>
      <w:lang w:val="en-GB"/>
    </w:rPr>
  </w:style>
  <w:style w:type="paragraph" w:styleId="Heading3">
    <w:name w:val="heading 3"/>
    <w:basedOn w:val="Normal"/>
    <w:next w:val="Normal"/>
    <w:link w:val="Heading3Char"/>
    <w:uiPriority w:val="9"/>
    <w:unhideWhenUsed/>
    <w:qFormat/>
    <w:rsid w:val="00542E2C"/>
    <w:pPr>
      <w:keepNext/>
      <w:spacing w:before="240" w:after="60"/>
      <w:outlineLvl w:val="2"/>
    </w:pPr>
    <w:rPr>
      <w:rFonts w:ascii="Cambria" w:hAnsi="Cambria"/>
      <w:b/>
      <w:bCs/>
      <w:spacing w:val="15"/>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B7A56"/>
    <w:rPr>
      <w:sz w:val="20"/>
      <w:szCs w:val="20"/>
    </w:rPr>
  </w:style>
  <w:style w:type="character" w:customStyle="1" w:styleId="FootnoteTextChar">
    <w:name w:val="Footnote Text Char"/>
    <w:link w:val="FootnoteText"/>
    <w:uiPriority w:val="99"/>
    <w:semiHidden/>
    <w:rsid w:val="004B7A56"/>
    <w:rPr>
      <w:rFonts w:ascii="Times New Roman" w:hAnsi="Times New Roman"/>
      <w:lang w:val="en-GB"/>
    </w:rPr>
  </w:style>
  <w:style w:type="character" w:styleId="FootnoteReference">
    <w:name w:val="footnote reference"/>
    <w:uiPriority w:val="99"/>
    <w:semiHidden/>
    <w:unhideWhenUsed/>
    <w:rsid w:val="004B7A56"/>
    <w:rPr>
      <w:vertAlign w:val="superscript"/>
    </w:rPr>
  </w:style>
  <w:style w:type="paragraph" w:customStyle="1" w:styleId="Quote1">
    <w:name w:val="Quote1"/>
    <w:basedOn w:val="Normal"/>
    <w:rsid w:val="00AC0932"/>
    <w:pPr>
      <w:spacing w:before="100" w:beforeAutospacing="1" w:after="100" w:afterAutospacing="1" w:line="240" w:lineRule="auto"/>
    </w:pPr>
    <w:rPr>
      <w:rFonts w:eastAsia="Times New Roman"/>
      <w:szCs w:val="24"/>
      <w:lang w:val="en-US"/>
    </w:rPr>
  </w:style>
  <w:style w:type="character" w:styleId="Hyperlink">
    <w:name w:val="Hyperlink"/>
    <w:uiPriority w:val="99"/>
    <w:semiHidden/>
    <w:unhideWhenUsed/>
    <w:rsid w:val="00AC0932"/>
    <w:rPr>
      <w:color w:val="0000FF"/>
      <w:u w:val="single"/>
    </w:rPr>
  </w:style>
  <w:style w:type="paragraph" w:styleId="BalloonText">
    <w:name w:val="Balloon Text"/>
    <w:basedOn w:val="Normal"/>
    <w:link w:val="BalloonTextChar"/>
    <w:uiPriority w:val="99"/>
    <w:semiHidden/>
    <w:unhideWhenUsed/>
    <w:rsid w:val="002C53A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C53A7"/>
    <w:rPr>
      <w:rFonts w:ascii="Segoe UI" w:hAnsi="Segoe UI" w:cs="Segoe UI"/>
      <w:sz w:val="18"/>
      <w:szCs w:val="18"/>
      <w:lang w:val="en-GB"/>
    </w:rPr>
  </w:style>
  <w:style w:type="paragraph" w:styleId="NormalWeb">
    <w:name w:val="Normal (Web)"/>
    <w:basedOn w:val="Normal"/>
    <w:uiPriority w:val="99"/>
    <w:unhideWhenUsed/>
    <w:rsid w:val="00543D9A"/>
    <w:pPr>
      <w:spacing w:before="100" w:beforeAutospacing="1" w:after="100" w:afterAutospacing="1" w:line="240" w:lineRule="auto"/>
    </w:pPr>
    <w:rPr>
      <w:rFonts w:eastAsia="Times New Roman"/>
      <w:szCs w:val="24"/>
      <w:lang w:val="en-US"/>
    </w:rPr>
  </w:style>
  <w:style w:type="paragraph" w:styleId="Header">
    <w:name w:val="header"/>
    <w:basedOn w:val="Normal"/>
    <w:link w:val="HeaderChar"/>
    <w:uiPriority w:val="99"/>
    <w:unhideWhenUsed/>
    <w:rsid w:val="00414F0F"/>
    <w:pPr>
      <w:tabs>
        <w:tab w:val="center" w:pos="4320"/>
        <w:tab w:val="right" w:pos="8640"/>
      </w:tabs>
    </w:pPr>
  </w:style>
  <w:style w:type="character" w:customStyle="1" w:styleId="HeaderChar">
    <w:name w:val="Header Char"/>
    <w:link w:val="Header"/>
    <w:uiPriority w:val="99"/>
    <w:rsid w:val="00414F0F"/>
    <w:rPr>
      <w:rFonts w:ascii="Times New Roman" w:hAnsi="Times New Roman"/>
      <w:sz w:val="24"/>
      <w:szCs w:val="22"/>
      <w:lang w:val="en-GB"/>
    </w:rPr>
  </w:style>
  <w:style w:type="paragraph" w:styleId="Footer">
    <w:name w:val="footer"/>
    <w:basedOn w:val="Normal"/>
    <w:link w:val="FooterChar"/>
    <w:uiPriority w:val="99"/>
    <w:unhideWhenUsed/>
    <w:rsid w:val="00414F0F"/>
    <w:pPr>
      <w:tabs>
        <w:tab w:val="center" w:pos="4320"/>
        <w:tab w:val="right" w:pos="8640"/>
      </w:tabs>
    </w:pPr>
  </w:style>
  <w:style w:type="character" w:customStyle="1" w:styleId="FooterChar">
    <w:name w:val="Footer Char"/>
    <w:link w:val="Footer"/>
    <w:uiPriority w:val="99"/>
    <w:rsid w:val="00414F0F"/>
    <w:rPr>
      <w:rFonts w:ascii="Times New Roman" w:hAnsi="Times New Roman"/>
      <w:sz w:val="24"/>
      <w:szCs w:val="22"/>
      <w:lang w:val="en-GB"/>
    </w:rPr>
  </w:style>
  <w:style w:type="paragraph" w:styleId="Revision">
    <w:name w:val="Revision"/>
    <w:hidden/>
    <w:uiPriority w:val="99"/>
    <w:semiHidden/>
    <w:rsid w:val="00A17DEB"/>
    <w:rPr>
      <w:rFonts w:ascii="Times New Roman" w:hAnsi="Times New Roman"/>
      <w:sz w:val="24"/>
      <w:szCs w:val="22"/>
      <w:lang w:val="en-GB"/>
    </w:rPr>
  </w:style>
  <w:style w:type="paragraph" w:styleId="ListParagraph">
    <w:name w:val="List Paragraph"/>
    <w:basedOn w:val="Normal"/>
    <w:uiPriority w:val="34"/>
    <w:qFormat/>
    <w:rsid w:val="00051776"/>
    <w:pPr>
      <w:ind w:left="720"/>
    </w:pPr>
  </w:style>
  <w:style w:type="character" w:customStyle="1" w:styleId="Heading3Char">
    <w:name w:val="Heading 3 Char"/>
    <w:link w:val="Heading3"/>
    <w:uiPriority w:val="9"/>
    <w:rsid w:val="00542E2C"/>
    <w:rPr>
      <w:rFonts w:ascii="Cambria" w:hAnsi="Cambria"/>
      <w:b/>
      <w:bCs/>
      <w:spacing w:val="15"/>
      <w:sz w:val="26"/>
      <w:szCs w:val="26"/>
      <w:lang w:val="en-GB" w:eastAsia="en-US"/>
    </w:rPr>
  </w:style>
  <w:style w:type="paragraph" w:customStyle="1" w:styleId="coram">
    <w:name w:val="coram"/>
    <w:basedOn w:val="Signature"/>
    <w:rsid w:val="00542E2C"/>
    <w:pPr>
      <w:tabs>
        <w:tab w:val="left" w:pos="2880"/>
      </w:tabs>
      <w:overflowPunct w:val="0"/>
      <w:autoSpaceDE w:val="0"/>
      <w:autoSpaceDN w:val="0"/>
      <w:adjustRightInd w:val="0"/>
      <w:snapToGrid w:val="0"/>
      <w:spacing w:after="240" w:line="240" w:lineRule="auto"/>
      <w:ind w:left="2880" w:hanging="2880"/>
      <w:textAlignment w:val="baseline"/>
    </w:pPr>
    <w:rPr>
      <w:rFonts w:eastAsia="MingLiU"/>
      <w:sz w:val="28"/>
      <w:szCs w:val="20"/>
      <w:lang w:eastAsia="zh-TW"/>
    </w:rPr>
  </w:style>
  <w:style w:type="paragraph" w:customStyle="1" w:styleId="Normal3">
    <w:name w:val="Normal 3"/>
    <w:basedOn w:val="Signature"/>
    <w:rsid w:val="00542E2C"/>
    <w:pPr>
      <w:tabs>
        <w:tab w:val="left" w:pos="3168"/>
        <w:tab w:val="right" w:pos="8280"/>
      </w:tabs>
      <w:overflowPunct w:val="0"/>
      <w:autoSpaceDE w:val="0"/>
      <w:autoSpaceDN w:val="0"/>
      <w:adjustRightInd w:val="0"/>
      <w:snapToGrid w:val="0"/>
      <w:spacing w:after="0" w:line="240" w:lineRule="auto"/>
      <w:ind w:left="0"/>
      <w:jc w:val="right"/>
      <w:textAlignment w:val="baseline"/>
    </w:pPr>
    <w:rPr>
      <w:rFonts w:eastAsia="MingLiU"/>
      <w:sz w:val="28"/>
      <w:szCs w:val="20"/>
    </w:rPr>
  </w:style>
  <w:style w:type="paragraph" w:customStyle="1" w:styleId="NormalMF">
    <w:name w:val="NormalMF"/>
    <w:basedOn w:val="Normal"/>
    <w:rsid w:val="00542E2C"/>
    <w:pPr>
      <w:tabs>
        <w:tab w:val="left" w:pos="1440"/>
        <w:tab w:val="center" w:pos="4320"/>
        <w:tab w:val="right" w:pos="8280"/>
        <w:tab w:val="right" w:pos="9000"/>
      </w:tabs>
      <w:overflowPunct w:val="0"/>
      <w:autoSpaceDE w:val="0"/>
      <w:autoSpaceDN w:val="0"/>
      <w:adjustRightInd w:val="0"/>
      <w:snapToGrid w:val="0"/>
      <w:spacing w:after="0" w:line="240" w:lineRule="auto"/>
      <w:jc w:val="center"/>
      <w:textAlignment w:val="baseline"/>
    </w:pPr>
    <w:rPr>
      <w:rFonts w:eastAsia="MingLiU"/>
      <w:b/>
      <w:caps/>
      <w:sz w:val="32"/>
      <w:szCs w:val="20"/>
    </w:rPr>
  </w:style>
  <w:style w:type="paragraph" w:customStyle="1" w:styleId="MF">
    <w:name w:val="MF"/>
    <w:basedOn w:val="NormalMF"/>
    <w:rsid w:val="00542E2C"/>
    <w:rPr>
      <w:b w:val="0"/>
      <w:sz w:val="28"/>
    </w:rPr>
  </w:style>
  <w:style w:type="paragraph" w:styleId="BodyTextIndent">
    <w:name w:val="Body Text Indent"/>
    <w:basedOn w:val="Normal"/>
    <w:link w:val="BodyTextIndentChar"/>
    <w:semiHidden/>
    <w:rsid w:val="00542E2C"/>
    <w:pPr>
      <w:widowControl w:val="0"/>
      <w:spacing w:after="0" w:line="240" w:lineRule="auto"/>
      <w:ind w:left="284" w:hanging="284"/>
      <w:jc w:val="both"/>
    </w:pPr>
    <w:rPr>
      <w:kern w:val="2"/>
      <w:szCs w:val="20"/>
      <w:lang w:val="en-US"/>
    </w:rPr>
  </w:style>
  <w:style w:type="character" w:customStyle="1" w:styleId="BodyTextIndentChar">
    <w:name w:val="Body Text Indent Char"/>
    <w:link w:val="BodyTextIndent"/>
    <w:semiHidden/>
    <w:rsid w:val="00542E2C"/>
    <w:rPr>
      <w:rFonts w:ascii="Times New Roman" w:hAnsi="Times New Roman"/>
      <w:kern w:val="2"/>
      <w:sz w:val="24"/>
    </w:rPr>
  </w:style>
  <w:style w:type="paragraph" w:customStyle="1" w:styleId="sh">
    <w:name w:val="sh"/>
    <w:basedOn w:val="Normal"/>
    <w:rsid w:val="00542E2C"/>
    <w:pPr>
      <w:tabs>
        <w:tab w:val="left" w:pos="720"/>
        <w:tab w:val="left" w:pos="1440"/>
        <w:tab w:val="center" w:pos="4320"/>
        <w:tab w:val="right" w:pos="9072"/>
      </w:tabs>
      <w:spacing w:after="0" w:line="240" w:lineRule="auto"/>
    </w:pPr>
    <w:rPr>
      <w:sz w:val="28"/>
      <w:szCs w:val="20"/>
      <w:lang w:val="en-US"/>
    </w:rPr>
  </w:style>
  <w:style w:type="paragraph" w:styleId="Signature">
    <w:name w:val="Signature"/>
    <w:basedOn w:val="Normal"/>
    <w:link w:val="SignatureChar"/>
    <w:uiPriority w:val="99"/>
    <w:semiHidden/>
    <w:unhideWhenUsed/>
    <w:rsid w:val="00542E2C"/>
    <w:pPr>
      <w:ind w:left="4320"/>
    </w:pPr>
  </w:style>
  <w:style w:type="character" w:customStyle="1" w:styleId="SignatureChar">
    <w:name w:val="Signature Char"/>
    <w:link w:val="Signature"/>
    <w:uiPriority w:val="99"/>
    <w:semiHidden/>
    <w:rsid w:val="00542E2C"/>
    <w:rPr>
      <w:rFonts w:ascii="Times New Roman" w:hAnsi="Times New Roman"/>
      <w:sz w:val="24"/>
      <w:szCs w:val="22"/>
      <w:lang w:val="en-GB"/>
    </w:rPr>
  </w:style>
  <w:style w:type="paragraph" w:customStyle="1" w:styleId="Normal1">
    <w:name w:val="Normal 1"/>
    <w:basedOn w:val="Signature"/>
    <w:rsid w:val="0049743C"/>
    <w:pPr>
      <w:tabs>
        <w:tab w:val="left" w:pos="3168"/>
        <w:tab w:val="center" w:pos="4018"/>
        <w:tab w:val="right" w:pos="8280"/>
      </w:tabs>
      <w:overflowPunct w:val="0"/>
      <w:autoSpaceDE w:val="0"/>
      <w:autoSpaceDN w:val="0"/>
      <w:adjustRightInd w:val="0"/>
      <w:snapToGrid w:val="0"/>
      <w:spacing w:after="0" w:line="240" w:lineRule="auto"/>
      <w:ind w:left="0"/>
      <w:textAlignment w:val="baseline"/>
    </w:pPr>
    <w:rPr>
      <w:rFonts w:eastAsia="MingLiU"/>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347367">
      <w:bodyDiv w:val="1"/>
      <w:marLeft w:val="0"/>
      <w:marRight w:val="0"/>
      <w:marTop w:val="0"/>
      <w:marBottom w:val="0"/>
      <w:divBdr>
        <w:top w:val="none" w:sz="0" w:space="0" w:color="auto"/>
        <w:left w:val="none" w:sz="0" w:space="0" w:color="auto"/>
        <w:bottom w:val="none" w:sz="0" w:space="0" w:color="auto"/>
        <w:right w:val="none" w:sz="0" w:space="0" w:color="auto"/>
      </w:divBdr>
      <w:divsChild>
        <w:div w:id="1641425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404897">
      <w:bodyDiv w:val="1"/>
      <w:marLeft w:val="0"/>
      <w:marRight w:val="0"/>
      <w:marTop w:val="0"/>
      <w:marBottom w:val="0"/>
      <w:divBdr>
        <w:top w:val="none" w:sz="0" w:space="0" w:color="auto"/>
        <w:left w:val="none" w:sz="0" w:space="0" w:color="auto"/>
        <w:bottom w:val="none" w:sz="0" w:space="0" w:color="auto"/>
        <w:right w:val="none" w:sz="0" w:space="0" w:color="auto"/>
      </w:divBdr>
      <w:divsChild>
        <w:div w:id="60300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06020-C5E3-4ED4-806D-60E144545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6339</Words>
  <Characters>36134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2025-01-03T01:59:00Z</dcterms:created>
  <dcterms:modified xsi:type="dcterms:W3CDTF">2025-01-03T02:56:00Z</dcterms:modified>
</cp:coreProperties>
</file>