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20" w:rsidRPr="002776E0" w:rsidRDefault="008C0B20" w:rsidP="008C0B20">
      <w:pPr>
        <w:jc w:val="right"/>
        <w:rPr>
          <w:b/>
          <w:sz w:val="28"/>
          <w:szCs w:val="28"/>
        </w:rPr>
      </w:pPr>
      <w:bookmarkStart w:id="0" w:name="_GoBack"/>
      <w:bookmarkEnd w:id="0"/>
      <w:r w:rsidRPr="002776E0">
        <w:rPr>
          <w:b/>
          <w:sz w:val="28"/>
          <w:szCs w:val="28"/>
        </w:rPr>
        <w:t>FAC</w:t>
      </w:r>
      <w:r w:rsidR="00872AF3" w:rsidRPr="002776E0">
        <w:rPr>
          <w:b/>
          <w:sz w:val="28"/>
          <w:szCs w:val="28"/>
        </w:rPr>
        <w:t>V</w:t>
      </w:r>
      <w:r w:rsidRPr="002776E0">
        <w:rPr>
          <w:b/>
          <w:sz w:val="28"/>
          <w:szCs w:val="28"/>
        </w:rPr>
        <w:t xml:space="preserve"> No. </w:t>
      </w:r>
      <w:r w:rsidR="00B6147A">
        <w:rPr>
          <w:b/>
          <w:sz w:val="28"/>
          <w:szCs w:val="28"/>
        </w:rPr>
        <w:t>1</w:t>
      </w:r>
      <w:r w:rsidRPr="002776E0">
        <w:rPr>
          <w:b/>
          <w:sz w:val="28"/>
          <w:szCs w:val="28"/>
        </w:rPr>
        <w:t xml:space="preserve"> of 20</w:t>
      </w:r>
      <w:r w:rsidR="00792089" w:rsidRPr="002776E0">
        <w:rPr>
          <w:b/>
          <w:sz w:val="28"/>
          <w:szCs w:val="28"/>
        </w:rPr>
        <w:t>2</w:t>
      </w:r>
      <w:r w:rsidR="00B6147A">
        <w:rPr>
          <w:b/>
          <w:sz w:val="28"/>
          <w:szCs w:val="28"/>
        </w:rPr>
        <w:t>4</w:t>
      </w:r>
    </w:p>
    <w:p w:rsidR="008C0B20" w:rsidRPr="00354DA8" w:rsidRDefault="008C0B20" w:rsidP="008C0B20">
      <w:pPr>
        <w:jc w:val="right"/>
        <w:rPr>
          <w:rFonts w:eastAsia="PMingLiU"/>
          <w:b/>
          <w:sz w:val="28"/>
          <w:szCs w:val="28"/>
          <w:lang w:eastAsia="zh-TW"/>
        </w:rPr>
      </w:pPr>
      <w:r w:rsidRPr="002776E0">
        <w:rPr>
          <w:b/>
          <w:sz w:val="28"/>
          <w:szCs w:val="28"/>
        </w:rPr>
        <w:t>[20</w:t>
      </w:r>
      <w:r w:rsidR="00420280" w:rsidRPr="002776E0">
        <w:rPr>
          <w:b/>
          <w:sz w:val="28"/>
          <w:szCs w:val="28"/>
        </w:rPr>
        <w:t>2</w:t>
      </w:r>
      <w:r w:rsidR="00B6147A">
        <w:rPr>
          <w:b/>
          <w:sz w:val="28"/>
          <w:szCs w:val="28"/>
        </w:rPr>
        <w:t>4</w:t>
      </w:r>
      <w:r w:rsidRPr="002776E0">
        <w:rPr>
          <w:b/>
          <w:sz w:val="28"/>
          <w:szCs w:val="28"/>
        </w:rPr>
        <w:t xml:space="preserve">] HKCFA </w:t>
      </w:r>
      <w:r w:rsidR="00D84CCD" w:rsidRPr="00D84CCD">
        <w:rPr>
          <w:b/>
          <w:sz w:val="28"/>
          <w:szCs w:val="28"/>
        </w:rPr>
        <w:t>27</w:t>
      </w:r>
    </w:p>
    <w:p w:rsidR="00697CE2" w:rsidRPr="002776E0" w:rsidRDefault="00697CE2" w:rsidP="00354DA8">
      <w:pPr>
        <w:jc w:val="center"/>
        <w:rPr>
          <w:sz w:val="28"/>
          <w:szCs w:val="28"/>
        </w:rPr>
      </w:pPr>
    </w:p>
    <w:p w:rsidR="00456116" w:rsidRPr="002776E0" w:rsidRDefault="00456116" w:rsidP="00354DA8">
      <w:pPr>
        <w:jc w:val="center"/>
        <w:rPr>
          <w:sz w:val="28"/>
          <w:szCs w:val="28"/>
        </w:rPr>
      </w:pPr>
    </w:p>
    <w:p w:rsidR="008C0B20" w:rsidRPr="002776E0" w:rsidRDefault="008C0B20" w:rsidP="008C0B20">
      <w:pPr>
        <w:jc w:val="center"/>
        <w:rPr>
          <w:b/>
          <w:bCs/>
          <w:sz w:val="28"/>
          <w:szCs w:val="28"/>
        </w:rPr>
      </w:pPr>
      <w:r w:rsidRPr="002776E0">
        <w:rPr>
          <w:b/>
          <w:bCs/>
          <w:sz w:val="28"/>
          <w:szCs w:val="28"/>
        </w:rPr>
        <w:t>IN THE COURT OF FINAL APPEAL OF THE</w:t>
      </w:r>
    </w:p>
    <w:p w:rsidR="008C0B20" w:rsidRPr="002776E0" w:rsidRDefault="008C0B20" w:rsidP="008C0B20">
      <w:pPr>
        <w:jc w:val="center"/>
        <w:rPr>
          <w:sz w:val="28"/>
          <w:szCs w:val="28"/>
        </w:rPr>
      </w:pPr>
      <w:r w:rsidRPr="002776E0">
        <w:rPr>
          <w:b/>
          <w:bCs/>
          <w:sz w:val="28"/>
          <w:szCs w:val="28"/>
        </w:rPr>
        <w:t>HONG KONG SPECIAL ADMINISTRATIVE REGION</w:t>
      </w:r>
    </w:p>
    <w:p w:rsidR="008C0B20" w:rsidRPr="002776E0" w:rsidRDefault="008C0B20" w:rsidP="008C0B20">
      <w:pPr>
        <w:jc w:val="center"/>
        <w:rPr>
          <w:sz w:val="28"/>
          <w:szCs w:val="28"/>
        </w:rPr>
      </w:pPr>
    </w:p>
    <w:p w:rsidR="008C0B20" w:rsidRPr="002776E0" w:rsidRDefault="008C0B20" w:rsidP="00697CE2">
      <w:pPr>
        <w:jc w:val="center"/>
        <w:rPr>
          <w:b/>
          <w:bCs/>
          <w:sz w:val="28"/>
          <w:szCs w:val="28"/>
        </w:rPr>
      </w:pPr>
      <w:r w:rsidRPr="002776E0">
        <w:rPr>
          <w:b/>
          <w:bCs/>
          <w:sz w:val="28"/>
          <w:szCs w:val="28"/>
        </w:rPr>
        <w:t xml:space="preserve">FINAL APPEAL NO. </w:t>
      </w:r>
      <w:r w:rsidR="00B6147A">
        <w:rPr>
          <w:b/>
          <w:bCs/>
          <w:sz w:val="28"/>
          <w:szCs w:val="28"/>
        </w:rPr>
        <w:t>1</w:t>
      </w:r>
      <w:r w:rsidRPr="002776E0">
        <w:rPr>
          <w:b/>
          <w:bCs/>
          <w:sz w:val="28"/>
          <w:szCs w:val="28"/>
        </w:rPr>
        <w:t xml:space="preserve"> OF 20</w:t>
      </w:r>
      <w:r w:rsidR="00792089" w:rsidRPr="002776E0">
        <w:rPr>
          <w:b/>
          <w:bCs/>
          <w:sz w:val="28"/>
          <w:szCs w:val="28"/>
        </w:rPr>
        <w:t>2</w:t>
      </w:r>
      <w:r w:rsidR="00B6147A">
        <w:rPr>
          <w:b/>
          <w:bCs/>
          <w:sz w:val="28"/>
          <w:szCs w:val="28"/>
        </w:rPr>
        <w:t>4</w:t>
      </w:r>
      <w:r w:rsidRPr="002776E0">
        <w:rPr>
          <w:b/>
          <w:bCs/>
          <w:sz w:val="28"/>
          <w:szCs w:val="28"/>
        </w:rPr>
        <w:t xml:space="preserve"> (C</w:t>
      </w:r>
      <w:r w:rsidR="00872AF3" w:rsidRPr="002776E0">
        <w:rPr>
          <w:b/>
          <w:bCs/>
          <w:sz w:val="28"/>
          <w:szCs w:val="28"/>
        </w:rPr>
        <w:t>IVI</w:t>
      </w:r>
      <w:r w:rsidRPr="002776E0">
        <w:rPr>
          <w:b/>
          <w:bCs/>
          <w:sz w:val="28"/>
          <w:szCs w:val="28"/>
        </w:rPr>
        <w:t>L)</w:t>
      </w:r>
    </w:p>
    <w:p w:rsidR="008C0B20" w:rsidRPr="002776E0" w:rsidRDefault="008C0B20" w:rsidP="00697CE2">
      <w:pPr>
        <w:jc w:val="center"/>
        <w:rPr>
          <w:b/>
          <w:sz w:val="28"/>
          <w:szCs w:val="28"/>
        </w:rPr>
      </w:pPr>
      <w:r w:rsidRPr="002776E0">
        <w:rPr>
          <w:sz w:val="28"/>
          <w:szCs w:val="28"/>
        </w:rPr>
        <w:t xml:space="preserve">(ON APPEAL FROM </w:t>
      </w:r>
      <w:r w:rsidR="00697CE2" w:rsidRPr="002776E0">
        <w:rPr>
          <w:sz w:val="28"/>
          <w:szCs w:val="28"/>
        </w:rPr>
        <w:t>CAC</w:t>
      </w:r>
      <w:r w:rsidR="00872AF3" w:rsidRPr="002776E0">
        <w:rPr>
          <w:sz w:val="28"/>
          <w:szCs w:val="28"/>
        </w:rPr>
        <w:t>V</w:t>
      </w:r>
      <w:r w:rsidRPr="002776E0">
        <w:rPr>
          <w:sz w:val="28"/>
          <w:szCs w:val="28"/>
        </w:rPr>
        <w:t xml:space="preserve"> NO. </w:t>
      </w:r>
      <w:r w:rsidR="00B6147A">
        <w:rPr>
          <w:sz w:val="28"/>
          <w:szCs w:val="28"/>
        </w:rPr>
        <w:t>418 OF 2020</w:t>
      </w:r>
      <w:r w:rsidRPr="002776E0">
        <w:rPr>
          <w:sz w:val="28"/>
          <w:szCs w:val="28"/>
        </w:rPr>
        <w:t>)</w:t>
      </w:r>
    </w:p>
    <w:p w:rsidR="008C0B20" w:rsidRPr="002776E0" w:rsidRDefault="008C0B20" w:rsidP="009D0202">
      <w:pPr>
        <w:pStyle w:val="MF"/>
        <w:tabs>
          <w:tab w:val="clear" w:pos="1440"/>
          <w:tab w:val="clear" w:pos="4320"/>
          <w:tab w:val="clear" w:pos="8280"/>
          <w:tab w:val="clear" w:pos="9000"/>
          <w:tab w:val="center" w:pos="4536"/>
        </w:tabs>
        <w:spacing w:before="120"/>
        <w:rPr>
          <w:szCs w:val="28"/>
          <w:lang w:eastAsia="zh-TW"/>
        </w:rPr>
      </w:pPr>
      <w:r w:rsidRPr="002776E0">
        <w:rPr>
          <w:szCs w:val="28"/>
        </w:rPr>
        <w:t>_______________________</w:t>
      </w:r>
      <w:r w:rsidR="00B11E75" w:rsidRPr="002776E0">
        <w:rPr>
          <w:szCs w:val="28"/>
        </w:rPr>
        <w:t>__</w:t>
      </w:r>
    </w:p>
    <w:p w:rsidR="00354DA8" w:rsidRDefault="00354DA8" w:rsidP="00354DA8">
      <w:pPr>
        <w:rPr>
          <w:sz w:val="28"/>
          <w:szCs w:val="28"/>
        </w:rPr>
      </w:pPr>
    </w:p>
    <w:p w:rsidR="00354DA8" w:rsidRPr="002776E0" w:rsidRDefault="00354DA8" w:rsidP="00354DA8">
      <w:pPr>
        <w:rPr>
          <w:sz w:val="28"/>
          <w:szCs w:val="28"/>
          <w:lang w:eastAsia="zh-CN"/>
        </w:rPr>
      </w:pPr>
    </w:p>
    <w:p w:rsidR="00697CE2" w:rsidRPr="002776E0" w:rsidRDefault="00697CE2" w:rsidP="00354DA8">
      <w:pPr>
        <w:rPr>
          <w:sz w:val="28"/>
          <w:szCs w:val="28"/>
        </w:rPr>
      </w:pPr>
      <w:r w:rsidRPr="002776E0">
        <w:rPr>
          <w:sz w:val="28"/>
          <w:szCs w:val="28"/>
        </w:rPr>
        <w:t>BETWEEN</w:t>
      </w:r>
    </w:p>
    <w:p w:rsidR="008302C8" w:rsidRPr="002776E0" w:rsidRDefault="008302C8" w:rsidP="00354DA8">
      <w:pPr>
        <w:rPr>
          <w:sz w:val="28"/>
          <w:szCs w:val="28"/>
        </w:rPr>
      </w:pPr>
    </w:p>
    <w:tbl>
      <w:tblPr>
        <w:tblW w:w="8964" w:type="dxa"/>
        <w:tblInd w:w="108" w:type="dxa"/>
        <w:tblLayout w:type="fixed"/>
        <w:tblLook w:val="0000" w:firstRow="0" w:lastRow="0" w:firstColumn="0" w:lastColumn="0" w:noHBand="0" w:noVBand="0"/>
      </w:tblPr>
      <w:tblGrid>
        <w:gridCol w:w="2019"/>
        <w:gridCol w:w="4677"/>
        <w:gridCol w:w="2268"/>
      </w:tblGrid>
      <w:tr w:rsidR="00792089" w:rsidRPr="002776E0" w:rsidTr="00C224F1">
        <w:trPr>
          <w:cantSplit/>
          <w:trHeight w:val="720"/>
        </w:trPr>
        <w:tc>
          <w:tcPr>
            <w:tcW w:w="2019" w:type="dxa"/>
            <w:vAlign w:val="center"/>
          </w:tcPr>
          <w:p w:rsidR="00792089" w:rsidRPr="002776E0" w:rsidRDefault="00792089" w:rsidP="00000A39">
            <w:pPr>
              <w:jc w:val="center"/>
              <w:rPr>
                <w:b/>
                <w:sz w:val="28"/>
                <w:szCs w:val="28"/>
              </w:rPr>
            </w:pPr>
          </w:p>
        </w:tc>
        <w:tc>
          <w:tcPr>
            <w:tcW w:w="4677" w:type="dxa"/>
          </w:tcPr>
          <w:p w:rsidR="00792089" w:rsidRPr="002776E0" w:rsidRDefault="00B6147A" w:rsidP="00C224F1">
            <w:pPr>
              <w:jc w:val="center"/>
              <w:rPr>
                <w:b/>
                <w:bCs/>
                <w:color w:val="000000"/>
                <w:sz w:val="28"/>
                <w:szCs w:val="28"/>
              </w:rPr>
            </w:pPr>
            <w:r>
              <w:rPr>
                <w:b/>
                <w:sz w:val="28"/>
                <w:szCs w:val="28"/>
              </w:rPr>
              <w:t>LUI MING LOK (</w:t>
            </w:r>
            <w:r w:rsidRPr="00A20029">
              <w:rPr>
                <w:rFonts w:ascii="宋体" w:hAnsi="宋体" w:hint="eastAsia"/>
                <w:b/>
                <w:sz w:val="28"/>
                <w:szCs w:val="28"/>
                <w:lang w:eastAsia="zh-HK"/>
              </w:rPr>
              <w:t>雷明樂</w:t>
            </w:r>
            <w:r>
              <w:rPr>
                <w:b/>
                <w:sz w:val="28"/>
                <w:szCs w:val="28"/>
              </w:rPr>
              <w:t>)</w:t>
            </w:r>
          </w:p>
        </w:tc>
        <w:tc>
          <w:tcPr>
            <w:tcW w:w="2268" w:type="dxa"/>
          </w:tcPr>
          <w:p w:rsidR="00792089" w:rsidRPr="002776E0" w:rsidRDefault="00792089" w:rsidP="00C224F1">
            <w:pPr>
              <w:jc w:val="right"/>
              <w:rPr>
                <w:b/>
                <w:sz w:val="28"/>
                <w:szCs w:val="28"/>
              </w:rPr>
            </w:pPr>
            <w:r w:rsidRPr="002776E0">
              <w:rPr>
                <w:b/>
                <w:sz w:val="28"/>
                <w:szCs w:val="28"/>
              </w:rPr>
              <w:t>Plaintiff</w:t>
            </w:r>
          </w:p>
          <w:p w:rsidR="00792089" w:rsidRPr="002776E0" w:rsidRDefault="00792089" w:rsidP="00C224F1">
            <w:pPr>
              <w:jc w:val="right"/>
              <w:rPr>
                <w:b/>
                <w:color w:val="000000"/>
                <w:sz w:val="28"/>
                <w:szCs w:val="28"/>
              </w:rPr>
            </w:pPr>
            <w:r w:rsidRPr="002776E0">
              <w:rPr>
                <w:b/>
                <w:sz w:val="28"/>
                <w:szCs w:val="28"/>
              </w:rPr>
              <w:t>(Appellant)</w:t>
            </w:r>
          </w:p>
        </w:tc>
      </w:tr>
      <w:tr w:rsidR="00792089" w:rsidRPr="002776E0" w:rsidTr="00C4349D">
        <w:trPr>
          <w:cantSplit/>
          <w:trHeight w:val="855"/>
        </w:trPr>
        <w:tc>
          <w:tcPr>
            <w:tcW w:w="2019" w:type="dxa"/>
            <w:vAlign w:val="center"/>
          </w:tcPr>
          <w:p w:rsidR="00792089" w:rsidRPr="002776E0" w:rsidRDefault="00792089" w:rsidP="00000A39">
            <w:pPr>
              <w:jc w:val="center"/>
              <w:rPr>
                <w:b/>
                <w:sz w:val="28"/>
                <w:szCs w:val="28"/>
              </w:rPr>
            </w:pPr>
          </w:p>
        </w:tc>
        <w:tc>
          <w:tcPr>
            <w:tcW w:w="4677" w:type="dxa"/>
            <w:vAlign w:val="center"/>
          </w:tcPr>
          <w:p w:rsidR="00792089" w:rsidRPr="002776E0" w:rsidRDefault="00792089" w:rsidP="00C224F1">
            <w:pPr>
              <w:tabs>
                <w:tab w:val="center" w:pos="2863"/>
              </w:tabs>
              <w:jc w:val="center"/>
              <w:rPr>
                <w:b/>
                <w:bCs/>
                <w:color w:val="000000"/>
                <w:sz w:val="28"/>
                <w:szCs w:val="28"/>
              </w:rPr>
            </w:pPr>
            <w:r w:rsidRPr="002776E0">
              <w:rPr>
                <w:b/>
                <w:sz w:val="28"/>
                <w:szCs w:val="28"/>
              </w:rPr>
              <w:t>and</w:t>
            </w:r>
          </w:p>
        </w:tc>
        <w:tc>
          <w:tcPr>
            <w:tcW w:w="2268" w:type="dxa"/>
          </w:tcPr>
          <w:p w:rsidR="00792089" w:rsidRPr="002776E0" w:rsidRDefault="00792089" w:rsidP="00C224F1">
            <w:pPr>
              <w:jc w:val="right"/>
              <w:rPr>
                <w:b/>
                <w:color w:val="000000"/>
                <w:sz w:val="28"/>
                <w:szCs w:val="28"/>
              </w:rPr>
            </w:pPr>
          </w:p>
        </w:tc>
      </w:tr>
      <w:tr w:rsidR="00792089" w:rsidRPr="002776E0" w:rsidTr="00C224F1">
        <w:trPr>
          <w:cantSplit/>
          <w:trHeight w:val="1962"/>
        </w:trPr>
        <w:tc>
          <w:tcPr>
            <w:tcW w:w="2019" w:type="dxa"/>
            <w:vAlign w:val="center"/>
          </w:tcPr>
          <w:p w:rsidR="00792089" w:rsidRPr="002776E0" w:rsidRDefault="00792089" w:rsidP="00000A39">
            <w:pPr>
              <w:jc w:val="center"/>
              <w:rPr>
                <w:b/>
                <w:sz w:val="28"/>
                <w:szCs w:val="28"/>
              </w:rPr>
            </w:pPr>
          </w:p>
        </w:tc>
        <w:tc>
          <w:tcPr>
            <w:tcW w:w="4677" w:type="dxa"/>
          </w:tcPr>
          <w:p w:rsidR="00792089" w:rsidRPr="00B6147A" w:rsidRDefault="00B6147A" w:rsidP="00C4349D">
            <w:pPr>
              <w:spacing w:before="120"/>
              <w:jc w:val="center"/>
              <w:rPr>
                <w:rFonts w:eastAsia="PMingLiU"/>
                <w:b/>
                <w:sz w:val="28"/>
                <w:szCs w:val="28"/>
                <w:lang w:eastAsia="zh-TW"/>
              </w:rPr>
            </w:pPr>
            <w:r>
              <w:rPr>
                <w:b/>
                <w:sz w:val="28"/>
                <w:szCs w:val="28"/>
              </w:rPr>
              <w:t>NG IM FONG LORETTA (</w:t>
            </w:r>
            <w:r w:rsidRPr="00A20029">
              <w:rPr>
                <w:rFonts w:ascii="宋体" w:hAnsi="宋体" w:hint="eastAsia"/>
                <w:b/>
                <w:sz w:val="28"/>
                <w:szCs w:val="28"/>
                <w:lang w:eastAsia="zh-HK"/>
              </w:rPr>
              <w:t>伍艷芳</w:t>
            </w:r>
            <w:r>
              <w:rPr>
                <w:b/>
                <w:sz w:val="28"/>
                <w:szCs w:val="28"/>
              </w:rPr>
              <w:t xml:space="preserve">), the executrix of the estate of </w:t>
            </w:r>
            <w:r w:rsidR="00C224F1">
              <w:rPr>
                <w:b/>
                <w:sz w:val="28"/>
                <w:szCs w:val="28"/>
              </w:rPr>
              <w:br/>
            </w:r>
            <w:r>
              <w:rPr>
                <w:b/>
                <w:sz w:val="28"/>
                <w:szCs w:val="28"/>
              </w:rPr>
              <w:t>LUI KWAN CHEUNG (</w:t>
            </w:r>
            <w:r w:rsidRPr="00A20029">
              <w:rPr>
                <w:rFonts w:ascii="宋体" w:hAnsi="宋体" w:hint="eastAsia"/>
                <w:b/>
                <w:sz w:val="28"/>
                <w:szCs w:val="28"/>
                <w:lang w:eastAsia="zh-HK"/>
              </w:rPr>
              <w:t>雷均祥</w:t>
            </w:r>
            <w:r>
              <w:rPr>
                <w:b/>
                <w:sz w:val="28"/>
                <w:szCs w:val="28"/>
              </w:rPr>
              <w:t>), Deceased</w:t>
            </w:r>
            <w:r w:rsidR="009643F2">
              <w:rPr>
                <w:b/>
                <w:sz w:val="28"/>
                <w:szCs w:val="28"/>
              </w:rPr>
              <w:t xml:space="preserve"> under the Grant of Probate No.</w:t>
            </w:r>
            <w:r>
              <w:rPr>
                <w:b/>
                <w:sz w:val="28"/>
                <w:szCs w:val="28"/>
              </w:rPr>
              <w:t>HCAG016896/2015</w:t>
            </w:r>
          </w:p>
        </w:tc>
        <w:tc>
          <w:tcPr>
            <w:tcW w:w="2268" w:type="dxa"/>
          </w:tcPr>
          <w:p w:rsidR="00792089" w:rsidRPr="00C4349D" w:rsidRDefault="00792089" w:rsidP="00C4349D">
            <w:pPr>
              <w:snapToGrid w:val="0"/>
              <w:spacing w:before="120"/>
              <w:jc w:val="right"/>
              <w:rPr>
                <w:b/>
                <w:sz w:val="28"/>
                <w:szCs w:val="28"/>
              </w:rPr>
            </w:pPr>
            <w:r w:rsidRPr="002776E0">
              <w:rPr>
                <w:b/>
                <w:sz w:val="28"/>
                <w:szCs w:val="28"/>
              </w:rPr>
              <w:t>Defendant</w:t>
            </w:r>
            <w:r w:rsidR="00C4349D">
              <w:rPr>
                <w:b/>
                <w:sz w:val="28"/>
                <w:szCs w:val="28"/>
              </w:rPr>
              <w:br/>
            </w:r>
            <w:r w:rsidRPr="002776E0">
              <w:rPr>
                <w:b/>
                <w:sz w:val="28"/>
                <w:szCs w:val="28"/>
              </w:rPr>
              <w:t>(Respondent)</w:t>
            </w:r>
          </w:p>
        </w:tc>
      </w:tr>
    </w:tbl>
    <w:p w:rsidR="008302C8" w:rsidRPr="002776E0" w:rsidRDefault="008302C8" w:rsidP="008302C8">
      <w:pPr>
        <w:rPr>
          <w:sz w:val="28"/>
          <w:szCs w:val="28"/>
        </w:rPr>
      </w:pPr>
    </w:p>
    <w:p w:rsidR="00697CE2" w:rsidRPr="002776E0" w:rsidRDefault="00697CE2" w:rsidP="008302C8">
      <w:pPr>
        <w:pStyle w:val="MF"/>
        <w:tabs>
          <w:tab w:val="clear" w:pos="1440"/>
          <w:tab w:val="clear" w:pos="4320"/>
          <w:tab w:val="clear" w:pos="8280"/>
          <w:tab w:val="clear" w:pos="9000"/>
        </w:tabs>
        <w:rPr>
          <w:szCs w:val="28"/>
          <w:lang w:eastAsia="zh-TW"/>
        </w:rPr>
      </w:pPr>
      <w:r w:rsidRPr="002776E0">
        <w:rPr>
          <w:szCs w:val="28"/>
        </w:rPr>
        <w:t>_____________</w:t>
      </w:r>
      <w:r w:rsidR="00B11E75" w:rsidRPr="002776E0">
        <w:rPr>
          <w:szCs w:val="28"/>
        </w:rPr>
        <w:t>__</w:t>
      </w:r>
      <w:r w:rsidRPr="002776E0">
        <w:rPr>
          <w:szCs w:val="28"/>
        </w:rPr>
        <w:t>__________</w:t>
      </w:r>
    </w:p>
    <w:p w:rsidR="008C0B20" w:rsidRPr="002776E0" w:rsidRDefault="008C0B20" w:rsidP="00354DA8">
      <w:pPr>
        <w:rPr>
          <w:bCs/>
          <w:sz w:val="28"/>
          <w:szCs w:val="28"/>
        </w:rPr>
      </w:pPr>
    </w:p>
    <w:p w:rsidR="00B11E75" w:rsidRPr="002776E0" w:rsidRDefault="00B11E75" w:rsidP="00354DA8">
      <w:pPr>
        <w:pStyle w:val="Bob1"/>
        <w:numPr>
          <w:ilvl w:val="0"/>
          <w:numId w:val="0"/>
        </w:numPr>
        <w:spacing w:after="0" w:line="240" w:lineRule="auto"/>
        <w:ind w:left="720" w:hanging="720"/>
        <w:rPr>
          <w:b/>
        </w:rPr>
      </w:pPr>
    </w:p>
    <w:tbl>
      <w:tblPr>
        <w:tblW w:w="8982" w:type="dxa"/>
        <w:tblInd w:w="108" w:type="dxa"/>
        <w:tblLook w:val="0000" w:firstRow="0" w:lastRow="0" w:firstColumn="0" w:lastColumn="0" w:noHBand="0" w:noVBand="0"/>
      </w:tblPr>
      <w:tblGrid>
        <w:gridCol w:w="2772"/>
        <w:gridCol w:w="6210"/>
      </w:tblGrid>
      <w:tr w:rsidR="008C0B20" w:rsidRPr="002776E0" w:rsidTr="00297C2E">
        <w:trPr>
          <w:trHeight w:val="1062"/>
        </w:trPr>
        <w:tc>
          <w:tcPr>
            <w:tcW w:w="2772" w:type="dxa"/>
          </w:tcPr>
          <w:p w:rsidR="008C0B20" w:rsidRPr="002776E0" w:rsidRDefault="008C0B20" w:rsidP="006657B5">
            <w:pPr>
              <w:ind w:left="-15" w:right="-180"/>
              <w:rPr>
                <w:sz w:val="28"/>
                <w:szCs w:val="28"/>
              </w:rPr>
            </w:pPr>
            <w:r w:rsidRPr="002776E0">
              <w:rPr>
                <w:sz w:val="28"/>
                <w:szCs w:val="28"/>
              </w:rPr>
              <w:t>Before:</w:t>
            </w:r>
          </w:p>
        </w:tc>
        <w:tc>
          <w:tcPr>
            <w:tcW w:w="6210" w:type="dxa"/>
          </w:tcPr>
          <w:p w:rsidR="008C0B20" w:rsidRPr="002776E0" w:rsidRDefault="008C0B20" w:rsidP="006657B5">
            <w:pPr>
              <w:rPr>
                <w:sz w:val="28"/>
                <w:szCs w:val="28"/>
              </w:rPr>
            </w:pPr>
            <w:r w:rsidRPr="002776E0">
              <w:rPr>
                <w:sz w:val="28"/>
                <w:szCs w:val="28"/>
              </w:rPr>
              <w:t xml:space="preserve">Chief Justice </w:t>
            </w:r>
            <w:r w:rsidR="00D12BC3" w:rsidRPr="002776E0">
              <w:rPr>
                <w:sz w:val="28"/>
                <w:szCs w:val="28"/>
              </w:rPr>
              <w:t>Cheung</w:t>
            </w:r>
            <w:r w:rsidRPr="002776E0">
              <w:rPr>
                <w:sz w:val="28"/>
                <w:szCs w:val="28"/>
              </w:rPr>
              <w:t>, Mr Justice Ribeiro PJ,</w:t>
            </w:r>
          </w:p>
          <w:p w:rsidR="008C0B20" w:rsidRPr="002776E0" w:rsidRDefault="008C0B20" w:rsidP="006657B5">
            <w:pPr>
              <w:rPr>
                <w:sz w:val="28"/>
                <w:szCs w:val="28"/>
              </w:rPr>
            </w:pPr>
            <w:r w:rsidRPr="002776E0">
              <w:rPr>
                <w:sz w:val="28"/>
                <w:szCs w:val="28"/>
              </w:rPr>
              <w:t xml:space="preserve">Mr Justice </w:t>
            </w:r>
            <w:r w:rsidR="00143903" w:rsidRPr="002776E0">
              <w:rPr>
                <w:sz w:val="28"/>
                <w:szCs w:val="28"/>
              </w:rPr>
              <w:t>Fok</w:t>
            </w:r>
            <w:r w:rsidR="00792089" w:rsidRPr="002776E0">
              <w:rPr>
                <w:sz w:val="28"/>
                <w:szCs w:val="28"/>
              </w:rPr>
              <w:t xml:space="preserve"> </w:t>
            </w:r>
            <w:r w:rsidR="00BB0306" w:rsidRPr="002776E0">
              <w:rPr>
                <w:sz w:val="28"/>
                <w:szCs w:val="28"/>
              </w:rPr>
              <w:t>PJ</w:t>
            </w:r>
            <w:r w:rsidR="00D12BC3" w:rsidRPr="002776E0">
              <w:rPr>
                <w:sz w:val="28"/>
                <w:szCs w:val="28"/>
              </w:rPr>
              <w:t>,</w:t>
            </w:r>
            <w:r w:rsidR="00BB0306" w:rsidRPr="002776E0">
              <w:rPr>
                <w:sz w:val="28"/>
                <w:szCs w:val="28"/>
              </w:rPr>
              <w:t xml:space="preserve"> </w:t>
            </w:r>
            <w:r w:rsidR="00D12BC3" w:rsidRPr="002776E0">
              <w:rPr>
                <w:sz w:val="28"/>
                <w:szCs w:val="28"/>
              </w:rPr>
              <w:t xml:space="preserve">Mr Justice </w:t>
            </w:r>
            <w:r w:rsidR="00143903" w:rsidRPr="002776E0">
              <w:rPr>
                <w:sz w:val="28"/>
                <w:szCs w:val="28"/>
              </w:rPr>
              <w:t xml:space="preserve">Lam </w:t>
            </w:r>
            <w:r w:rsidR="00D12BC3" w:rsidRPr="002776E0">
              <w:rPr>
                <w:sz w:val="28"/>
                <w:szCs w:val="28"/>
              </w:rPr>
              <w:t xml:space="preserve">PJ </w:t>
            </w:r>
            <w:r w:rsidRPr="002776E0">
              <w:rPr>
                <w:sz w:val="28"/>
                <w:szCs w:val="28"/>
              </w:rPr>
              <w:t>and</w:t>
            </w:r>
          </w:p>
          <w:p w:rsidR="008C0B20" w:rsidRPr="002776E0" w:rsidRDefault="00143903" w:rsidP="00B11E75">
            <w:pPr>
              <w:rPr>
                <w:sz w:val="28"/>
                <w:szCs w:val="28"/>
              </w:rPr>
            </w:pPr>
            <w:r w:rsidRPr="002776E0">
              <w:rPr>
                <w:sz w:val="28"/>
                <w:szCs w:val="28"/>
              </w:rPr>
              <w:t xml:space="preserve">Lord </w:t>
            </w:r>
            <w:r w:rsidR="00B6147A">
              <w:rPr>
                <w:sz w:val="28"/>
                <w:szCs w:val="28"/>
              </w:rPr>
              <w:t>Neuberger of Abbotsbury</w:t>
            </w:r>
            <w:r w:rsidR="008302C8" w:rsidRPr="002776E0">
              <w:rPr>
                <w:sz w:val="28"/>
                <w:szCs w:val="28"/>
              </w:rPr>
              <w:t xml:space="preserve"> </w:t>
            </w:r>
            <w:r w:rsidR="00DA3E55" w:rsidRPr="002776E0">
              <w:rPr>
                <w:sz w:val="28"/>
                <w:szCs w:val="28"/>
              </w:rPr>
              <w:t>NPJ</w:t>
            </w:r>
          </w:p>
          <w:p w:rsidR="00DA3E55" w:rsidRPr="002776E0" w:rsidRDefault="00DA3E55" w:rsidP="00B11E75">
            <w:pPr>
              <w:rPr>
                <w:sz w:val="28"/>
                <w:szCs w:val="28"/>
              </w:rPr>
            </w:pPr>
          </w:p>
        </w:tc>
      </w:tr>
      <w:tr w:rsidR="00C44936" w:rsidRPr="002776E0" w:rsidTr="00297C2E">
        <w:trPr>
          <w:trHeight w:val="720"/>
        </w:trPr>
        <w:tc>
          <w:tcPr>
            <w:tcW w:w="2772" w:type="dxa"/>
          </w:tcPr>
          <w:p w:rsidR="00C44936" w:rsidRPr="002776E0" w:rsidRDefault="00C44936" w:rsidP="002776E0">
            <w:pPr>
              <w:ind w:left="-15" w:right="-180"/>
              <w:jc w:val="left"/>
              <w:rPr>
                <w:sz w:val="28"/>
                <w:szCs w:val="28"/>
              </w:rPr>
            </w:pPr>
            <w:r w:rsidRPr="002776E0">
              <w:rPr>
                <w:sz w:val="28"/>
                <w:szCs w:val="28"/>
                <w:lang w:eastAsia="zh-CN"/>
              </w:rPr>
              <w:t>Date of Judgment:</w:t>
            </w:r>
          </w:p>
        </w:tc>
        <w:tc>
          <w:tcPr>
            <w:tcW w:w="6210" w:type="dxa"/>
          </w:tcPr>
          <w:p w:rsidR="00C44936" w:rsidRPr="002776E0" w:rsidRDefault="00BA0B3C" w:rsidP="00143903">
            <w:pPr>
              <w:jc w:val="left"/>
              <w:rPr>
                <w:sz w:val="28"/>
                <w:szCs w:val="28"/>
              </w:rPr>
            </w:pPr>
            <w:r w:rsidRPr="00BA0B3C">
              <w:rPr>
                <w:sz w:val="28"/>
                <w:szCs w:val="28"/>
              </w:rPr>
              <w:t>16</w:t>
            </w:r>
            <w:r w:rsidR="004A4DD4">
              <w:rPr>
                <w:sz w:val="28"/>
                <w:szCs w:val="28"/>
              </w:rPr>
              <w:t xml:space="preserve"> September</w:t>
            </w:r>
            <w:r w:rsidR="00B6147A">
              <w:rPr>
                <w:sz w:val="28"/>
                <w:szCs w:val="28"/>
              </w:rPr>
              <w:t xml:space="preserve"> 2024</w:t>
            </w:r>
          </w:p>
          <w:p w:rsidR="00143903" w:rsidRPr="002776E0" w:rsidRDefault="00143903" w:rsidP="00143903">
            <w:pPr>
              <w:jc w:val="left"/>
              <w:rPr>
                <w:sz w:val="28"/>
                <w:szCs w:val="28"/>
                <w:lang w:eastAsia="zh-CN"/>
              </w:rPr>
            </w:pPr>
          </w:p>
        </w:tc>
      </w:tr>
    </w:tbl>
    <w:p w:rsidR="008C0B20" w:rsidRPr="002776E0" w:rsidRDefault="008C0B20" w:rsidP="008C0B20">
      <w:pPr>
        <w:spacing w:before="120"/>
        <w:rPr>
          <w:b/>
          <w:sz w:val="28"/>
          <w:szCs w:val="28"/>
        </w:rPr>
      </w:pPr>
    </w:p>
    <w:p w:rsidR="00D12BC3" w:rsidRPr="002776E0" w:rsidRDefault="00D12BC3" w:rsidP="008C0B20">
      <w:pPr>
        <w:spacing w:before="120"/>
        <w:rPr>
          <w:b/>
          <w:sz w:val="28"/>
          <w:szCs w:val="28"/>
        </w:rPr>
      </w:pPr>
    </w:p>
    <w:tbl>
      <w:tblPr>
        <w:tblW w:w="9252" w:type="dxa"/>
        <w:tblInd w:w="108" w:type="dxa"/>
        <w:tblLayout w:type="fixed"/>
        <w:tblLook w:val="04A0" w:firstRow="1" w:lastRow="0" w:firstColumn="1" w:lastColumn="0" w:noHBand="0" w:noVBand="1"/>
      </w:tblPr>
      <w:tblGrid>
        <w:gridCol w:w="2410"/>
        <w:gridCol w:w="4394"/>
        <w:gridCol w:w="2448"/>
      </w:tblGrid>
      <w:tr w:rsidR="004A4DD4" w:rsidRPr="001D73CD" w:rsidTr="00F8161D">
        <w:trPr>
          <w:trHeight w:val="864"/>
        </w:trPr>
        <w:tc>
          <w:tcPr>
            <w:tcW w:w="2410" w:type="dxa"/>
            <w:shd w:val="clear" w:color="auto" w:fill="auto"/>
            <w:vAlign w:val="center"/>
          </w:tcPr>
          <w:p w:rsidR="004A4DD4" w:rsidRPr="001D73CD" w:rsidRDefault="004A4DD4" w:rsidP="00F8161D">
            <w:pPr>
              <w:ind w:left="-15" w:right="-180"/>
              <w:rPr>
                <w:b/>
                <w:bCs/>
              </w:rPr>
            </w:pPr>
          </w:p>
        </w:tc>
        <w:tc>
          <w:tcPr>
            <w:tcW w:w="4394" w:type="dxa"/>
            <w:tcBorders>
              <w:top w:val="single" w:sz="4" w:space="0" w:color="auto"/>
              <w:bottom w:val="single" w:sz="4" w:space="0" w:color="auto"/>
            </w:tcBorders>
            <w:shd w:val="clear" w:color="auto" w:fill="auto"/>
            <w:vAlign w:val="center"/>
          </w:tcPr>
          <w:p w:rsidR="004A4DD4" w:rsidRPr="001D73CD" w:rsidRDefault="004A4DD4" w:rsidP="00F8161D">
            <w:pPr>
              <w:spacing w:before="120" w:after="120"/>
              <w:jc w:val="center"/>
              <w:rPr>
                <w:b/>
                <w:bCs/>
              </w:rPr>
            </w:pPr>
            <w:r w:rsidRPr="001D73CD">
              <w:rPr>
                <w:b/>
                <w:bCs/>
                <w:spacing w:val="40"/>
              </w:rPr>
              <w:t>JUDGMENT</w:t>
            </w:r>
            <w:r>
              <w:rPr>
                <w:b/>
                <w:bCs/>
                <w:spacing w:val="40"/>
              </w:rPr>
              <w:t xml:space="preserve"> ON COSTS</w:t>
            </w:r>
          </w:p>
        </w:tc>
        <w:tc>
          <w:tcPr>
            <w:tcW w:w="2448" w:type="dxa"/>
            <w:shd w:val="clear" w:color="auto" w:fill="auto"/>
            <w:vAlign w:val="center"/>
          </w:tcPr>
          <w:p w:rsidR="004A4DD4" w:rsidRPr="001D73CD" w:rsidRDefault="004A4DD4" w:rsidP="00F8161D">
            <w:pPr>
              <w:rPr>
                <w:b/>
                <w:bCs/>
              </w:rPr>
            </w:pPr>
          </w:p>
        </w:tc>
      </w:tr>
    </w:tbl>
    <w:p w:rsidR="00354DA8" w:rsidRPr="00C46104" w:rsidRDefault="00354DA8" w:rsidP="00354DA8">
      <w:pPr>
        <w:snapToGrid w:val="0"/>
        <w:spacing w:before="120" w:after="240" w:line="360" w:lineRule="auto"/>
        <w:outlineLvl w:val="0"/>
        <w:rPr>
          <w:sz w:val="28"/>
          <w:szCs w:val="28"/>
        </w:rPr>
      </w:pPr>
      <w:r>
        <w:rPr>
          <w:sz w:val="28"/>
          <w:szCs w:val="28"/>
        </w:rPr>
        <w:lastRenderedPageBreak/>
        <w:t>The Court:</w:t>
      </w:r>
    </w:p>
    <w:p w:rsidR="00354DA8" w:rsidRPr="007A7EA5" w:rsidRDefault="00354DA8" w:rsidP="00354DA8">
      <w:pPr>
        <w:pStyle w:val="Paragraph"/>
      </w:pPr>
      <w:r>
        <w:t xml:space="preserve">On 1 August 2024, the Court handed down its judgment unanimously dismissing this appeal.  </w:t>
      </w:r>
      <w:r w:rsidRPr="007A7EA5">
        <w:t xml:space="preserve">In paragraph [86] of the Judgment, the Court made an order </w:t>
      </w:r>
      <w:r w:rsidRPr="007A7EA5">
        <w:rPr>
          <w:i/>
        </w:rPr>
        <w:t>nisi</w:t>
      </w:r>
      <w:r w:rsidRPr="007A7EA5">
        <w:t xml:space="preserve"> that the costs of the appeal be paid by the plaintiff (appellant) to the defendant (respondent).  The Court directed that written submissions be filed within 14 days should any party wish to vary the costs order </w:t>
      </w:r>
      <w:r w:rsidRPr="007A7EA5">
        <w:rPr>
          <w:i/>
        </w:rPr>
        <w:t>nisi</w:t>
      </w:r>
      <w:r w:rsidRPr="007A7EA5">
        <w:t xml:space="preserve"> and indicated that the Court would thereafter make a final order on the papers.</w:t>
      </w:r>
    </w:p>
    <w:p w:rsidR="00354DA8" w:rsidRDefault="00354DA8" w:rsidP="00354DA8">
      <w:pPr>
        <w:pStyle w:val="Paragraph"/>
        <w:spacing w:after="240"/>
      </w:pPr>
      <w:r>
        <w:t xml:space="preserve">On 13 August 2024, the respondent filed written submissions seeking orders that: </w:t>
      </w:r>
    </w:p>
    <w:p w:rsidR="00354DA8" w:rsidRDefault="00354DA8" w:rsidP="00354DA8">
      <w:pPr>
        <w:pStyle w:val="ListParagraph"/>
        <w:numPr>
          <w:ilvl w:val="1"/>
          <w:numId w:val="1"/>
        </w:numPr>
        <w:snapToGrid w:val="0"/>
        <w:spacing w:before="120" w:after="240" w:line="360" w:lineRule="auto"/>
        <w:contextualSpacing w:val="0"/>
        <w:rPr>
          <w:sz w:val="28"/>
          <w:szCs w:val="28"/>
        </w:rPr>
      </w:pPr>
      <w:r w:rsidRPr="00765803">
        <w:rPr>
          <w:sz w:val="28"/>
          <w:szCs w:val="28"/>
        </w:rPr>
        <w:t>the appellant do pay to the respondent her costs of and occasioned by this appeal, certified fit for three counsel (save that the leave application before the Court of Appeal should be certified fit for two counsel);</w:t>
      </w:r>
    </w:p>
    <w:p w:rsidR="00354DA8" w:rsidRDefault="00354DA8" w:rsidP="00354DA8">
      <w:pPr>
        <w:pStyle w:val="ListParagraph"/>
        <w:numPr>
          <w:ilvl w:val="1"/>
          <w:numId w:val="1"/>
        </w:numPr>
        <w:snapToGrid w:val="0"/>
        <w:spacing w:before="120" w:after="240" w:line="360" w:lineRule="auto"/>
        <w:contextualSpacing w:val="0"/>
        <w:rPr>
          <w:sz w:val="28"/>
          <w:szCs w:val="28"/>
        </w:rPr>
      </w:pPr>
      <w:r>
        <w:rPr>
          <w:sz w:val="28"/>
          <w:szCs w:val="28"/>
        </w:rPr>
        <w:t>the costs orders of the Court of Appeal and Coleman J dated 14</w:t>
      </w:r>
      <w:r w:rsidR="00C63E1A">
        <w:rPr>
          <w:sz w:val="28"/>
          <w:szCs w:val="28"/>
        </w:rPr>
        <w:t> </w:t>
      </w:r>
      <w:r>
        <w:rPr>
          <w:sz w:val="28"/>
          <w:szCs w:val="28"/>
        </w:rPr>
        <w:t>July</w:t>
      </w:r>
      <w:r w:rsidR="00C63E1A">
        <w:rPr>
          <w:sz w:val="28"/>
          <w:szCs w:val="28"/>
        </w:rPr>
        <w:t> </w:t>
      </w:r>
      <w:r>
        <w:rPr>
          <w:sz w:val="28"/>
          <w:szCs w:val="28"/>
        </w:rPr>
        <w:t>2023 and 22 September 2020 remain; and</w:t>
      </w:r>
    </w:p>
    <w:p w:rsidR="00354DA8" w:rsidRPr="00765803" w:rsidRDefault="00354DA8" w:rsidP="00354DA8">
      <w:pPr>
        <w:pStyle w:val="ListParagraph"/>
        <w:numPr>
          <w:ilvl w:val="1"/>
          <w:numId w:val="1"/>
        </w:numPr>
        <w:snapToGrid w:val="0"/>
        <w:spacing w:before="120" w:after="480" w:line="360" w:lineRule="auto"/>
        <w:contextualSpacing w:val="0"/>
        <w:rPr>
          <w:sz w:val="28"/>
          <w:szCs w:val="28"/>
        </w:rPr>
      </w:pPr>
      <w:r>
        <w:rPr>
          <w:sz w:val="28"/>
          <w:szCs w:val="28"/>
        </w:rPr>
        <w:t>the appellant do pay to the respondent costs of this application.</w:t>
      </w:r>
    </w:p>
    <w:p w:rsidR="00354DA8" w:rsidRDefault="00354DA8" w:rsidP="00354DA8">
      <w:pPr>
        <w:pStyle w:val="Paragraph"/>
      </w:pPr>
      <w:r>
        <w:t>The appellant did not file submissions in response to those of the</w:t>
      </w:r>
      <w:r w:rsidR="00D15359">
        <w:t xml:space="preserve"> </w:t>
      </w:r>
      <w:r w:rsidR="00D30763">
        <w:t>respondent</w:t>
      </w:r>
      <w:r>
        <w:t>, whether within 14 days of the handing down of the Court’s Judgment, or within 14 days of the filing of the respondent’s submissions, and his solicitors have confirmed to the Court that the appellant does not intend to file any such submissions.</w:t>
      </w:r>
    </w:p>
    <w:p w:rsidR="00354DA8" w:rsidRDefault="00354DA8" w:rsidP="00354DA8">
      <w:pPr>
        <w:pStyle w:val="Paragraph"/>
      </w:pPr>
      <w:r>
        <w:t>Accordingly, as indicated in the Judgment, the Court has proceeded to consider the appropriate final order as to costs on the papers.</w:t>
      </w:r>
    </w:p>
    <w:p w:rsidR="00354DA8" w:rsidRDefault="00354DA8" w:rsidP="00354DA8">
      <w:pPr>
        <w:pStyle w:val="Paragraph"/>
      </w:pPr>
      <w:r>
        <w:lastRenderedPageBreak/>
        <w:t>There is no controversy regarding the incidence of costs either in this Court or below.  After the respondent’s strike out application was initially unsuccessful before the Master, she succeeded before Coleman J and, on appeal, before the Court of Appeal.  The costs orders made respectively by Coleman J on 22 September 2020 and by the Court of Appeal on 14 July 2023 shall, in consequence, remain undisturbed.</w:t>
      </w:r>
    </w:p>
    <w:p w:rsidR="00354DA8" w:rsidRDefault="00354DA8" w:rsidP="00354DA8">
      <w:pPr>
        <w:pStyle w:val="Paragraph"/>
      </w:pPr>
      <w:r>
        <w:t xml:space="preserve">Having succeeded again in the final appeal before this Court, the respondent is entitled to her costs of the appeal as against the appellant.  We therefore make absolute the order </w:t>
      </w:r>
      <w:r>
        <w:rPr>
          <w:i/>
        </w:rPr>
        <w:t>nisi</w:t>
      </w:r>
      <w:r>
        <w:t xml:space="preserve"> that the costs of the appeal be paid by the appellant to the respondent.  Those costs will include the costs of the application before the Appeal Committee for leave to appeal, which the Appeal Committee ordered to be costs in the cause.</w:t>
      </w:r>
    </w:p>
    <w:p w:rsidR="00354DA8" w:rsidRDefault="00354DA8" w:rsidP="00354DA8">
      <w:pPr>
        <w:pStyle w:val="Paragraph"/>
      </w:pPr>
      <w:r>
        <w:t>The practice of the Court in respect of the grant or refusal of a certificate for three counsel is well-established.</w:t>
      </w:r>
      <w:r>
        <w:rPr>
          <w:rStyle w:val="FootnoteReference"/>
        </w:rPr>
        <w:footnoteReference w:id="1"/>
      </w:r>
      <w:r>
        <w:t xml:space="preserve">  The essential question in the present case is whether the grant can be justified by the presence of something exceptional.</w:t>
      </w:r>
    </w:p>
    <w:p w:rsidR="00354DA8" w:rsidRDefault="00354DA8" w:rsidP="00354DA8">
      <w:pPr>
        <w:pStyle w:val="Paragraph"/>
      </w:pPr>
      <w:r>
        <w:t xml:space="preserve">The respondent relies on various factors in seeking to justify certification for three counsel.  She highlights the fact she has been successful throughout the course of proceedings in the Court of First Instance and the Court of Appeal and also before this Court.  She further relies on the view expressed in the Judgment at [20] that, confined to section 20 of the current Matrimonial Causes Ordinance, the respondent’s case seemed “simple and correct” whereas the appellant’s seemed “unattractive and unconvincing”; that the respondent’s </w:t>
      </w:r>
      <w:r>
        <w:lastRenderedPageBreak/>
        <w:t>stance “accord</w:t>
      </w:r>
      <w:r w:rsidR="00CF67B1">
        <w:t>[</w:t>
      </w:r>
      <w:r>
        <w:t>ed</w:t>
      </w:r>
      <w:r w:rsidR="00CF67B1">
        <w:t>]</w:t>
      </w:r>
      <w:r>
        <w:t xml:space="preserve"> with common sense” (see [21]); and that the appellant’s case was “quite unrealistic” in the context of legislation that was “clear as a matter of language and practical and sensible in its effect” and that the appellant’s exercise of examining the background produced “a result which is not merely inconsistent with the natural meaning of the legislation, but eccentric” (see [24] and [26]).</w:t>
      </w:r>
    </w:p>
    <w:p w:rsidR="00354DA8" w:rsidRDefault="00354DA8" w:rsidP="00354DA8">
      <w:pPr>
        <w:pStyle w:val="Paragraph"/>
      </w:pPr>
      <w:r>
        <w:t>The respondent contends that because of the appellant’s insistence on taking what was described (at [78] of the Judgment) as an “archaeological” approach the preparation, complexity and difficulty involved in the appeal was “something exceptional” justifying a team of three counsel.  This was fortified, it is submitted, by the fact that the appellant engaged three counsel, two of whom were Senior Counsel, so that the respondent’s team of one Senior Counsel and two junior counsel makes certification of three counsel appropriate on the facts of this case.</w:t>
      </w:r>
    </w:p>
    <w:p w:rsidR="00354DA8" w:rsidRDefault="00354DA8" w:rsidP="00354DA8">
      <w:pPr>
        <w:pStyle w:val="Paragraph"/>
      </w:pPr>
      <w:r>
        <w:t xml:space="preserve">The Court’s power to grant or refuse a certificate for more than two counsel is a matter of discretion and, regardless of the absence of contrary submissions from the appellant, the Court must nevertheless consider whether to exercise that discretion in favour of the respondent.  </w:t>
      </w:r>
      <w:r w:rsidRPr="00FC235E">
        <w:t>That discretion should be exercised, so far as it can, consistently from case to case.</w:t>
      </w:r>
    </w:p>
    <w:p w:rsidR="00354DA8" w:rsidRPr="00FC235E" w:rsidRDefault="00354DA8" w:rsidP="00354DA8">
      <w:pPr>
        <w:pStyle w:val="Paragraph"/>
      </w:pPr>
      <w:r w:rsidRPr="00FC235E">
        <w:t>Taking into consideration other cases in which certificates for three counsel have either been granted or refused,</w:t>
      </w:r>
      <w:r>
        <w:rPr>
          <w:rStyle w:val="FootnoteReference"/>
        </w:rPr>
        <w:footnoteReference w:id="2"/>
      </w:r>
      <w:r w:rsidRPr="00FC235E">
        <w:t xml:space="preserve"> we are not persuaded that this is an </w:t>
      </w:r>
      <w:r w:rsidRPr="00FC235E">
        <w:lastRenderedPageBreak/>
        <w:t xml:space="preserve">appropriate case for such certification and, accordingly, we refuse to certify the case as fit for three counsel.  This was not, in our view, a case involving something exceptional in terms of </w:t>
      </w:r>
      <w:r>
        <w:t xml:space="preserve">the </w:t>
      </w:r>
      <w:r w:rsidRPr="00FC235E">
        <w:t xml:space="preserve">importance or complexity </w:t>
      </w:r>
      <w:r>
        <w:t xml:space="preserve">of the issues </w:t>
      </w:r>
      <w:r w:rsidRPr="00FC235E">
        <w:t xml:space="preserve">that would justify departing from the usual rule, reflecting the underlying objectives of </w:t>
      </w:r>
      <w:r>
        <w:t xml:space="preserve">civil procedure in this jurisdiction of </w:t>
      </w:r>
      <w:r w:rsidRPr="00FC235E">
        <w:t>increasing the cost-effectiveness of proceedings and promoting reasonable proportion and procedural economy in their conduct, that the costs of counsel in this Court recoverable from an opposing party are limited to the engagement of two counsel.</w:t>
      </w:r>
    </w:p>
    <w:p w:rsidR="00354DA8" w:rsidRDefault="00354DA8" w:rsidP="00354DA8">
      <w:pPr>
        <w:pStyle w:val="Paragraph"/>
      </w:pPr>
      <w:r>
        <w:t>Nor did we find the “tit-for-tat” argument advanced by the respondent persuasive.  The mere fact that an opposing party has used a particular number of counsel, or counsel of particular seniority, will rarely be a factor of any material weight in the grant or refusal of a certificate for three counsel.</w:t>
      </w:r>
      <w:r>
        <w:rPr>
          <w:rStyle w:val="FootnoteReference"/>
        </w:rPr>
        <w:footnoteReference w:id="3"/>
      </w:r>
      <w:r>
        <w:t xml:space="preserve">  In the present case, the fact that the appellant was represented by three counsel does not lead us to regard this appeal as exceptional.</w:t>
      </w:r>
    </w:p>
    <w:p w:rsidR="00354DA8" w:rsidRDefault="00354DA8" w:rsidP="00354DA8">
      <w:pPr>
        <w:pStyle w:val="Paragraph"/>
      </w:pPr>
      <w:r>
        <w:t>Since the Court has confirmed the cost</w:t>
      </w:r>
      <w:r w:rsidR="00CF67B1">
        <w:t>s</w:t>
      </w:r>
      <w:r>
        <w:t xml:space="preserve"> order that it made on a </w:t>
      </w:r>
      <w:r>
        <w:rPr>
          <w:i/>
        </w:rPr>
        <w:t>nisi</w:t>
      </w:r>
      <w:r>
        <w:t xml:space="preserve"> basis in its Judgment and the respondent’s request to vary that order has not succeeded, we decline to include the costs of the preparation of the written submissions on costs as part of the costs of the appeal itself.  It is sufficient to record that we make no order as to the costs of the application to vary the costs.</w:t>
      </w:r>
    </w:p>
    <w:p w:rsidR="008C0B20" w:rsidRPr="00354DA8" w:rsidRDefault="00354DA8" w:rsidP="00354DA8">
      <w:pPr>
        <w:pStyle w:val="Paragraph"/>
      </w:pPr>
      <w:r>
        <w:t>For the above reasons, we therefore: (1) m</w:t>
      </w:r>
      <w:r w:rsidRPr="00AC0926">
        <w:t xml:space="preserve">ake absolute the order that the costs of the appeal </w:t>
      </w:r>
      <w:r>
        <w:t xml:space="preserve">to this Court </w:t>
      </w:r>
      <w:r w:rsidRPr="00AC0926">
        <w:t>be paid by the appellant to the respondent</w:t>
      </w:r>
      <w:r>
        <w:t>;</w:t>
      </w:r>
      <w:r w:rsidRPr="00AC0926">
        <w:t xml:space="preserve"> </w:t>
      </w:r>
      <w:r w:rsidRPr="00AC0926">
        <w:lastRenderedPageBreak/>
        <w:t xml:space="preserve">and </w:t>
      </w:r>
      <w:r>
        <w:t xml:space="preserve">(2) </w:t>
      </w:r>
      <w:r w:rsidRPr="00AC0926">
        <w:t>confirm the costs orders below of Coleman J dated 22 September 2020 and the Court of Appeal dated 14 July 2023.</w:t>
      </w:r>
    </w:p>
    <w:p w:rsidR="004D5C65" w:rsidRPr="00354DA8" w:rsidRDefault="004D5C65" w:rsidP="00354DA8">
      <w:pPr>
        <w:spacing w:line="360" w:lineRule="auto"/>
        <w:rPr>
          <w:sz w:val="28"/>
          <w:szCs w:val="28"/>
        </w:rPr>
      </w:pPr>
    </w:p>
    <w:p w:rsidR="00C56D54" w:rsidRDefault="00C56D54" w:rsidP="00C56D54">
      <w:pPr>
        <w:pStyle w:val="Bob1"/>
        <w:numPr>
          <w:ilvl w:val="0"/>
          <w:numId w:val="0"/>
        </w:numPr>
        <w:spacing w:after="0"/>
        <w:ind w:left="720"/>
        <w:rPr>
          <w:lang w:val="en-US"/>
        </w:rPr>
      </w:pPr>
    </w:p>
    <w:p w:rsidR="00040039" w:rsidRDefault="00040039" w:rsidP="00C56D54">
      <w:pPr>
        <w:pStyle w:val="Bob1"/>
        <w:numPr>
          <w:ilvl w:val="0"/>
          <w:numId w:val="0"/>
        </w:numPr>
        <w:spacing w:after="0"/>
        <w:ind w:left="720"/>
        <w:rPr>
          <w:lang w:val="en-US"/>
        </w:rPr>
      </w:pPr>
    </w:p>
    <w:p w:rsidR="00040039" w:rsidRPr="002776E0" w:rsidRDefault="00040039" w:rsidP="00C56D54">
      <w:pPr>
        <w:pStyle w:val="Bob1"/>
        <w:numPr>
          <w:ilvl w:val="0"/>
          <w:numId w:val="0"/>
        </w:numPr>
        <w:spacing w:after="0"/>
        <w:ind w:left="720"/>
        <w:rPr>
          <w:lang w:val="en-US"/>
        </w:rPr>
      </w:pPr>
    </w:p>
    <w:tbl>
      <w:tblPr>
        <w:tblW w:w="9405" w:type="dxa"/>
        <w:jc w:val="center"/>
        <w:tblLook w:val="0000" w:firstRow="0" w:lastRow="0" w:firstColumn="0" w:lastColumn="0" w:noHBand="0" w:noVBand="0"/>
      </w:tblPr>
      <w:tblGrid>
        <w:gridCol w:w="3135"/>
        <w:gridCol w:w="3135"/>
        <w:gridCol w:w="3135"/>
      </w:tblGrid>
      <w:tr w:rsidR="008C0B20" w:rsidRPr="002776E0" w:rsidTr="002776E0">
        <w:trPr>
          <w:trHeight w:val="720"/>
          <w:jc w:val="center"/>
        </w:trPr>
        <w:tc>
          <w:tcPr>
            <w:tcW w:w="3135" w:type="dxa"/>
          </w:tcPr>
          <w:p w:rsidR="008C0B20" w:rsidRPr="002776E0" w:rsidRDefault="008C0B20" w:rsidP="00C56D54">
            <w:pPr>
              <w:jc w:val="center"/>
              <w:rPr>
                <w:sz w:val="28"/>
                <w:szCs w:val="28"/>
              </w:rPr>
            </w:pPr>
            <w:r w:rsidRPr="002776E0">
              <w:rPr>
                <w:sz w:val="28"/>
                <w:szCs w:val="28"/>
              </w:rPr>
              <w:t>(</w:t>
            </w:r>
            <w:r w:rsidR="00D12BC3" w:rsidRPr="002776E0">
              <w:rPr>
                <w:sz w:val="28"/>
                <w:szCs w:val="28"/>
              </w:rPr>
              <w:t>Andrew Cheung</w:t>
            </w:r>
            <w:r w:rsidRPr="002776E0">
              <w:rPr>
                <w:sz w:val="28"/>
                <w:szCs w:val="28"/>
              </w:rPr>
              <w:t>)</w:t>
            </w:r>
          </w:p>
          <w:p w:rsidR="008C0B20" w:rsidRPr="002776E0" w:rsidRDefault="008C0B20" w:rsidP="00C56D54">
            <w:pPr>
              <w:jc w:val="center"/>
              <w:rPr>
                <w:sz w:val="28"/>
                <w:szCs w:val="28"/>
              </w:rPr>
            </w:pPr>
            <w:r w:rsidRPr="002776E0">
              <w:rPr>
                <w:sz w:val="28"/>
                <w:szCs w:val="28"/>
              </w:rPr>
              <w:t>Chief Justice</w:t>
            </w:r>
          </w:p>
        </w:tc>
        <w:tc>
          <w:tcPr>
            <w:tcW w:w="3135" w:type="dxa"/>
          </w:tcPr>
          <w:p w:rsidR="008C0B20" w:rsidRPr="002776E0" w:rsidRDefault="008C0B20" w:rsidP="00C56D54">
            <w:pPr>
              <w:jc w:val="center"/>
              <w:rPr>
                <w:sz w:val="28"/>
                <w:szCs w:val="28"/>
              </w:rPr>
            </w:pPr>
            <w:r w:rsidRPr="002776E0">
              <w:rPr>
                <w:sz w:val="28"/>
                <w:szCs w:val="28"/>
              </w:rPr>
              <w:t>(R A V Ribeiro)</w:t>
            </w:r>
          </w:p>
          <w:p w:rsidR="008C0B20" w:rsidRPr="002776E0" w:rsidRDefault="008C0B20" w:rsidP="00C56D54">
            <w:pPr>
              <w:jc w:val="center"/>
              <w:rPr>
                <w:sz w:val="28"/>
                <w:szCs w:val="28"/>
              </w:rPr>
            </w:pPr>
            <w:r w:rsidRPr="002776E0">
              <w:rPr>
                <w:sz w:val="28"/>
                <w:szCs w:val="28"/>
              </w:rPr>
              <w:t>Permanent Judge</w:t>
            </w:r>
          </w:p>
        </w:tc>
        <w:tc>
          <w:tcPr>
            <w:tcW w:w="3135" w:type="dxa"/>
          </w:tcPr>
          <w:p w:rsidR="00BB0306" w:rsidRPr="002776E0" w:rsidRDefault="00BB0306" w:rsidP="00C56D54">
            <w:pPr>
              <w:jc w:val="center"/>
              <w:rPr>
                <w:sz w:val="28"/>
                <w:szCs w:val="28"/>
              </w:rPr>
            </w:pPr>
            <w:r w:rsidRPr="002776E0">
              <w:rPr>
                <w:sz w:val="28"/>
                <w:szCs w:val="28"/>
              </w:rPr>
              <w:t>(</w:t>
            </w:r>
            <w:r w:rsidR="00143903" w:rsidRPr="002776E0">
              <w:rPr>
                <w:sz w:val="28"/>
                <w:szCs w:val="28"/>
              </w:rPr>
              <w:t>Joseph Fok</w:t>
            </w:r>
            <w:r w:rsidRPr="002776E0">
              <w:rPr>
                <w:sz w:val="28"/>
                <w:szCs w:val="28"/>
              </w:rPr>
              <w:t>)</w:t>
            </w:r>
          </w:p>
          <w:p w:rsidR="008C0B20" w:rsidRPr="002776E0" w:rsidRDefault="00BB0306" w:rsidP="00C56D54">
            <w:pPr>
              <w:jc w:val="center"/>
              <w:rPr>
                <w:sz w:val="28"/>
                <w:szCs w:val="28"/>
              </w:rPr>
            </w:pPr>
            <w:r w:rsidRPr="002776E0">
              <w:rPr>
                <w:sz w:val="28"/>
                <w:szCs w:val="28"/>
              </w:rPr>
              <w:t>Permanent Judge</w:t>
            </w:r>
          </w:p>
        </w:tc>
      </w:tr>
    </w:tbl>
    <w:p w:rsidR="008C0B20" w:rsidRPr="002776E0" w:rsidRDefault="008C0B20" w:rsidP="00212A19">
      <w:pPr>
        <w:pStyle w:val="ListParagraph"/>
        <w:spacing w:line="360" w:lineRule="auto"/>
        <w:rPr>
          <w:sz w:val="28"/>
          <w:szCs w:val="28"/>
        </w:rPr>
      </w:pPr>
    </w:p>
    <w:p w:rsidR="000515E2" w:rsidRPr="002776E0" w:rsidRDefault="000515E2" w:rsidP="00212A19">
      <w:pPr>
        <w:pStyle w:val="ListParagraph"/>
        <w:spacing w:line="360" w:lineRule="auto"/>
        <w:rPr>
          <w:sz w:val="28"/>
          <w:szCs w:val="28"/>
        </w:rPr>
      </w:pPr>
    </w:p>
    <w:p w:rsidR="008C0B20" w:rsidRPr="002776E0" w:rsidRDefault="008C0B20" w:rsidP="00212A19">
      <w:pPr>
        <w:pStyle w:val="ListParagraph"/>
        <w:spacing w:line="360" w:lineRule="auto"/>
        <w:rPr>
          <w:sz w:val="28"/>
          <w:szCs w:val="28"/>
        </w:rPr>
      </w:pPr>
    </w:p>
    <w:p w:rsidR="004D5C65" w:rsidRPr="002776E0" w:rsidRDefault="004D5C65" w:rsidP="00212A19">
      <w:pPr>
        <w:pStyle w:val="ListParagraph"/>
        <w:spacing w:line="360" w:lineRule="auto"/>
        <w:rPr>
          <w:sz w:val="28"/>
          <w:szCs w:val="28"/>
        </w:rPr>
      </w:pPr>
    </w:p>
    <w:p w:rsidR="00212A19" w:rsidRPr="002776E0" w:rsidRDefault="00212A19" w:rsidP="00212A19">
      <w:pPr>
        <w:pStyle w:val="ListParagraph"/>
        <w:spacing w:line="360" w:lineRule="auto"/>
        <w:rPr>
          <w:sz w:val="28"/>
          <w:szCs w:val="28"/>
        </w:rPr>
      </w:pPr>
    </w:p>
    <w:tbl>
      <w:tblPr>
        <w:tblW w:w="0" w:type="auto"/>
        <w:jc w:val="center"/>
        <w:tblLook w:val="0000" w:firstRow="0" w:lastRow="0" w:firstColumn="0" w:lastColumn="0" w:noHBand="0" w:noVBand="0"/>
      </w:tblPr>
      <w:tblGrid>
        <w:gridCol w:w="4005"/>
        <w:gridCol w:w="4005"/>
      </w:tblGrid>
      <w:tr w:rsidR="008C0B20" w:rsidRPr="002776E0" w:rsidTr="00AB6412">
        <w:trPr>
          <w:trHeight w:val="738"/>
          <w:jc w:val="center"/>
        </w:trPr>
        <w:tc>
          <w:tcPr>
            <w:tcW w:w="4005" w:type="dxa"/>
          </w:tcPr>
          <w:p w:rsidR="008C0B20" w:rsidRPr="002776E0" w:rsidRDefault="00C56D54" w:rsidP="00C56D54">
            <w:pPr>
              <w:jc w:val="center"/>
              <w:rPr>
                <w:sz w:val="28"/>
                <w:szCs w:val="28"/>
              </w:rPr>
            </w:pPr>
            <w:r w:rsidRPr="002776E0">
              <w:rPr>
                <w:sz w:val="28"/>
                <w:szCs w:val="28"/>
              </w:rPr>
              <w:t>(</w:t>
            </w:r>
            <w:r w:rsidR="00143903" w:rsidRPr="002776E0">
              <w:rPr>
                <w:sz w:val="28"/>
                <w:szCs w:val="28"/>
              </w:rPr>
              <w:t>M H Lam</w:t>
            </w:r>
            <w:r w:rsidRPr="002776E0">
              <w:rPr>
                <w:sz w:val="28"/>
                <w:szCs w:val="28"/>
              </w:rPr>
              <w:t>)</w:t>
            </w:r>
          </w:p>
          <w:p w:rsidR="00C56D54" w:rsidRPr="002776E0" w:rsidRDefault="00C56D54" w:rsidP="00C56D54">
            <w:pPr>
              <w:jc w:val="center"/>
              <w:rPr>
                <w:sz w:val="28"/>
                <w:szCs w:val="28"/>
              </w:rPr>
            </w:pPr>
            <w:r w:rsidRPr="002776E0">
              <w:rPr>
                <w:sz w:val="28"/>
                <w:szCs w:val="28"/>
                <w:lang w:eastAsia="zh-CN"/>
              </w:rPr>
              <w:t>Permanent Judge</w:t>
            </w:r>
          </w:p>
        </w:tc>
        <w:tc>
          <w:tcPr>
            <w:tcW w:w="4005" w:type="dxa"/>
          </w:tcPr>
          <w:p w:rsidR="00C56D54" w:rsidRPr="002776E0" w:rsidRDefault="00C56D54" w:rsidP="00C56D54">
            <w:pPr>
              <w:jc w:val="center"/>
              <w:rPr>
                <w:sz w:val="28"/>
                <w:szCs w:val="28"/>
                <w:lang w:eastAsia="zh-CN"/>
              </w:rPr>
            </w:pPr>
            <w:r w:rsidRPr="002776E0">
              <w:rPr>
                <w:sz w:val="28"/>
                <w:szCs w:val="28"/>
                <w:lang w:eastAsia="zh-CN"/>
              </w:rPr>
              <w:t>(</w:t>
            </w:r>
            <w:r w:rsidR="00B6147A" w:rsidRPr="002776E0">
              <w:rPr>
                <w:sz w:val="28"/>
                <w:szCs w:val="28"/>
              </w:rPr>
              <w:t xml:space="preserve">Lord </w:t>
            </w:r>
            <w:r w:rsidR="00B6147A">
              <w:rPr>
                <w:sz w:val="28"/>
                <w:szCs w:val="28"/>
              </w:rPr>
              <w:t>Neuberger of Abbotsbury</w:t>
            </w:r>
            <w:r w:rsidRPr="002776E0">
              <w:rPr>
                <w:sz w:val="28"/>
                <w:szCs w:val="28"/>
                <w:lang w:eastAsia="zh-CN"/>
              </w:rPr>
              <w:t>)</w:t>
            </w:r>
          </w:p>
          <w:p w:rsidR="008C0B20" w:rsidRPr="002776E0" w:rsidRDefault="00C56D54" w:rsidP="00C56D54">
            <w:pPr>
              <w:ind w:hanging="120"/>
              <w:jc w:val="center"/>
              <w:rPr>
                <w:sz w:val="28"/>
                <w:szCs w:val="28"/>
              </w:rPr>
            </w:pPr>
            <w:r w:rsidRPr="002776E0">
              <w:rPr>
                <w:sz w:val="28"/>
                <w:szCs w:val="28"/>
                <w:lang w:eastAsia="zh-CN"/>
              </w:rPr>
              <w:t>Non-Permanent Judge</w:t>
            </w:r>
          </w:p>
        </w:tc>
      </w:tr>
    </w:tbl>
    <w:p w:rsidR="008C0B20" w:rsidRPr="002776E0" w:rsidRDefault="008C0B20" w:rsidP="008501FB">
      <w:pPr>
        <w:autoSpaceDE w:val="0"/>
        <w:autoSpaceDN w:val="0"/>
        <w:adjustRightInd w:val="0"/>
        <w:snapToGrid w:val="0"/>
        <w:spacing w:line="360" w:lineRule="auto"/>
        <w:ind w:left="720" w:hanging="720"/>
        <w:rPr>
          <w:sz w:val="28"/>
          <w:szCs w:val="28"/>
        </w:rPr>
      </w:pPr>
    </w:p>
    <w:p w:rsidR="00574918" w:rsidRPr="00B6147A" w:rsidRDefault="00574918" w:rsidP="008501FB">
      <w:pPr>
        <w:autoSpaceDE w:val="0"/>
        <w:autoSpaceDN w:val="0"/>
        <w:adjustRightInd w:val="0"/>
        <w:snapToGrid w:val="0"/>
        <w:ind w:left="720" w:hanging="720"/>
        <w:rPr>
          <w:sz w:val="28"/>
          <w:szCs w:val="28"/>
        </w:rPr>
      </w:pPr>
    </w:p>
    <w:p w:rsidR="00AF789C" w:rsidRPr="00B6147A" w:rsidRDefault="004A4DD4" w:rsidP="00574918">
      <w:pPr>
        <w:autoSpaceDE w:val="0"/>
        <w:autoSpaceDN w:val="0"/>
        <w:adjustRightInd w:val="0"/>
        <w:ind w:left="720" w:hanging="720"/>
        <w:rPr>
          <w:sz w:val="28"/>
          <w:szCs w:val="28"/>
          <w:lang w:eastAsia="zh-CN"/>
        </w:rPr>
      </w:pPr>
      <w:r>
        <w:rPr>
          <w:sz w:val="28"/>
          <w:szCs w:val="28"/>
        </w:rPr>
        <w:t xml:space="preserve">Written Submissions by </w:t>
      </w:r>
      <w:r w:rsidR="00B6147A" w:rsidRPr="00B6147A">
        <w:rPr>
          <w:sz w:val="28"/>
          <w:szCs w:val="28"/>
        </w:rPr>
        <w:t xml:space="preserve">Ms Audrey Eu </w:t>
      </w:r>
      <w:r w:rsidR="00B6147A" w:rsidRPr="00B6147A">
        <w:rPr>
          <w:rFonts w:hint="eastAsia"/>
          <w:sz w:val="28"/>
          <w:szCs w:val="28"/>
        </w:rPr>
        <w:t>SC</w:t>
      </w:r>
      <w:r w:rsidR="00B6147A" w:rsidRPr="00B6147A">
        <w:rPr>
          <w:sz w:val="28"/>
          <w:szCs w:val="28"/>
          <w:lang w:val="en-GB"/>
        </w:rPr>
        <w:t xml:space="preserve">, </w:t>
      </w:r>
      <w:r w:rsidR="00B6147A" w:rsidRPr="00B6147A">
        <w:rPr>
          <w:sz w:val="28"/>
          <w:szCs w:val="28"/>
          <w:lang w:eastAsia="zh-CN"/>
        </w:rPr>
        <w:t xml:space="preserve">Mr Au Lut Chi </w:t>
      </w:r>
      <w:r w:rsidR="00143903" w:rsidRPr="00B6147A">
        <w:rPr>
          <w:sz w:val="28"/>
          <w:szCs w:val="28"/>
          <w:lang w:val="en-GB"/>
        </w:rPr>
        <w:t xml:space="preserve">and </w:t>
      </w:r>
      <w:r w:rsidR="00B6147A" w:rsidRPr="00B6147A">
        <w:rPr>
          <w:sz w:val="28"/>
          <w:szCs w:val="28"/>
          <w:lang w:eastAsia="zh-CN"/>
        </w:rPr>
        <w:t>Mr Griffith Cheng</w:t>
      </w:r>
      <w:r w:rsidR="00143903" w:rsidRPr="00B6147A">
        <w:rPr>
          <w:sz w:val="28"/>
          <w:szCs w:val="28"/>
          <w:lang w:val="en-GB"/>
        </w:rPr>
        <w:t xml:space="preserve">, instructed by </w:t>
      </w:r>
      <w:r w:rsidR="00B6147A" w:rsidRPr="00B6147A">
        <w:rPr>
          <w:sz w:val="28"/>
          <w:szCs w:val="28"/>
        </w:rPr>
        <w:t>Francis Kong &amp; Co</w:t>
      </w:r>
      <w:r w:rsidR="00574918" w:rsidRPr="00B6147A">
        <w:rPr>
          <w:sz w:val="28"/>
          <w:szCs w:val="28"/>
        </w:rPr>
        <w:t xml:space="preserve">, for the </w:t>
      </w:r>
      <w:r w:rsidR="0086222D" w:rsidRPr="00B6147A">
        <w:rPr>
          <w:sz w:val="28"/>
          <w:szCs w:val="28"/>
        </w:rPr>
        <w:t>Defendant (Respondent</w:t>
      </w:r>
      <w:r w:rsidR="00574918" w:rsidRPr="00B6147A">
        <w:rPr>
          <w:sz w:val="28"/>
          <w:szCs w:val="28"/>
        </w:rPr>
        <w:t>)</w:t>
      </w:r>
    </w:p>
    <w:p w:rsidR="00C56D54" w:rsidRPr="002776E0" w:rsidRDefault="00C56D54" w:rsidP="00606FD6">
      <w:pPr>
        <w:pStyle w:val="Bob1"/>
        <w:numPr>
          <w:ilvl w:val="0"/>
          <w:numId w:val="0"/>
        </w:numPr>
        <w:spacing w:after="0" w:line="240" w:lineRule="auto"/>
        <w:ind w:left="720" w:hanging="720"/>
        <w:jc w:val="both"/>
      </w:pPr>
    </w:p>
    <w:p w:rsidR="004A4DD4" w:rsidRPr="00B6147A" w:rsidRDefault="004A4DD4" w:rsidP="004A4DD4">
      <w:pPr>
        <w:autoSpaceDE w:val="0"/>
        <w:autoSpaceDN w:val="0"/>
        <w:adjustRightInd w:val="0"/>
        <w:ind w:left="720" w:hanging="720"/>
        <w:rPr>
          <w:sz w:val="28"/>
          <w:szCs w:val="28"/>
        </w:rPr>
      </w:pPr>
      <w:r w:rsidRPr="00B6147A">
        <w:rPr>
          <w:sz w:val="28"/>
          <w:szCs w:val="28"/>
        </w:rPr>
        <w:t>Chiu, Szeto &amp; Cheng, for the Plaintiff (Appellant)</w:t>
      </w:r>
    </w:p>
    <w:p w:rsidR="008C0B20" w:rsidRPr="002776E0" w:rsidRDefault="008C0B20" w:rsidP="00AA6D0D">
      <w:pPr>
        <w:pStyle w:val="Bob1"/>
        <w:numPr>
          <w:ilvl w:val="0"/>
          <w:numId w:val="0"/>
        </w:numPr>
        <w:spacing w:after="0" w:line="240" w:lineRule="auto"/>
        <w:ind w:left="720" w:hanging="720"/>
        <w:jc w:val="both"/>
      </w:pPr>
    </w:p>
    <w:sectPr w:rsidR="008C0B20" w:rsidRPr="002776E0" w:rsidSect="000C614C">
      <w:headerReference w:type="default" r:id="rId8"/>
      <w:pgSz w:w="11909" w:h="16834" w:code="9"/>
      <w:pgMar w:top="1728" w:right="1440" w:bottom="172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A9C" w:rsidRDefault="00760A9C" w:rsidP="0020187A">
      <w:r>
        <w:separator/>
      </w:r>
    </w:p>
  </w:endnote>
  <w:endnote w:type="continuationSeparator" w:id="0">
    <w:p w:rsidR="00760A9C" w:rsidRDefault="00760A9C"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A9C" w:rsidRDefault="00760A9C" w:rsidP="0020187A">
      <w:r>
        <w:separator/>
      </w:r>
    </w:p>
  </w:footnote>
  <w:footnote w:type="continuationSeparator" w:id="0">
    <w:p w:rsidR="00760A9C" w:rsidRDefault="00760A9C" w:rsidP="0020187A">
      <w:r>
        <w:continuationSeparator/>
      </w:r>
    </w:p>
  </w:footnote>
  <w:footnote w:id="1">
    <w:p w:rsidR="00354DA8" w:rsidRDefault="00354DA8" w:rsidP="00354DA8">
      <w:pPr>
        <w:pStyle w:val="Footnote"/>
        <w:rPr>
          <w:lang w:eastAsia="zh-CN"/>
        </w:rPr>
      </w:pPr>
      <w:r>
        <w:rPr>
          <w:rStyle w:val="FootnoteReference"/>
        </w:rPr>
        <w:footnoteRef/>
      </w:r>
      <w:r>
        <w:t xml:space="preserve"> </w:t>
      </w:r>
      <w:r>
        <w:rPr>
          <w:lang w:eastAsia="zh-CN"/>
        </w:rPr>
        <w:tab/>
      </w:r>
      <w:r w:rsidRPr="007E6439">
        <w:rPr>
          <w:i/>
          <w:lang w:eastAsia="zh-CN"/>
        </w:rPr>
        <w:t>Tsit Wing (Hong Kong) Co Ltd v TWG Tea Co Pte Ltd (No 3)</w:t>
      </w:r>
      <w:r w:rsidRPr="00961E22">
        <w:rPr>
          <w:lang w:eastAsia="zh-CN"/>
        </w:rPr>
        <w:t xml:space="preserve"> (2016) 19 HKCFAR 142 at [2]</w:t>
      </w:r>
      <w:r>
        <w:rPr>
          <w:lang w:eastAsia="zh-CN"/>
        </w:rPr>
        <w:t>.</w:t>
      </w:r>
    </w:p>
  </w:footnote>
  <w:footnote w:id="2">
    <w:p w:rsidR="00354DA8" w:rsidRDefault="00354DA8" w:rsidP="00040039">
      <w:pPr>
        <w:pStyle w:val="FootnoteText"/>
        <w:snapToGrid w:val="0"/>
        <w:spacing w:after="120"/>
        <w:ind w:left="360" w:hanging="360"/>
        <w:rPr>
          <w:lang w:eastAsia="zh-CN"/>
        </w:rPr>
      </w:pPr>
      <w:r>
        <w:rPr>
          <w:rStyle w:val="FootnoteReference"/>
        </w:rPr>
        <w:footnoteRef/>
      </w:r>
      <w:r>
        <w:t xml:space="preserve"> </w:t>
      </w:r>
      <w:r>
        <w:rPr>
          <w:lang w:eastAsia="zh-CN"/>
        </w:rPr>
        <w:tab/>
      </w:r>
      <w:r w:rsidR="00040039">
        <w:rPr>
          <w:lang w:eastAsia="zh-CN"/>
        </w:rPr>
        <w:t xml:space="preserve">Certificates for three counsel granted, see: </w:t>
      </w:r>
      <w:r w:rsidR="00040039" w:rsidRPr="00EC0C72">
        <w:rPr>
          <w:i/>
          <w:lang w:eastAsia="zh-CN"/>
        </w:rPr>
        <w:t>Tam Sze Leung v Commissioner of Police</w:t>
      </w:r>
      <w:r w:rsidR="00040039">
        <w:rPr>
          <w:lang w:eastAsia="zh-CN"/>
        </w:rPr>
        <w:t xml:space="preserve"> [2024] HKCFA 16 at [8]; </w:t>
      </w:r>
      <w:r w:rsidR="00040039" w:rsidRPr="00EC0C72">
        <w:rPr>
          <w:i/>
          <w:lang w:eastAsia="zh-CN"/>
        </w:rPr>
        <w:t>HKSAR v Chen Keen (alias Jack Chen) &amp; Others</w:t>
      </w:r>
      <w:r w:rsidR="00040039">
        <w:rPr>
          <w:lang w:eastAsia="zh-CN"/>
        </w:rPr>
        <w:t xml:space="preserve"> [2019] HKCFA 51 at [10]; </w:t>
      </w:r>
      <w:r w:rsidR="00040039" w:rsidRPr="00EC0C72">
        <w:rPr>
          <w:i/>
          <w:lang w:eastAsia="zh-CN"/>
        </w:rPr>
        <w:t>Comilang Milagros Tecson &amp; Anor v Director of Immigration</w:t>
      </w:r>
      <w:r w:rsidR="00040039">
        <w:rPr>
          <w:lang w:eastAsia="zh-CN"/>
        </w:rPr>
        <w:t xml:space="preserve"> [2019] HKCFA 23 at [5].  Certificates for three counsel refused, see: </w:t>
      </w:r>
      <w:r w:rsidR="00040039" w:rsidRPr="00EC0C72">
        <w:rPr>
          <w:i/>
          <w:lang w:eastAsia="zh-CN"/>
        </w:rPr>
        <w:t>HKSAR v Chan Kam Ching</w:t>
      </w:r>
      <w:r w:rsidR="00040039">
        <w:rPr>
          <w:lang w:eastAsia="zh-CN"/>
        </w:rPr>
        <w:t xml:space="preserve"> </w:t>
      </w:r>
      <w:r w:rsidR="00D30763" w:rsidRPr="00D30763">
        <w:rPr>
          <w:rFonts w:eastAsia="PMingLiU"/>
          <w:lang w:eastAsia="zh-TW"/>
        </w:rPr>
        <w:t>(No 2) (2022) 25 HKCFAR 181</w:t>
      </w:r>
      <w:r w:rsidR="00D30763">
        <w:rPr>
          <w:rFonts w:ascii="PMingLiU" w:eastAsia="PMingLiU" w:hAnsi="PMingLiU" w:hint="eastAsia"/>
          <w:lang w:eastAsia="zh-TW"/>
        </w:rPr>
        <w:t xml:space="preserve"> </w:t>
      </w:r>
      <w:r w:rsidR="00040039">
        <w:rPr>
          <w:lang w:eastAsia="zh-CN"/>
        </w:rPr>
        <w:t xml:space="preserve">at [23]; </w:t>
      </w:r>
      <w:r w:rsidR="00040039" w:rsidRPr="00EC0C72">
        <w:rPr>
          <w:i/>
          <w:lang w:eastAsia="zh-CN"/>
        </w:rPr>
        <w:t>Leung Kwok Hung also known as “Long Hair” v Commissioner of Correctional Services</w:t>
      </w:r>
      <w:r w:rsidR="00040039">
        <w:rPr>
          <w:lang w:eastAsia="zh-CN"/>
        </w:rPr>
        <w:t xml:space="preserve"> </w:t>
      </w:r>
      <w:r w:rsidR="00D30763">
        <w:rPr>
          <w:lang w:eastAsia="zh-CN"/>
        </w:rPr>
        <w:t>(No 2) (2021) 24 HKCFAR 23</w:t>
      </w:r>
      <w:r w:rsidR="00040039">
        <w:rPr>
          <w:lang w:eastAsia="zh-CN"/>
        </w:rPr>
        <w:t xml:space="preserve"> at [5]; </w:t>
      </w:r>
      <w:r w:rsidR="00040039" w:rsidRPr="00EC0C72">
        <w:rPr>
          <w:i/>
          <w:lang w:eastAsia="zh-CN"/>
        </w:rPr>
        <w:t>HKSAR v Cheng Chee-Tock Theodore</w:t>
      </w:r>
      <w:r w:rsidR="00040039">
        <w:rPr>
          <w:lang w:eastAsia="zh-CN"/>
        </w:rPr>
        <w:t xml:space="preserve"> (FACC 7/2014, 22 June 2016) at [10].</w:t>
      </w:r>
    </w:p>
  </w:footnote>
  <w:footnote w:id="3">
    <w:p w:rsidR="00354DA8" w:rsidRDefault="00354DA8" w:rsidP="00354DA8">
      <w:pPr>
        <w:pStyle w:val="Footnote"/>
        <w:rPr>
          <w:lang w:eastAsia="zh-CN"/>
        </w:rPr>
      </w:pPr>
      <w:r>
        <w:rPr>
          <w:rStyle w:val="FootnoteReference"/>
        </w:rPr>
        <w:footnoteRef/>
      </w:r>
      <w:r>
        <w:t xml:space="preserve"> </w:t>
      </w:r>
      <w:r>
        <w:rPr>
          <w:lang w:eastAsia="zh-CN"/>
        </w:rPr>
        <w:tab/>
      </w:r>
      <w:r w:rsidRPr="00FC235E">
        <w:rPr>
          <w:i/>
          <w:lang w:eastAsia="zh-CN"/>
        </w:rPr>
        <w:t>Fu Kor Kuen Patrick v HKSAR</w:t>
      </w:r>
      <w:r>
        <w:rPr>
          <w:lang w:eastAsia="zh-CN"/>
        </w:rPr>
        <w:t xml:space="preserve"> (</w:t>
      </w:r>
      <w:r w:rsidRPr="00FC235E">
        <w:rPr>
          <w:lang w:eastAsia="zh-CN"/>
        </w:rPr>
        <w:t>F</w:t>
      </w:r>
      <w:r>
        <w:rPr>
          <w:lang w:eastAsia="zh-CN"/>
        </w:rPr>
        <w:t>ACC 4/2011, 27 August 2012) at [</w:t>
      </w:r>
      <w:r w:rsidRPr="00FC235E">
        <w:rPr>
          <w:lang w:eastAsia="zh-CN"/>
        </w:rPr>
        <w:t>5</w:t>
      </w:r>
      <w:r>
        <w:rPr>
          <w:lang w:eastAsia="zh-CN"/>
        </w:rPr>
        <w:t>]</w:t>
      </w:r>
      <w:r w:rsidRPr="00FC235E">
        <w:rPr>
          <w:lang w:eastAsia="zh-CN"/>
        </w:rPr>
        <w:t xml:space="preserve">; </w:t>
      </w:r>
      <w:r w:rsidRPr="00FC235E">
        <w:rPr>
          <w:i/>
          <w:lang w:eastAsia="zh-CN"/>
        </w:rPr>
        <w:t>HKSAR v Pang Hung Fai (No 2)</w:t>
      </w:r>
      <w:r>
        <w:rPr>
          <w:lang w:eastAsia="zh-CN"/>
        </w:rPr>
        <w:t xml:space="preserve"> (2015) 18 HKCFAR 1 at [</w:t>
      </w:r>
      <w:r w:rsidRPr="00FC235E">
        <w:rPr>
          <w:lang w:eastAsia="zh-CN"/>
        </w:rPr>
        <w:t>14</w:t>
      </w:r>
      <w:r>
        <w:rPr>
          <w:lang w:eastAsia="zh-CN"/>
        </w:rPr>
        <w:t>]</w:t>
      </w:r>
      <w:r w:rsidRPr="00FC235E">
        <w:rPr>
          <w:lang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8E6" w:rsidRDefault="004148E6">
    <w:pPr>
      <w:pStyle w:val="Header"/>
      <w:jc w:val="center"/>
    </w:pPr>
    <w:r>
      <w:t>- </w:t>
    </w:r>
    <w:r>
      <w:fldChar w:fldCharType="begin"/>
    </w:r>
    <w:r>
      <w:instrText xml:space="preserve"> PAGE   \* MERGEFORMAT </w:instrText>
    </w:r>
    <w:r>
      <w:fldChar w:fldCharType="separate"/>
    </w:r>
    <w:r w:rsidR="009C6D89">
      <w:rPr>
        <w:noProof/>
      </w:rPr>
      <w:t>2</w:t>
    </w:r>
    <w:r>
      <w:rPr>
        <w:noProof/>
      </w:rPr>
      <w:fldChar w:fldCharType="end"/>
    </w:r>
    <w:r>
      <w:rPr>
        <w:noProof/>
      </w:rPr>
      <w:t> -</w:t>
    </w:r>
  </w:p>
  <w:p w:rsidR="004148E6" w:rsidRDefault="00414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C1E68B7"/>
    <w:multiLevelType w:val="multilevel"/>
    <w:tmpl w:val="CF4ADB6C"/>
    <w:lvl w:ilvl="0">
      <w:start w:val="1"/>
      <w:numFmt w:val="decimal"/>
      <w:pStyle w:val="Paragraph"/>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5"/>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80"/>
    <w:rsid w:val="00000691"/>
    <w:rsid w:val="0001191B"/>
    <w:rsid w:val="000125A1"/>
    <w:rsid w:val="00014D71"/>
    <w:rsid w:val="000163A6"/>
    <w:rsid w:val="000209BB"/>
    <w:rsid w:val="00023B22"/>
    <w:rsid w:val="00025F20"/>
    <w:rsid w:val="00027FA8"/>
    <w:rsid w:val="00033907"/>
    <w:rsid w:val="00040039"/>
    <w:rsid w:val="000515E2"/>
    <w:rsid w:val="000535E8"/>
    <w:rsid w:val="00055CE7"/>
    <w:rsid w:val="0005690E"/>
    <w:rsid w:val="00060594"/>
    <w:rsid w:val="00063D7E"/>
    <w:rsid w:val="00064D31"/>
    <w:rsid w:val="00071E0E"/>
    <w:rsid w:val="00071E5D"/>
    <w:rsid w:val="00076318"/>
    <w:rsid w:val="000771E9"/>
    <w:rsid w:val="00082104"/>
    <w:rsid w:val="00083BBB"/>
    <w:rsid w:val="000869AE"/>
    <w:rsid w:val="000876AE"/>
    <w:rsid w:val="000901B6"/>
    <w:rsid w:val="00092614"/>
    <w:rsid w:val="0009475D"/>
    <w:rsid w:val="000A0EDA"/>
    <w:rsid w:val="000B0F88"/>
    <w:rsid w:val="000C0A87"/>
    <w:rsid w:val="000C5949"/>
    <w:rsid w:val="000C5ECA"/>
    <w:rsid w:val="000C614C"/>
    <w:rsid w:val="000D09A7"/>
    <w:rsid w:val="000D5A72"/>
    <w:rsid w:val="000D7132"/>
    <w:rsid w:val="000E0C29"/>
    <w:rsid w:val="000E0D71"/>
    <w:rsid w:val="000E0EFF"/>
    <w:rsid w:val="000E5694"/>
    <w:rsid w:val="000F333D"/>
    <w:rsid w:val="000F70F4"/>
    <w:rsid w:val="00106EEF"/>
    <w:rsid w:val="001071DA"/>
    <w:rsid w:val="00107D8C"/>
    <w:rsid w:val="0011460C"/>
    <w:rsid w:val="00114F90"/>
    <w:rsid w:val="001151E6"/>
    <w:rsid w:val="00117656"/>
    <w:rsid w:val="001225FA"/>
    <w:rsid w:val="0012472B"/>
    <w:rsid w:val="00124742"/>
    <w:rsid w:val="00125A44"/>
    <w:rsid w:val="001346F8"/>
    <w:rsid w:val="00136F54"/>
    <w:rsid w:val="00141D52"/>
    <w:rsid w:val="00143903"/>
    <w:rsid w:val="00151027"/>
    <w:rsid w:val="00151803"/>
    <w:rsid w:val="001545D8"/>
    <w:rsid w:val="00176324"/>
    <w:rsid w:val="001767BF"/>
    <w:rsid w:val="00177CC8"/>
    <w:rsid w:val="00185434"/>
    <w:rsid w:val="00185B1A"/>
    <w:rsid w:val="00194CD6"/>
    <w:rsid w:val="0019716E"/>
    <w:rsid w:val="001A008A"/>
    <w:rsid w:val="001A0150"/>
    <w:rsid w:val="001A2691"/>
    <w:rsid w:val="001A41ED"/>
    <w:rsid w:val="001B2F10"/>
    <w:rsid w:val="001B322C"/>
    <w:rsid w:val="001B3DA9"/>
    <w:rsid w:val="001B586D"/>
    <w:rsid w:val="001C2B92"/>
    <w:rsid w:val="001D6D39"/>
    <w:rsid w:val="001D73D9"/>
    <w:rsid w:val="001D7FDE"/>
    <w:rsid w:val="001F0648"/>
    <w:rsid w:val="001F3EA0"/>
    <w:rsid w:val="001F43DA"/>
    <w:rsid w:val="001F5E6F"/>
    <w:rsid w:val="001F7BB6"/>
    <w:rsid w:val="0020187A"/>
    <w:rsid w:val="002023AD"/>
    <w:rsid w:val="00204AFD"/>
    <w:rsid w:val="00205FCD"/>
    <w:rsid w:val="00207C49"/>
    <w:rsid w:val="00211276"/>
    <w:rsid w:val="0021188A"/>
    <w:rsid w:val="00212A19"/>
    <w:rsid w:val="00212E12"/>
    <w:rsid w:val="002165AF"/>
    <w:rsid w:val="00217004"/>
    <w:rsid w:val="00220FD5"/>
    <w:rsid w:val="00221A91"/>
    <w:rsid w:val="0022755B"/>
    <w:rsid w:val="00227FCB"/>
    <w:rsid w:val="00230B1D"/>
    <w:rsid w:val="00233524"/>
    <w:rsid w:val="00236086"/>
    <w:rsid w:val="00241ACB"/>
    <w:rsid w:val="0024380D"/>
    <w:rsid w:val="00247195"/>
    <w:rsid w:val="0025019E"/>
    <w:rsid w:val="00250CFB"/>
    <w:rsid w:val="00251B7D"/>
    <w:rsid w:val="00257E92"/>
    <w:rsid w:val="002610A9"/>
    <w:rsid w:val="00261DBD"/>
    <w:rsid w:val="00262262"/>
    <w:rsid w:val="00263B16"/>
    <w:rsid w:val="0026651C"/>
    <w:rsid w:val="002670FD"/>
    <w:rsid w:val="002719C4"/>
    <w:rsid w:val="0027259C"/>
    <w:rsid w:val="00274D95"/>
    <w:rsid w:val="00275957"/>
    <w:rsid w:val="002776E0"/>
    <w:rsid w:val="00281BC2"/>
    <w:rsid w:val="0028662D"/>
    <w:rsid w:val="00290C60"/>
    <w:rsid w:val="00295C5F"/>
    <w:rsid w:val="00297C2E"/>
    <w:rsid w:val="002A711A"/>
    <w:rsid w:val="002B3694"/>
    <w:rsid w:val="002B652C"/>
    <w:rsid w:val="002C07FC"/>
    <w:rsid w:val="002C1CA9"/>
    <w:rsid w:val="002C1EED"/>
    <w:rsid w:val="002C49A7"/>
    <w:rsid w:val="002C5F82"/>
    <w:rsid w:val="002C7D1B"/>
    <w:rsid w:val="002D00CE"/>
    <w:rsid w:val="002D1511"/>
    <w:rsid w:val="002D4678"/>
    <w:rsid w:val="002D78B1"/>
    <w:rsid w:val="002E19ED"/>
    <w:rsid w:val="002E5833"/>
    <w:rsid w:val="002E70BC"/>
    <w:rsid w:val="003039DC"/>
    <w:rsid w:val="0031096A"/>
    <w:rsid w:val="00311FC7"/>
    <w:rsid w:val="0031200C"/>
    <w:rsid w:val="003125D5"/>
    <w:rsid w:val="00314322"/>
    <w:rsid w:val="00320586"/>
    <w:rsid w:val="00324568"/>
    <w:rsid w:val="003277CE"/>
    <w:rsid w:val="003278CE"/>
    <w:rsid w:val="003334E3"/>
    <w:rsid w:val="00336B45"/>
    <w:rsid w:val="00350B1F"/>
    <w:rsid w:val="00354D7B"/>
    <w:rsid w:val="00354DA8"/>
    <w:rsid w:val="0035633C"/>
    <w:rsid w:val="003632AB"/>
    <w:rsid w:val="00364F94"/>
    <w:rsid w:val="0036556A"/>
    <w:rsid w:val="00371AA2"/>
    <w:rsid w:val="003837D1"/>
    <w:rsid w:val="00390DB9"/>
    <w:rsid w:val="003920C3"/>
    <w:rsid w:val="00392508"/>
    <w:rsid w:val="00392565"/>
    <w:rsid w:val="00395F9D"/>
    <w:rsid w:val="003B026A"/>
    <w:rsid w:val="003C1F63"/>
    <w:rsid w:val="003C2681"/>
    <w:rsid w:val="003C30D5"/>
    <w:rsid w:val="003C321E"/>
    <w:rsid w:val="003C6A38"/>
    <w:rsid w:val="003D1734"/>
    <w:rsid w:val="003D4096"/>
    <w:rsid w:val="003D4C95"/>
    <w:rsid w:val="003D6422"/>
    <w:rsid w:val="003D70B0"/>
    <w:rsid w:val="003E3D02"/>
    <w:rsid w:val="003E68C6"/>
    <w:rsid w:val="003F0745"/>
    <w:rsid w:val="003F528B"/>
    <w:rsid w:val="003F6D6E"/>
    <w:rsid w:val="00400483"/>
    <w:rsid w:val="004018CD"/>
    <w:rsid w:val="004019A7"/>
    <w:rsid w:val="004067E0"/>
    <w:rsid w:val="00407BBC"/>
    <w:rsid w:val="00413375"/>
    <w:rsid w:val="004148E6"/>
    <w:rsid w:val="00420280"/>
    <w:rsid w:val="00420DF4"/>
    <w:rsid w:val="00434DA5"/>
    <w:rsid w:val="00435765"/>
    <w:rsid w:val="004357C1"/>
    <w:rsid w:val="00444D80"/>
    <w:rsid w:val="0045565D"/>
    <w:rsid w:val="00455706"/>
    <w:rsid w:val="004560E5"/>
    <w:rsid w:val="00456116"/>
    <w:rsid w:val="004566E7"/>
    <w:rsid w:val="00457F4C"/>
    <w:rsid w:val="004612B6"/>
    <w:rsid w:val="004617D2"/>
    <w:rsid w:val="00461E95"/>
    <w:rsid w:val="00463785"/>
    <w:rsid w:val="0046774E"/>
    <w:rsid w:val="004678EF"/>
    <w:rsid w:val="00476076"/>
    <w:rsid w:val="0047793D"/>
    <w:rsid w:val="004816FB"/>
    <w:rsid w:val="00483023"/>
    <w:rsid w:val="004837C9"/>
    <w:rsid w:val="00486586"/>
    <w:rsid w:val="004A10DB"/>
    <w:rsid w:val="004A4DD4"/>
    <w:rsid w:val="004A525D"/>
    <w:rsid w:val="004A5733"/>
    <w:rsid w:val="004B3CAE"/>
    <w:rsid w:val="004B4B3F"/>
    <w:rsid w:val="004B4C89"/>
    <w:rsid w:val="004B4D79"/>
    <w:rsid w:val="004C0763"/>
    <w:rsid w:val="004C24A6"/>
    <w:rsid w:val="004C52A8"/>
    <w:rsid w:val="004C604E"/>
    <w:rsid w:val="004C6AAF"/>
    <w:rsid w:val="004D40F3"/>
    <w:rsid w:val="004D4D3C"/>
    <w:rsid w:val="004D4E66"/>
    <w:rsid w:val="004D5C65"/>
    <w:rsid w:val="004D7831"/>
    <w:rsid w:val="004E6D20"/>
    <w:rsid w:val="004E784B"/>
    <w:rsid w:val="004E795B"/>
    <w:rsid w:val="004F1BC8"/>
    <w:rsid w:val="004F1C3E"/>
    <w:rsid w:val="004F2968"/>
    <w:rsid w:val="004F5B87"/>
    <w:rsid w:val="004F63CB"/>
    <w:rsid w:val="0050309F"/>
    <w:rsid w:val="00513703"/>
    <w:rsid w:val="005144A3"/>
    <w:rsid w:val="00516147"/>
    <w:rsid w:val="005247E4"/>
    <w:rsid w:val="00525D35"/>
    <w:rsid w:val="00526404"/>
    <w:rsid w:val="0053393C"/>
    <w:rsid w:val="00534000"/>
    <w:rsid w:val="005422A7"/>
    <w:rsid w:val="005423D1"/>
    <w:rsid w:val="00542731"/>
    <w:rsid w:val="00544AF2"/>
    <w:rsid w:val="0055090B"/>
    <w:rsid w:val="0055109E"/>
    <w:rsid w:val="0055161A"/>
    <w:rsid w:val="005520F0"/>
    <w:rsid w:val="0055720F"/>
    <w:rsid w:val="00557C62"/>
    <w:rsid w:val="005626BE"/>
    <w:rsid w:val="0057442F"/>
    <w:rsid w:val="00574918"/>
    <w:rsid w:val="00576CDE"/>
    <w:rsid w:val="00577D9A"/>
    <w:rsid w:val="00580357"/>
    <w:rsid w:val="005851E3"/>
    <w:rsid w:val="00585740"/>
    <w:rsid w:val="00586941"/>
    <w:rsid w:val="0059203D"/>
    <w:rsid w:val="00592D2E"/>
    <w:rsid w:val="005B1AC0"/>
    <w:rsid w:val="005B332E"/>
    <w:rsid w:val="005B6F30"/>
    <w:rsid w:val="005C130D"/>
    <w:rsid w:val="005C4423"/>
    <w:rsid w:val="005D198B"/>
    <w:rsid w:val="005D423C"/>
    <w:rsid w:val="005D45BE"/>
    <w:rsid w:val="005D7F2D"/>
    <w:rsid w:val="005E226C"/>
    <w:rsid w:val="005E34DB"/>
    <w:rsid w:val="005E55D3"/>
    <w:rsid w:val="005E5FAF"/>
    <w:rsid w:val="005F28E5"/>
    <w:rsid w:val="005F3450"/>
    <w:rsid w:val="005F7F34"/>
    <w:rsid w:val="0060229A"/>
    <w:rsid w:val="006025A0"/>
    <w:rsid w:val="006053AD"/>
    <w:rsid w:val="00606FD6"/>
    <w:rsid w:val="00610D7F"/>
    <w:rsid w:val="006131A6"/>
    <w:rsid w:val="00615958"/>
    <w:rsid w:val="00622FC5"/>
    <w:rsid w:val="00630743"/>
    <w:rsid w:val="006318C1"/>
    <w:rsid w:val="00635C9D"/>
    <w:rsid w:val="00637C1D"/>
    <w:rsid w:val="006508BE"/>
    <w:rsid w:val="00653DC6"/>
    <w:rsid w:val="00657AAB"/>
    <w:rsid w:val="006657B5"/>
    <w:rsid w:val="00670417"/>
    <w:rsid w:val="006716A1"/>
    <w:rsid w:val="0068087C"/>
    <w:rsid w:val="006876A6"/>
    <w:rsid w:val="0069171D"/>
    <w:rsid w:val="00692C59"/>
    <w:rsid w:val="0069692D"/>
    <w:rsid w:val="00696936"/>
    <w:rsid w:val="00697CE2"/>
    <w:rsid w:val="006A4A3E"/>
    <w:rsid w:val="006A63DB"/>
    <w:rsid w:val="006A7505"/>
    <w:rsid w:val="006A7AB9"/>
    <w:rsid w:val="006B69E1"/>
    <w:rsid w:val="006C0DE7"/>
    <w:rsid w:val="006C5C2A"/>
    <w:rsid w:val="006C64E5"/>
    <w:rsid w:val="006D005A"/>
    <w:rsid w:val="006D3D0F"/>
    <w:rsid w:val="006E2A8C"/>
    <w:rsid w:val="006E420F"/>
    <w:rsid w:val="006F3A5E"/>
    <w:rsid w:val="006F47A2"/>
    <w:rsid w:val="006F49F7"/>
    <w:rsid w:val="007010F2"/>
    <w:rsid w:val="007067A6"/>
    <w:rsid w:val="00710979"/>
    <w:rsid w:val="007123FA"/>
    <w:rsid w:val="00714397"/>
    <w:rsid w:val="0071545A"/>
    <w:rsid w:val="00717B63"/>
    <w:rsid w:val="0072632D"/>
    <w:rsid w:val="00726762"/>
    <w:rsid w:val="00726940"/>
    <w:rsid w:val="007276F0"/>
    <w:rsid w:val="007333A2"/>
    <w:rsid w:val="00733EF2"/>
    <w:rsid w:val="007423A1"/>
    <w:rsid w:val="007429D6"/>
    <w:rsid w:val="00742D9D"/>
    <w:rsid w:val="00746E02"/>
    <w:rsid w:val="00747451"/>
    <w:rsid w:val="00747BB8"/>
    <w:rsid w:val="00756B65"/>
    <w:rsid w:val="00760401"/>
    <w:rsid w:val="00760A9C"/>
    <w:rsid w:val="007614BA"/>
    <w:rsid w:val="00765F1A"/>
    <w:rsid w:val="00767328"/>
    <w:rsid w:val="007677F7"/>
    <w:rsid w:val="00770988"/>
    <w:rsid w:val="007748D6"/>
    <w:rsid w:val="00776B5F"/>
    <w:rsid w:val="00780F5C"/>
    <w:rsid w:val="00781721"/>
    <w:rsid w:val="00791C50"/>
    <w:rsid w:val="00792089"/>
    <w:rsid w:val="00794752"/>
    <w:rsid w:val="007951F3"/>
    <w:rsid w:val="007A149C"/>
    <w:rsid w:val="007A4060"/>
    <w:rsid w:val="007B158A"/>
    <w:rsid w:val="007B28DC"/>
    <w:rsid w:val="007B3FB4"/>
    <w:rsid w:val="007B504A"/>
    <w:rsid w:val="007B5356"/>
    <w:rsid w:val="007B5731"/>
    <w:rsid w:val="007C21E1"/>
    <w:rsid w:val="007C4AE9"/>
    <w:rsid w:val="007D1660"/>
    <w:rsid w:val="007D46EB"/>
    <w:rsid w:val="007D51C4"/>
    <w:rsid w:val="007E48C0"/>
    <w:rsid w:val="007E6439"/>
    <w:rsid w:val="007E6BCF"/>
    <w:rsid w:val="007F39AB"/>
    <w:rsid w:val="007F7D54"/>
    <w:rsid w:val="00802A65"/>
    <w:rsid w:val="00806C66"/>
    <w:rsid w:val="008161F6"/>
    <w:rsid w:val="00822911"/>
    <w:rsid w:val="00822AF5"/>
    <w:rsid w:val="008302C8"/>
    <w:rsid w:val="00831AD9"/>
    <w:rsid w:val="008377B4"/>
    <w:rsid w:val="008501FB"/>
    <w:rsid w:val="00854323"/>
    <w:rsid w:val="00855329"/>
    <w:rsid w:val="0085685F"/>
    <w:rsid w:val="008568A1"/>
    <w:rsid w:val="00860512"/>
    <w:rsid w:val="00861993"/>
    <w:rsid w:val="0086222D"/>
    <w:rsid w:val="00864FA4"/>
    <w:rsid w:val="00871441"/>
    <w:rsid w:val="00872AF3"/>
    <w:rsid w:val="008734C9"/>
    <w:rsid w:val="00875BDA"/>
    <w:rsid w:val="00880080"/>
    <w:rsid w:val="008803CD"/>
    <w:rsid w:val="00883E43"/>
    <w:rsid w:val="008952DF"/>
    <w:rsid w:val="008A0E16"/>
    <w:rsid w:val="008A3CF4"/>
    <w:rsid w:val="008A7230"/>
    <w:rsid w:val="008B035A"/>
    <w:rsid w:val="008B375F"/>
    <w:rsid w:val="008B6C82"/>
    <w:rsid w:val="008C0B20"/>
    <w:rsid w:val="008C1F65"/>
    <w:rsid w:val="008D1338"/>
    <w:rsid w:val="008D56DE"/>
    <w:rsid w:val="008D5FD8"/>
    <w:rsid w:val="008E026F"/>
    <w:rsid w:val="008E1675"/>
    <w:rsid w:val="008E1885"/>
    <w:rsid w:val="008E1995"/>
    <w:rsid w:val="008E4A1D"/>
    <w:rsid w:val="008F7DBD"/>
    <w:rsid w:val="00901F81"/>
    <w:rsid w:val="009044BB"/>
    <w:rsid w:val="009051FE"/>
    <w:rsid w:val="00905CB1"/>
    <w:rsid w:val="00907889"/>
    <w:rsid w:val="00910DEC"/>
    <w:rsid w:val="00911BE7"/>
    <w:rsid w:val="00912168"/>
    <w:rsid w:val="009121E1"/>
    <w:rsid w:val="00914CDD"/>
    <w:rsid w:val="00914CF7"/>
    <w:rsid w:val="00924A5C"/>
    <w:rsid w:val="00925E39"/>
    <w:rsid w:val="009323BA"/>
    <w:rsid w:val="00935448"/>
    <w:rsid w:val="00937029"/>
    <w:rsid w:val="00945687"/>
    <w:rsid w:val="0094695D"/>
    <w:rsid w:val="0095095D"/>
    <w:rsid w:val="00951716"/>
    <w:rsid w:val="0096025B"/>
    <w:rsid w:val="0096061B"/>
    <w:rsid w:val="009643F2"/>
    <w:rsid w:val="00966791"/>
    <w:rsid w:val="00970397"/>
    <w:rsid w:val="00973F36"/>
    <w:rsid w:val="0097460F"/>
    <w:rsid w:val="00977E95"/>
    <w:rsid w:val="00984D76"/>
    <w:rsid w:val="00985EE7"/>
    <w:rsid w:val="00985F31"/>
    <w:rsid w:val="009937DA"/>
    <w:rsid w:val="00993F67"/>
    <w:rsid w:val="00995644"/>
    <w:rsid w:val="009964B1"/>
    <w:rsid w:val="00996724"/>
    <w:rsid w:val="00997B2A"/>
    <w:rsid w:val="00997BFA"/>
    <w:rsid w:val="009A1131"/>
    <w:rsid w:val="009A1A02"/>
    <w:rsid w:val="009A1F80"/>
    <w:rsid w:val="009A2368"/>
    <w:rsid w:val="009A24CB"/>
    <w:rsid w:val="009A3BB9"/>
    <w:rsid w:val="009B26D8"/>
    <w:rsid w:val="009B5AC4"/>
    <w:rsid w:val="009B70B5"/>
    <w:rsid w:val="009C6AA9"/>
    <w:rsid w:val="009C6D89"/>
    <w:rsid w:val="009D0202"/>
    <w:rsid w:val="009D0F95"/>
    <w:rsid w:val="009D49A2"/>
    <w:rsid w:val="009E044A"/>
    <w:rsid w:val="009E1724"/>
    <w:rsid w:val="009E3782"/>
    <w:rsid w:val="009F1065"/>
    <w:rsid w:val="009F3816"/>
    <w:rsid w:val="009F6D45"/>
    <w:rsid w:val="009F7123"/>
    <w:rsid w:val="009F7DD4"/>
    <w:rsid w:val="00A01969"/>
    <w:rsid w:val="00A01C50"/>
    <w:rsid w:val="00A06E44"/>
    <w:rsid w:val="00A073F8"/>
    <w:rsid w:val="00A078DB"/>
    <w:rsid w:val="00A124E4"/>
    <w:rsid w:val="00A14C07"/>
    <w:rsid w:val="00A17756"/>
    <w:rsid w:val="00A20029"/>
    <w:rsid w:val="00A22D88"/>
    <w:rsid w:val="00A27B80"/>
    <w:rsid w:val="00A3351F"/>
    <w:rsid w:val="00A347E2"/>
    <w:rsid w:val="00A41EA0"/>
    <w:rsid w:val="00A42C95"/>
    <w:rsid w:val="00A46D59"/>
    <w:rsid w:val="00A474F9"/>
    <w:rsid w:val="00A512B4"/>
    <w:rsid w:val="00A528CD"/>
    <w:rsid w:val="00A544EB"/>
    <w:rsid w:val="00A54F29"/>
    <w:rsid w:val="00A557BC"/>
    <w:rsid w:val="00A56CA2"/>
    <w:rsid w:val="00A57832"/>
    <w:rsid w:val="00A60BBD"/>
    <w:rsid w:val="00A626E8"/>
    <w:rsid w:val="00A647D8"/>
    <w:rsid w:val="00A85B64"/>
    <w:rsid w:val="00A87294"/>
    <w:rsid w:val="00A9324A"/>
    <w:rsid w:val="00A9434C"/>
    <w:rsid w:val="00A96A24"/>
    <w:rsid w:val="00AA68BF"/>
    <w:rsid w:val="00AA6D0D"/>
    <w:rsid w:val="00AA7751"/>
    <w:rsid w:val="00AB178E"/>
    <w:rsid w:val="00AB4AB9"/>
    <w:rsid w:val="00AB6412"/>
    <w:rsid w:val="00AC049B"/>
    <w:rsid w:val="00AC0CD6"/>
    <w:rsid w:val="00AC363F"/>
    <w:rsid w:val="00AC4B03"/>
    <w:rsid w:val="00AC71D2"/>
    <w:rsid w:val="00AC7E15"/>
    <w:rsid w:val="00AD430D"/>
    <w:rsid w:val="00AE7BE3"/>
    <w:rsid w:val="00AF0294"/>
    <w:rsid w:val="00AF07FF"/>
    <w:rsid w:val="00AF1C7C"/>
    <w:rsid w:val="00AF2D2E"/>
    <w:rsid w:val="00AF427E"/>
    <w:rsid w:val="00AF5A6F"/>
    <w:rsid w:val="00AF73BF"/>
    <w:rsid w:val="00AF789C"/>
    <w:rsid w:val="00B030FA"/>
    <w:rsid w:val="00B042E8"/>
    <w:rsid w:val="00B06339"/>
    <w:rsid w:val="00B103CC"/>
    <w:rsid w:val="00B1064B"/>
    <w:rsid w:val="00B116BD"/>
    <w:rsid w:val="00B11E75"/>
    <w:rsid w:val="00B13751"/>
    <w:rsid w:val="00B146AE"/>
    <w:rsid w:val="00B15C2F"/>
    <w:rsid w:val="00B17035"/>
    <w:rsid w:val="00B22008"/>
    <w:rsid w:val="00B31CF2"/>
    <w:rsid w:val="00B33DE0"/>
    <w:rsid w:val="00B40A0E"/>
    <w:rsid w:val="00B424B1"/>
    <w:rsid w:val="00B4257F"/>
    <w:rsid w:val="00B47D45"/>
    <w:rsid w:val="00B6147A"/>
    <w:rsid w:val="00B63931"/>
    <w:rsid w:val="00B64945"/>
    <w:rsid w:val="00B702A9"/>
    <w:rsid w:val="00B70EE3"/>
    <w:rsid w:val="00B729ED"/>
    <w:rsid w:val="00B81F9F"/>
    <w:rsid w:val="00B86D3E"/>
    <w:rsid w:val="00B92B31"/>
    <w:rsid w:val="00B94A05"/>
    <w:rsid w:val="00B95917"/>
    <w:rsid w:val="00BA0B3C"/>
    <w:rsid w:val="00BA0C61"/>
    <w:rsid w:val="00BA41C7"/>
    <w:rsid w:val="00BA61DA"/>
    <w:rsid w:val="00BB0306"/>
    <w:rsid w:val="00BB06EC"/>
    <w:rsid w:val="00BD1903"/>
    <w:rsid w:val="00BD2DB2"/>
    <w:rsid w:val="00BD3F8A"/>
    <w:rsid w:val="00BD6F5A"/>
    <w:rsid w:val="00BE02BC"/>
    <w:rsid w:val="00BE583D"/>
    <w:rsid w:val="00BE5D9D"/>
    <w:rsid w:val="00BE63DF"/>
    <w:rsid w:val="00BE787D"/>
    <w:rsid w:val="00BF45F6"/>
    <w:rsid w:val="00C0649E"/>
    <w:rsid w:val="00C06BB1"/>
    <w:rsid w:val="00C07081"/>
    <w:rsid w:val="00C10115"/>
    <w:rsid w:val="00C11896"/>
    <w:rsid w:val="00C147F0"/>
    <w:rsid w:val="00C178E7"/>
    <w:rsid w:val="00C20268"/>
    <w:rsid w:val="00C224F1"/>
    <w:rsid w:val="00C227FC"/>
    <w:rsid w:val="00C23C53"/>
    <w:rsid w:val="00C274B8"/>
    <w:rsid w:val="00C27E5E"/>
    <w:rsid w:val="00C3038F"/>
    <w:rsid w:val="00C35F56"/>
    <w:rsid w:val="00C42095"/>
    <w:rsid w:val="00C4349D"/>
    <w:rsid w:val="00C44936"/>
    <w:rsid w:val="00C4524C"/>
    <w:rsid w:val="00C5072F"/>
    <w:rsid w:val="00C54C4E"/>
    <w:rsid w:val="00C56D54"/>
    <w:rsid w:val="00C60022"/>
    <w:rsid w:val="00C61A1D"/>
    <w:rsid w:val="00C63E1A"/>
    <w:rsid w:val="00C65A9F"/>
    <w:rsid w:val="00C67410"/>
    <w:rsid w:val="00C7081D"/>
    <w:rsid w:val="00C711BA"/>
    <w:rsid w:val="00C72BA9"/>
    <w:rsid w:val="00C73CCB"/>
    <w:rsid w:val="00C74941"/>
    <w:rsid w:val="00C75476"/>
    <w:rsid w:val="00C866B8"/>
    <w:rsid w:val="00C90824"/>
    <w:rsid w:val="00C928B8"/>
    <w:rsid w:val="00C935E5"/>
    <w:rsid w:val="00C941A8"/>
    <w:rsid w:val="00C978FC"/>
    <w:rsid w:val="00CA0E39"/>
    <w:rsid w:val="00CA0E3D"/>
    <w:rsid w:val="00CA3BF3"/>
    <w:rsid w:val="00CA7609"/>
    <w:rsid w:val="00CB04A8"/>
    <w:rsid w:val="00CB0AF0"/>
    <w:rsid w:val="00CB1C9E"/>
    <w:rsid w:val="00CB3796"/>
    <w:rsid w:val="00CC028F"/>
    <w:rsid w:val="00CC52FE"/>
    <w:rsid w:val="00CC69F0"/>
    <w:rsid w:val="00CD0CF2"/>
    <w:rsid w:val="00CD10A2"/>
    <w:rsid w:val="00CD1FB7"/>
    <w:rsid w:val="00CD2A65"/>
    <w:rsid w:val="00CD3A85"/>
    <w:rsid w:val="00CD4C9F"/>
    <w:rsid w:val="00CE6101"/>
    <w:rsid w:val="00CE68EF"/>
    <w:rsid w:val="00CF2DC1"/>
    <w:rsid w:val="00CF3B3C"/>
    <w:rsid w:val="00CF5B80"/>
    <w:rsid w:val="00CF5DC6"/>
    <w:rsid w:val="00CF67B1"/>
    <w:rsid w:val="00D00339"/>
    <w:rsid w:val="00D016E6"/>
    <w:rsid w:val="00D06DB6"/>
    <w:rsid w:val="00D11E4F"/>
    <w:rsid w:val="00D12BC3"/>
    <w:rsid w:val="00D13806"/>
    <w:rsid w:val="00D15359"/>
    <w:rsid w:val="00D15A0F"/>
    <w:rsid w:val="00D21ACF"/>
    <w:rsid w:val="00D260CC"/>
    <w:rsid w:val="00D30763"/>
    <w:rsid w:val="00D30970"/>
    <w:rsid w:val="00D34C08"/>
    <w:rsid w:val="00D35733"/>
    <w:rsid w:val="00D36B32"/>
    <w:rsid w:val="00D40994"/>
    <w:rsid w:val="00D4328D"/>
    <w:rsid w:val="00D46D3F"/>
    <w:rsid w:val="00D51F83"/>
    <w:rsid w:val="00D52E29"/>
    <w:rsid w:val="00D55537"/>
    <w:rsid w:val="00D60CE7"/>
    <w:rsid w:val="00D6593E"/>
    <w:rsid w:val="00D7714A"/>
    <w:rsid w:val="00D82575"/>
    <w:rsid w:val="00D832AB"/>
    <w:rsid w:val="00D84CCD"/>
    <w:rsid w:val="00D876EB"/>
    <w:rsid w:val="00D879A5"/>
    <w:rsid w:val="00DA3E55"/>
    <w:rsid w:val="00DA7B9C"/>
    <w:rsid w:val="00DB452A"/>
    <w:rsid w:val="00DB4AAA"/>
    <w:rsid w:val="00DB7C0D"/>
    <w:rsid w:val="00DC424B"/>
    <w:rsid w:val="00DC54C2"/>
    <w:rsid w:val="00DD2F47"/>
    <w:rsid w:val="00DD4CCA"/>
    <w:rsid w:val="00DD7370"/>
    <w:rsid w:val="00DE0314"/>
    <w:rsid w:val="00DE0B52"/>
    <w:rsid w:val="00DE6C78"/>
    <w:rsid w:val="00DF6668"/>
    <w:rsid w:val="00DF7055"/>
    <w:rsid w:val="00E054B9"/>
    <w:rsid w:val="00E07739"/>
    <w:rsid w:val="00E07F25"/>
    <w:rsid w:val="00E106B3"/>
    <w:rsid w:val="00E1074B"/>
    <w:rsid w:val="00E21834"/>
    <w:rsid w:val="00E22D7F"/>
    <w:rsid w:val="00E31D1C"/>
    <w:rsid w:val="00E32C7A"/>
    <w:rsid w:val="00E331FC"/>
    <w:rsid w:val="00E40D5F"/>
    <w:rsid w:val="00E43FDE"/>
    <w:rsid w:val="00E44853"/>
    <w:rsid w:val="00E44998"/>
    <w:rsid w:val="00E46373"/>
    <w:rsid w:val="00E46C22"/>
    <w:rsid w:val="00E523FA"/>
    <w:rsid w:val="00E55059"/>
    <w:rsid w:val="00E5552F"/>
    <w:rsid w:val="00E61267"/>
    <w:rsid w:val="00E6254A"/>
    <w:rsid w:val="00E669C4"/>
    <w:rsid w:val="00E723B1"/>
    <w:rsid w:val="00E7420B"/>
    <w:rsid w:val="00E7686B"/>
    <w:rsid w:val="00E820B7"/>
    <w:rsid w:val="00E82602"/>
    <w:rsid w:val="00E8400E"/>
    <w:rsid w:val="00E87BBC"/>
    <w:rsid w:val="00E90E8E"/>
    <w:rsid w:val="00E966B3"/>
    <w:rsid w:val="00E96C3F"/>
    <w:rsid w:val="00EA29B4"/>
    <w:rsid w:val="00EA2B01"/>
    <w:rsid w:val="00EA4CE1"/>
    <w:rsid w:val="00EA519B"/>
    <w:rsid w:val="00EA713A"/>
    <w:rsid w:val="00EB1A0E"/>
    <w:rsid w:val="00EB1CAA"/>
    <w:rsid w:val="00EB7A7A"/>
    <w:rsid w:val="00EC15A1"/>
    <w:rsid w:val="00EC60E6"/>
    <w:rsid w:val="00EC6D8B"/>
    <w:rsid w:val="00EC7A11"/>
    <w:rsid w:val="00ED3EFA"/>
    <w:rsid w:val="00ED490A"/>
    <w:rsid w:val="00EE4829"/>
    <w:rsid w:val="00EE4933"/>
    <w:rsid w:val="00EE4D21"/>
    <w:rsid w:val="00EE7B3E"/>
    <w:rsid w:val="00EF6E80"/>
    <w:rsid w:val="00EF7ACB"/>
    <w:rsid w:val="00F007CA"/>
    <w:rsid w:val="00F01AB8"/>
    <w:rsid w:val="00F061C6"/>
    <w:rsid w:val="00F10136"/>
    <w:rsid w:val="00F11DCC"/>
    <w:rsid w:val="00F21B79"/>
    <w:rsid w:val="00F22A05"/>
    <w:rsid w:val="00F245AE"/>
    <w:rsid w:val="00F274D7"/>
    <w:rsid w:val="00F3198B"/>
    <w:rsid w:val="00F31B0B"/>
    <w:rsid w:val="00F31B65"/>
    <w:rsid w:val="00F34D82"/>
    <w:rsid w:val="00F36BE0"/>
    <w:rsid w:val="00F36F65"/>
    <w:rsid w:val="00F3789E"/>
    <w:rsid w:val="00F40B13"/>
    <w:rsid w:val="00F41E4A"/>
    <w:rsid w:val="00F44C95"/>
    <w:rsid w:val="00F57FD7"/>
    <w:rsid w:val="00F61715"/>
    <w:rsid w:val="00F641F3"/>
    <w:rsid w:val="00F651E7"/>
    <w:rsid w:val="00F70058"/>
    <w:rsid w:val="00F77E8F"/>
    <w:rsid w:val="00F82FA7"/>
    <w:rsid w:val="00F83D06"/>
    <w:rsid w:val="00F8770D"/>
    <w:rsid w:val="00F903A0"/>
    <w:rsid w:val="00F92B76"/>
    <w:rsid w:val="00F95AFA"/>
    <w:rsid w:val="00F9780E"/>
    <w:rsid w:val="00FA18B4"/>
    <w:rsid w:val="00FA7175"/>
    <w:rsid w:val="00FB14F7"/>
    <w:rsid w:val="00FB20BF"/>
    <w:rsid w:val="00FB328C"/>
    <w:rsid w:val="00FB49A3"/>
    <w:rsid w:val="00FB7542"/>
    <w:rsid w:val="00FC374D"/>
    <w:rsid w:val="00FC3C44"/>
    <w:rsid w:val="00FC4807"/>
    <w:rsid w:val="00FD0314"/>
    <w:rsid w:val="00FD3CB5"/>
    <w:rsid w:val="00FE5C8B"/>
    <w:rsid w:val="00FF1E5E"/>
    <w:rsid w:val="00FF3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A121B-9674-4251-BD78-DF208669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basedOn w:val="Normal"/>
    <w:uiPriority w:val="34"/>
    <w:qFormat/>
    <w:rsid w:val="0020187A"/>
    <w:pPr>
      <w:ind w:left="720"/>
      <w:contextualSpacing/>
    </w:pPr>
  </w:style>
  <w:style w:type="paragraph" w:styleId="FootnoteText">
    <w:name w:val="footnote text"/>
    <w:basedOn w:val="Normal"/>
    <w:semiHidden/>
    <w:rsid w:val="00106EEF"/>
    <w:rPr>
      <w:sz w:val="20"/>
      <w:szCs w:val="20"/>
    </w:rPr>
  </w:style>
  <w:style w:type="character" w:styleId="FootnoteReference">
    <w:name w:val="footnote reference"/>
    <w:semiHidden/>
    <w:rsid w:val="00106EEF"/>
    <w:rPr>
      <w:vertAlign w:val="superscript"/>
    </w:rPr>
  </w:style>
  <w:style w:type="paragraph" w:styleId="DocumentMap">
    <w:name w:val="Document Map"/>
    <w:basedOn w:val="Normal"/>
    <w:semiHidden/>
    <w:rsid w:val="00DC54C2"/>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2D1511"/>
    <w:rPr>
      <w:rFonts w:ascii="Segoe UI" w:hAnsi="Segoe UI" w:cs="Segoe UI"/>
      <w:sz w:val="18"/>
      <w:szCs w:val="18"/>
    </w:rPr>
  </w:style>
  <w:style w:type="character" w:customStyle="1" w:styleId="BalloonTextChar">
    <w:name w:val="Balloon Text Char"/>
    <w:link w:val="BalloonText"/>
    <w:uiPriority w:val="99"/>
    <w:semiHidden/>
    <w:rsid w:val="002D1511"/>
    <w:rPr>
      <w:rFonts w:ascii="Segoe UI" w:hAnsi="Segoe UI" w:cs="Segoe UI"/>
      <w:sz w:val="18"/>
      <w:szCs w:val="18"/>
      <w:lang w:eastAsia="en-US"/>
    </w:rPr>
  </w:style>
  <w:style w:type="paragraph" w:customStyle="1" w:styleId="Bob1">
    <w:name w:val="Bob 1"/>
    <w:link w:val="Bob1Char"/>
    <w:qFormat/>
    <w:rsid w:val="008C0B20"/>
    <w:pPr>
      <w:numPr>
        <w:numId w:val="8"/>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8C0B20"/>
    <w:rPr>
      <w:sz w:val="28"/>
      <w:szCs w:val="28"/>
    </w:rPr>
  </w:style>
  <w:style w:type="paragraph" w:customStyle="1" w:styleId="MF">
    <w:name w:val="MF"/>
    <w:basedOn w:val="Normal"/>
    <w:rsid w:val="008C0B20"/>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 w:val="28"/>
      <w:szCs w:val="20"/>
      <w:lang w:val="en-GB" w:eastAsia="zh-CN"/>
    </w:rPr>
  </w:style>
  <w:style w:type="paragraph" w:styleId="BodyTextIndent">
    <w:name w:val="Body Text Indent"/>
    <w:basedOn w:val="Normal"/>
    <w:link w:val="BodyTextIndentChar"/>
    <w:semiHidden/>
    <w:rsid w:val="008C0B20"/>
    <w:pPr>
      <w:ind w:left="720" w:hanging="720"/>
    </w:pPr>
    <w:rPr>
      <w:sz w:val="28"/>
      <w:szCs w:val="24"/>
      <w:lang w:eastAsia="zh-CN"/>
    </w:rPr>
  </w:style>
  <w:style w:type="character" w:customStyle="1" w:styleId="BodyTextIndentChar">
    <w:name w:val="Body Text Indent Char"/>
    <w:link w:val="BodyTextIndent"/>
    <w:semiHidden/>
    <w:rsid w:val="008C0B20"/>
    <w:rPr>
      <w:sz w:val="28"/>
      <w:szCs w:val="24"/>
      <w:lang w:val="en-US"/>
    </w:rPr>
  </w:style>
  <w:style w:type="paragraph" w:customStyle="1" w:styleId="sh">
    <w:name w:val="sh"/>
    <w:basedOn w:val="Normal"/>
    <w:rsid w:val="00B11E75"/>
    <w:pPr>
      <w:tabs>
        <w:tab w:val="left" w:pos="720"/>
        <w:tab w:val="left" w:pos="1440"/>
        <w:tab w:val="center" w:pos="4320"/>
        <w:tab w:val="right" w:pos="9072"/>
      </w:tabs>
      <w:jc w:val="left"/>
    </w:pPr>
    <w:rPr>
      <w:sz w:val="28"/>
      <w:szCs w:val="20"/>
      <w:lang w:eastAsia="zh-CN"/>
    </w:rPr>
  </w:style>
  <w:style w:type="paragraph" w:customStyle="1" w:styleId="Paragraph">
    <w:name w:val="Paragraph"/>
    <w:basedOn w:val="ListParagraph"/>
    <w:qFormat/>
    <w:rsid w:val="00354DA8"/>
    <w:pPr>
      <w:numPr>
        <w:numId w:val="1"/>
      </w:numPr>
      <w:tabs>
        <w:tab w:val="clear" w:pos="720"/>
        <w:tab w:val="num" w:pos="1440"/>
      </w:tabs>
      <w:snapToGrid w:val="0"/>
      <w:spacing w:before="120" w:after="480" w:line="360" w:lineRule="auto"/>
      <w:ind w:left="0" w:firstLine="0"/>
      <w:contextualSpacing w:val="0"/>
    </w:pPr>
    <w:rPr>
      <w:sz w:val="28"/>
      <w:szCs w:val="28"/>
    </w:rPr>
  </w:style>
  <w:style w:type="paragraph" w:customStyle="1" w:styleId="Footnote">
    <w:name w:val="Footnote"/>
    <w:basedOn w:val="FootnoteText"/>
    <w:qFormat/>
    <w:rsid w:val="00354DA8"/>
    <w:pPr>
      <w:snapToGrid w:val="0"/>
      <w:spacing w:after="12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DBA5A-F199-4884-A940-B72651AB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HCA 196 of 2007</vt:lpstr>
    </vt:vector>
  </TitlesOfParts>
  <Company>Judiciary hong Kong</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 196 of 2007</dc:title>
  <dc:subject/>
  <dc:creator>Phemie WF Chan</dc:creator>
  <cp:keywords/>
  <cp:lastModifiedBy>Windows User</cp:lastModifiedBy>
  <cp:revision>3</cp:revision>
  <cp:lastPrinted>2024-09-12T02:27:00Z</cp:lastPrinted>
  <dcterms:created xsi:type="dcterms:W3CDTF">2024-09-16T02:18:00Z</dcterms:created>
  <dcterms:modified xsi:type="dcterms:W3CDTF">2024-09-16T02:18:00Z</dcterms:modified>
</cp:coreProperties>
</file>