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A56" w:rsidRPr="003F2A56" w:rsidRDefault="003F2A56" w:rsidP="003F0AA3">
      <w:pPr>
        <w:spacing w:after="0" w:line="240" w:lineRule="auto"/>
        <w:ind w:right="-630"/>
        <w:jc w:val="right"/>
        <w:rPr>
          <w:rFonts w:eastAsia="宋体"/>
          <w:sz w:val="28"/>
          <w:szCs w:val="28"/>
        </w:rPr>
      </w:pPr>
      <w:r w:rsidRPr="003F2A56">
        <w:rPr>
          <w:rFonts w:eastAsia="宋体"/>
          <w:sz w:val="28"/>
          <w:szCs w:val="28"/>
        </w:rPr>
        <w:t>FACV Nos 2 and 3 of 2024</w:t>
      </w:r>
    </w:p>
    <w:p w:rsidR="003F2A56" w:rsidRPr="00641F57" w:rsidRDefault="003F2A56" w:rsidP="003F0AA3">
      <w:pPr>
        <w:spacing w:after="0" w:line="240" w:lineRule="auto"/>
        <w:ind w:right="-630"/>
        <w:jc w:val="right"/>
        <w:rPr>
          <w:rFonts w:eastAsia="宋体"/>
          <w:sz w:val="28"/>
          <w:szCs w:val="28"/>
        </w:rPr>
      </w:pPr>
      <w:r w:rsidRPr="00641F57">
        <w:rPr>
          <w:rFonts w:eastAsia="宋体"/>
          <w:sz w:val="28"/>
          <w:szCs w:val="28"/>
        </w:rPr>
        <w:t xml:space="preserve">[2024] HKCFA </w:t>
      </w:r>
      <w:r w:rsidR="00641F57" w:rsidRPr="00641F57">
        <w:rPr>
          <w:rFonts w:eastAsia="宋体"/>
          <w:sz w:val="28"/>
          <w:szCs w:val="28"/>
        </w:rPr>
        <w:t>29</w:t>
      </w:r>
    </w:p>
    <w:p w:rsidR="003F2A56" w:rsidRPr="00373164" w:rsidRDefault="003F2A56" w:rsidP="003F0AA3">
      <w:pPr>
        <w:spacing w:after="0" w:line="240" w:lineRule="auto"/>
        <w:ind w:right="-630"/>
        <w:jc w:val="right"/>
        <w:rPr>
          <w:rFonts w:eastAsia="宋体"/>
          <w:sz w:val="28"/>
          <w:szCs w:val="28"/>
        </w:rPr>
      </w:pPr>
    </w:p>
    <w:p w:rsidR="003F2A56" w:rsidRPr="003F2A56" w:rsidRDefault="003F2A56" w:rsidP="003F0AA3">
      <w:pPr>
        <w:spacing w:after="0" w:line="240" w:lineRule="auto"/>
        <w:ind w:right="-630"/>
        <w:jc w:val="right"/>
        <w:rPr>
          <w:rFonts w:eastAsia="宋体"/>
          <w:sz w:val="28"/>
          <w:szCs w:val="28"/>
        </w:rPr>
      </w:pPr>
      <w:r w:rsidRPr="003F2A56">
        <w:rPr>
          <w:rFonts w:eastAsia="宋体"/>
          <w:sz w:val="28"/>
          <w:szCs w:val="28"/>
        </w:rPr>
        <w:t>FACV No 2 of 2024</w:t>
      </w:r>
    </w:p>
    <w:p w:rsidR="003F2A56" w:rsidRPr="003F2A56" w:rsidRDefault="003F2A56" w:rsidP="003F2A56">
      <w:pPr>
        <w:spacing w:after="0" w:line="240" w:lineRule="auto"/>
        <w:ind w:right="1238"/>
        <w:jc w:val="right"/>
        <w:rPr>
          <w:b/>
          <w:sz w:val="28"/>
          <w:szCs w:val="28"/>
        </w:rPr>
      </w:pPr>
    </w:p>
    <w:p w:rsidR="003F2A56" w:rsidRPr="003F2A56" w:rsidRDefault="003F2A56" w:rsidP="009626E2">
      <w:pPr>
        <w:spacing w:after="0" w:line="240" w:lineRule="auto"/>
        <w:ind w:left="-360"/>
        <w:jc w:val="center"/>
        <w:rPr>
          <w:rFonts w:eastAsia="宋体"/>
          <w:b/>
          <w:sz w:val="28"/>
          <w:szCs w:val="28"/>
        </w:rPr>
      </w:pPr>
      <w:r w:rsidRPr="003F2A56">
        <w:rPr>
          <w:rFonts w:eastAsia="宋体"/>
          <w:b/>
          <w:sz w:val="28"/>
          <w:szCs w:val="28"/>
        </w:rPr>
        <w:t>IN THE COURT OF FINAL APPEAL OF THE</w:t>
      </w:r>
    </w:p>
    <w:p w:rsidR="003F2A56" w:rsidRPr="003F2A56" w:rsidRDefault="003F2A56" w:rsidP="009626E2">
      <w:pPr>
        <w:spacing w:after="0" w:line="240" w:lineRule="auto"/>
        <w:ind w:left="-360"/>
        <w:jc w:val="center"/>
        <w:rPr>
          <w:rFonts w:eastAsia="宋体"/>
          <w:b/>
          <w:sz w:val="28"/>
          <w:szCs w:val="28"/>
        </w:rPr>
      </w:pPr>
      <w:r w:rsidRPr="003F2A56">
        <w:rPr>
          <w:rFonts w:eastAsia="宋体"/>
          <w:b/>
          <w:sz w:val="28"/>
          <w:szCs w:val="28"/>
        </w:rPr>
        <w:t>HONG KONG SPECIAL ADMINISTRATIVE REGION</w:t>
      </w:r>
    </w:p>
    <w:p w:rsidR="003F2A56" w:rsidRPr="00373164" w:rsidRDefault="003F2A56" w:rsidP="009626E2">
      <w:pPr>
        <w:spacing w:after="0" w:line="240" w:lineRule="auto"/>
        <w:ind w:left="-360"/>
        <w:jc w:val="center"/>
        <w:rPr>
          <w:b/>
          <w:sz w:val="28"/>
          <w:szCs w:val="28"/>
        </w:rPr>
      </w:pPr>
    </w:p>
    <w:p w:rsidR="003F2A56" w:rsidRPr="00EE5D9E" w:rsidRDefault="003F2A56" w:rsidP="009626E2">
      <w:pPr>
        <w:spacing w:after="0" w:line="240" w:lineRule="auto"/>
        <w:ind w:left="-360"/>
        <w:jc w:val="center"/>
        <w:rPr>
          <w:rFonts w:eastAsia="宋体"/>
          <w:b/>
          <w:sz w:val="28"/>
          <w:szCs w:val="28"/>
        </w:rPr>
      </w:pPr>
      <w:r w:rsidRPr="00EE5D9E">
        <w:rPr>
          <w:rFonts w:eastAsia="宋体"/>
          <w:b/>
          <w:sz w:val="28"/>
          <w:szCs w:val="28"/>
        </w:rPr>
        <w:t>FINAL APPEAL NO 2 OF 2024 (CIVIL)</w:t>
      </w:r>
    </w:p>
    <w:p w:rsidR="003F2A56" w:rsidRPr="003F2A56" w:rsidRDefault="003F2A56" w:rsidP="009626E2">
      <w:pPr>
        <w:spacing w:after="0" w:line="240" w:lineRule="auto"/>
        <w:ind w:left="-360"/>
        <w:jc w:val="center"/>
        <w:rPr>
          <w:rFonts w:eastAsia="宋体"/>
          <w:sz w:val="28"/>
          <w:szCs w:val="28"/>
        </w:rPr>
      </w:pPr>
      <w:r w:rsidRPr="003F2A56">
        <w:rPr>
          <w:rFonts w:eastAsia="宋体"/>
          <w:sz w:val="28"/>
          <w:szCs w:val="28"/>
        </w:rPr>
        <w:t>(ON APPEAL FROM CACV NO 81 OF 2020)</w:t>
      </w:r>
    </w:p>
    <w:p w:rsidR="003F2A56" w:rsidRPr="00373164" w:rsidRDefault="003F2A56" w:rsidP="009626E2">
      <w:pPr>
        <w:spacing w:after="0"/>
        <w:ind w:left="-360"/>
        <w:jc w:val="center"/>
        <w:rPr>
          <w:rFonts w:eastAsia="宋体"/>
          <w:szCs w:val="24"/>
        </w:rPr>
      </w:pPr>
      <w:r w:rsidRPr="00373164">
        <w:rPr>
          <w:rFonts w:eastAsia="宋体"/>
          <w:szCs w:val="24"/>
        </w:rPr>
        <w:t>_________________</w:t>
      </w:r>
      <w:r w:rsidR="00AD33BA">
        <w:rPr>
          <w:rFonts w:eastAsia="宋体"/>
          <w:szCs w:val="24"/>
        </w:rPr>
        <w:t>_</w:t>
      </w:r>
      <w:r w:rsidR="009D78D5">
        <w:rPr>
          <w:rFonts w:eastAsia="宋体"/>
          <w:szCs w:val="24"/>
        </w:rPr>
        <w:t>_</w:t>
      </w:r>
      <w:r w:rsidRPr="00373164">
        <w:rPr>
          <w:rFonts w:eastAsia="宋体"/>
          <w:szCs w:val="24"/>
        </w:rPr>
        <w:t>_______</w:t>
      </w:r>
    </w:p>
    <w:p w:rsidR="003F2A56" w:rsidRPr="003F2A56" w:rsidRDefault="003F2A56" w:rsidP="003F2A56">
      <w:pPr>
        <w:spacing w:after="0"/>
        <w:jc w:val="center"/>
        <w:rPr>
          <w:sz w:val="28"/>
          <w:szCs w:val="28"/>
        </w:rPr>
      </w:pPr>
    </w:p>
    <w:tbl>
      <w:tblPr>
        <w:tblW w:w="9540" w:type="dxa"/>
        <w:tblInd w:w="-255" w:type="dxa"/>
        <w:tblCellMar>
          <w:left w:w="0" w:type="dxa"/>
          <w:right w:w="0" w:type="dxa"/>
        </w:tblCellMar>
        <w:tblLook w:val="04A0" w:firstRow="1" w:lastRow="0" w:firstColumn="1" w:lastColumn="0" w:noHBand="0" w:noVBand="1"/>
      </w:tblPr>
      <w:tblGrid>
        <w:gridCol w:w="1429"/>
        <w:gridCol w:w="5951"/>
        <w:gridCol w:w="2160"/>
      </w:tblGrid>
      <w:tr w:rsidR="001E717D" w:rsidRPr="003F2A56" w:rsidTr="006B410F">
        <w:trPr>
          <w:trHeight w:val="325"/>
        </w:trPr>
        <w:tc>
          <w:tcPr>
            <w:tcW w:w="1429" w:type="dxa"/>
            <w:shd w:val="clear" w:color="auto" w:fill="auto"/>
            <w:tcMar>
              <w:top w:w="15" w:type="dxa"/>
              <w:left w:w="15" w:type="dxa"/>
              <w:bottom w:w="0" w:type="dxa"/>
              <w:right w:w="15" w:type="dxa"/>
            </w:tcMar>
            <w:vAlign w:val="center"/>
          </w:tcPr>
          <w:p w:rsidR="001E717D" w:rsidRPr="003F2A56" w:rsidRDefault="001E717D" w:rsidP="00AD2EA6">
            <w:pPr>
              <w:spacing w:after="0" w:line="0" w:lineRule="atLeast"/>
              <w:rPr>
                <w:bCs/>
                <w:color w:val="000000"/>
                <w:sz w:val="28"/>
                <w:szCs w:val="28"/>
              </w:rPr>
            </w:pPr>
            <w:r w:rsidRPr="003F2A56">
              <w:rPr>
                <w:rFonts w:eastAsia="宋体"/>
                <w:sz w:val="28"/>
                <w:szCs w:val="28"/>
              </w:rPr>
              <w:t>BETWEEN</w:t>
            </w:r>
          </w:p>
        </w:tc>
        <w:tc>
          <w:tcPr>
            <w:tcW w:w="5951" w:type="dxa"/>
            <w:shd w:val="clear" w:color="auto" w:fill="auto"/>
            <w:tcMar>
              <w:top w:w="15" w:type="dxa"/>
              <w:left w:w="15" w:type="dxa"/>
              <w:bottom w:w="0" w:type="dxa"/>
              <w:right w:w="15" w:type="dxa"/>
            </w:tcMar>
          </w:tcPr>
          <w:p w:rsidR="001E717D" w:rsidRPr="003F2A56" w:rsidRDefault="001E717D" w:rsidP="00AD2EA6">
            <w:pPr>
              <w:spacing w:after="0" w:line="240" w:lineRule="atLeast"/>
              <w:jc w:val="center"/>
              <w:rPr>
                <w:rFonts w:eastAsia="宋体"/>
                <w:bCs/>
                <w:color w:val="000000"/>
                <w:sz w:val="28"/>
                <w:szCs w:val="28"/>
              </w:rPr>
            </w:pPr>
          </w:p>
        </w:tc>
        <w:tc>
          <w:tcPr>
            <w:tcW w:w="2160" w:type="dxa"/>
            <w:shd w:val="clear" w:color="auto" w:fill="auto"/>
            <w:tcMar>
              <w:top w:w="15" w:type="dxa"/>
              <w:left w:w="15" w:type="dxa"/>
              <w:bottom w:w="0" w:type="dxa"/>
              <w:right w:w="15" w:type="dxa"/>
            </w:tcMar>
            <w:vAlign w:val="center"/>
          </w:tcPr>
          <w:p w:rsidR="001E717D" w:rsidRPr="003F2A56" w:rsidRDefault="001E717D" w:rsidP="00AD2EA6">
            <w:pPr>
              <w:spacing w:after="0" w:line="0" w:lineRule="atLeast"/>
              <w:jc w:val="right"/>
              <w:rPr>
                <w:rFonts w:eastAsia="宋体"/>
                <w:bCs/>
                <w:color w:val="000000"/>
                <w:sz w:val="28"/>
                <w:szCs w:val="28"/>
              </w:rPr>
            </w:pPr>
          </w:p>
        </w:tc>
      </w:tr>
      <w:tr w:rsidR="003F2A56" w:rsidRPr="003F2A56" w:rsidTr="006B410F">
        <w:trPr>
          <w:trHeight w:val="325"/>
        </w:trPr>
        <w:tc>
          <w:tcPr>
            <w:tcW w:w="1429" w:type="dxa"/>
            <w:shd w:val="clear" w:color="auto" w:fill="auto"/>
            <w:tcMar>
              <w:top w:w="15" w:type="dxa"/>
              <w:left w:w="15" w:type="dxa"/>
              <w:bottom w:w="0" w:type="dxa"/>
              <w:right w:w="15" w:type="dxa"/>
            </w:tcMar>
            <w:vAlign w:val="center"/>
            <w:hideMark/>
          </w:tcPr>
          <w:p w:rsidR="003F2A56" w:rsidRPr="003F2A56" w:rsidRDefault="003F2A56" w:rsidP="00AD2EA6">
            <w:pPr>
              <w:spacing w:after="0" w:line="0" w:lineRule="atLeast"/>
              <w:rPr>
                <w:bCs/>
                <w:color w:val="000000"/>
                <w:sz w:val="28"/>
                <w:szCs w:val="28"/>
              </w:rPr>
            </w:pPr>
            <w:r w:rsidRPr="003F2A56">
              <w:rPr>
                <w:bCs/>
                <w:color w:val="000000"/>
                <w:sz w:val="28"/>
                <w:szCs w:val="28"/>
              </w:rPr>
              <w:t> </w:t>
            </w:r>
          </w:p>
        </w:tc>
        <w:tc>
          <w:tcPr>
            <w:tcW w:w="5951" w:type="dxa"/>
            <w:shd w:val="clear" w:color="auto" w:fill="auto"/>
            <w:tcMar>
              <w:top w:w="15" w:type="dxa"/>
              <w:left w:w="15" w:type="dxa"/>
              <w:bottom w:w="0" w:type="dxa"/>
              <w:right w:w="15" w:type="dxa"/>
            </w:tcMar>
          </w:tcPr>
          <w:p w:rsidR="003F2A56" w:rsidRPr="00325E90" w:rsidRDefault="003F2A56" w:rsidP="006B410F">
            <w:pPr>
              <w:spacing w:after="0" w:line="240" w:lineRule="atLeast"/>
              <w:jc w:val="center"/>
              <w:rPr>
                <w:rFonts w:eastAsia="宋体"/>
                <w:bCs/>
                <w:color w:val="000000"/>
                <w:sz w:val="28"/>
                <w:szCs w:val="28"/>
              </w:rPr>
            </w:pPr>
            <w:r w:rsidRPr="00325E90">
              <w:rPr>
                <w:rFonts w:eastAsia="宋体"/>
                <w:bCs/>
                <w:color w:val="000000"/>
                <w:sz w:val="28"/>
                <w:szCs w:val="28"/>
              </w:rPr>
              <w:t>INFINGER, NICK</w:t>
            </w:r>
          </w:p>
        </w:tc>
        <w:tc>
          <w:tcPr>
            <w:tcW w:w="2160" w:type="dxa"/>
            <w:shd w:val="clear" w:color="auto" w:fill="auto"/>
            <w:tcMar>
              <w:top w:w="15" w:type="dxa"/>
              <w:left w:w="15" w:type="dxa"/>
              <w:bottom w:w="0" w:type="dxa"/>
              <w:right w:w="15" w:type="dxa"/>
            </w:tcMar>
            <w:vAlign w:val="center"/>
          </w:tcPr>
          <w:p w:rsidR="003F2A56" w:rsidRPr="003F2A56" w:rsidRDefault="003F2A56" w:rsidP="00AD2EA6">
            <w:pPr>
              <w:spacing w:after="0" w:line="0" w:lineRule="atLeast"/>
              <w:jc w:val="right"/>
              <w:rPr>
                <w:rFonts w:eastAsia="宋体"/>
                <w:bCs/>
                <w:color w:val="000000"/>
                <w:sz w:val="28"/>
                <w:szCs w:val="28"/>
              </w:rPr>
            </w:pPr>
            <w:r w:rsidRPr="003F2A56">
              <w:rPr>
                <w:rFonts w:eastAsia="宋体"/>
                <w:bCs/>
                <w:color w:val="000000"/>
                <w:sz w:val="28"/>
                <w:szCs w:val="28"/>
              </w:rPr>
              <w:t>Applicant</w:t>
            </w:r>
          </w:p>
          <w:p w:rsidR="003F2A56" w:rsidRPr="003F2A56" w:rsidRDefault="003F2A56" w:rsidP="00AD2EA6">
            <w:pPr>
              <w:spacing w:after="0" w:line="0" w:lineRule="atLeast"/>
              <w:jc w:val="right"/>
              <w:rPr>
                <w:rFonts w:eastAsia="宋体"/>
                <w:bCs/>
                <w:color w:val="000000"/>
                <w:sz w:val="28"/>
                <w:szCs w:val="28"/>
              </w:rPr>
            </w:pPr>
            <w:r w:rsidRPr="003F2A56">
              <w:rPr>
                <w:rFonts w:eastAsia="宋体"/>
                <w:bCs/>
                <w:color w:val="000000"/>
                <w:sz w:val="28"/>
                <w:szCs w:val="28"/>
              </w:rPr>
              <w:t>(Respondent)</w:t>
            </w:r>
          </w:p>
        </w:tc>
      </w:tr>
      <w:tr w:rsidR="003F2A56" w:rsidRPr="003F2A56" w:rsidTr="006B410F">
        <w:trPr>
          <w:trHeight w:val="325"/>
        </w:trPr>
        <w:tc>
          <w:tcPr>
            <w:tcW w:w="1429" w:type="dxa"/>
            <w:shd w:val="clear" w:color="auto" w:fill="auto"/>
            <w:tcMar>
              <w:top w:w="15" w:type="dxa"/>
              <w:left w:w="15" w:type="dxa"/>
              <w:bottom w:w="0" w:type="dxa"/>
              <w:right w:w="15" w:type="dxa"/>
            </w:tcMar>
            <w:vAlign w:val="center"/>
            <w:hideMark/>
          </w:tcPr>
          <w:p w:rsidR="003F2A56" w:rsidRPr="003F2A56" w:rsidRDefault="003F2A56" w:rsidP="00AD2EA6">
            <w:pPr>
              <w:spacing w:line="0" w:lineRule="atLeast"/>
              <w:rPr>
                <w:bCs/>
                <w:color w:val="000000"/>
                <w:sz w:val="28"/>
                <w:szCs w:val="28"/>
              </w:rPr>
            </w:pPr>
            <w:r w:rsidRPr="003F2A56">
              <w:rPr>
                <w:bCs/>
                <w:color w:val="000000"/>
                <w:sz w:val="28"/>
                <w:szCs w:val="28"/>
              </w:rPr>
              <w:t> </w:t>
            </w:r>
          </w:p>
        </w:tc>
        <w:tc>
          <w:tcPr>
            <w:tcW w:w="5951" w:type="dxa"/>
            <w:shd w:val="clear" w:color="auto" w:fill="auto"/>
            <w:tcMar>
              <w:top w:w="15" w:type="dxa"/>
              <w:left w:w="15" w:type="dxa"/>
              <w:bottom w:w="0" w:type="dxa"/>
              <w:right w:w="15" w:type="dxa"/>
            </w:tcMar>
          </w:tcPr>
          <w:p w:rsidR="003F2A56" w:rsidRPr="00325E90" w:rsidRDefault="003F2A56" w:rsidP="00AD2EA6">
            <w:pPr>
              <w:spacing w:after="0" w:line="240" w:lineRule="atLeast"/>
              <w:jc w:val="center"/>
              <w:rPr>
                <w:rFonts w:eastAsia="宋体"/>
                <w:bCs/>
                <w:color w:val="000000"/>
                <w:sz w:val="28"/>
                <w:szCs w:val="28"/>
              </w:rPr>
            </w:pPr>
            <w:r w:rsidRPr="00325E90">
              <w:rPr>
                <w:rFonts w:eastAsia="宋体"/>
                <w:bCs/>
                <w:color w:val="000000"/>
                <w:sz w:val="28"/>
                <w:szCs w:val="28"/>
              </w:rPr>
              <w:t>and</w:t>
            </w:r>
          </w:p>
        </w:tc>
        <w:tc>
          <w:tcPr>
            <w:tcW w:w="2160" w:type="dxa"/>
            <w:shd w:val="clear" w:color="auto" w:fill="auto"/>
            <w:tcMar>
              <w:top w:w="15" w:type="dxa"/>
              <w:left w:w="15" w:type="dxa"/>
              <w:bottom w:w="0" w:type="dxa"/>
              <w:right w:w="15" w:type="dxa"/>
            </w:tcMar>
            <w:vAlign w:val="center"/>
          </w:tcPr>
          <w:p w:rsidR="003F2A56" w:rsidRPr="003F2A56" w:rsidRDefault="003F2A56" w:rsidP="00AD2EA6">
            <w:pPr>
              <w:spacing w:after="0" w:line="0" w:lineRule="atLeast"/>
              <w:jc w:val="right"/>
              <w:rPr>
                <w:rFonts w:eastAsia="宋体"/>
                <w:bCs/>
                <w:color w:val="000000"/>
                <w:sz w:val="28"/>
                <w:szCs w:val="28"/>
              </w:rPr>
            </w:pPr>
          </w:p>
        </w:tc>
      </w:tr>
      <w:tr w:rsidR="003F2A56" w:rsidRPr="003F2A56" w:rsidTr="006B410F">
        <w:trPr>
          <w:trHeight w:val="325"/>
        </w:trPr>
        <w:tc>
          <w:tcPr>
            <w:tcW w:w="1429" w:type="dxa"/>
            <w:shd w:val="clear" w:color="auto" w:fill="auto"/>
            <w:tcMar>
              <w:top w:w="15" w:type="dxa"/>
              <w:left w:w="15" w:type="dxa"/>
              <w:bottom w:w="0" w:type="dxa"/>
              <w:right w:w="15" w:type="dxa"/>
            </w:tcMar>
            <w:vAlign w:val="center"/>
            <w:hideMark/>
          </w:tcPr>
          <w:p w:rsidR="003F2A56" w:rsidRPr="003F2A56" w:rsidRDefault="003F2A56" w:rsidP="00AD2EA6">
            <w:pPr>
              <w:spacing w:line="0" w:lineRule="atLeast"/>
              <w:jc w:val="right"/>
              <w:rPr>
                <w:bCs/>
                <w:color w:val="000000"/>
                <w:sz w:val="28"/>
                <w:szCs w:val="28"/>
              </w:rPr>
            </w:pPr>
            <w:r w:rsidRPr="003F2A56">
              <w:rPr>
                <w:bCs/>
                <w:color w:val="000000"/>
                <w:sz w:val="28"/>
                <w:szCs w:val="28"/>
              </w:rPr>
              <w:t> </w:t>
            </w:r>
          </w:p>
        </w:tc>
        <w:tc>
          <w:tcPr>
            <w:tcW w:w="5951" w:type="dxa"/>
            <w:shd w:val="clear" w:color="auto" w:fill="auto"/>
            <w:tcMar>
              <w:top w:w="15" w:type="dxa"/>
              <w:left w:w="15" w:type="dxa"/>
              <w:bottom w:w="0" w:type="dxa"/>
              <w:right w:w="15" w:type="dxa"/>
            </w:tcMar>
          </w:tcPr>
          <w:p w:rsidR="003F2A56" w:rsidRPr="00325E90" w:rsidRDefault="00C93A47" w:rsidP="00AD2EA6">
            <w:pPr>
              <w:spacing w:after="0" w:line="240" w:lineRule="atLeast"/>
              <w:jc w:val="center"/>
              <w:rPr>
                <w:rFonts w:eastAsia="宋体"/>
                <w:bCs/>
                <w:color w:val="000000"/>
                <w:sz w:val="28"/>
                <w:szCs w:val="28"/>
              </w:rPr>
            </w:pPr>
            <w:r w:rsidRPr="00325E90">
              <w:rPr>
                <w:rFonts w:eastAsia="宋体"/>
                <w:bCs/>
                <w:color w:val="000000"/>
                <w:sz w:val="28"/>
                <w:szCs w:val="28"/>
              </w:rPr>
              <w:t>THE HONG KONG HOUSING AUTHORITY</w:t>
            </w:r>
          </w:p>
        </w:tc>
        <w:tc>
          <w:tcPr>
            <w:tcW w:w="2160" w:type="dxa"/>
            <w:shd w:val="clear" w:color="auto" w:fill="auto"/>
            <w:tcMar>
              <w:top w:w="15" w:type="dxa"/>
              <w:left w:w="15" w:type="dxa"/>
              <w:bottom w:w="0" w:type="dxa"/>
              <w:right w:w="15" w:type="dxa"/>
            </w:tcMar>
            <w:vAlign w:val="center"/>
          </w:tcPr>
          <w:p w:rsidR="003F2A56" w:rsidRPr="003F2A56" w:rsidRDefault="003F2A56" w:rsidP="00AD2EA6">
            <w:pPr>
              <w:spacing w:after="0" w:line="0" w:lineRule="atLeast"/>
              <w:jc w:val="right"/>
              <w:rPr>
                <w:rFonts w:eastAsia="宋体"/>
                <w:bCs/>
                <w:color w:val="000000"/>
                <w:sz w:val="28"/>
                <w:szCs w:val="28"/>
              </w:rPr>
            </w:pPr>
            <w:r w:rsidRPr="003F2A56">
              <w:rPr>
                <w:rFonts w:eastAsia="宋体"/>
                <w:bCs/>
                <w:color w:val="000000"/>
                <w:sz w:val="28"/>
                <w:szCs w:val="28"/>
              </w:rPr>
              <w:t>Respondent</w:t>
            </w:r>
          </w:p>
          <w:p w:rsidR="003F2A56" w:rsidRPr="003F2A56" w:rsidRDefault="003F2A56" w:rsidP="00AD2EA6">
            <w:pPr>
              <w:spacing w:after="0" w:line="0" w:lineRule="atLeast"/>
              <w:jc w:val="right"/>
              <w:rPr>
                <w:rFonts w:eastAsia="宋体"/>
                <w:bCs/>
                <w:color w:val="000000"/>
                <w:sz w:val="28"/>
                <w:szCs w:val="28"/>
              </w:rPr>
            </w:pPr>
            <w:r w:rsidRPr="003F2A56">
              <w:rPr>
                <w:rFonts w:eastAsia="宋体"/>
                <w:bCs/>
                <w:color w:val="000000"/>
                <w:sz w:val="28"/>
                <w:szCs w:val="28"/>
              </w:rPr>
              <w:t>(Appellant)</w:t>
            </w:r>
          </w:p>
        </w:tc>
      </w:tr>
    </w:tbl>
    <w:p w:rsidR="003F2A56" w:rsidRPr="00373164" w:rsidRDefault="003F2A56" w:rsidP="009626E2">
      <w:pPr>
        <w:spacing w:after="0"/>
        <w:ind w:left="-450"/>
        <w:jc w:val="center"/>
        <w:rPr>
          <w:rFonts w:eastAsia="宋体"/>
          <w:szCs w:val="24"/>
        </w:rPr>
      </w:pPr>
      <w:r w:rsidRPr="00373164">
        <w:rPr>
          <w:rFonts w:eastAsia="宋体"/>
          <w:szCs w:val="24"/>
        </w:rPr>
        <w:t>_______________</w:t>
      </w:r>
      <w:r w:rsidR="009D78D5">
        <w:rPr>
          <w:rFonts w:eastAsia="宋体"/>
          <w:szCs w:val="24"/>
        </w:rPr>
        <w:t>_</w:t>
      </w:r>
      <w:r w:rsidRPr="00373164">
        <w:rPr>
          <w:rFonts w:eastAsia="宋体"/>
          <w:szCs w:val="24"/>
        </w:rPr>
        <w:t>___</w:t>
      </w:r>
      <w:r w:rsidR="00AD33BA">
        <w:rPr>
          <w:rFonts w:eastAsia="宋体"/>
          <w:szCs w:val="24"/>
        </w:rPr>
        <w:t>_</w:t>
      </w:r>
      <w:r w:rsidRPr="00373164">
        <w:rPr>
          <w:rFonts w:eastAsia="宋体"/>
          <w:szCs w:val="24"/>
        </w:rPr>
        <w:t>______</w:t>
      </w:r>
    </w:p>
    <w:p w:rsidR="003F2A56" w:rsidRPr="003F2A56" w:rsidRDefault="003F2A56" w:rsidP="003F2A56">
      <w:pPr>
        <w:spacing w:after="0" w:line="240" w:lineRule="auto"/>
        <w:ind w:right="-450"/>
        <w:jc w:val="right"/>
        <w:rPr>
          <w:sz w:val="28"/>
          <w:szCs w:val="28"/>
        </w:rPr>
      </w:pPr>
    </w:p>
    <w:p w:rsidR="003F2A56" w:rsidRPr="003F2A56" w:rsidRDefault="003F2A56" w:rsidP="003F0AA3">
      <w:pPr>
        <w:spacing w:after="0" w:line="240" w:lineRule="auto"/>
        <w:ind w:right="-630" w:hanging="270"/>
        <w:jc w:val="right"/>
        <w:rPr>
          <w:rFonts w:eastAsia="宋体"/>
          <w:sz w:val="28"/>
          <w:szCs w:val="28"/>
        </w:rPr>
      </w:pPr>
      <w:r w:rsidRPr="003F2A56">
        <w:rPr>
          <w:rFonts w:eastAsia="宋体"/>
          <w:sz w:val="28"/>
          <w:szCs w:val="28"/>
        </w:rPr>
        <w:t>FACV No 3 of 2024</w:t>
      </w:r>
    </w:p>
    <w:p w:rsidR="003F2A56" w:rsidRPr="00373164" w:rsidRDefault="003F2A56" w:rsidP="003F2A56">
      <w:pPr>
        <w:spacing w:after="0" w:line="240" w:lineRule="auto"/>
        <w:ind w:right="-446"/>
        <w:jc w:val="right"/>
        <w:rPr>
          <w:sz w:val="28"/>
          <w:szCs w:val="28"/>
        </w:rPr>
      </w:pPr>
    </w:p>
    <w:p w:rsidR="003F2A56" w:rsidRPr="003F2A56" w:rsidRDefault="003F2A56" w:rsidP="00F21385">
      <w:pPr>
        <w:spacing w:after="0" w:line="240" w:lineRule="auto"/>
        <w:ind w:left="-180"/>
        <w:jc w:val="center"/>
        <w:rPr>
          <w:rFonts w:eastAsia="宋体"/>
          <w:b/>
          <w:sz w:val="28"/>
          <w:szCs w:val="28"/>
        </w:rPr>
      </w:pPr>
      <w:r w:rsidRPr="003F2A56">
        <w:rPr>
          <w:rFonts w:eastAsia="宋体"/>
          <w:b/>
          <w:sz w:val="28"/>
          <w:szCs w:val="28"/>
        </w:rPr>
        <w:t>IN THE COURT OF FINAL APPEAL OF THE</w:t>
      </w:r>
    </w:p>
    <w:p w:rsidR="003F2A56" w:rsidRPr="003F2A56" w:rsidRDefault="003F2A56" w:rsidP="00F21385">
      <w:pPr>
        <w:spacing w:after="0" w:line="240" w:lineRule="auto"/>
        <w:ind w:left="-180" w:hanging="270"/>
        <w:jc w:val="center"/>
        <w:rPr>
          <w:rFonts w:eastAsia="宋体"/>
          <w:b/>
          <w:sz w:val="28"/>
          <w:szCs w:val="28"/>
        </w:rPr>
      </w:pPr>
      <w:r w:rsidRPr="003F2A56">
        <w:rPr>
          <w:rFonts w:eastAsia="宋体"/>
          <w:b/>
          <w:sz w:val="28"/>
          <w:szCs w:val="28"/>
        </w:rPr>
        <w:t>HONG KONG SPECIAL ADMINISTRATIVE REGION</w:t>
      </w:r>
    </w:p>
    <w:p w:rsidR="003F2A56" w:rsidRPr="003F2A56" w:rsidRDefault="003F2A56" w:rsidP="00F21385">
      <w:pPr>
        <w:spacing w:after="0" w:line="240" w:lineRule="auto"/>
        <w:ind w:left="-180" w:hanging="270"/>
        <w:jc w:val="center"/>
        <w:rPr>
          <w:sz w:val="28"/>
          <w:szCs w:val="28"/>
        </w:rPr>
      </w:pPr>
    </w:p>
    <w:p w:rsidR="003F2A56" w:rsidRPr="00EE5D9E" w:rsidRDefault="003F2A56" w:rsidP="00F21385">
      <w:pPr>
        <w:spacing w:after="0" w:line="240" w:lineRule="auto"/>
        <w:ind w:left="-180" w:hanging="270"/>
        <w:jc w:val="center"/>
        <w:rPr>
          <w:rFonts w:eastAsia="宋体"/>
          <w:b/>
          <w:sz w:val="28"/>
          <w:szCs w:val="28"/>
        </w:rPr>
      </w:pPr>
      <w:r w:rsidRPr="00EE5D9E">
        <w:rPr>
          <w:rFonts w:eastAsia="宋体"/>
          <w:b/>
          <w:sz w:val="28"/>
          <w:szCs w:val="28"/>
        </w:rPr>
        <w:t>FINAL APPEAL NO 3 OF 2024 (CIVIL)</w:t>
      </w:r>
    </w:p>
    <w:p w:rsidR="003F2A56" w:rsidRDefault="003F2A56" w:rsidP="00F21385">
      <w:pPr>
        <w:spacing w:after="0" w:line="240" w:lineRule="auto"/>
        <w:ind w:left="-180" w:hanging="270"/>
        <w:jc w:val="center"/>
        <w:rPr>
          <w:rFonts w:eastAsia="宋体"/>
          <w:sz w:val="28"/>
          <w:szCs w:val="28"/>
        </w:rPr>
      </w:pPr>
      <w:r w:rsidRPr="003F2A56">
        <w:rPr>
          <w:rFonts w:eastAsia="宋体"/>
          <w:sz w:val="28"/>
          <w:szCs w:val="28"/>
        </w:rPr>
        <w:t>(ON APPEAL FROM CACV NO 362 OF 2021)</w:t>
      </w:r>
    </w:p>
    <w:p w:rsidR="00CC7660" w:rsidRPr="00373164" w:rsidRDefault="00CC7660" w:rsidP="00F21385">
      <w:pPr>
        <w:spacing w:after="0" w:line="240" w:lineRule="auto"/>
        <w:ind w:left="-180" w:hanging="270"/>
        <w:jc w:val="center"/>
        <w:rPr>
          <w:rFonts w:eastAsia="宋体"/>
          <w:szCs w:val="24"/>
        </w:rPr>
      </w:pPr>
      <w:r w:rsidRPr="00373164">
        <w:rPr>
          <w:rFonts w:eastAsia="宋体"/>
          <w:szCs w:val="24"/>
        </w:rPr>
        <w:t>______________</w:t>
      </w:r>
      <w:r w:rsidR="00AD33BA">
        <w:rPr>
          <w:rFonts w:eastAsia="宋体"/>
          <w:szCs w:val="24"/>
        </w:rPr>
        <w:t>_</w:t>
      </w:r>
      <w:r w:rsidRPr="00373164">
        <w:rPr>
          <w:rFonts w:eastAsia="宋体"/>
          <w:szCs w:val="24"/>
        </w:rPr>
        <w:t>__</w:t>
      </w:r>
      <w:r w:rsidR="009D78D5">
        <w:rPr>
          <w:rFonts w:eastAsia="宋体"/>
          <w:szCs w:val="24"/>
        </w:rPr>
        <w:t>_</w:t>
      </w:r>
      <w:r w:rsidRPr="00373164">
        <w:rPr>
          <w:rFonts w:eastAsia="宋体"/>
          <w:szCs w:val="24"/>
        </w:rPr>
        <w:t>________</w:t>
      </w:r>
    </w:p>
    <w:p w:rsidR="003F2A56" w:rsidRPr="003F2A56" w:rsidRDefault="003F2A56" w:rsidP="003F2A56">
      <w:pPr>
        <w:spacing w:after="0" w:line="240" w:lineRule="atLeast"/>
        <w:ind w:right="1238"/>
        <w:jc w:val="center"/>
        <w:rPr>
          <w:sz w:val="28"/>
          <w:szCs w:val="28"/>
        </w:rPr>
      </w:pPr>
    </w:p>
    <w:tbl>
      <w:tblPr>
        <w:tblW w:w="9555" w:type="dxa"/>
        <w:tblInd w:w="-255" w:type="dxa"/>
        <w:tblCellMar>
          <w:left w:w="0" w:type="dxa"/>
          <w:right w:w="0" w:type="dxa"/>
        </w:tblCellMar>
        <w:tblLook w:val="04A0" w:firstRow="1" w:lastRow="0" w:firstColumn="1" w:lastColumn="0" w:noHBand="0" w:noVBand="1"/>
      </w:tblPr>
      <w:tblGrid>
        <w:gridCol w:w="1545"/>
        <w:gridCol w:w="5490"/>
        <w:gridCol w:w="2520"/>
      </w:tblGrid>
      <w:tr w:rsidR="00D26BC6" w:rsidRPr="003F2A56" w:rsidTr="009626E2">
        <w:trPr>
          <w:trHeight w:val="325"/>
        </w:trPr>
        <w:tc>
          <w:tcPr>
            <w:tcW w:w="1545" w:type="dxa"/>
            <w:shd w:val="clear" w:color="auto" w:fill="auto"/>
            <w:tcMar>
              <w:top w:w="15" w:type="dxa"/>
              <w:left w:w="15" w:type="dxa"/>
              <w:bottom w:w="0" w:type="dxa"/>
              <w:right w:w="15" w:type="dxa"/>
            </w:tcMar>
            <w:vAlign w:val="center"/>
          </w:tcPr>
          <w:p w:rsidR="001E717D" w:rsidRPr="001E717D" w:rsidRDefault="001E717D" w:rsidP="001E717D">
            <w:pPr>
              <w:spacing w:after="0" w:line="0" w:lineRule="atLeast"/>
              <w:rPr>
                <w:rFonts w:eastAsia="宋体"/>
                <w:sz w:val="28"/>
                <w:szCs w:val="28"/>
              </w:rPr>
            </w:pPr>
            <w:r w:rsidRPr="001E717D">
              <w:rPr>
                <w:rFonts w:eastAsia="宋体"/>
                <w:sz w:val="28"/>
                <w:szCs w:val="28"/>
              </w:rPr>
              <w:t>BETWEEN</w:t>
            </w:r>
          </w:p>
        </w:tc>
        <w:tc>
          <w:tcPr>
            <w:tcW w:w="5490" w:type="dxa"/>
            <w:shd w:val="clear" w:color="auto" w:fill="auto"/>
            <w:tcMar>
              <w:top w:w="15" w:type="dxa"/>
              <w:left w:w="15" w:type="dxa"/>
              <w:bottom w:w="0" w:type="dxa"/>
              <w:right w:w="15" w:type="dxa"/>
            </w:tcMar>
          </w:tcPr>
          <w:p w:rsidR="001E717D" w:rsidRPr="003F2A56" w:rsidRDefault="001E717D" w:rsidP="00AD2EA6">
            <w:pPr>
              <w:spacing w:after="0" w:line="240" w:lineRule="atLeast"/>
              <w:ind w:left="65" w:right="7"/>
              <w:jc w:val="center"/>
              <w:rPr>
                <w:rFonts w:eastAsia="宋体"/>
                <w:bCs/>
                <w:color w:val="000000"/>
                <w:sz w:val="28"/>
                <w:szCs w:val="28"/>
              </w:rPr>
            </w:pPr>
          </w:p>
        </w:tc>
        <w:tc>
          <w:tcPr>
            <w:tcW w:w="2520" w:type="dxa"/>
            <w:shd w:val="clear" w:color="auto" w:fill="auto"/>
            <w:tcMar>
              <w:top w:w="15" w:type="dxa"/>
              <w:left w:w="15" w:type="dxa"/>
              <w:bottom w:w="0" w:type="dxa"/>
              <w:right w:w="15" w:type="dxa"/>
            </w:tcMar>
            <w:vAlign w:val="center"/>
          </w:tcPr>
          <w:p w:rsidR="001E717D" w:rsidRPr="003F2A56" w:rsidRDefault="001E717D" w:rsidP="00AD2EA6">
            <w:pPr>
              <w:spacing w:after="0" w:line="0" w:lineRule="atLeast"/>
              <w:ind w:right="-9"/>
              <w:jc w:val="right"/>
              <w:rPr>
                <w:rFonts w:eastAsia="宋体"/>
                <w:bCs/>
                <w:color w:val="000000"/>
                <w:sz w:val="28"/>
                <w:szCs w:val="28"/>
              </w:rPr>
            </w:pPr>
          </w:p>
        </w:tc>
      </w:tr>
      <w:tr w:rsidR="006F0F41" w:rsidRPr="003F2A56" w:rsidTr="009626E2">
        <w:trPr>
          <w:trHeight w:val="325"/>
        </w:trPr>
        <w:tc>
          <w:tcPr>
            <w:tcW w:w="1545" w:type="dxa"/>
            <w:shd w:val="clear" w:color="auto" w:fill="auto"/>
            <w:tcMar>
              <w:top w:w="15" w:type="dxa"/>
              <w:left w:w="15" w:type="dxa"/>
              <w:bottom w:w="0" w:type="dxa"/>
              <w:right w:w="15" w:type="dxa"/>
            </w:tcMar>
            <w:vAlign w:val="center"/>
            <w:hideMark/>
          </w:tcPr>
          <w:p w:rsidR="003F2A56" w:rsidRPr="001E717D" w:rsidRDefault="003F2A56" w:rsidP="001E717D">
            <w:pPr>
              <w:spacing w:after="0" w:line="0" w:lineRule="atLeast"/>
              <w:rPr>
                <w:rFonts w:eastAsia="宋体"/>
                <w:sz w:val="28"/>
                <w:szCs w:val="28"/>
              </w:rPr>
            </w:pPr>
            <w:r w:rsidRPr="001E717D">
              <w:rPr>
                <w:rFonts w:eastAsia="宋体"/>
                <w:sz w:val="28"/>
                <w:szCs w:val="28"/>
              </w:rPr>
              <w:t> </w:t>
            </w:r>
          </w:p>
        </w:tc>
        <w:tc>
          <w:tcPr>
            <w:tcW w:w="5490" w:type="dxa"/>
            <w:shd w:val="clear" w:color="auto" w:fill="auto"/>
            <w:tcMar>
              <w:top w:w="15" w:type="dxa"/>
              <w:left w:w="15" w:type="dxa"/>
              <w:bottom w:w="0" w:type="dxa"/>
              <w:right w:w="15" w:type="dxa"/>
            </w:tcMar>
          </w:tcPr>
          <w:p w:rsidR="003F2A56" w:rsidRPr="003F2A56" w:rsidRDefault="003F2A56" w:rsidP="00AD2EA6">
            <w:pPr>
              <w:spacing w:after="0" w:line="240" w:lineRule="atLeast"/>
              <w:ind w:left="65" w:right="7"/>
              <w:jc w:val="center"/>
              <w:rPr>
                <w:rFonts w:eastAsia="宋体"/>
                <w:bCs/>
                <w:color w:val="000000"/>
                <w:sz w:val="28"/>
                <w:szCs w:val="28"/>
              </w:rPr>
            </w:pPr>
            <w:r w:rsidRPr="003F2A56">
              <w:rPr>
                <w:rFonts w:eastAsia="宋体"/>
                <w:bCs/>
                <w:color w:val="000000"/>
                <w:sz w:val="28"/>
                <w:szCs w:val="28"/>
              </w:rPr>
              <w:t>NG HON LAM EDGAR</w:t>
            </w:r>
          </w:p>
        </w:tc>
        <w:tc>
          <w:tcPr>
            <w:tcW w:w="2520" w:type="dxa"/>
            <w:shd w:val="clear" w:color="auto" w:fill="auto"/>
            <w:tcMar>
              <w:top w:w="15" w:type="dxa"/>
              <w:left w:w="15" w:type="dxa"/>
              <w:bottom w:w="0" w:type="dxa"/>
              <w:right w:w="15" w:type="dxa"/>
            </w:tcMar>
            <w:vAlign w:val="center"/>
          </w:tcPr>
          <w:p w:rsidR="003F2A56" w:rsidRPr="003F2A56" w:rsidRDefault="003F2A56" w:rsidP="00AD2EA6">
            <w:pPr>
              <w:spacing w:after="0" w:line="0" w:lineRule="atLeast"/>
              <w:ind w:right="-9"/>
              <w:jc w:val="right"/>
              <w:rPr>
                <w:rFonts w:eastAsia="宋体"/>
                <w:bCs/>
                <w:color w:val="000000"/>
                <w:sz w:val="28"/>
                <w:szCs w:val="28"/>
              </w:rPr>
            </w:pPr>
            <w:r w:rsidRPr="003F2A56">
              <w:rPr>
                <w:rFonts w:eastAsia="宋体"/>
                <w:bCs/>
                <w:color w:val="000000"/>
                <w:sz w:val="28"/>
                <w:szCs w:val="28"/>
              </w:rPr>
              <w:t>Applicant</w:t>
            </w:r>
          </w:p>
        </w:tc>
      </w:tr>
      <w:tr w:rsidR="006F0F41" w:rsidRPr="003F2A56" w:rsidTr="009626E2">
        <w:trPr>
          <w:trHeight w:val="325"/>
        </w:trPr>
        <w:tc>
          <w:tcPr>
            <w:tcW w:w="1545" w:type="dxa"/>
            <w:shd w:val="clear" w:color="auto" w:fill="auto"/>
            <w:tcMar>
              <w:top w:w="15" w:type="dxa"/>
              <w:left w:w="15" w:type="dxa"/>
              <w:bottom w:w="0" w:type="dxa"/>
              <w:right w:w="15" w:type="dxa"/>
            </w:tcMar>
            <w:vAlign w:val="center"/>
          </w:tcPr>
          <w:p w:rsidR="003F2A56" w:rsidRPr="001E717D" w:rsidRDefault="003F2A56" w:rsidP="001E717D">
            <w:pPr>
              <w:spacing w:after="0" w:line="0" w:lineRule="atLeast"/>
              <w:rPr>
                <w:rFonts w:eastAsia="宋体"/>
                <w:sz w:val="28"/>
                <w:szCs w:val="28"/>
              </w:rPr>
            </w:pPr>
          </w:p>
        </w:tc>
        <w:tc>
          <w:tcPr>
            <w:tcW w:w="5490" w:type="dxa"/>
            <w:shd w:val="clear" w:color="auto" w:fill="auto"/>
            <w:tcMar>
              <w:top w:w="15" w:type="dxa"/>
              <w:left w:w="15" w:type="dxa"/>
              <w:bottom w:w="0" w:type="dxa"/>
              <w:right w:w="15" w:type="dxa"/>
            </w:tcMar>
          </w:tcPr>
          <w:p w:rsidR="003F2A56" w:rsidRPr="003F2A56" w:rsidRDefault="003F2A56" w:rsidP="00AD2EA6">
            <w:pPr>
              <w:spacing w:after="0" w:line="240" w:lineRule="atLeast"/>
              <w:ind w:left="65" w:right="7"/>
              <w:jc w:val="center"/>
              <w:rPr>
                <w:rFonts w:eastAsia="宋体"/>
                <w:bCs/>
                <w:color w:val="000000"/>
                <w:sz w:val="28"/>
                <w:szCs w:val="28"/>
              </w:rPr>
            </w:pPr>
          </w:p>
        </w:tc>
        <w:tc>
          <w:tcPr>
            <w:tcW w:w="2520" w:type="dxa"/>
            <w:shd w:val="clear" w:color="auto" w:fill="auto"/>
            <w:tcMar>
              <w:top w:w="15" w:type="dxa"/>
              <w:left w:w="15" w:type="dxa"/>
              <w:bottom w:w="0" w:type="dxa"/>
              <w:right w:w="15" w:type="dxa"/>
            </w:tcMar>
            <w:vAlign w:val="center"/>
          </w:tcPr>
          <w:p w:rsidR="003F2A56" w:rsidRPr="003F2A56" w:rsidRDefault="003F2A56" w:rsidP="00AD2EA6">
            <w:pPr>
              <w:spacing w:after="0" w:line="0" w:lineRule="atLeast"/>
              <w:ind w:right="-9"/>
              <w:jc w:val="right"/>
              <w:rPr>
                <w:rFonts w:eastAsia="宋体"/>
                <w:bCs/>
                <w:color w:val="000000"/>
                <w:sz w:val="28"/>
                <w:szCs w:val="28"/>
              </w:rPr>
            </w:pPr>
          </w:p>
        </w:tc>
      </w:tr>
      <w:tr w:rsidR="006F0F41" w:rsidRPr="003F2A56" w:rsidTr="009626E2">
        <w:trPr>
          <w:trHeight w:val="325"/>
        </w:trPr>
        <w:tc>
          <w:tcPr>
            <w:tcW w:w="1545" w:type="dxa"/>
            <w:shd w:val="clear" w:color="auto" w:fill="auto"/>
            <w:tcMar>
              <w:top w:w="15" w:type="dxa"/>
              <w:left w:w="15" w:type="dxa"/>
              <w:bottom w:w="0" w:type="dxa"/>
              <w:right w:w="15" w:type="dxa"/>
            </w:tcMar>
            <w:vAlign w:val="center"/>
          </w:tcPr>
          <w:p w:rsidR="003F2A56" w:rsidRPr="003F2A56" w:rsidRDefault="003F2A56" w:rsidP="00AD2EA6">
            <w:pPr>
              <w:spacing w:after="0" w:line="0" w:lineRule="atLeast"/>
              <w:ind w:right="1238"/>
              <w:rPr>
                <w:b/>
                <w:bCs/>
                <w:color w:val="000000"/>
                <w:sz w:val="28"/>
                <w:szCs w:val="28"/>
              </w:rPr>
            </w:pPr>
          </w:p>
        </w:tc>
        <w:tc>
          <w:tcPr>
            <w:tcW w:w="5490" w:type="dxa"/>
            <w:shd w:val="clear" w:color="auto" w:fill="auto"/>
            <w:tcMar>
              <w:top w:w="15" w:type="dxa"/>
              <w:left w:w="15" w:type="dxa"/>
              <w:bottom w:w="0" w:type="dxa"/>
              <w:right w:w="15" w:type="dxa"/>
            </w:tcMar>
          </w:tcPr>
          <w:p w:rsidR="003F2A56" w:rsidRPr="003F2A56" w:rsidRDefault="003F2A56" w:rsidP="00AD2EA6">
            <w:pPr>
              <w:spacing w:after="0" w:line="240" w:lineRule="atLeast"/>
              <w:ind w:left="65" w:right="7"/>
              <w:jc w:val="center"/>
              <w:rPr>
                <w:rFonts w:eastAsia="宋体"/>
                <w:bCs/>
                <w:color w:val="000000"/>
                <w:sz w:val="28"/>
                <w:szCs w:val="28"/>
              </w:rPr>
            </w:pPr>
            <w:r w:rsidRPr="003F2A56">
              <w:rPr>
                <w:rFonts w:eastAsia="宋体"/>
                <w:bCs/>
                <w:color w:val="000000"/>
                <w:sz w:val="28"/>
                <w:szCs w:val="28"/>
              </w:rPr>
              <w:t>LI YIK HO</w:t>
            </w:r>
          </w:p>
        </w:tc>
        <w:tc>
          <w:tcPr>
            <w:tcW w:w="2520" w:type="dxa"/>
            <w:shd w:val="clear" w:color="auto" w:fill="auto"/>
            <w:tcMar>
              <w:top w:w="15" w:type="dxa"/>
              <w:left w:w="15" w:type="dxa"/>
              <w:bottom w:w="0" w:type="dxa"/>
              <w:right w:w="15" w:type="dxa"/>
            </w:tcMar>
            <w:vAlign w:val="center"/>
          </w:tcPr>
          <w:p w:rsidR="003F2A56" w:rsidRPr="003F2A56" w:rsidRDefault="003F2A56" w:rsidP="00AD2EA6">
            <w:pPr>
              <w:spacing w:after="0" w:line="0" w:lineRule="atLeast"/>
              <w:ind w:right="-9"/>
              <w:jc w:val="right"/>
              <w:rPr>
                <w:rFonts w:eastAsia="宋体"/>
                <w:bCs/>
                <w:color w:val="000000"/>
                <w:sz w:val="28"/>
                <w:szCs w:val="28"/>
              </w:rPr>
            </w:pPr>
            <w:r w:rsidRPr="003F2A56">
              <w:rPr>
                <w:rFonts w:eastAsia="宋体"/>
                <w:bCs/>
                <w:color w:val="000000"/>
                <w:sz w:val="28"/>
                <w:szCs w:val="28"/>
              </w:rPr>
              <w:t>Substituted Applicant</w:t>
            </w:r>
          </w:p>
          <w:p w:rsidR="003F2A56" w:rsidRPr="003F2A56" w:rsidRDefault="003F2A56" w:rsidP="00AD2EA6">
            <w:pPr>
              <w:spacing w:after="0" w:line="0" w:lineRule="atLeast"/>
              <w:ind w:right="-9"/>
              <w:jc w:val="right"/>
              <w:rPr>
                <w:rFonts w:eastAsia="宋体"/>
                <w:bCs/>
                <w:color w:val="000000"/>
                <w:sz w:val="28"/>
                <w:szCs w:val="28"/>
              </w:rPr>
            </w:pPr>
            <w:r w:rsidRPr="003F2A56">
              <w:rPr>
                <w:rFonts w:eastAsia="宋体"/>
                <w:bCs/>
                <w:color w:val="000000"/>
                <w:sz w:val="28"/>
                <w:szCs w:val="28"/>
              </w:rPr>
              <w:t>(Respondent)</w:t>
            </w:r>
          </w:p>
        </w:tc>
      </w:tr>
      <w:tr w:rsidR="006F0F41" w:rsidRPr="003F2A56" w:rsidTr="009626E2">
        <w:trPr>
          <w:trHeight w:val="325"/>
        </w:trPr>
        <w:tc>
          <w:tcPr>
            <w:tcW w:w="1545" w:type="dxa"/>
            <w:shd w:val="clear" w:color="auto" w:fill="auto"/>
            <w:tcMar>
              <w:top w:w="15" w:type="dxa"/>
              <w:left w:w="15" w:type="dxa"/>
              <w:bottom w:w="0" w:type="dxa"/>
              <w:right w:w="15" w:type="dxa"/>
            </w:tcMar>
            <w:vAlign w:val="center"/>
            <w:hideMark/>
          </w:tcPr>
          <w:p w:rsidR="003F2A56" w:rsidRPr="003F2A56" w:rsidRDefault="003F2A56" w:rsidP="00AD2EA6">
            <w:pPr>
              <w:spacing w:line="0" w:lineRule="atLeast"/>
              <w:ind w:right="1238"/>
              <w:rPr>
                <w:b/>
                <w:bCs/>
                <w:color w:val="000000"/>
                <w:sz w:val="28"/>
                <w:szCs w:val="28"/>
              </w:rPr>
            </w:pPr>
            <w:r w:rsidRPr="003F2A56">
              <w:rPr>
                <w:b/>
                <w:bCs/>
                <w:color w:val="000000"/>
                <w:sz w:val="28"/>
                <w:szCs w:val="28"/>
              </w:rPr>
              <w:t> </w:t>
            </w:r>
          </w:p>
        </w:tc>
        <w:tc>
          <w:tcPr>
            <w:tcW w:w="5490" w:type="dxa"/>
            <w:shd w:val="clear" w:color="auto" w:fill="auto"/>
            <w:tcMar>
              <w:top w:w="15" w:type="dxa"/>
              <w:left w:w="15" w:type="dxa"/>
              <w:bottom w:w="0" w:type="dxa"/>
              <w:right w:w="15" w:type="dxa"/>
            </w:tcMar>
          </w:tcPr>
          <w:p w:rsidR="003F2A56" w:rsidRPr="003F2A56" w:rsidRDefault="003F2A56" w:rsidP="009626E2">
            <w:pPr>
              <w:spacing w:after="0" w:line="240" w:lineRule="atLeast"/>
              <w:ind w:left="65" w:right="7"/>
              <w:jc w:val="center"/>
              <w:rPr>
                <w:rFonts w:eastAsia="宋体"/>
                <w:bCs/>
                <w:color w:val="000000"/>
                <w:sz w:val="28"/>
                <w:szCs w:val="28"/>
              </w:rPr>
            </w:pPr>
            <w:r w:rsidRPr="003F2A56">
              <w:rPr>
                <w:rFonts w:eastAsia="宋体"/>
                <w:bCs/>
                <w:color w:val="000000"/>
                <w:sz w:val="28"/>
                <w:szCs w:val="28"/>
              </w:rPr>
              <w:t>and</w:t>
            </w:r>
          </w:p>
        </w:tc>
        <w:tc>
          <w:tcPr>
            <w:tcW w:w="2520" w:type="dxa"/>
            <w:shd w:val="clear" w:color="auto" w:fill="auto"/>
            <w:tcMar>
              <w:top w:w="15" w:type="dxa"/>
              <w:left w:w="15" w:type="dxa"/>
              <w:bottom w:w="0" w:type="dxa"/>
              <w:right w:w="15" w:type="dxa"/>
            </w:tcMar>
            <w:vAlign w:val="center"/>
          </w:tcPr>
          <w:p w:rsidR="003F2A56" w:rsidRPr="003F2A56" w:rsidRDefault="003F2A56" w:rsidP="00AD2EA6">
            <w:pPr>
              <w:spacing w:after="0" w:line="0" w:lineRule="atLeast"/>
              <w:ind w:right="-9"/>
              <w:jc w:val="right"/>
              <w:rPr>
                <w:rFonts w:eastAsia="宋体"/>
                <w:bCs/>
                <w:color w:val="000000"/>
                <w:sz w:val="28"/>
                <w:szCs w:val="28"/>
              </w:rPr>
            </w:pPr>
          </w:p>
        </w:tc>
      </w:tr>
      <w:tr w:rsidR="006F0F41" w:rsidRPr="003F2A56" w:rsidTr="009626E2">
        <w:trPr>
          <w:trHeight w:val="325"/>
        </w:trPr>
        <w:tc>
          <w:tcPr>
            <w:tcW w:w="1545" w:type="dxa"/>
            <w:shd w:val="clear" w:color="auto" w:fill="auto"/>
            <w:tcMar>
              <w:top w:w="15" w:type="dxa"/>
              <w:left w:w="15" w:type="dxa"/>
              <w:bottom w:w="0" w:type="dxa"/>
              <w:right w:w="15" w:type="dxa"/>
            </w:tcMar>
            <w:vAlign w:val="center"/>
            <w:hideMark/>
          </w:tcPr>
          <w:p w:rsidR="003F2A56" w:rsidRPr="003F2A56" w:rsidRDefault="003F2A56" w:rsidP="00AD2EA6">
            <w:pPr>
              <w:spacing w:line="0" w:lineRule="atLeast"/>
              <w:ind w:right="1238"/>
              <w:jc w:val="right"/>
              <w:rPr>
                <w:b/>
                <w:bCs/>
                <w:color w:val="000000"/>
                <w:sz w:val="28"/>
                <w:szCs w:val="28"/>
              </w:rPr>
            </w:pPr>
            <w:r w:rsidRPr="003F2A56">
              <w:rPr>
                <w:b/>
                <w:bCs/>
                <w:color w:val="000000"/>
                <w:sz w:val="28"/>
                <w:szCs w:val="28"/>
              </w:rPr>
              <w:t> </w:t>
            </w:r>
          </w:p>
        </w:tc>
        <w:tc>
          <w:tcPr>
            <w:tcW w:w="5490" w:type="dxa"/>
            <w:shd w:val="clear" w:color="auto" w:fill="auto"/>
            <w:tcMar>
              <w:top w:w="15" w:type="dxa"/>
              <w:left w:w="15" w:type="dxa"/>
              <w:bottom w:w="0" w:type="dxa"/>
              <w:right w:w="15" w:type="dxa"/>
            </w:tcMar>
          </w:tcPr>
          <w:p w:rsidR="003F2A56" w:rsidRPr="003F2A56" w:rsidRDefault="003F2A56" w:rsidP="00AD2EA6">
            <w:pPr>
              <w:spacing w:after="0" w:line="240" w:lineRule="atLeast"/>
              <w:ind w:left="65" w:right="7"/>
              <w:jc w:val="center"/>
              <w:rPr>
                <w:rFonts w:eastAsia="宋体"/>
                <w:bCs/>
                <w:color w:val="000000"/>
                <w:sz w:val="28"/>
                <w:szCs w:val="28"/>
              </w:rPr>
            </w:pPr>
            <w:r w:rsidRPr="003F2A56">
              <w:rPr>
                <w:rFonts w:eastAsia="宋体"/>
                <w:bCs/>
                <w:color w:val="000000"/>
                <w:sz w:val="28"/>
                <w:szCs w:val="28"/>
              </w:rPr>
              <w:t xml:space="preserve">THE HONG KONG HOUSING AUTHORITY                    </w:t>
            </w:r>
          </w:p>
        </w:tc>
        <w:tc>
          <w:tcPr>
            <w:tcW w:w="2520" w:type="dxa"/>
            <w:shd w:val="clear" w:color="auto" w:fill="auto"/>
            <w:tcMar>
              <w:top w:w="15" w:type="dxa"/>
              <w:left w:w="15" w:type="dxa"/>
              <w:bottom w:w="0" w:type="dxa"/>
              <w:right w:w="15" w:type="dxa"/>
            </w:tcMar>
          </w:tcPr>
          <w:p w:rsidR="003F2A56" w:rsidRPr="003F2A56" w:rsidRDefault="003F2A56" w:rsidP="00AD2EA6">
            <w:pPr>
              <w:spacing w:after="0" w:line="0" w:lineRule="atLeast"/>
              <w:ind w:right="-9"/>
              <w:jc w:val="right"/>
              <w:rPr>
                <w:rFonts w:eastAsia="宋体"/>
                <w:bCs/>
                <w:color w:val="000000"/>
                <w:sz w:val="28"/>
                <w:szCs w:val="28"/>
              </w:rPr>
            </w:pPr>
            <w:r w:rsidRPr="003F2A56">
              <w:rPr>
                <w:rFonts w:eastAsia="宋体"/>
                <w:bCs/>
                <w:color w:val="000000"/>
                <w:sz w:val="28"/>
                <w:szCs w:val="28"/>
              </w:rPr>
              <w:t>Respondent</w:t>
            </w:r>
          </w:p>
          <w:p w:rsidR="003F2A56" w:rsidRPr="003F2A56" w:rsidRDefault="003F2A56" w:rsidP="00AD2EA6">
            <w:pPr>
              <w:spacing w:after="0" w:line="0" w:lineRule="atLeast"/>
              <w:ind w:right="-9"/>
              <w:jc w:val="right"/>
              <w:rPr>
                <w:rFonts w:eastAsia="宋体"/>
                <w:bCs/>
                <w:color w:val="000000"/>
                <w:sz w:val="28"/>
                <w:szCs w:val="28"/>
              </w:rPr>
            </w:pPr>
            <w:r w:rsidRPr="003F2A56">
              <w:rPr>
                <w:rFonts w:eastAsia="宋体"/>
                <w:bCs/>
                <w:color w:val="000000"/>
                <w:sz w:val="28"/>
                <w:szCs w:val="28"/>
              </w:rPr>
              <w:t>(Appellant)</w:t>
            </w:r>
          </w:p>
        </w:tc>
      </w:tr>
    </w:tbl>
    <w:p w:rsidR="003F2A56" w:rsidRPr="00373164" w:rsidRDefault="003F2A56" w:rsidP="009626E2">
      <w:pPr>
        <w:spacing w:after="0"/>
        <w:ind w:left="-360"/>
        <w:jc w:val="center"/>
        <w:rPr>
          <w:rFonts w:eastAsia="宋体"/>
          <w:szCs w:val="24"/>
        </w:rPr>
      </w:pPr>
      <w:r w:rsidRPr="00373164">
        <w:rPr>
          <w:rFonts w:eastAsia="宋体"/>
          <w:szCs w:val="24"/>
        </w:rPr>
        <w:t>______________</w:t>
      </w:r>
      <w:r w:rsidR="00AD33BA">
        <w:rPr>
          <w:rFonts w:eastAsia="宋体"/>
          <w:szCs w:val="24"/>
        </w:rPr>
        <w:t>_</w:t>
      </w:r>
      <w:r w:rsidRPr="00373164">
        <w:rPr>
          <w:rFonts w:eastAsia="宋体"/>
          <w:szCs w:val="24"/>
        </w:rPr>
        <w:t>______</w:t>
      </w:r>
      <w:r w:rsidR="009D78D5">
        <w:rPr>
          <w:rFonts w:eastAsia="宋体"/>
          <w:szCs w:val="24"/>
        </w:rPr>
        <w:t>_</w:t>
      </w:r>
      <w:r w:rsidRPr="00373164">
        <w:rPr>
          <w:rFonts w:eastAsia="宋体"/>
          <w:szCs w:val="24"/>
        </w:rPr>
        <w:t>____</w:t>
      </w:r>
    </w:p>
    <w:p w:rsidR="00277934" w:rsidRPr="003F2A56" w:rsidRDefault="003F2A56" w:rsidP="00BC0631">
      <w:pPr>
        <w:spacing w:after="360" w:line="320" w:lineRule="exact"/>
        <w:ind w:left="-360"/>
        <w:jc w:val="center"/>
        <w:rPr>
          <w:rFonts w:eastAsia="宋体"/>
          <w:sz w:val="28"/>
          <w:szCs w:val="28"/>
        </w:rPr>
      </w:pPr>
      <w:r w:rsidRPr="003F2A56">
        <w:rPr>
          <w:rFonts w:eastAsia="宋体"/>
          <w:sz w:val="28"/>
          <w:szCs w:val="28"/>
        </w:rPr>
        <w:t>(HEARD TOGETHER)</w:t>
      </w:r>
    </w:p>
    <w:tbl>
      <w:tblPr>
        <w:tblW w:w="0" w:type="auto"/>
        <w:tblLook w:val="04A0" w:firstRow="1" w:lastRow="0" w:firstColumn="1" w:lastColumn="0" w:noHBand="0" w:noVBand="1"/>
      </w:tblPr>
      <w:tblGrid>
        <w:gridCol w:w="2593"/>
        <w:gridCol w:w="6047"/>
      </w:tblGrid>
      <w:tr w:rsidR="003F2A56" w:rsidRPr="003F2A56" w:rsidTr="00AD2EA6">
        <w:trPr>
          <w:trHeight w:val="601"/>
        </w:trPr>
        <w:tc>
          <w:tcPr>
            <w:tcW w:w="2718" w:type="dxa"/>
            <w:shd w:val="clear" w:color="auto" w:fill="auto"/>
          </w:tcPr>
          <w:p w:rsidR="003F2A56" w:rsidRPr="003F2A56" w:rsidRDefault="003F2A56" w:rsidP="00AD2EA6">
            <w:pPr>
              <w:spacing w:after="0" w:line="240" w:lineRule="auto"/>
              <w:rPr>
                <w:rFonts w:eastAsia="宋体"/>
                <w:sz w:val="28"/>
                <w:szCs w:val="28"/>
              </w:rPr>
            </w:pPr>
            <w:r w:rsidRPr="003F2A56">
              <w:rPr>
                <w:rFonts w:eastAsia="宋体"/>
                <w:sz w:val="28"/>
                <w:szCs w:val="28"/>
              </w:rPr>
              <w:lastRenderedPageBreak/>
              <w:t>Before:</w:t>
            </w:r>
          </w:p>
        </w:tc>
        <w:tc>
          <w:tcPr>
            <w:tcW w:w="6527" w:type="dxa"/>
            <w:shd w:val="clear" w:color="auto" w:fill="auto"/>
          </w:tcPr>
          <w:p w:rsidR="00BF5A48" w:rsidRDefault="003F2A56" w:rsidP="00DA244B">
            <w:pPr>
              <w:spacing w:after="0" w:line="0" w:lineRule="atLeast"/>
              <w:ind w:right="-9"/>
              <w:jc w:val="both"/>
              <w:rPr>
                <w:rFonts w:eastAsia="宋体"/>
                <w:bCs/>
                <w:color w:val="000000"/>
                <w:sz w:val="28"/>
                <w:szCs w:val="28"/>
              </w:rPr>
            </w:pPr>
            <w:r w:rsidRPr="003F2A56">
              <w:rPr>
                <w:rFonts w:eastAsia="宋体"/>
                <w:bCs/>
                <w:color w:val="000000"/>
                <w:sz w:val="28"/>
                <w:szCs w:val="28"/>
              </w:rPr>
              <w:t xml:space="preserve">Chief Justice Cheung, </w:t>
            </w:r>
            <w:proofErr w:type="spellStart"/>
            <w:r w:rsidRPr="003F2A56">
              <w:rPr>
                <w:rFonts w:eastAsia="宋体"/>
                <w:bCs/>
                <w:color w:val="000000"/>
                <w:sz w:val="28"/>
                <w:szCs w:val="28"/>
              </w:rPr>
              <w:t>Mr</w:t>
            </w:r>
            <w:proofErr w:type="spellEnd"/>
            <w:r w:rsidRPr="003F2A56">
              <w:rPr>
                <w:rFonts w:eastAsia="宋体"/>
                <w:bCs/>
                <w:color w:val="000000"/>
                <w:sz w:val="28"/>
                <w:szCs w:val="28"/>
              </w:rPr>
              <w:t xml:space="preserve"> Justice Ribeiro PJ, </w:t>
            </w:r>
          </w:p>
          <w:p w:rsidR="00BF5A48" w:rsidRDefault="003F2A56" w:rsidP="00DA244B">
            <w:pPr>
              <w:spacing w:after="0" w:line="0" w:lineRule="atLeast"/>
              <w:ind w:right="-9"/>
              <w:jc w:val="both"/>
              <w:rPr>
                <w:rFonts w:eastAsia="宋体"/>
                <w:bCs/>
                <w:color w:val="000000"/>
                <w:sz w:val="28"/>
                <w:szCs w:val="28"/>
              </w:rPr>
            </w:pPr>
            <w:proofErr w:type="spellStart"/>
            <w:r w:rsidRPr="003F2A56">
              <w:rPr>
                <w:rFonts w:eastAsia="宋体"/>
                <w:bCs/>
                <w:color w:val="000000"/>
                <w:sz w:val="28"/>
                <w:szCs w:val="28"/>
              </w:rPr>
              <w:t>Mr</w:t>
            </w:r>
            <w:proofErr w:type="spellEnd"/>
            <w:r w:rsidRPr="003F2A56">
              <w:rPr>
                <w:rFonts w:eastAsia="宋体"/>
                <w:bCs/>
                <w:color w:val="000000"/>
                <w:sz w:val="28"/>
                <w:szCs w:val="28"/>
              </w:rPr>
              <w:t xml:space="preserve"> Justice </w:t>
            </w:r>
            <w:proofErr w:type="spellStart"/>
            <w:r w:rsidRPr="003F2A56">
              <w:rPr>
                <w:rFonts w:eastAsia="宋体"/>
                <w:bCs/>
                <w:color w:val="000000"/>
                <w:sz w:val="28"/>
                <w:szCs w:val="28"/>
              </w:rPr>
              <w:t>Fok</w:t>
            </w:r>
            <w:proofErr w:type="spellEnd"/>
            <w:r w:rsidRPr="003F2A56">
              <w:rPr>
                <w:rFonts w:eastAsia="宋体"/>
                <w:bCs/>
                <w:color w:val="000000"/>
                <w:sz w:val="28"/>
                <w:szCs w:val="28"/>
              </w:rPr>
              <w:t xml:space="preserve"> PJ, </w:t>
            </w:r>
            <w:proofErr w:type="spellStart"/>
            <w:r w:rsidRPr="003F2A56">
              <w:rPr>
                <w:rFonts w:eastAsia="宋体"/>
                <w:bCs/>
                <w:color w:val="000000"/>
                <w:sz w:val="28"/>
                <w:szCs w:val="28"/>
              </w:rPr>
              <w:t>Mr</w:t>
            </w:r>
            <w:proofErr w:type="spellEnd"/>
            <w:r w:rsidRPr="003F2A56">
              <w:rPr>
                <w:rFonts w:eastAsia="宋体"/>
                <w:bCs/>
                <w:color w:val="000000"/>
                <w:sz w:val="28"/>
                <w:szCs w:val="28"/>
              </w:rPr>
              <w:t xml:space="preserve"> Justice Lam PJ and </w:t>
            </w:r>
          </w:p>
          <w:p w:rsidR="003F2A56" w:rsidRPr="003F2A56" w:rsidRDefault="003F2A56" w:rsidP="00DA244B">
            <w:pPr>
              <w:spacing w:after="0" w:line="0" w:lineRule="atLeast"/>
              <w:ind w:right="-9"/>
              <w:jc w:val="both"/>
              <w:rPr>
                <w:rFonts w:eastAsia="宋体"/>
                <w:bCs/>
                <w:color w:val="000000"/>
                <w:sz w:val="28"/>
                <w:szCs w:val="28"/>
              </w:rPr>
            </w:pPr>
            <w:proofErr w:type="spellStart"/>
            <w:r w:rsidRPr="003F2A56">
              <w:rPr>
                <w:rFonts w:eastAsia="宋体"/>
                <w:bCs/>
                <w:color w:val="000000"/>
                <w:sz w:val="28"/>
                <w:szCs w:val="28"/>
              </w:rPr>
              <w:t>Mr</w:t>
            </w:r>
            <w:proofErr w:type="spellEnd"/>
            <w:r w:rsidRPr="003F2A56">
              <w:rPr>
                <w:rFonts w:eastAsia="宋体"/>
                <w:bCs/>
                <w:color w:val="000000"/>
                <w:sz w:val="28"/>
                <w:szCs w:val="28"/>
              </w:rPr>
              <w:t xml:space="preserve"> Justice Stock NPJ</w:t>
            </w:r>
          </w:p>
          <w:p w:rsidR="003F2A56" w:rsidRPr="003F2A56" w:rsidRDefault="003F2A56" w:rsidP="00AD2EA6">
            <w:pPr>
              <w:spacing w:after="0" w:line="0" w:lineRule="atLeast"/>
              <w:ind w:right="-9"/>
              <w:rPr>
                <w:rFonts w:eastAsia="宋体"/>
                <w:sz w:val="28"/>
                <w:szCs w:val="28"/>
              </w:rPr>
            </w:pPr>
          </w:p>
        </w:tc>
      </w:tr>
      <w:tr w:rsidR="003F2A56" w:rsidRPr="003F2A56" w:rsidTr="00AD2EA6">
        <w:trPr>
          <w:trHeight w:val="70"/>
        </w:trPr>
        <w:tc>
          <w:tcPr>
            <w:tcW w:w="2718" w:type="dxa"/>
            <w:shd w:val="clear" w:color="auto" w:fill="auto"/>
          </w:tcPr>
          <w:p w:rsidR="003F2A56" w:rsidRPr="003F2A56" w:rsidRDefault="003F2A56" w:rsidP="00AD2EA6">
            <w:pPr>
              <w:spacing w:after="0" w:line="240" w:lineRule="auto"/>
              <w:rPr>
                <w:sz w:val="28"/>
                <w:szCs w:val="28"/>
              </w:rPr>
            </w:pPr>
            <w:r w:rsidRPr="003F2A56">
              <w:rPr>
                <w:rFonts w:eastAsia="宋体"/>
                <w:sz w:val="28"/>
                <w:szCs w:val="28"/>
              </w:rPr>
              <w:t>Date of Hearing:</w:t>
            </w:r>
          </w:p>
        </w:tc>
        <w:tc>
          <w:tcPr>
            <w:tcW w:w="6527" w:type="dxa"/>
            <w:shd w:val="clear" w:color="auto" w:fill="auto"/>
          </w:tcPr>
          <w:p w:rsidR="003F2A56" w:rsidRPr="003F2A56" w:rsidRDefault="003F2A56" w:rsidP="00AD2EA6">
            <w:pPr>
              <w:adjustRightInd w:val="0"/>
              <w:snapToGrid w:val="0"/>
              <w:spacing w:after="0" w:line="240" w:lineRule="auto"/>
              <w:rPr>
                <w:rFonts w:eastAsia="宋体"/>
                <w:sz w:val="28"/>
                <w:szCs w:val="28"/>
              </w:rPr>
            </w:pPr>
            <w:r w:rsidRPr="003F2A56">
              <w:rPr>
                <w:rFonts w:eastAsia="宋体"/>
                <w:sz w:val="28"/>
                <w:szCs w:val="28"/>
              </w:rPr>
              <w:t>4 October 2024</w:t>
            </w:r>
          </w:p>
          <w:p w:rsidR="003F2A56" w:rsidRPr="003F2A56" w:rsidRDefault="003F2A56" w:rsidP="00AD2EA6">
            <w:pPr>
              <w:adjustRightInd w:val="0"/>
              <w:snapToGrid w:val="0"/>
              <w:spacing w:after="0" w:line="240" w:lineRule="auto"/>
              <w:rPr>
                <w:sz w:val="28"/>
                <w:szCs w:val="28"/>
              </w:rPr>
            </w:pPr>
          </w:p>
        </w:tc>
      </w:tr>
      <w:tr w:rsidR="003F2A56" w:rsidRPr="003F2A56" w:rsidTr="00D12F00">
        <w:trPr>
          <w:trHeight w:val="72"/>
        </w:trPr>
        <w:tc>
          <w:tcPr>
            <w:tcW w:w="2718" w:type="dxa"/>
            <w:shd w:val="clear" w:color="auto" w:fill="auto"/>
          </w:tcPr>
          <w:p w:rsidR="003F2A56" w:rsidRPr="003F2A56" w:rsidRDefault="003F2A56" w:rsidP="00AD2EA6">
            <w:pPr>
              <w:spacing w:after="0" w:line="240" w:lineRule="auto"/>
              <w:rPr>
                <w:rFonts w:eastAsia="宋体"/>
                <w:sz w:val="28"/>
                <w:szCs w:val="28"/>
              </w:rPr>
            </w:pPr>
            <w:r w:rsidRPr="003F2A56">
              <w:rPr>
                <w:rFonts w:eastAsia="宋体"/>
                <w:sz w:val="28"/>
                <w:szCs w:val="28"/>
              </w:rPr>
              <w:t>Date of Judgment:</w:t>
            </w:r>
          </w:p>
        </w:tc>
        <w:tc>
          <w:tcPr>
            <w:tcW w:w="6527" w:type="dxa"/>
            <w:shd w:val="clear" w:color="auto" w:fill="auto"/>
          </w:tcPr>
          <w:p w:rsidR="003F2A56" w:rsidRDefault="009B3BEC" w:rsidP="00D12F00">
            <w:pPr>
              <w:pStyle w:val="coram"/>
              <w:tabs>
                <w:tab w:val="left" w:pos="3261"/>
              </w:tabs>
              <w:spacing w:after="0"/>
              <w:ind w:left="0" w:firstLine="0"/>
              <w:jc w:val="both"/>
              <w:rPr>
                <w:rFonts w:eastAsia="宋体"/>
                <w:szCs w:val="28"/>
                <w:lang w:eastAsia="zh-CN"/>
              </w:rPr>
            </w:pPr>
            <w:r>
              <w:rPr>
                <w:rFonts w:eastAsia="宋体"/>
                <w:szCs w:val="28"/>
                <w:lang w:eastAsia="zh-CN"/>
              </w:rPr>
              <w:t>26</w:t>
            </w:r>
            <w:r w:rsidR="003F2A56" w:rsidRPr="003F2A56">
              <w:rPr>
                <w:rFonts w:eastAsia="宋体"/>
                <w:szCs w:val="28"/>
                <w:lang w:eastAsia="zh-CN"/>
              </w:rPr>
              <w:t xml:space="preserve"> </w:t>
            </w:r>
            <w:r w:rsidR="00FE6B2A">
              <w:rPr>
                <w:rFonts w:eastAsia="宋体"/>
                <w:szCs w:val="28"/>
                <w:lang w:eastAsia="zh-CN"/>
              </w:rPr>
              <w:t>November</w:t>
            </w:r>
            <w:r w:rsidR="00FE6B2A" w:rsidRPr="003F2A56">
              <w:rPr>
                <w:rFonts w:eastAsia="宋体"/>
                <w:szCs w:val="28"/>
                <w:lang w:eastAsia="zh-CN"/>
              </w:rPr>
              <w:t xml:space="preserve"> </w:t>
            </w:r>
            <w:r w:rsidR="003F2A56" w:rsidRPr="003F2A56">
              <w:rPr>
                <w:rFonts w:eastAsia="宋体"/>
                <w:szCs w:val="28"/>
                <w:lang w:eastAsia="zh-CN"/>
              </w:rPr>
              <w:t>2024</w:t>
            </w:r>
          </w:p>
          <w:p w:rsidR="00D12F00" w:rsidRPr="003F2A56" w:rsidRDefault="00D12F00" w:rsidP="00D12F00">
            <w:pPr>
              <w:pStyle w:val="coram"/>
              <w:tabs>
                <w:tab w:val="left" w:pos="3261"/>
              </w:tabs>
              <w:spacing w:after="0"/>
              <w:ind w:left="0" w:firstLine="0"/>
              <w:jc w:val="both"/>
              <w:rPr>
                <w:rFonts w:eastAsia="宋体"/>
                <w:szCs w:val="28"/>
              </w:rPr>
            </w:pPr>
          </w:p>
        </w:tc>
      </w:tr>
    </w:tbl>
    <w:p w:rsidR="003F2A56" w:rsidRPr="00D12F00" w:rsidRDefault="003F2A56" w:rsidP="003F2A56">
      <w:pPr>
        <w:pStyle w:val="BodyTextIndent"/>
        <w:tabs>
          <w:tab w:val="left" w:pos="0"/>
          <w:tab w:val="left" w:pos="540"/>
        </w:tabs>
        <w:ind w:left="0" w:right="118" w:firstLine="0"/>
        <w:rPr>
          <w:sz w:val="36"/>
          <w:szCs w:val="36"/>
        </w:rPr>
      </w:pPr>
      <w:r w:rsidRPr="003F2A56">
        <w:rPr>
          <w:sz w:val="28"/>
          <w:szCs w:val="28"/>
        </w:rPr>
        <w:tab/>
      </w:r>
      <w:r w:rsidRPr="003F2A56">
        <w:rPr>
          <w:sz w:val="28"/>
          <w:szCs w:val="28"/>
        </w:rPr>
        <w:tab/>
      </w:r>
      <w:r w:rsidRPr="003F2A56">
        <w:rPr>
          <w:sz w:val="28"/>
          <w:szCs w:val="28"/>
        </w:rPr>
        <w:tab/>
      </w:r>
      <w:r w:rsidRPr="003F2A56">
        <w:rPr>
          <w:sz w:val="28"/>
          <w:szCs w:val="28"/>
        </w:rPr>
        <w:tab/>
      </w:r>
    </w:p>
    <w:tbl>
      <w:tblPr>
        <w:tblW w:w="0" w:type="auto"/>
        <w:jc w:val="center"/>
        <w:tblBorders>
          <w:top w:val="single" w:sz="4" w:space="0" w:color="auto"/>
          <w:bottom w:val="single" w:sz="4" w:space="0" w:color="auto"/>
        </w:tblBorders>
        <w:tblLook w:val="04A0" w:firstRow="1" w:lastRow="0" w:firstColumn="1" w:lastColumn="0" w:noHBand="0" w:noVBand="1"/>
      </w:tblPr>
      <w:tblGrid>
        <w:gridCol w:w="3168"/>
      </w:tblGrid>
      <w:tr w:rsidR="003F2A56" w:rsidRPr="003F2A56" w:rsidTr="009318E6">
        <w:trPr>
          <w:trHeight w:val="538"/>
          <w:jc w:val="center"/>
        </w:trPr>
        <w:tc>
          <w:tcPr>
            <w:tcW w:w="3168" w:type="dxa"/>
          </w:tcPr>
          <w:p w:rsidR="003F2A56" w:rsidRPr="003F2A56" w:rsidRDefault="003F2A56" w:rsidP="009D78D5">
            <w:pPr>
              <w:pStyle w:val="sh"/>
              <w:tabs>
                <w:tab w:val="clear" w:pos="720"/>
                <w:tab w:val="clear" w:pos="1440"/>
              </w:tabs>
              <w:snapToGrid w:val="0"/>
              <w:spacing w:before="240" w:after="240"/>
              <w:jc w:val="center"/>
              <w:rPr>
                <w:b/>
                <w:szCs w:val="28"/>
              </w:rPr>
            </w:pPr>
            <w:r w:rsidRPr="003F2A56">
              <w:rPr>
                <w:rFonts w:eastAsia="新宋体"/>
                <w:b/>
                <w:bCs/>
                <w:spacing w:val="60"/>
                <w:szCs w:val="28"/>
                <w:lang w:val="en-GB" w:eastAsia="ja-JP"/>
              </w:rPr>
              <w:t>JUDGMENT</w:t>
            </w:r>
          </w:p>
        </w:tc>
      </w:tr>
    </w:tbl>
    <w:p w:rsidR="003F2A56" w:rsidRDefault="003F2A56" w:rsidP="00BE01A5">
      <w:pPr>
        <w:snapToGrid w:val="0"/>
        <w:spacing w:after="0" w:line="360" w:lineRule="auto"/>
        <w:jc w:val="both"/>
        <w:rPr>
          <w:sz w:val="28"/>
          <w:szCs w:val="28"/>
          <w:lang w:val="en-GB"/>
        </w:rPr>
      </w:pPr>
    </w:p>
    <w:p w:rsidR="00BE01A5" w:rsidRPr="00EE5D9E" w:rsidRDefault="006003FC" w:rsidP="0053491D">
      <w:pPr>
        <w:keepNext/>
        <w:snapToGrid w:val="0"/>
        <w:spacing w:after="360" w:line="360" w:lineRule="auto"/>
        <w:jc w:val="both"/>
        <w:rPr>
          <w:b/>
          <w:sz w:val="28"/>
          <w:szCs w:val="28"/>
          <w:lang w:val="en-GB"/>
        </w:rPr>
      </w:pPr>
      <w:r w:rsidRPr="00EE5D9E">
        <w:rPr>
          <w:b/>
          <w:sz w:val="28"/>
          <w:szCs w:val="28"/>
          <w:lang w:val="en-GB"/>
        </w:rPr>
        <w:t>Chief Justice Cheung:</w:t>
      </w:r>
    </w:p>
    <w:p w:rsidR="008225B8" w:rsidRPr="004648FA" w:rsidRDefault="00BE01A5"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r w:rsidR="008225B8" w:rsidRPr="004648FA">
        <w:rPr>
          <w:sz w:val="28"/>
          <w:szCs w:val="28"/>
          <w:lang w:val="en-GB"/>
        </w:rPr>
        <w:t xml:space="preserve">These two appeals by the Hong Kong Housing </w:t>
      </w:r>
      <w:r w:rsidR="00453964" w:rsidRPr="004648FA">
        <w:rPr>
          <w:sz w:val="28"/>
          <w:szCs w:val="28"/>
          <w:lang w:val="en-GB"/>
        </w:rPr>
        <w:t>Authority</w:t>
      </w:r>
      <w:r w:rsidR="008225B8" w:rsidRPr="004648FA">
        <w:rPr>
          <w:sz w:val="28"/>
          <w:szCs w:val="28"/>
          <w:lang w:val="en-GB"/>
        </w:rPr>
        <w:t xml:space="preserve"> (</w:t>
      </w:r>
      <w:r w:rsidR="004D1D7A" w:rsidRPr="004648FA">
        <w:rPr>
          <w:sz w:val="28"/>
          <w:szCs w:val="28"/>
          <w:lang w:val="en-GB"/>
        </w:rPr>
        <w:t>“</w:t>
      </w:r>
      <w:r w:rsidR="008225B8" w:rsidRPr="004648FA">
        <w:rPr>
          <w:sz w:val="28"/>
          <w:szCs w:val="28"/>
          <w:lang w:val="en-GB"/>
        </w:rPr>
        <w:t>HA</w:t>
      </w:r>
      <w:r w:rsidR="004D1D7A" w:rsidRPr="004648FA">
        <w:rPr>
          <w:sz w:val="28"/>
          <w:szCs w:val="28"/>
          <w:lang w:val="en-GB"/>
        </w:rPr>
        <w:t>”</w:t>
      </w:r>
      <w:r w:rsidR="008225B8" w:rsidRPr="004648FA">
        <w:rPr>
          <w:sz w:val="28"/>
          <w:szCs w:val="28"/>
          <w:lang w:val="en-GB"/>
        </w:rPr>
        <w:t xml:space="preserve">), </w:t>
      </w:r>
      <w:r w:rsidR="002933E5">
        <w:rPr>
          <w:sz w:val="28"/>
          <w:szCs w:val="28"/>
          <w:lang w:val="en-GB"/>
        </w:rPr>
        <w:t>which have been heard together</w:t>
      </w:r>
      <w:r w:rsidR="008225B8" w:rsidRPr="004648FA">
        <w:rPr>
          <w:sz w:val="28"/>
          <w:szCs w:val="28"/>
          <w:lang w:val="en-GB"/>
        </w:rPr>
        <w:t xml:space="preserve">, concern the HA’s family provision policies for public rental housing </w:t>
      </w:r>
      <w:r w:rsidR="004D1D7A" w:rsidRPr="004648FA">
        <w:rPr>
          <w:sz w:val="28"/>
          <w:szCs w:val="28"/>
          <w:lang w:val="en-GB"/>
        </w:rPr>
        <w:t xml:space="preserve">(“PRH”) </w:t>
      </w:r>
      <w:r w:rsidR="008225B8" w:rsidRPr="004648FA">
        <w:rPr>
          <w:sz w:val="28"/>
          <w:szCs w:val="28"/>
          <w:lang w:val="en-GB"/>
        </w:rPr>
        <w:t xml:space="preserve">and the Home Ownership Scheme </w:t>
      </w:r>
      <w:r w:rsidR="004D1D7A" w:rsidRPr="004648FA">
        <w:rPr>
          <w:sz w:val="28"/>
          <w:szCs w:val="28"/>
          <w:lang w:val="en-GB"/>
        </w:rPr>
        <w:t xml:space="preserve">(“HOS”) </w:t>
      </w:r>
      <w:r w:rsidR="008225B8" w:rsidRPr="004648FA">
        <w:rPr>
          <w:sz w:val="28"/>
          <w:szCs w:val="28"/>
          <w:lang w:val="en-GB"/>
        </w:rPr>
        <w:t>as they apply to same-sex couples lawfully married abroad.</w:t>
      </w:r>
    </w:p>
    <w:p w:rsidR="008225B8" w:rsidRDefault="00BE01A5"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r w:rsidR="004D1D7A" w:rsidRPr="004648FA">
        <w:rPr>
          <w:sz w:val="28"/>
          <w:szCs w:val="28"/>
          <w:lang w:val="en-GB"/>
        </w:rPr>
        <w:t xml:space="preserve">Following </w:t>
      </w:r>
      <w:r w:rsidR="008225B8" w:rsidRPr="004648FA">
        <w:rPr>
          <w:sz w:val="28"/>
          <w:szCs w:val="28"/>
          <w:lang w:val="en-GB"/>
        </w:rPr>
        <w:t xml:space="preserve">two separate applications for judicial review, </w:t>
      </w:r>
      <w:r w:rsidR="00934765" w:rsidRPr="00934765">
        <w:rPr>
          <w:sz w:val="28"/>
          <w:szCs w:val="28"/>
          <w:lang w:val="en-GB"/>
        </w:rPr>
        <w:t xml:space="preserve">the Court of First Instance </w:t>
      </w:r>
      <w:r w:rsidR="00934765">
        <w:rPr>
          <w:sz w:val="28"/>
          <w:szCs w:val="28"/>
          <w:lang w:val="en-GB"/>
        </w:rPr>
        <w:t xml:space="preserve">struck down </w:t>
      </w:r>
      <w:r w:rsidR="008225B8" w:rsidRPr="004648FA">
        <w:rPr>
          <w:sz w:val="28"/>
          <w:szCs w:val="28"/>
          <w:lang w:val="en-GB"/>
        </w:rPr>
        <w:t xml:space="preserve">the respective policies </w:t>
      </w:r>
      <w:r w:rsidR="00934765">
        <w:rPr>
          <w:sz w:val="28"/>
          <w:szCs w:val="28"/>
          <w:lang w:val="en-GB"/>
        </w:rPr>
        <w:t>for</w:t>
      </w:r>
      <w:r w:rsidR="008225B8" w:rsidRPr="004648FA">
        <w:rPr>
          <w:sz w:val="28"/>
          <w:szCs w:val="28"/>
          <w:lang w:val="en-GB"/>
        </w:rPr>
        <w:t xml:space="preserve"> discrimination.</w:t>
      </w:r>
      <w:r w:rsidR="004D1D7A" w:rsidRPr="004648FA">
        <w:rPr>
          <w:rStyle w:val="FootnoteReference"/>
          <w:sz w:val="28"/>
          <w:szCs w:val="28"/>
          <w:lang w:val="en-GB"/>
        </w:rPr>
        <w:footnoteReference w:id="1"/>
      </w:r>
      <w:r w:rsidR="008225B8" w:rsidRPr="004648FA">
        <w:rPr>
          <w:sz w:val="28"/>
          <w:szCs w:val="28"/>
          <w:lang w:val="en-GB"/>
        </w:rPr>
        <w:t xml:space="preserve"> </w:t>
      </w:r>
      <w:r w:rsidR="003F2A56">
        <w:rPr>
          <w:sz w:val="28"/>
          <w:szCs w:val="28"/>
          <w:lang w:val="en-GB"/>
        </w:rPr>
        <w:t xml:space="preserve"> </w:t>
      </w:r>
      <w:r w:rsidR="00237883" w:rsidRPr="004648FA">
        <w:rPr>
          <w:sz w:val="28"/>
          <w:szCs w:val="28"/>
          <w:lang w:val="en-GB"/>
        </w:rPr>
        <w:t xml:space="preserve">Both </w:t>
      </w:r>
      <w:r w:rsidR="008225B8" w:rsidRPr="004648FA">
        <w:rPr>
          <w:sz w:val="28"/>
          <w:szCs w:val="28"/>
          <w:lang w:val="en-GB"/>
        </w:rPr>
        <w:t xml:space="preserve">decisions </w:t>
      </w:r>
      <w:proofErr w:type="gramStart"/>
      <w:r w:rsidR="008225B8" w:rsidRPr="004648FA">
        <w:rPr>
          <w:sz w:val="28"/>
          <w:szCs w:val="28"/>
          <w:lang w:val="en-GB"/>
        </w:rPr>
        <w:t>were affirmed</w:t>
      </w:r>
      <w:proofErr w:type="gramEnd"/>
      <w:r w:rsidR="004648FA" w:rsidRPr="004648FA">
        <w:rPr>
          <w:sz w:val="28"/>
          <w:szCs w:val="28"/>
          <w:lang w:val="en-GB"/>
        </w:rPr>
        <w:t xml:space="preserve"> </w:t>
      </w:r>
      <w:r w:rsidR="008225B8" w:rsidRPr="004648FA">
        <w:rPr>
          <w:sz w:val="28"/>
          <w:szCs w:val="28"/>
          <w:lang w:val="en-GB"/>
        </w:rPr>
        <w:t>by the Court of Appeal</w:t>
      </w:r>
      <w:r w:rsidR="004648FA" w:rsidRPr="004648FA">
        <w:rPr>
          <w:sz w:val="28"/>
          <w:szCs w:val="28"/>
          <w:lang w:val="en-GB"/>
        </w:rPr>
        <w:t xml:space="preserve">, which heard the appeals </w:t>
      </w:r>
      <w:r w:rsidR="002933E5">
        <w:rPr>
          <w:sz w:val="28"/>
          <w:szCs w:val="28"/>
          <w:lang w:val="en-GB"/>
        </w:rPr>
        <w:t>at the same time</w:t>
      </w:r>
      <w:r w:rsidR="008225B8" w:rsidRPr="004648FA">
        <w:rPr>
          <w:sz w:val="28"/>
          <w:szCs w:val="28"/>
          <w:lang w:val="en-GB"/>
        </w:rPr>
        <w:t>.</w:t>
      </w:r>
      <w:r w:rsidR="00237883" w:rsidRPr="004648FA">
        <w:rPr>
          <w:rStyle w:val="FootnoteReference"/>
          <w:sz w:val="28"/>
          <w:szCs w:val="28"/>
          <w:lang w:val="en-GB"/>
        </w:rPr>
        <w:footnoteReference w:id="2"/>
      </w:r>
    </w:p>
    <w:p w:rsidR="008225B8" w:rsidRDefault="00B34480" w:rsidP="003C2699">
      <w:pPr>
        <w:pStyle w:val="ListParagraph"/>
        <w:keepNext/>
        <w:snapToGrid w:val="0"/>
        <w:spacing w:after="280" w:line="360" w:lineRule="auto"/>
        <w:ind w:left="0"/>
        <w:rPr>
          <w:b/>
          <w:i/>
          <w:sz w:val="28"/>
          <w:szCs w:val="28"/>
          <w:lang w:val="en-GB"/>
        </w:rPr>
      </w:pPr>
      <w:r>
        <w:rPr>
          <w:sz w:val="28"/>
          <w:szCs w:val="28"/>
          <w:lang w:val="en-GB"/>
        </w:rPr>
        <w:br w:type="page"/>
      </w:r>
      <w:r w:rsidR="00FA6DEB" w:rsidRPr="004648FA">
        <w:rPr>
          <w:b/>
          <w:i/>
          <w:sz w:val="28"/>
          <w:szCs w:val="28"/>
          <w:lang w:val="en-GB"/>
        </w:rPr>
        <w:lastRenderedPageBreak/>
        <w:t>HA</w:t>
      </w:r>
      <w:r w:rsidR="004648FA" w:rsidRPr="004648FA">
        <w:rPr>
          <w:b/>
          <w:i/>
          <w:sz w:val="28"/>
          <w:szCs w:val="28"/>
          <w:lang w:val="en-GB"/>
        </w:rPr>
        <w:t xml:space="preserve"> and its </w:t>
      </w:r>
      <w:r w:rsidR="001B71B8" w:rsidRPr="004648FA">
        <w:rPr>
          <w:b/>
          <w:i/>
          <w:sz w:val="28"/>
          <w:szCs w:val="28"/>
          <w:lang w:val="en-GB"/>
        </w:rPr>
        <w:t xml:space="preserve">PRH &amp; HOS </w:t>
      </w:r>
      <w:r w:rsidR="00FA6DEB" w:rsidRPr="004648FA">
        <w:rPr>
          <w:b/>
          <w:i/>
          <w:sz w:val="28"/>
          <w:szCs w:val="28"/>
          <w:lang w:val="en-GB"/>
        </w:rPr>
        <w:t>polic</w:t>
      </w:r>
      <w:r w:rsidR="004648FA" w:rsidRPr="004648FA">
        <w:rPr>
          <w:b/>
          <w:i/>
          <w:sz w:val="28"/>
          <w:szCs w:val="28"/>
          <w:lang w:val="en-GB"/>
        </w:rPr>
        <w:t>ies</w:t>
      </w:r>
    </w:p>
    <w:p w:rsidR="008225B8" w:rsidRPr="004648FA" w:rsidRDefault="00BE01A5" w:rsidP="003C2699">
      <w:pPr>
        <w:keepNext/>
        <w:numPr>
          <w:ilvl w:val="0"/>
          <w:numId w:val="4"/>
        </w:numPr>
        <w:snapToGrid w:val="0"/>
        <w:spacing w:after="280" w:line="360" w:lineRule="auto"/>
        <w:ind w:left="0" w:firstLine="0"/>
        <w:jc w:val="both"/>
        <w:rPr>
          <w:sz w:val="28"/>
          <w:szCs w:val="28"/>
          <w:lang w:val="en-GB"/>
        </w:rPr>
      </w:pPr>
      <w:r>
        <w:rPr>
          <w:sz w:val="28"/>
          <w:szCs w:val="28"/>
          <w:lang w:val="en-GB"/>
        </w:rPr>
        <w:tab/>
      </w:r>
      <w:r w:rsidR="008225B8" w:rsidRPr="004648FA">
        <w:rPr>
          <w:sz w:val="28"/>
          <w:szCs w:val="28"/>
          <w:lang w:val="en-GB"/>
        </w:rPr>
        <w:t xml:space="preserve">The HA, established under </w:t>
      </w:r>
      <w:r w:rsidR="00FA6DEB" w:rsidRPr="004648FA">
        <w:rPr>
          <w:sz w:val="28"/>
          <w:szCs w:val="28"/>
          <w:lang w:val="en-GB"/>
        </w:rPr>
        <w:t xml:space="preserve">section 3 of </w:t>
      </w:r>
      <w:r w:rsidR="008225B8" w:rsidRPr="004648FA">
        <w:rPr>
          <w:sz w:val="28"/>
          <w:szCs w:val="28"/>
          <w:lang w:val="en-GB"/>
        </w:rPr>
        <w:t>the Housing Ordinance (Cap 283), is tasked with carrying out significant governmental functions related to public housing</w:t>
      </w:r>
      <w:r w:rsidR="007C357E" w:rsidRPr="004648FA">
        <w:rPr>
          <w:sz w:val="28"/>
          <w:szCs w:val="28"/>
          <w:lang w:val="en-GB"/>
        </w:rPr>
        <w:t xml:space="preserve">.  </w:t>
      </w:r>
      <w:r w:rsidR="008225B8" w:rsidRPr="004648FA">
        <w:rPr>
          <w:sz w:val="28"/>
          <w:szCs w:val="28"/>
          <w:lang w:val="en-GB"/>
        </w:rPr>
        <w:t xml:space="preserve">Its statutory mandate, as set out in </w:t>
      </w:r>
      <w:r w:rsidR="00412858" w:rsidRPr="004648FA">
        <w:rPr>
          <w:sz w:val="28"/>
          <w:szCs w:val="28"/>
          <w:lang w:val="en-GB"/>
        </w:rPr>
        <w:t>section 4(1)</w:t>
      </w:r>
      <w:r w:rsidR="004F63D7" w:rsidRPr="004648FA">
        <w:rPr>
          <w:sz w:val="28"/>
          <w:szCs w:val="28"/>
          <w:lang w:val="en-GB"/>
        </w:rPr>
        <w:t xml:space="preserve"> </w:t>
      </w:r>
      <w:r w:rsidR="00872DBD">
        <w:rPr>
          <w:sz w:val="28"/>
          <w:szCs w:val="28"/>
          <w:lang w:val="en-GB"/>
        </w:rPr>
        <w:t xml:space="preserve">of </w:t>
      </w:r>
      <w:r w:rsidR="008225B8" w:rsidRPr="004648FA">
        <w:rPr>
          <w:sz w:val="28"/>
          <w:szCs w:val="28"/>
          <w:lang w:val="en-GB"/>
        </w:rPr>
        <w:t>the Ordinance, is to provide housing and associated amenities for those classes of persons as it may determine, subject to the approval of the Chief Executive</w:t>
      </w:r>
      <w:r w:rsidR="007C357E" w:rsidRPr="004648FA">
        <w:rPr>
          <w:sz w:val="28"/>
          <w:szCs w:val="28"/>
          <w:lang w:val="en-GB"/>
        </w:rPr>
        <w:t xml:space="preserve">.  </w:t>
      </w:r>
      <w:r w:rsidR="00D87967">
        <w:rPr>
          <w:sz w:val="28"/>
          <w:szCs w:val="28"/>
          <w:lang w:val="en-GB"/>
        </w:rPr>
        <w:t>In practice, t</w:t>
      </w:r>
      <w:r w:rsidR="008225B8" w:rsidRPr="004648FA">
        <w:rPr>
          <w:sz w:val="28"/>
          <w:szCs w:val="28"/>
          <w:lang w:val="en-GB"/>
        </w:rPr>
        <w:t>he HA</w:t>
      </w:r>
      <w:r w:rsidR="00934765">
        <w:rPr>
          <w:sz w:val="28"/>
          <w:szCs w:val="28"/>
          <w:lang w:val="en-GB"/>
        </w:rPr>
        <w:t xml:space="preserve">’s </w:t>
      </w:r>
      <w:r w:rsidR="00D87967">
        <w:rPr>
          <w:sz w:val="28"/>
          <w:szCs w:val="28"/>
          <w:lang w:val="en-GB"/>
        </w:rPr>
        <w:t>main</w:t>
      </w:r>
      <w:r w:rsidR="00934765">
        <w:rPr>
          <w:sz w:val="28"/>
          <w:szCs w:val="28"/>
          <w:lang w:val="en-GB"/>
        </w:rPr>
        <w:t xml:space="preserve"> responsibility is to ensure</w:t>
      </w:r>
      <w:r w:rsidR="008225B8" w:rsidRPr="004648FA">
        <w:rPr>
          <w:sz w:val="28"/>
          <w:szCs w:val="28"/>
          <w:lang w:val="en-GB"/>
        </w:rPr>
        <w:t xml:space="preserve"> the availability of affordable</w:t>
      </w:r>
      <w:r w:rsidR="00934765">
        <w:rPr>
          <w:sz w:val="28"/>
          <w:szCs w:val="28"/>
          <w:lang w:val="en-GB"/>
        </w:rPr>
        <w:t xml:space="preserve"> housing for low-income families.</w:t>
      </w:r>
      <w:r w:rsidR="0063566F" w:rsidRPr="004648FA">
        <w:rPr>
          <w:rStyle w:val="FootnoteReference"/>
          <w:sz w:val="28"/>
          <w:szCs w:val="28"/>
          <w:lang w:val="en-GB"/>
        </w:rPr>
        <w:footnoteReference w:id="3"/>
      </w:r>
      <w:r w:rsidR="00934765">
        <w:rPr>
          <w:sz w:val="28"/>
          <w:szCs w:val="28"/>
          <w:lang w:val="en-GB"/>
        </w:rPr>
        <w:t xml:space="preserve">  To</w:t>
      </w:r>
      <w:r w:rsidR="008225B8" w:rsidRPr="004648FA">
        <w:rPr>
          <w:sz w:val="28"/>
          <w:szCs w:val="28"/>
          <w:lang w:val="en-GB"/>
        </w:rPr>
        <w:t xml:space="preserve"> a lesser extent, </w:t>
      </w:r>
      <w:r w:rsidR="00934765">
        <w:rPr>
          <w:sz w:val="28"/>
          <w:szCs w:val="28"/>
          <w:lang w:val="en-GB"/>
        </w:rPr>
        <w:t xml:space="preserve">it is </w:t>
      </w:r>
      <w:r w:rsidR="00D87967">
        <w:rPr>
          <w:sz w:val="28"/>
          <w:szCs w:val="28"/>
          <w:lang w:val="en-GB"/>
        </w:rPr>
        <w:t xml:space="preserve">also in charge of </w:t>
      </w:r>
      <w:r w:rsidR="008225B8" w:rsidRPr="004648FA">
        <w:rPr>
          <w:sz w:val="28"/>
          <w:szCs w:val="28"/>
          <w:lang w:val="en-GB"/>
        </w:rPr>
        <w:t xml:space="preserve">facilitating home ownership for </w:t>
      </w:r>
      <w:r w:rsidR="00315EC4" w:rsidRPr="004648FA">
        <w:rPr>
          <w:sz w:val="28"/>
          <w:szCs w:val="28"/>
          <w:lang w:val="en-GB"/>
        </w:rPr>
        <w:t>low- to middle</w:t>
      </w:r>
      <w:r w:rsidR="008225B8" w:rsidRPr="004648FA">
        <w:rPr>
          <w:sz w:val="28"/>
          <w:szCs w:val="28"/>
          <w:lang w:val="en-GB"/>
        </w:rPr>
        <w:t>-income households.</w:t>
      </w:r>
      <w:r w:rsidR="00315EC4" w:rsidRPr="004648FA">
        <w:rPr>
          <w:rStyle w:val="FootnoteReference"/>
          <w:sz w:val="28"/>
          <w:szCs w:val="28"/>
          <w:lang w:val="en-GB"/>
        </w:rPr>
        <w:footnoteReference w:id="4"/>
      </w:r>
      <w:r w:rsidR="008225B8" w:rsidRPr="004648FA">
        <w:rPr>
          <w:sz w:val="28"/>
          <w:szCs w:val="28"/>
          <w:lang w:val="en-GB"/>
        </w:rPr>
        <w:t xml:space="preserve"> </w:t>
      </w:r>
      <w:r w:rsidR="004D6454">
        <w:rPr>
          <w:sz w:val="28"/>
          <w:szCs w:val="28"/>
          <w:lang w:val="en-GB"/>
        </w:rPr>
        <w:t xml:space="preserve"> </w:t>
      </w:r>
      <w:r w:rsidR="008225B8" w:rsidRPr="004648FA">
        <w:rPr>
          <w:sz w:val="28"/>
          <w:szCs w:val="28"/>
          <w:lang w:val="en-GB"/>
        </w:rPr>
        <w:t>Its overarching objective is to address the pressing housing needs of the most vulnerable members of society.</w:t>
      </w:r>
      <w:r w:rsidR="001514E6">
        <w:rPr>
          <w:rStyle w:val="FootnoteReference"/>
          <w:sz w:val="28"/>
          <w:szCs w:val="28"/>
          <w:lang w:val="en-GB"/>
        </w:rPr>
        <w:footnoteReference w:id="5"/>
      </w:r>
    </w:p>
    <w:p w:rsidR="008225B8" w:rsidRPr="004648FA" w:rsidRDefault="00BE01A5"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r w:rsidR="008225B8" w:rsidRPr="004648FA">
        <w:rPr>
          <w:sz w:val="28"/>
          <w:szCs w:val="28"/>
          <w:lang w:val="en-GB"/>
        </w:rPr>
        <w:t>One of the primary functions of the HA is the administration of PRH</w:t>
      </w:r>
      <w:r w:rsidR="007C357E" w:rsidRPr="004648FA">
        <w:rPr>
          <w:sz w:val="28"/>
          <w:szCs w:val="28"/>
          <w:lang w:val="en-GB"/>
        </w:rPr>
        <w:t>.</w:t>
      </w:r>
      <w:r w:rsidR="004D5FF8">
        <w:rPr>
          <w:rStyle w:val="FootnoteReference"/>
          <w:sz w:val="28"/>
          <w:szCs w:val="28"/>
          <w:lang w:val="en-GB"/>
        </w:rPr>
        <w:footnoteReference w:id="6"/>
      </w:r>
      <w:r w:rsidR="007C357E" w:rsidRPr="004648FA">
        <w:rPr>
          <w:sz w:val="28"/>
          <w:szCs w:val="28"/>
          <w:lang w:val="en-GB"/>
        </w:rPr>
        <w:t xml:space="preserve">  </w:t>
      </w:r>
      <w:r w:rsidR="008225B8" w:rsidRPr="004648FA">
        <w:rPr>
          <w:sz w:val="28"/>
          <w:szCs w:val="28"/>
          <w:lang w:val="en-GB"/>
        </w:rPr>
        <w:t>PRH units are heavily subsidised and offered to those whose financial circumstances preclude them from accessing the private rental market</w:t>
      </w:r>
      <w:r w:rsidR="007C357E" w:rsidRPr="004648FA">
        <w:rPr>
          <w:sz w:val="28"/>
          <w:szCs w:val="28"/>
          <w:lang w:val="en-GB"/>
        </w:rPr>
        <w:t>.</w:t>
      </w:r>
      <w:r w:rsidR="004D5FF8">
        <w:rPr>
          <w:rStyle w:val="FootnoteReference"/>
          <w:sz w:val="28"/>
          <w:szCs w:val="28"/>
          <w:lang w:val="en-GB"/>
        </w:rPr>
        <w:footnoteReference w:id="7"/>
      </w:r>
      <w:r w:rsidR="007C357E" w:rsidRPr="004648FA">
        <w:rPr>
          <w:sz w:val="28"/>
          <w:szCs w:val="28"/>
          <w:lang w:val="en-GB"/>
        </w:rPr>
        <w:t xml:space="preserve">  </w:t>
      </w:r>
      <w:r w:rsidR="008225B8" w:rsidRPr="004648FA">
        <w:rPr>
          <w:sz w:val="28"/>
          <w:szCs w:val="28"/>
          <w:lang w:val="en-GB"/>
        </w:rPr>
        <w:lastRenderedPageBreak/>
        <w:t>Given the perennial challenge of demand far outstripping supply, the HA maintains an application system with stringent criteria</w:t>
      </w:r>
      <w:r w:rsidR="00D87967">
        <w:rPr>
          <w:sz w:val="28"/>
          <w:szCs w:val="28"/>
          <w:lang w:val="en-GB"/>
        </w:rPr>
        <w:t>.  The</w:t>
      </w:r>
      <w:r w:rsidR="0039660D">
        <w:rPr>
          <w:sz w:val="28"/>
          <w:szCs w:val="28"/>
          <w:lang w:val="en-GB"/>
        </w:rPr>
        <w:t>se</w:t>
      </w:r>
      <w:r w:rsidR="00D87967">
        <w:rPr>
          <w:sz w:val="28"/>
          <w:szCs w:val="28"/>
          <w:lang w:val="en-GB"/>
        </w:rPr>
        <w:t xml:space="preserve"> include, </w:t>
      </w:r>
      <w:r w:rsidR="00412858" w:rsidRPr="004648FA">
        <w:rPr>
          <w:sz w:val="28"/>
          <w:szCs w:val="28"/>
          <w:lang w:val="en-GB"/>
        </w:rPr>
        <w:t xml:space="preserve">but </w:t>
      </w:r>
      <w:r w:rsidR="00D87967">
        <w:rPr>
          <w:sz w:val="28"/>
          <w:szCs w:val="28"/>
          <w:lang w:val="en-GB"/>
        </w:rPr>
        <w:t xml:space="preserve">are </w:t>
      </w:r>
      <w:r w:rsidR="00412858" w:rsidRPr="004648FA">
        <w:rPr>
          <w:sz w:val="28"/>
          <w:szCs w:val="28"/>
          <w:lang w:val="en-GB"/>
        </w:rPr>
        <w:t xml:space="preserve">not limited to, </w:t>
      </w:r>
      <w:r w:rsidR="008225B8" w:rsidRPr="004648FA">
        <w:rPr>
          <w:sz w:val="28"/>
          <w:szCs w:val="28"/>
          <w:lang w:val="en-GB"/>
        </w:rPr>
        <w:t>age, income, and asset limits</w:t>
      </w:r>
      <w:r w:rsidR="00D87967">
        <w:rPr>
          <w:sz w:val="28"/>
          <w:szCs w:val="28"/>
          <w:lang w:val="en-GB"/>
        </w:rPr>
        <w:t xml:space="preserve">, </w:t>
      </w:r>
      <w:proofErr w:type="gramStart"/>
      <w:r w:rsidR="00D87967">
        <w:rPr>
          <w:sz w:val="28"/>
          <w:szCs w:val="28"/>
          <w:lang w:val="en-GB"/>
        </w:rPr>
        <w:t xml:space="preserve">so as </w:t>
      </w:r>
      <w:r w:rsidR="008225B8" w:rsidRPr="004648FA">
        <w:rPr>
          <w:sz w:val="28"/>
          <w:szCs w:val="28"/>
          <w:lang w:val="en-GB"/>
        </w:rPr>
        <w:t>to</w:t>
      </w:r>
      <w:proofErr w:type="gramEnd"/>
      <w:r w:rsidR="008225B8" w:rsidRPr="004648FA">
        <w:rPr>
          <w:sz w:val="28"/>
          <w:szCs w:val="28"/>
          <w:lang w:val="en-GB"/>
        </w:rPr>
        <w:t xml:space="preserve"> ensure the fair and rational distribution of limited resources among</w:t>
      </w:r>
      <w:r w:rsidR="00F320E6">
        <w:rPr>
          <w:sz w:val="28"/>
          <w:szCs w:val="28"/>
          <w:lang w:val="en-GB"/>
        </w:rPr>
        <w:t>st</w:t>
      </w:r>
      <w:r w:rsidR="008225B8" w:rsidRPr="004648FA">
        <w:rPr>
          <w:sz w:val="28"/>
          <w:szCs w:val="28"/>
          <w:lang w:val="en-GB"/>
        </w:rPr>
        <w:t xml:space="preserve"> those in need of housing.</w:t>
      </w:r>
      <w:r w:rsidR="00315EC4" w:rsidRPr="004648FA">
        <w:rPr>
          <w:rStyle w:val="FootnoteReference"/>
          <w:sz w:val="28"/>
          <w:szCs w:val="28"/>
          <w:lang w:val="en-GB"/>
        </w:rPr>
        <w:footnoteReference w:id="8"/>
      </w:r>
      <w:r w:rsidR="008225B8" w:rsidRPr="004648FA">
        <w:rPr>
          <w:sz w:val="28"/>
          <w:szCs w:val="28"/>
          <w:lang w:val="en-GB"/>
        </w:rPr>
        <w:t xml:space="preserve"> </w:t>
      </w:r>
      <w:r w:rsidR="003F2A56">
        <w:rPr>
          <w:sz w:val="28"/>
          <w:szCs w:val="28"/>
          <w:lang w:val="en-GB"/>
        </w:rPr>
        <w:t xml:space="preserve"> </w:t>
      </w:r>
      <w:r w:rsidR="001B71B8" w:rsidRPr="004648FA">
        <w:rPr>
          <w:sz w:val="28"/>
          <w:szCs w:val="28"/>
          <w:lang w:val="en-GB"/>
        </w:rPr>
        <w:t>Within this system</w:t>
      </w:r>
      <w:r w:rsidR="00DA244B">
        <w:rPr>
          <w:sz w:val="28"/>
          <w:szCs w:val="28"/>
          <w:lang w:val="en-GB"/>
        </w:rPr>
        <w:t>,</w:t>
      </w:r>
      <w:r w:rsidR="001B71B8" w:rsidRPr="004648FA">
        <w:rPr>
          <w:sz w:val="28"/>
          <w:szCs w:val="28"/>
          <w:lang w:val="en-GB"/>
        </w:rPr>
        <w:t xml:space="preserve"> t</w:t>
      </w:r>
      <w:r w:rsidR="008225B8" w:rsidRPr="004648FA">
        <w:rPr>
          <w:sz w:val="28"/>
          <w:szCs w:val="28"/>
          <w:lang w:val="en-GB"/>
        </w:rPr>
        <w:t>here are two main categories of PRH unit applications</w:t>
      </w:r>
      <w:r w:rsidR="00D87967">
        <w:rPr>
          <w:sz w:val="28"/>
          <w:szCs w:val="28"/>
          <w:lang w:val="en-GB"/>
        </w:rPr>
        <w:t xml:space="preserve">:  (1) </w:t>
      </w:r>
      <w:r w:rsidR="00F92315" w:rsidRPr="004648FA">
        <w:rPr>
          <w:sz w:val="28"/>
          <w:szCs w:val="28"/>
          <w:lang w:val="en-GB"/>
        </w:rPr>
        <w:t>“</w:t>
      </w:r>
      <w:r w:rsidR="008225B8" w:rsidRPr="004648FA">
        <w:rPr>
          <w:sz w:val="28"/>
          <w:szCs w:val="28"/>
          <w:lang w:val="en-GB"/>
        </w:rPr>
        <w:t>General Applications</w:t>
      </w:r>
      <w:r w:rsidR="00F92315" w:rsidRPr="004648FA">
        <w:rPr>
          <w:sz w:val="28"/>
          <w:szCs w:val="28"/>
          <w:lang w:val="en-GB"/>
        </w:rPr>
        <w:t>”</w:t>
      </w:r>
      <w:r w:rsidR="00794587">
        <w:rPr>
          <w:sz w:val="28"/>
          <w:szCs w:val="28"/>
          <w:lang w:val="en-GB"/>
        </w:rPr>
        <w:t>, namely applications by family applicants with a household size of two or more persons and those by elderly one-person applicants</w:t>
      </w:r>
      <w:r w:rsidR="00D87967">
        <w:rPr>
          <w:sz w:val="28"/>
          <w:szCs w:val="28"/>
          <w:lang w:val="en-GB"/>
        </w:rPr>
        <w:t>;</w:t>
      </w:r>
      <w:r w:rsidR="00F320E6">
        <w:rPr>
          <w:rStyle w:val="FootnoteReference"/>
          <w:sz w:val="28"/>
          <w:szCs w:val="28"/>
          <w:lang w:val="en-GB"/>
        </w:rPr>
        <w:footnoteReference w:id="9"/>
      </w:r>
      <w:r w:rsidR="00D87967">
        <w:rPr>
          <w:sz w:val="28"/>
          <w:szCs w:val="28"/>
          <w:lang w:val="en-GB"/>
        </w:rPr>
        <w:t xml:space="preserve"> and (2) </w:t>
      </w:r>
      <w:r w:rsidR="00DA244B">
        <w:rPr>
          <w:sz w:val="28"/>
          <w:szCs w:val="28"/>
          <w:lang w:val="en-GB"/>
        </w:rPr>
        <w:t>“</w:t>
      </w:r>
      <w:r w:rsidR="008225B8" w:rsidRPr="004648FA">
        <w:rPr>
          <w:sz w:val="28"/>
          <w:szCs w:val="28"/>
          <w:lang w:val="en-GB"/>
        </w:rPr>
        <w:t xml:space="preserve">Applications by </w:t>
      </w:r>
      <w:r w:rsidR="00794587">
        <w:rPr>
          <w:sz w:val="28"/>
          <w:szCs w:val="28"/>
          <w:lang w:val="en-GB"/>
        </w:rPr>
        <w:t>Non-e</w:t>
      </w:r>
      <w:r w:rsidR="008225B8" w:rsidRPr="004648FA">
        <w:rPr>
          <w:sz w:val="28"/>
          <w:szCs w:val="28"/>
          <w:lang w:val="en-GB"/>
        </w:rPr>
        <w:t>lderly One-person Applicants</w:t>
      </w:r>
      <w:r w:rsidR="00F92315" w:rsidRPr="004648FA">
        <w:rPr>
          <w:sz w:val="28"/>
          <w:szCs w:val="28"/>
          <w:lang w:val="en-GB"/>
        </w:rPr>
        <w:t>”</w:t>
      </w:r>
      <w:r w:rsidR="00430B33">
        <w:rPr>
          <w:sz w:val="28"/>
          <w:szCs w:val="28"/>
          <w:lang w:val="en-GB"/>
        </w:rPr>
        <w:t>.</w:t>
      </w:r>
      <w:r w:rsidR="00F92315" w:rsidRPr="004648FA">
        <w:rPr>
          <w:rStyle w:val="FootnoteReference"/>
          <w:sz w:val="28"/>
          <w:szCs w:val="28"/>
          <w:lang w:val="en-GB"/>
        </w:rPr>
        <w:footnoteReference w:id="10"/>
      </w:r>
    </w:p>
    <w:p w:rsidR="008225B8" w:rsidRPr="004648FA" w:rsidRDefault="004D6454"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r w:rsidR="008225B8" w:rsidRPr="004648FA">
        <w:rPr>
          <w:sz w:val="28"/>
          <w:szCs w:val="28"/>
          <w:lang w:val="en-GB"/>
        </w:rPr>
        <w:t>Under the first main category (</w:t>
      </w:r>
      <w:r w:rsidR="007E294A">
        <w:rPr>
          <w:sz w:val="28"/>
          <w:szCs w:val="28"/>
          <w:lang w:val="en-GB"/>
        </w:rPr>
        <w:t>“</w:t>
      </w:r>
      <w:r w:rsidR="008225B8" w:rsidRPr="004648FA">
        <w:rPr>
          <w:sz w:val="28"/>
          <w:szCs w:val="28"/>
          <w:lang w:val="en-GB"/>
        </w:rPr>
        <w:t>General Applications</w:t>
      </w:r>
      <w:r w:rsidR="007E294A">
        <w:rPr>
          <w:sz w:val="28"/>
          <w:szCs w:val="28"/>
          <w:lang w:val="en-GB"/>
        </w:rPr>
        <w:t>”</w:t>
      </w:r>
      <w:r w:rsidR="008225B8" w:rsidRPr="004648FA">
        <w:rPr>
          <w:sz w:val="28"/>
          <w:szCs w:val="28"/>
          <w:lang w:val="en-GB"/>
        </w:rPr>
        <w:t xml:space="preserve">), there are four sub-categories: </w:t>
      </w:r>
      <w:r w:rsidR="0052218E" w:rsidRPr="004648FA">
        <w:rPr>
          <w:sz w:val="28"/>
          <w:szCs w:val="28"/>
          <w:lang w:val="en-GB"/>
        </w:rPr>
        <w:t>(</w:t>
      </w:r>
      <w:proofErr w:type="spellStart"/>
      <w:r w:rsidR="0052218E" w:rsidRPr="004648FA">
        <w:rPr>
          <w:sz w:val="28"/>
          <w:szCs w:val="28"/>
          <w:lang w:val="en-GB"/>
        </w:rPr>
        <w:t>i</w:t>
      </w:r>
      <w:proofErr w:type="spellEnd"/>
      <w:r w:rsidR="0052218E" w:rsidRPr="004648FA">
        <w:rPr>
          <w:sz w:val="28"/>
          <w:szCs w:val="28"/>
          <w:lang w:val="en-GB"/>
        </w:rPr>
        <w:t xml:space="preserve">) </w:t>
      </w:r>
      <w:r w:rsidR="00E703B5">
        <w:rPr>
          <w:sz w:val="28"/>
          <w:szCs w:val="28"/>
          <w:lang w:val="en-GB"/>
        </w:rPr>
        <w:t xml:space="preserve">the </w:t>
      </w:r>
      <w:r w:rsidR="0052218E" w:rsidRPr="004648FA">
        <w:rPr>
          <w:sz w:val="28"/>
          <w:szCs w:val="28"/>
          <w:lang w:val="en-GB"/>
        </w:rPr>
        <w:t>“</w:t>
      </w:r>
      <w:r w:rsidR="008225B8" w:rsidRPr="004648FA">
        <w:rPr>
          <w:sz w:val="28"/>
          <w:szCs w:val="28"/>
          <w:lang w:val="en-GB"/>
        </w:rPr>
        <w:t>Ordinary Families</w:t>
      </w:r>
      <w:r w:rsidR="0052218E" w:rsidRPr="004648FA">
        <w:rPr>
          <w:sz w:val="28"/>
          <w:szCs w:val="28"/>
          <w:lang w:val="en-GB"/>
        </w:rPr>
        <w:t>”</w:t>
      </w:r>
      <w:r w:rsidR="008225B8" w:rsidRPr="004648FA">
        <w:rPr>
          <w:sz w:val="28"/>
          <w:szCs w:val="28"/>
          <w:lang w:val="en-GB"/>
        </w:rPr>
        <w:t xml:space="preserve">; </w:t>
      </w:r>
      <w:r w:rsidR="0052218E" w:rsidRPr="004648FA">
        <w:rPr>
          <w:sz w:val="28"/>
          <w:szCs w:val="28"/>
          <w:lang w:val="en-GB"/>
        </w:rPr>
        <w:t xml:space="preserve">(ii) </w:t>
      </w:r>
      <w:r w:rsidR="001B71B8" w:rsidRPr="004648FA">
        <w:rPr>
          <w:sz w:val="28"/>
          <w:szCs w:val="28"/>
          <w:lang w:val="en-GB"/>
        </w:rPr>
        <w:t xml:space="preserve">the </w:t>
      </w:r>
      <w:r w:rsidR="0052218E" w:rsidRPr="004648FA">
        <w:rPr>
          <w:sz w:val="28"/>
          <w:szCs w:val="28"/>
          <w:lang w:val="en-GB"/>
        </w:rPr>
        <w:t>“</w:t>
      </w:r>
      <w:r w:rsidR="008225B8" w:rsidRPr="004648FA">
        <w:rPr>
          <w:sz w:val="28"/>
          <w:szCs w:val="28"/>
          <w:lang w:val="en-GB"/>
        </w:rPr>
        <w:t>Single Elderly Persons Priority Scheme</w:t>
      </w:r>
      <w:r w:rsidR="0052218E" w:rsidRPr="004648FA">
        <w:rPr>
          <w:sz w:val="28"/>
          <w:szCs w:val="28"/>
          <w:lang w:val="en-GB"/>
        </w:rPr>
        <w:t>”</w:t>
      </w:r>
      <w:r w:rsidR="008225B8" w:rsidRPr="004648FA">
        <w:rPr>
          <w:sz w:val="28"/>
          <w:szCs w:val="28"/>
          <w:lang w:val="en-GB"/>
        </w:rPr>
        <w:t xml:space="preserve">; </w:t>
      </w:r>
      <w:r w:rsidR="0052218E" w:rsidRPr="004648FA">
        <w:rPr>
          <w:sz w:val="28"/>
          <w:szCs w:val="28"/>
          <w:lang w:val="en-GB"/>
        </w:rPr>
        <w:t xml:space="preserve">(iii) </w:t>
      </w:r>
      <w:r w:rsidR="001B71B8" w:rsidRPr="004648FA">
        <w:rPr>
          <w:sz w:val="28"/>
          <w:szCs w:val="28"/>
          <w:lang w:val="en-GB"/>
        </w:rPr>
        <w:t xml:space="preserve">the </w:t>
      </w:r>
      <w:r w:rsidR="0052218E" w:rsidRPr="004648FA">
        <w:rPr>
          <w:sz w:val="28"/>
          <w:szCs w:val="28"/>
          <w:lang w:val="en-GB"/>
        </w:rPr>
        <w:t>“</w:t>
      </w:r>
      <w:r w:rsidR="008225B8" w:rsidRPr="004648FA">
        <w:rPr>
          <w:sz w:val="28"/>
          <w:szCs w:val="28"/>
          <w:lang w:val="en-GB"/>
        </w:rPr>
        <w:t>Elderly Persons Priority Scheme</w:t>
      </w:r>
      <w:r w:rsidR="0052218E" w:rsidRPr="004648FA">
        <w:rPr>
          <w:sz w:val="28"/>
          <w:szCs w:val="28"/>
          <w:lang w:val="en-GB"/>
        </w:rPr>
        <w:t>”</w:t>
      </w:r>
      <w:proofErr w:type="gramStart"/>
      <w:r w:rsidR="008225B8" w:rsidRPr="004648FA">
        <w:rPr>
          <w:sz w:val="28"/>
          <w:szCs w:val="28"/>
          <w:lang w:val="en-GB"/>
        </w:rPr>
        <w:t>;</w:t>
      </w:r>
      <w:proofErr w:type="gramEnd"/>
      <w:r w:rsidR="008225B8" w:rsidRPr="004648FA">
        <w:rPr>
          <w:sz w:val="28"/>
          <w:szCs w:val="28"/>
          <w:lang w:val="en-GB"/>
        </w:rPr>
        <w:t xml:space="preserve"> and </w:t>
      </w:r>
      <w:r w:rsidR="0052218E" w:rsidRPr="004648FA">
        <w:rPr>
          <w:sz w:val="28"/>
          <w:szCs w:val="28"/>
          <w:lang w:val="en-GB"/>
        </w:rPr>
        <w:t xml:space="preserve">(iv) </w:t>
      </w:r>
      <w:r w:rsidR="001B71B8" w:rsidRPr="004648FA">
        <w:rPr>
          <w:sz w:val="28"/>
          <w:szCs w:val="28"/>
          <w:lang w:val="en-GB"/>
        </w:rPr>
        <w:t xml:space="preserve">the </w:t>
      </w:r>
      <w:r w:rsidR="0052218E" w:rsidRPr="004648FA">
        <w:rPr>
          <w:sz w:val="28"/>
          <w:szCs w:val="28"/>
          <w:lang w:val="en-GB"/>
        </w:rPr>
        <w:t>“</w:t>
      </w:r>
      <w:r w:rsidR="008225B8" w:rsidRPr="004648FA">
        <w:rPr>
          <w:sz w:val="28"/>
          <w:szCs w:val="28"/>
          <w:lang w:val="en-GB"/>
        </w:rPr>
        <w:t>Harmonious Families Priority Scheme</w:t>
      </w:r>
      <w:r w:rsidR="0052218E" w:rsidRPr="004648FA">
        <w:rPr>
          <w:sz w:val="28"/>
          <w:szCs w:val="28"/>
          <w:lang w:val="en-GB"/>
        </w:rPr>
        <w:t>”</w:t>
      </w:r>
      <w:r w:rsidR="008225B8" w:rsidRPr="004648FA">
        <w:rPr>
          <w:sz w:val="28"/>
          <w:szCs w:val="28"/>
          <w:lang w:val="en-GB"/>
        </w:rPr>
        <w:t>.</w:t>
      </w:r>
      <w:r w:rsidR="001E69F9" w:rsidRPr="004648FA">
        <w:rPr>
          <w:rStyle w:val="FootnoteReference"/>
          <w:sz w:val="28"/>
          <w:szCs w:val="28"/>
          <w:lang w:val="en-GB"/>
        </w:rPr>
        <w:footnoteReference w:id="11"/>
      </w:r>
    </w:p>
    <w:p w:rsidR="008225B8" w:rsidRPr="004648FA" w:rsidRDefault="004D6454"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r w:rsidR="008225B8" w:rsidRPr="004648FA">
        <w:rPr>
          <w:sz w:val="28"/>
          <w:szCs w:val="28"/>
          <w:lang w:val="en-GB"/>
        </w:rPr>
        <w:t xml:space="preserve">For the “Ordinary Families” sub-category, only certain familial relationships </w:t>
      </w:r>
      <w:proofErr w:type="gramStart"/>
      <w:r w:rsidR="008225B8" w:rsidRPr="004648FA">
        <w:rPr>
          <w:sz w:val="28"/>
          <w:szCs w:val="28"/>
          <w:lang w:val="en-GB"/>
        </w:rPr>
        <w:t>are recognised</w:t>
      </w:r>
      <w:proofErr w:type="gramEnd"/>
      <w:r w:rsidR="008225B8" w:rsidRPr="004648FA">
        <w:rPr>
          <w:sz w:val="28"/>
          <w:szCs w:val="28"/>
          <w:lang w:val="en-GB"/>
        </w:rPr>
        <w:t xml:space="preserve"> for application purposes – the relationship between the applicant and their family members, as well as </w:t>
      </w:r>
      <w:r w:rsidR="00575252">
        <w:rPr>
          <w:sz w:val="28"/>
          <w:szCs w:val="28"/>
          <w:lang w:val="en-GB"/>
        </w:rPr>
        <w:t xml:space="preserve">that </w:t>
      </w:r>
      <w:r w:rsidR="008225B8" w:rsidRPr="004648FA">
        <w:rPr>
          <w:sz w:val="28"/>
          <w:szCs w:val="28"/>
          <w:lang w:val="en-GB"/>
        </w:rPr>
        <w:t>between family members themselves, must be “either husband and wife, parent and child, or grandparent and grandchild”.</w:t>
      </w:r>
      <w:r w:rsidR="007543A0" w:rsidRPr="004648FA">
        <w:rPr>
          <w:rStyle w:val="FootnoteReference"/>
          <w:sz w:val="28"/>
          <w:szCs w:val="28"/>
          <w:lang w:val="en-GB"/>
        </w:rPr>
        <w:footnoteReference w:id="12"/>
      </w:r>
      <w:r w:rsidR="008225B8" w:rsidRPr="004648FA">
        <w:rPr>
          <w:sz w:val="28"/>
          <w:szCs w:val="28"/>
          <w:lang w:val="en-GB"/>
        </w:rPr>
        <w:t xml:space="preserve"> </w:t>
      </w:r>
      <w:r w:rsidR="003F2A56">
        <w:rPr>
          <w:sz w:val="28"/>
          <w:szCs w:val="28"/>
          <w:lang w:val="en-GB"/>
        </w:rPr>
        <w:t xml:space="preserve"> </w:t>
      </w:r>
      <w:r w:rsidR="008225B8" w:rsidRPr="004648FA">
        <w:rPr>
          <w:sz w:val="28"/>
          <w:szCs w:val="28"/>
          <w:lang w:val="en-GB"/>
        </w:rPr>
        <w:t xml:space="preserve">An applicant may also apply with </w:t>
      </w:r>
      <w:r w:rsidR="008225B8" w:rsidRPr="004648FA">
        <w:rPr>
          <w:sz w:val="28"/>
          <w:szCs w:val="28"/>
          <w:lang w:val="en-GB"/>
        </w:rPr>
        <w:lastRenderedPageBreak/>
        <w:t>their single sibling(s).</w:t>
      </w:r>
      <w:r w:rsidR="007543A0" w:rsidRPr="004648FA">
        <w:rPr>
          <w:rStyle w:val="FootnoteReference"/>
          <w:sz w:val="28"/>
          <w:szCs w:val="28"/>
          <w:lang w:val="en-GB"/>
        </w:rPr>
        <w:footnoteReference w:id="13"/>
      </w:r>
      <w:r w:rsidR="0039660D">
        <w:rPr>
          <w:sz w:val="28"/>
          <w:szCs w:val="28"/>
          <w:lang w:val="en-GB"/>
        </w:rPr>
        <w:t xml:space="preserve"> </w:t>
      </w:r>
      <w:r w:rsidR="008225B8" w:rsidRPr="004648FA">
        <w:rPr>
          <w:sz w:val="28"/>
          <w:szCs w:val="28"/>
          <w:lang w:val="en-GB"/>
        </w:rPr>
        <w:t xml:space="preserve"> Notably, the marital relationship of a same-sex couple </w:t>
      </w:r>
      <w:r w:rsidR="00B45848">
        <w:rPr>
          <w:sz w:val="28"/>
          <w:szCs w:val="28"/>
          <w:lang w:val="en-GB"/>
        </w:rPr>
        <w:t xml:space="preserve">that is </w:t>
      </w:r>
      <w:r w:rsidR="008225B8" w:rsidRPr="004648FA">
        <w:rPr>
          <w:sz w:val="28"/>
          <w:szCs w:val="28"/>
          <w:lang w:val="en-GB"/>
        </w:rPr>
        <w:t>lawfully married overseas</w:t>
      </w:r>
      <w:r w:rsidR="00B45848">
        <w:rPr>
          <w:sz w:val="28"/>
          <w:szCs w:val="28"/>
          <w:lang w:val="en-GB"/>
        </w:rPr>
        <w:t>, unlike its opposite-sex counterpart,</w:t>
      </w:r>
      <w:r w:rsidR="008225B8" w:rsidRPr="004648FA">
        <w:rPr>
          <w:sz w:val="28"/>
          <w:szCs w:val="28"/>
          <w:lang w:val="en-GB"/>
        </w:rPr>
        <w:t xml:space="preserve"> is not recognised</w:t>
      </w:r>
      <w:r w:rsidR="007C357E" w:rsidRPr="004648FA">
        <w:rPr>
          <w:sz w:val="28"/>
          <w:szCs w:val="28"/>
          <w:lang w:val="en-GB"/>
        </w:rPr>
        <w:t xml:space="preserve">.  </w:t>
      </w:r>
      <w:r w:rsidR="008225B8" w:rsidRPr="004648FA">
        <w:rPr>
          <w:sz w:val="28"/>
          <w:szCs w:val="28"/>
          <w:lang w:val="en-GB"/>
        </w:rPr>
        <w:t>Consequently, same-sex couple</w:t>
      </w:r>
      <w:r w:rsidR="001B71B8" w:rsidRPr="004648FA">
        <w:rPr>
          <w:sz w:val="28"/>
          <w:szCs w:val="28"/>
          <w:lang w:val="en-GB"/>
        </w:rPr>
        <w:t>s</w:t>
      </w:r>
      <w:r w:rsidR="008225B8" w:rsidRPr="004648FA">
        <w:rPr>
          <w:sz w:val="28"/>
          <w:szCs w:val="28"/>
          <w:lang w:val="en-GB"/>
        </w:rPr>
        <w:t xml:space="preserve"> </w:t>
      </w:r>
      <w:r w:rsidR="001B71B8" w:rsidRPr="004648FA">
        <w:rPr>
          <w:sz w:val="28"/>
          <w:szCs w:val="28"/>
          <w:lang w:val="en-GB"/>
        </w:rPr>
        <w:t>are</w:t>
      </w:r>
      <w:r w:rsidR="008225B8" w:rsidRPr="004648FA">
        <w:rPr>
          <w:sz w:val="28"/>
          <w:szCs w:val="28"/>
          <w:lang w:val="en-GB"/>
        </w:rPr>
        <w:t xml:space="preserve"> ineligible to apply for a shared PRH unit as spouses under this policy framework</w:t>
      </w:r>
      <w:r w:rsidR="009F33B5">
        <w:rPr>
          <w:sz w:val="28"/>
          <w:szCs w:val="28"/>
          <w:lang w:val="en-GB"/>
        </w:rPr>
        <w:t>, but can only apply as separate individuals</w:t>
      </w:r>
      <w:r w:rsidR="008225B8" w:rsidRPr="004648FA">
        <w:rPr>
          <w:sz w:val="28"/>
          <w:szCs w:val="28"/>
          <w:lang w:val="en-GB"/>
        </w:rPr>
        <w:t>.</w:t>
      </w:r>
      <w:r w:rsidR="005B4091">
        <w:rPr>
          <w:rStyle w:val="FootnoteReference"/>
          <w:sz w:val="28"/>
          <w:szCs w:val="28"/>
          <w:lang w:val="en-GB"/>
        </w:rPr>
        <w:footnoteReference w:id="14"/>
      </w:r>
    </w:p>
    <w:p w:rsidR="008225B8" w:rsidRPr="004648FA" w:rsidRDefault="004D6454" w:rsidP="003C2699">
      <w:pPr>
        <w:numPr>
          <w:ilvl w:val="0"/>
          <w:numId w:val="4"/>
        </w:numPr>
        <w:snapToGrid w:val="0"/>
        <w:spacing w:after="360" w:line="360" w:lineRule="auto"/>
        <w:ind w:left="0" w:firstLine="0"/>
        <w:jc w:val="both"/>
        <w:rPr>
          <w:sz w:val="28"/>
          <w:szCs w:val="28"/>
          <w:lang w:val="en-GB"/>
        </w:rPr>
      </w:pPr>
      <w:r>
        <w:rPr>
          <w:sz w:val="28"/>
          <w:szCs w:val="28"/>
          <w:lang w:val="en-GB"/>
        </w:rPr>
        <w:tab/>
      </w:r>
      <w:r w:rsidR="00D87967">
        <w:rPr>
          <w:sz w:val="28"/>
          <w:szCs w:val="28"/>
          <w:lang w:val="en-GB"/>
        </w:rPr>
        <w:t>In terms of processing</w:t>
      </w:r>
      <w:r w:rsidR="00341E3C">
        <w:rPr>
          <w:sz w:val="28"/>
          <w:szCs w:val="28"/>
          <w:lang w:val="en-GB"/>
        </w:rPr>
        <w:t xml:space="preserve"> time</w:t>
      </w:r>
      <w:r w:rsidR="00E1022F">
        <w:rPr>
          <w:sz w:val="28"/>
          <w:szCs w:val="28"/>
          <w:lang w:val="en-GB"/>
        </w:rPr>
        <w:t>, t</w:t>
      </w:r>
      <w:r w:rsidR="00E1022F" w:rsidRPr="00E1022F">
        <w:rPr>
          <w:sz w:val="28"/>
          <w:szCs w:val="28"/>
          <w:lang w:val="en-GB"/>
        </w:rPr>
        <w:t>he “General Application</w:t>
      </w:r>
      <w:r w:rsidR="005347EB">
        <w:rPr>
          <w:sz w:val="28"/>
          <w:szCs w:val="28"/>
          <w:lang w:val="en-GB"/>
        </w:rPr>
        <w:t>s</w:t>
      </w:r>
      <w:r w:rsidR="00E1022F" w:rsidRPr="00E1022F">
        <w:rPr>
          <w:sz w:val="28"/>
          <w:szCs w:val="28"/>
          <w:lang w:val="en-GB"/>
        </w:rPr>
        <w:t xml:space="preserve">” category </w:t>
      </w:r>
      <w:r w:rsidR="00E1022F">
        <w:rPr>
          <w:sz w:val="28"/>
          <w:szCs w:val="28"/>
          <w:lang w:val="en-GB"/>
        </w:rPr>
        <w:t xml:space="preserve">enjoys priority </w:t>
      </w:r>
      <w:r w:rsidR="00E1022F" w:rsidRPr="00E1022F">
        <w:rPr>
          <w:sz w:val="28"/>
          <w:szCs w:val="28"/>
          <w:lang w:val="en-GB"/>
        </w:rPr>
        <w:t>over the category for “Application</w:t>
      </w:r>
      <w:r w:rsidR="005347EB">
        <w:rPr>
          <w:sz w:val="28"/>
          <w:szCs w:val="28"/>
          <w:lang w:val="en-GB"/>
        </w:rPr>
        <w:t>s</w:t>
      </w:r>
      <w:r w:rsidR="00E1022F" w:rsidRPr="00E1022F">
        <w:rPr>
          <w:sz w:val="28"/>
          <w:szCs w:val="28"/>
          <w:lang w:val="en-GB"/>
        </w:rPr>
        <w:t xml:space="preserve"> by Non-</w:t>
      </w:r>
      <w:r w:rsidR="00294C50">
        <w:rPr>
          <w:sz w:val="28"/>
          <w:szCs w:val="28"/>
          <w:lang w:val="en-GB"/>
        </w:rPr>
        <w:t>e</w:t>
      </w:r>
      <w:r w:rsidR="00E1022F" w:rsidRPr="00E1022F">
        <w:rPr>
          <w:sz w:val="28"/>
          <w:szCs w:val="28"/>
          <w:lang w:val="en-GB"/>
        </w:rPr>
        <w:t>lderly One-person Applicants”</w:t>
      </w:r>
      <w:r w:rsidR="00E1022F">
        <w:rPr>
          <w:sz w:val="28"/>
          <w:szCs w:val="28"/>
          <w:lang w:val="en-GB"/>
        </w:rPr>
        <w:t>.</w:t>
      </w:r>
      <w:r w:rsidR="00E1022F" w:rsidRPr="00E1022F">
        <w:rPr>
          <w:sz w:val="28"/>
          <w:szCs w:val="28"/>
          <w:vertAlign w:val="superscript"/>
          <w:lang w:val="en-GB"/>
        </w:rPr>
        <w:footnoteReference w:id="15"/>
      </w:r>
      <w:r w:rsidR="00D87967">
        <w:rPr>
          <w:sz w:val="28"/>
          <w:szCs w:val="28"/>
          <w:lang w:val="en-GB"/>
        </w:rPr>
        <w:t xml:space="preserve">  </w:t>
      </w:r>
      <w:r w:rsidR="008225B8" w:rsidRPr="004648FA">
        <w:rPr>
          <w:sz w:val="28"/>
          <w:szCs w:val="28"/>
          <w:lang w:val="en-GB"/>
        </w:rPr>
        <w:t xml:space="preserve">Within the </w:t>
      </w:r>
      <w:r w:rsidR="00016D5F" w:rsidRPr="004648FA">
        <w:rPr>
          <w:sz w:val="28"/>
          <w:szCs w:val="28"/>
          <w:lang w:val="en-GB"/>
        </w:rPr>
        <w:t>“</w:t>
      </w:r>
      <w:r w:rsidR="008225B8" w:rsidRPr="004648FA">
        <w:rPr>
          <w:sz w:val="28"/>
          <w:szCs w:val="28"/>
          <w:lang w:val="en-GB"/>
        </w:rPr>
        <w:t>General Applications</w:t>
      </w:r>
      <w:r w:rsidR="00016D5F" w:rsidRPr="004648FA">
        <w:rPr>
          <w:sz w:val="28"/>
          <w:szCs w:val="28"/>
          <w:lang w:val="en-GB"/>
        </w:rPr>
        <w:t>”</w:t>
      </w:r>
      <w:r w:rsidR="008225B8" w:rsidRPr="004648FA">
        <w:rPr>
          <w:sz w:val="28"/>
          <w:szCs w:val="28"/>
          <w:lang w:val="en-GB"/>
        </w:rPr>
        <w:t xml:space="preserve"> category, the three “Priority” sub-categories</w:t>
      </w:r>
      <w:r w:rsidR="00016D5F" w:rsidRPr="004648FA">
        <w:rPr>
          <w:rStyle w:val="FootnoteReference"/>
          <w:sz w:val="28"/>
          <w:szCs w:val="28"/>
          <w:lang w:val="en-GB"/>
        </w:rPr>
        <w:footnoteReference w:id="16"/>
      </w:r>
      <w:r w:rsidR="008225B8" w:rsidRPr="004648FA">
        <w:rPr>
          <w:sz w:val="28"/>
          <w:szCs w:val="28"/>
          <w:lang w:val="en-GB"/>
        </w:rPr>
        <w:t xml:space="preserve"> </w:t>
      </w:r>
      <w:proofErr w:type="gramStart"/>
      <w:r w:rsidR="008225B8" w:rsidRPr="004648FA">
        <w:rPr>
          <w:sz w:val="28"/>
          <w:szCs w:val="28"/>
          <w:lang w:val="en-GB"/>
        </w:rPr>
        <w:t>are given</w:t>
      </w:r>
      <w:proofErr w:type="gramEnd"/>
      <w:r w:rsidR="008225B8" w:rsidRPr="004648FA">
        <w:rPr>
          <w:sz w:val="28"/>
          <w:szCs w:val="28"/>
          <w:lang w:val="en-GB"/>
        </w:rPr>
        <w:t xml:space="preserve"> precedence over the “Ordinary Families” sub-category</w:t>
      </w:r>
      <w:r w:rsidR="007C357E" w:rsidRPr="004648FA">
        <w:rPr>
          <w:sz w:val="28"/>
          <w:szCs w:val="28"/>
          <w:lang w:val="en-GB"/>
        </w:rPr>
        <w:t>.</w:t>
      </w:r>
      <w:r w:rsidR="005065A9">
        <w:rPr>
          <w:rStyle w:val="FootnoteReference"/>
          <w:sz w:val="28"/>
          <w:szCs w:val="28"/>
          <w:lang w:val="en-GB"/>
        </w:rPr>
        <w:footnoteReference w:id="17"/>
      </w:r>
      <w:r w:rsidR="007C357E" w:rsidRPr="004648FA">
        <w:rPr>
          <w:sz w:val="28"/>
          <w:szCs w:val="28"/>
          <w:lang w:val="en-GB"/>
        </w:rPr>
        <w:t xml:space="preserve">  </w:t>
      </w:r>
      <w:r w:rsidR="00D87967">
        <w:rPr>
          <w:sz w:val="28"/>
          <w:szCs w:val="28"/>
          <w:lang w:val="en-GB"/>
        </w:rPr>
        <w:t>However, a</w:t>
      </w:r>
      <w:r w:rsidR="008225B8" w:rsidRPr="004648FA">
        <w:rPr>
          <w:sz w:val="28"/>
          <w:szCs w:val="28"/>
          <w:lang w:val="en-GB"/>
        </w:rPr>
        <w:t>mong</w:t>
      </w:r>
      <w:r w:rsidR="00394D27">
        <w:rPr>
          <w:sz w:val="28"/>
          <w:szCs w:val="28"/>
          <w:lang w:val="en-GB"/>
        </w:rPr>
        <w:t>st</w:t>
      </w:r>
      <w:r w:rsidR="008225B8" w:rsidRPr="004648FA">
        <w:rPr>
          <w:sz w:val="28"/>
          <w:szCs w:val="28"/>
          <w:lang w:val="en-GB"/>
        </w:rPr>
        <w:t xml:space="preserve"> the relationships recognised under the “Ordinary Families” sub-category, no distinction </w:t>
      </w:r>
      <w:proofErr w:type="gramStart"/>
      <w:r w:rsidR="008225B8" w:rsidRPr="004648FA">
        <w:rPr>
          <w:sz w:val="28"/>
          <w:szCs w:val="28"/>
          <w:lang w:val="en-GB"/>
        </w:rPr>
        <w:t>is made</w:t>
      </w:r>
      <w:proofErr w:type="gramEnd"/>
      <w:r w:rsidR="008225B8" w:rsidRPr="004648FA">
        <w:rPr>
          <w:sz w:val="28"/>
          <w:szCs w:val="28"/>
          <w:lang w:val="en-GB"/>
        </w:rPr>
        <w:t>; all applicants join the same queue.</w:t>
      </w:r>
      <w:r w:rsidR="001E69F9" w:rsidRPr="004648FA">
        <w:rPr>
          <w:rStyle w:val="FootnoteReference"/>
          <w:sz w:val="28"/>
          <w:szCs w:val="28"/>
          <w:lang w:val="en-GB"/>
        </w:rPr>
        <w:footnoteReference w:id="18"/>
      </w:r>
      <w:r w:rsidR="00794587">
        <w:rPr>
          <w:sz w:val="28"/>
          <w:szCs w:val="28"/>
          <w:lang w:val="en-GB"/>
        </w:rPr>
        <w:t xml:space="preserve">  As for the “Applications by Non-elderly One-person Applicants”</w:t>
      </w:r>
      <w:r w:rsidR="00E1022F">
        <w:rPr>
          <w:sz w:val="28"/>
          <w:szCs w:val="28"/>
          <w:lang w:val="en-GB"/>
        </w:rPr>
        <w:t xml:space="preserve"> category, the HA operates</w:t>
      </w:r>
      <w:r w:rsidR="00E1022F" w:rsidRPr="00E1022F">
        <w:rPr>
          <w:sz w:val="28"/>
          <w:szCs w:val="28"/>
          <w:lang w:val="en-GB"/>
        </w:rPr>
        <w:t xml:space="preserve"> </w:t>
      </w:r>
      <w:r w:rsidR="00E1022F">
        <w:rPr>
          <w:sz w:val="28"/>
          <w:szCs w:val="28"/>
          <w:lang w:val="en-GB"/>
        </w:rPr>
        <w:t>the</w:t>
      </w:r>
      <w:r w:rsidR="00E1022F" w:rsidRPr="00E1022F">
        <w:rPr>
          <w:sz w:val="28"/>
          <w:szCs w:val="28"/>
          <w:lang w:val="en-GB"/>
        </w:rPr>
        <w:t xml:space="preserve"> </w:t>
      </w:r>
      <w:r w:rsidR="00430B33">
        <w:rPr>
          <w:sz w:val="28"/>
          <w:szCs w:val="28"/>
          <w:lang w:val="en-GB"/>
        </w:rPr>
        <w:t>“</w:t>
      </w:r>
      <w:r w:rsidR="00E1022F" w:rsidRPr="00E1022F">
        <w:rPr>
          <w:sz w:val="28"/>
          <w:szCs w:val="28"/>
          <w:lang w:val="en-GB"/>
        </w:rPr>
        <w:t>Quota and Point</w:t>
      </w:r>
      <w:r w:rsidR="009B0BEA">
        <w:rPr>
          <w:sz w:val="28"/>
          <w:szCs w:val="28"/>
          <w:lang w:val="en-GB"/>
        </w:rPr>
        <w:t>s</w:t>
      </w:r>
      <w:r w:rsidR="00E1022F" w:rsidRPr="00E1022F">
        <w:rPr>
          <w:sz w:val="28"/>
          <w:szCs w:val="28"/>
          <w:lang w:val="en-GB"/>
        </w:rPr>
        <w:t xml:space="preserve"> System</w:t>
      </w:r>
      <w:r w:rsidR="00430B33">
        <w:rPr>
          <w:sz w:val="28"/>
          <w:szCs w:val="28"/>
          <w:lang w:val="en-GB"/>
        </w:rPr>
        <w:t>”</w:t>
      </w:r>
      <w:r w:rsidR="00E1022F" w:rsidRPr="00E1022F">
        <w:rPr>
          <w:sz w:val="28"/>
          <w:szCs w:val="28"/>
          <w:lang w:val="en-GB"/>
        </w:rPr>
        <w:t xml:space="preserve"> to determine priority for PRH unit allocation</w:t>
      </w:r>
      <w:r w:rsidR="00E1022F">
        <w:rPr>
          <w:sz w:val="28"/>
          <w:szCs w:val="28"/>
          <w:lang w:val="en-GB"/>
        </w:rPr>
        <w:t>.</w:t>
      </w:r>
      <w:r w:rsidR="004D5FF8">
        <w:rPr>
          <w:rStyle w:val="FootnoteReference"/>
          <w:sz w:val="28"/>
          <w:szCs w:val="28"/>
          <w:lang w:val="en-GB"/>
        </w:rPr>
        <w:footnoteReference w:id="19"/>
      </w:r>
      <w:r w:rsidR="00E1022F">
        <w:rPr>
          <w:sz w:val="28"/>
          <w:szCs w:val="28"/>
          <w:lang w:val="en-GB"/>
        </w:rPr>
        <w:t xml:space="preserve">  </w:t>
      </w:r>
      <w:r w:rsidR="00E1022F" w:rsidRPr="00E1022F">
        <w:rPr>
          <w:sz w:val="28"/>
          <w:szCs w:val="28"/>
          <w:lang w:val="en-GB"/>
        </w:rPr>
        <w:t xml:space="preserve">  </w:t>
      </w:r>
    </w:p>
    <w:p w:rsidR="008225B8" w:rsidRPr="004648FA" w:rsidRDefault="004D6454" w:rsidP="003C2699">
      <w:pPr>
        <w:numPr>
          <w:ilvl w:val="0"/>
          <w:numId w:val="4"/>
        </w:numPr>
        <w:snapToGrid w:val="0"/>
        <w:spacing w:after="360" w:line="360" w:lineRule="auto"/>
        <w:ind w:left="0" w:firstLine="0"/>
        <w:jc w:val="both"/>
        <w:rPr>
          <w:sz w:val="28"/>
          <w:szCs w:val="28"/>
          <w:lang w:val="en-GB"/>
        </w:rPr>
      </w:pPr>
      <w:r>
        <w:rPr>
          <w:sz w:val="28"/>
          <w:szCs w:val="28"/>
          <w:lang w:val="en-GB"/>
        </w:rPr>
        <w:lastRenderedPageBreak/>
        <w:tab/>
      </w:r>
      <w:r w:rsidR="008225B8" w:rsidRPr="004648FA">
        <w:rPr>
          <w:sz w:val="28"/>
          <w:szCs w:val="28"/>
          <w:lang w:val="en-GB"/>
        </w:rPr>
        <w:t xml:space="preserve">According to </w:t>
      </w:r>
      <w:r w:rsidR="00576417">
        <w:rPr>
          <w:sz w:val="28"/>
          <w:szCs w:val="28"/>
          <w:lang w:val="en-GB"/>
        </w:rPr>
        <w:t xml:space="preserve">the </w:t>
      </w:r>
      <w:r w:rsidR="008225B8" w:rsidRPr="004648FA">
        <w:rPr>
          <w:sz w:val="28"/>
          <w:szCs w:val="28"/>
          <w:lang w:val="en-GB"/>
        </w:rPr>
        <w:t>evidence</w:t>
      </w:r>
      <w:r w:rsidR="00576417">
        <w:rPr>
          <w:sz w:val="28"/>
          <w:szCs w:val="28"/>
          <w:lang w:val="en-GB"/>
        </w:rPr>
        <w:t xml:space="preserve"> filed</w:t>
      </w:r>
      <w:r w:rsidR="008225B8" w:rsidRPr="004648FA">
        <w:rPr>
          <w:sz w:val="28"/>
          <w:szCs w:val="28"/>
          <w:lang w:val="en-GB"/>
        </w:rPr>
        <w:t>, the average waiting time (</w:t>
      </w:r>
      <w:r w:rsidR="00016D5F" w:rsidRPr="004648FA">
        <w:rPr>
          <w:sz w:val="28"/>
          <w:szCs w:val="28"/>
          <w:lang w:val="en-GB"/>
        </w:rPr>
        <w:t>“</w:t>
      </w:r>
      <w:r w:rsidR="008225B8" w:rsidRPr="004648FA">
        <w:rPr>
          <w:sz w:val="28"/>
          <w:szCs w:val="28"/>
          <w:lang w:val="en-GB"/>
        </w:rPr>
        <w:t>AWT</w:t>
      </w:r>
      <w:r w:rsidR="00016D5F" w:rsidRPr="004648FA">
        <w:rPr>
          <w:sz w:val="28"/>
          <w:szCs w:val="28"/>
          <w:lang w:val="en-GB"/>
        </w:rPr>
        <w:t>”</w:t>
      </w:r>
      <w:r w:rsidR="008225B8" w:rsidRPr="004648FA">
        <w:rPr>
          <w:sz w:val="28"/>
          <w:szCs w:val="28"/>
          <w:lang w:val="en-GB"/>
        </w:rPr>
        <w:t>) for general applicants (</w:t>
      </w:r>
      <w:r w:rsidR="00322853">
        <w:rPr>
          <w:sz w:val="28"/>
          <w:szCs w:val="28"/>
          <w:lang w:val="en-GB"/>
        </w:rPr>
        <w:t>i.e.</w:t>
      </w:r>
      <w:r w:rsidR="008225B8" w:rsidRPr="004648FA">
        <w:rPr>
          <w:sz w:val="28"/>
          <w:szCs w:val="28"/>
          <w:lang w:val="en-GB"/>
        </w:rPr>
        <w:t xml:space="preserve"> family and elderly one-person applicants) as of 30 September 2018 was 5.5 years,</w:t>
      </w:r>
      <w:r w:rsidR="000349E6" w:rsidRPr="004648FA">
        <w:rPr>
          <w:rStyle w:val="FootnoteReference"/>
          <w:sz w:val="28"/>
          <w:szCs w:val="28"/>
          <w:lang w:val="en-GB"/>
        </w:rPr>
        <w:footnoteReference w:id="20"/>
      </w:r>
      <w:r w:rsidR="008225B8" w:rsidRPr="004648FA">
        <w:rPr>
          <w:sz w:val="28"/>
          <w:szCs w:val="28"/>
          <w:lang w:val="en-GB"/>
        </w:rPr>
        <w:t xml:space="preserve"> with the AWT for elderly one-person applicants being 2.9 years.</w:t>
      </w:r>
      <w:r w:rsidR="000349E6" w:rsidRPr="004648FA">
        <w:rPr>
          <w:rStyle w:val="FootnoteReference"/>
          <w:sz w:val="28"/>
          <w:szCs w:val="28"/>
          <w:lang w:val="en-GB"/>
        </w:rPr>
        <w:footnoteReference w:id="21"/>
      </w:r>
      <w:r w:rsidR="008225B8" w:rsidRPr="004648FA">
        <w:rPr>
          <w:sz w:val="28"/>
          <w:szCs w:val="28"/>
          <w:lang w:val="en-GB"/>
        </w:rPr>
        <w:t xml:space="preserve"> </w:t>
      </w:r>
      <w:r w:rsidR="003F2A56">
        <w:rPr>
          <w:sz w:val="28"/>
          <w:szCs w:val="28"/>
          <w:lang w:val="en-GB"/>
        </w:rPr>
        <w:t xml:space="preserve"> </w:t>
      </w:r>
      <w:r w:rsidR="009F33B5">
        <w:rPr>
          <w:sz w:val="28"/>
          <w:szCs w:val="28"/>
          <w:lang w:val="en-GB"/>
        </w:rPr>
        <w:t>T</w:t>
      </w:r>
      <w:r w:rsidR="009A7EE2">
        <w:rPr>
          <w:sz w:val="28"/>
          <w:szCs w:val="28"/>
          <w:lang w:val="en-GB"/>
        </w:rPr>
        <w:t>he AWT for non-elderly one-person applicants</w:t>
      </w:r>
      <w:r w:rsidR="009F33B5">
        <w:rPr>
          <w:sz w:val="28"/>
          <w:szCs w:val="28"/>
          <w:lang w:val="en-GB"/>
        </w:rPr>
        <w:t>, though not available</w:t>
      </w:r>
      <w:r w:rsidR="009A7EE2">
        <w:rPr>
          <w:sz w:val="28"/>
          <w:szCs w:val="28"/>
          <w:lang w:val="en-GB"/>
        </w:rPr>
        <w:t>,</w:t>
      </w:r>
      <w:r w:rsidR="001A0C60">
        <w:rPr>
          <w:rStyle w:val="FootnoteReference"/>
          <w:sz w:val="28"/>
          <w:szCs w:val="28"/>
          <w:lang w:val="en-GB"/>
        </w:rPr>
        <w:footnoteReference w:id="22"/>
      </w:r>
      <w:r w:rsidR="009A7EE2">
        <w:rPr>
          <w:sz w:val="28"/>
          <w:szCs w:val="28"/>
          <w:lang w:val="en-GB"/>
        </w:rPr>
        <w:t xml:space="preserve"> </w:t>
      </w:r>
      <w:r w:rsidR="009F33B5">
        <w:rPr>
          <w:sz w:val="28"/>
          <w:szCs w:val="28"/>
          <w:lang w:val="en-GB"/>
        </w:rPr>
        <w:t xml:space="preserve">must have been even longer than 5.5 years, given the low priority </w:t>
      </w:r>
      <w:r w:rsidR="001A0C60">
        <w:rPr>
          <w:sz w:val="28"/>
          <w:szCs w:val="28"/>
          <w:lang w:val="en-GB"/>
        </w:rPr>
        <w:t>accorded to them</w:t>
      </w:r>
      <w:r w:rsidR="009F33B5">
        <w:rPr>
          <w:sz w:val="28"/>
          <w:szCs w:val="28"/>
          <w:lang w:val="en-GB"/>
        </w:rPr>
        <w:t xml:space="preserve"> as a class.</w:t>
      </w:r>
      <w:r w:rsidR="009F33B5">
        <w:rPr>
          <w:rStyle w:val="FootnoteReference"/>
          <w:sz w:val="28"/>
          <w:szCs w:val="28"/>
          <w:lang w:val="en-GB"/>
        </w:rPr>
        <w:footnoteReference w:id="23"/>
      </w:r>
      <w:r w:rsidR="009F33B5">
        <w:rPr>
          <w:sz w:val="28"/>
          <w:szCs w:val="28"/>
          <w:lang w:val="en-GB"/>
        </w:rPr>
        <w:t xml:space="preserve"> </w:t>
      </w:r>
      <w:r w:rsidR="009A7EE2">
        <w:rPr>
          <w:sz w:val="28"/>
          <w:szCs w:val="28"/>
          <w:lang w:val="en-GB"/>
        </w:rPr>
        <w:t xml:space="preserve"> </w:t>
      </w:r>
      <w:r w:rsidR="008225B8" w:rsidRPr="004648FA">
        <w:rPr>
          <w:sz w:val="28"/>
          <w:szCs w:val="28"/>
          <w:lang w:val="en-GB"/>
        </w:rPr>
        <w:t xml:space="preserve">In the first six months of the 2018/2019 financial year, approximately 12,000 PRH units </w:t>
      </w:r>
      <w:proofErr w:type="gramStart"/>
      <w:r w:rsidR="008225B8" w:rsidRPr="004648FA">
        <w:rPr>
          <w:sz w:val="28"/>
          <w:szCs w:val="28"/>
          <w:lang w:val="en-GB"/>
        </w:rPr>
        <w:t>were allocated</w:t>
      </w:r>
      <w:proofErr w:type="gramEnd"/>
      <w:r w:rsidR="008225B8" w:rsidRPr="004648FA">
        <w:rPr>
          <w:sz w:val="28"/>
          <w:szCs w:val="28"/>
          <w:lang w:val="en-GB"/>
        </w:rPr>
        <w:t xml:space="preserve"> to PRH applicants</w:t>
      </w:r>
      <w:r w:rsidR="009F33B5">
        <w:rPr>
          <w:sz w:val="28"/>
          <w:szCs w:val="28"/>
          <w:lang w:val="en-GB"/>
        </w:rPr>
        <w:t xml:space="preserve"> </w:t>
      </w:r>
      <w:r w:rsidR="001A0C60">
        <w:rPr>
          <w:sz w:val="28"/>
          <w:szCs w:val="28"/>
          <w:lang w:val="en-GB"/>
        </w:rPr>
        <w:t>of all types</w:t>
      </w:r>
      <w:r w:rsidR="008225B8" w:rsidRPr="004648FA">
        <w:rPr>
          <w:sz w:val="28"/>
          <w:szCs w:val="28"/>
          <w:lang w:val="en-GB"/>
        </w:rPr>
        <w:t>.</w:t>
      </w:r>
      <w:r w:rsidR="00AD789F" w:rsidRPr="004648FA">
        <w:rPr>
          <w:rStyle w:val="FootnoteReference"/>
          <w:sz w:val="28"/>
          <w:lang w:val="en-GB"/>
        </w:rPr>
        <w:footnoteReference w:id="24"/>
      </w:r>
    </w:p>
    <w:p w:rsidR="008225B8" w:rsidRPr="004648FA" w:rsidRDefault="004D6454"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r w:rsidR="00341E3C">
        <w:rPr>
          <w:sz w:val="28"/>
          <w:szCs w:val="28"/>
          <w:lang w:val="en-GB"/>
        </w:rPr>
        <w:t>Further</w:t>
      </w:r>
      <w:r w:rsidR="008225B8" w:rsidRPr="004648FA">
        <w:rPr>
          <w:sz w:val="28"/>
          <w:szCs w:val="28"/>
          <w:lang w:val="en-GB"/>
        </w:rPr>
        <w:t xml:space="preserve"> to its primary role </w:t>
      </w:r>
      <w:r w:rsidR="00341E3C">
        <w:rPr>
          <w:sz w:val="28"/>
          <w:szCs w:val="28"/>
          <w:lang w:val="en-GB"/>
        </w:rPr>
        <w:t>in</w:t>
      </w:r>
      <w:r w:rsidR="008225B8" w:rsidRPr="004648FA">
        <w:rPr>
          <w:sz w:val="28"/>
          <w:szCs w:val="28"/>
          <w:lang w:val="en-GB"/>
        </w:rPr>
        <w:t xml:space="preserve"> PRH, the HA also admini</w:t>
      </w:r>
      <w:r w:rsidR="004648FA">
        <w:rPr>
          <w:sz w:val="28"/>
          <w:szCs w:val="28"/>
          <w:lang w:val="en-GB"/>
        </w:rPr>
        <w:t xml:space="preserve">sters the </w:t>
      </w:r>
      <w:r w:rsidR="00DA244B">
        <w:rPr>
          <w:sz w:val="28"/>
          <w:szCs w:val="28"/>
          <w:lang w:val="en-GB"/>
        </w:rPr>
        <w:t>HOS</w:t>
      </w:r>
      <w:r w:rsidR="008225B8" w:rsidRPr="004648FA">
        <w:rPr>
          <w:sz w:val="28"/>
          <w:szCs w:val="28"/>
          <w:lang w:val="en-GB"/>
        </w:rPr>
        <w:t>, introduced in 1978.</w:t>
      </w:r>
      <w:r w:rsidR="000349E6" w:rsidRPr="004648FA">
        <w:rPr>
          <w:rStyle w:val="FootnoteReference"/>
          <w:sz w:val="28"/>
          <w:szCs w:val="28"/>
          <w:lang w:val="en-GB"/>
        </w:rPr>
        <w:footnoteReference w:id="25"/>
      </w:r>
      <w:r w:rsidR="008225B8" w:rsidRPr="004648FA">
        <w:rPr>
          <w:sz w:val="28"/>
          <w:szCs w:val="28"/>
          <w:lang w:val="en-GB"/>
        </w:rPr>
        <w:t xml:space="preserve"> </w:t>
      </w:r>
      <w:r w:rsidR="003F2A56">
        <w:rPr>
          <w:sz w:val="28"/>
          <w:szCs w:val="28"/>
          <w:lang w:val="en-GB"/>
        </w:rPr>
        <w:t xml:space="preserve"> </w:t>
      </w:r>
      <w:r w:rsidR="008225B8" w:rsidRPr="004648FA">
        <w:rPr>
          <w:sz w:val="28"/>
          <w:szCs w:val="28"/>
          <w:lang w:val="en-GB"/>
        </w:rPr>
        <w:t xml:space="preserve">The HOS serves two purposes: first, it encourages financially better-off PRH tenants to vacate their units, thereby allowing these units to </w:t>
      </w:r>
      <w:proofErr w:type="gramStart"/>
      <w:r w:rsidR="008225B8" w:rsidRPr="004648FA">
        <w:rPr>
          <w:sz w:val="28"/>
          <w:szCs w:val="28"/>
          <w:lang w:val="en-GB"/>
        </w:rPr>
        <w:t>be re-allocated</w:t>
      </w:r>
      <w:proofErr w:type="gramEnd"/>
      <w:r w:rsidR="008225B8" w:rsidRPr="004648FA">
        <w:rPr>
          <w:sz w:val="28"/>
          <w:szCs w:val="28"/>
          <w:lang w:val="en-GB"/>
        </w:rPr>
        <w:t xml:space="preserve"> to more needy applicants;</w:t>
      </w:r>
      <w:r w:rsidR="00F320E6">
        <w:rPr>
          <w:rStyle w:val="FootnoteReference"/>
          <w:sz w:val="28"/>
          <w:szCs w:val="28"/>
          <w:lang w:val="en-GB"/>
        </w:rPr>
        <w:footnoteReference w:id="26"/>
      </w:r>
      <w:r w:rsidR="008225B8" w:rsidRPr="004648FA">
        <w:rPr>
          <w:sz w:val="28"/>
          <w:szCs w:val="28"/>
          <w:lang w:val="en-GB"/>
        </w:rPr>
        <w:t xml:space="preserve"> second, it provides an opportunity for low- to middle-income families to purchase </w:t>
      </w:r>
      <w:r w:rsidR="006B177B">
        <w:rPr>
          <w:sz w:val="28"/>
          <w:szCs w:val="28"/>
          <w:lang w:val="en-GB"/>
        </w:rPr>
        <w:t>HOS flats</w:t>
      </w:r>
      <w:r w:rsidR="008225B8" w:rsidRPr="004648FA">
        <w:rPr>
          <w:sz w:val="28"/>
          <w:szCs w:val="28"/>
          <w:lang w:val="en-GB"/>
        </w:rPr>
        <w:t xml:space="preserve"> at concessional </w:t>
      </w:r>
      <w:r w:rsidR="00236988">
        <w:rPr>
          <w:sz w:val="28"/>
          <w:szCs w:val="28"/>
          <w:lang w:val="en-GB"/>
        </w:rPr>
        <w:t>prices</w:t>
      </w:r>
      <w:r w:rsidR="008225B8" w:rsidRPr="004648FA">
        <w:rPr>
          <w:sz w:val="28"/>
          <w:szCs w:val="28"/>
          <w:lang w:val="en-GB"/>
        </w:rPr>
        <w:t>.</w:t>
      </w:r>
      <w:r w:rsidR="00F42D45" w:rsidRPr="004648FA">
        <w:rPr>
          <w:rStyle w:val="FootnoteReference"/>
          <w:sz w:val="28"/>
          <w:szCs w:val="28"/>
          <w:lang w:val="en-GB"/>
        </w:rPr>
        <w:footnoteReference w:id="27"/>
      </w:r>
      <w:r w:rsidR="008225B8" w:rsidRPr="004648FA">
        <w:rPr>
          <w:sz w:val="28"/>
          <w:szCs w:val="28"/>
          <w:lang w:val="en-GB"/>
        </w:rPr>
        <w:t xml:space="preserve"> </w:t>
      </w:r>
      <w:r w:rsidR="00B345C4">
        <w:rPr>
          <w:sz w:val="28"/>
          <w:szCs w:val="28"/>
          <w:lang w:val="en-GB"/>
        </w:rPr>
        <w:t xml:space="preserve"> </w:t>
      </w:r>
      <w:r w:rsidR="008225B8" w:rsidRPr="004648FA">
        <w:rPr>
          <w:sz w:val="28"/>
          <w:szCs w:val="28"/>
          <w:lang w:val="en-GB"/>
        </w:rPr>
        <w:t xml:space="preserve">Applicants for </w:t>
      </w:r>
      <w:r w:rsidR="0039660D">
        <w:rPr>
          <w:sz w:val="28"/>
          <w:szCs w:val="28"/>
          <w:lang w:val="en-GB"/>
        </w:rPr>
        <w:t xml:space="preserve">both new and second-hand </w:t>
      </w:r>
      <w:r w:rsidR="008225B8" w:rsidRPr="004648FA">
        <w:rPr>
          <w:sz w:val="28"/>
          <w:szCs w:val="28"/>
          <w:lang w:val="en-GB"/>
        </w:rPr>
        <w:t>HOS flats</w:t>
      </w:r>
      <w:r w:rsidR="00236988">
        <w:rPr>
          <w:sz w:val="28"/>
          <w:szCs w:val="28"/>
          <w:lang w:val="en-GB"/>
        </w:rPr>
        <w:t xml:space="preserve"> </w:t>
      </w:r>
      <w:r w:rsidR="008225B8" w:rsidRPr="004648FA">
        <w:rPr>
          <w:sz w:val="28"/>
          <w:szCs w:val="28"/>
          <w:lang w:val="en-GB"/>
        </w:rPr>
        <w:t xml:space="preserve">are divided into two categories: </w:t>
      </w:r>
      <w:r w:rsidR="00341E3C">
        <w:rPr>
          <w:sz w:val="28"/>
          <w:szCs w:val="28"/>
          <w:lang w:val="en-GB"/>
        </w:rPr>
        <w:t xml:space="preserve">(1) </w:t>
      </w:r>
      <w:r w:rsidR="008225B8" w:rsidRPr="004648FA">
        <w:rPr>
          <w:sz w:val="28"/>
          <w:szCs w:val="28"/>
          <w:lang w:val="en-GB"/>
        </w:rPr>
        <w:t xml:space="preserve">“Green Form applicants”, who are PRH tenants </w:t>
      </w:r>
      <w:r w:rsidR="00B76289" w:rsidRPr="004648FA">
        <w:rPr>
          <w:sz w:val="28"/>
          <w:szCs w:val="28"/>
          <w:lang w:val="en-GB"/>
        </w:rPr>
        <w:t xml:space="preserve">at the time of application </w:t>
      </w:r>
      <w:r w:rsidR="008225B8" w:rsidRPr="004648FA">
        <w:rPr>
          <w:sz w:val="28"/>
          <w:szCs w:val="28"/>
          <w:lang w:val="en-GB"/>
        </w:rPr>
        <w:t xml:space="preserve">and must relinquish their PRH units upon </w:t>
      </w:r>
      <w:r w:rsidR="008225B8" w:rsidRPr="004648FA">
        <w:rPr>
          <w:sz w:val="28"/>
          <w:szCs w:val="28"/>
          <w:lang w:val="en-GB"/>
        </w:rPr>
        <w:lastRenderedPageBreak/>
        <w:t>purchase</w:t>
      </w:r>
      <w:r w:rsidR="00341E3C">
        <w:rPr>
          <w:sz w:val="28"/>
          <w:szCs w:val="28"/>
          <w:lang w:val="en-GB"/>
        </w:rPr>
        <w:t>;</w:t>
      </w:r>
      <w:r w:rsidR="00C761EC" w:rsidRPr="004648FA">
        <w:rPr>
          <w:rStyle w:val="FootnoteReference"/>
          <w:sz w:val="28"/>
          <w:szCs w:val="28"/>
          <w:lang w:val="en-GB"/>
        </w:rPr>
        <w:footnoteReference w:id="28"/>
      </w:r>
      <w:r w:rsidR="008225B8" w:rsidRPr="004648FA">
        <w:rPr>
          <w:sz w:val="28"/>
          <w:szCs w:val="28"/>
          <w:lang w:val="en-GB"/>
        </w:rPr>
        <w:t xml:space="preserve"> and </w:t>
      </w:r>
      <w:r w:rsidR="00341E3C">
        <w:rPr>
          <w:sz w:val="28"/>
          <w:szCs w:val="28"/>
          <w:lang w:val="en-GB"/>
        </w:rPr>
        <w:t xml:space="preserve">(2) </w:t>
      </w:r>
      <w:r w:rsidR="008225B8" w:rsidRPr="004648FA">
        <w:rPr>
          <w:sz w:val="28"/>
          <w:szCs w:val="28"/>
          <w:lang w:val="en-GB"/>
        </w:rPr>
        <w:t>“White Form applicants”, who are mainly households in private accommodation or family members of PRH tenants.</w:t>
      </w:r>
      <w:r w:rsidR="003161FB" w:rsidRPr="004648FA">
        <w:rPr>
          <w:rStyle w:val="FootnoteReference"/>
          <w:sz w:val="28"/>
          <w:szCs w:val="28"/>
          <w:lang w:val="en-GB"/>
        </w:rPr>
        <w:footnoteReference w:id="29"/>
      </w:r>
    </w:p>
    <w:p w:rsidR="006A2EFE" w:rsidRPr="004648FA" w:rsidRDefault="004D6454"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r w:rsidR="008225B8" w:rsidRPr="004648FA">
        <w:rPr>
          <w:sz w:val="28"/>
          <w:szCs w:val="28"/>
          <w:lang w:val="en-GB"/>
        </w:rPr>
        <w:t>HOS flats are subject to restrictions, both in terms of use and alienation.</w:t>
      </w:r>
      <w:r w:rsidR="004F63D7" w:rsidRPr="004648FA">
        <w:rPr>
          <w:rStyle w:val="FootnoteReference"/>
          <w:sz w:val="28"/>
          <w:szCs w:val="28"/>
          <w:lang w:val="en-GB"/>
        </w:rPr>
        <w:footnoteReference w:id="30"/>
      </w:r>
      <w:r w:rsidR="008225B8" w:rsidRPr="004648FA">
        <w:rPr>
          <w:sz w:val="28"/>
          <w:szCs w:val="28"/>
          <w:lang w:val="en-GB"/>
        </w:rPr>
        <w:t xml:space="preserve"> </w:t>
      </w:r>
      <w:r w:rsidR="003F2A56">
        <w:rPr>
          <w:sz w:val="28"/>
          <w:szCs w:val="28"/>
          <w:lang w:val="en-GB"/>
        </w:rPr>
        <w:t xml:space="preserve"> </w:t>
      </w:r>
      <w:proofErr w:type="gramStart"/>
      <w:r w:rsidR="008225B8" w:rsidRPr="004648FA">
        <w:rPr>
          <w:sz w:val="28"/>
          <w:szCs w:val="28"/>
          <w:lang w:val="en-GB"/>
        </w:rPr>
        <w:t>They must be used solely for residential purposes by the purchaser and their</w:t>
      </w:r>
      <w:r w:rsidR="007F08D6">
        <w:rPr>
          <w:sz w:val="28"/>
          <w:szCs w:val="28"/>
          <w:lang w:val="en-GB"/>
        </w:rPr>
        <w:t xml:space="preserve"> registered</w:t>
      </w:r>
      <w:r w:rsidR="008225B8" w:rsidRPr="004648FA">
        <w:rPr>
          <w:sz w:val="28"/>
          <w:szCs w:val="28"/>
          <w:lang w:val="en-GB"/>
        </w:rPr>
        <w:t xml:space="preserve"> family members</w:t>
      </w:r>
      <w:proofErr w:type="gramEnd"/>
      <w:r w:rsidR="008225B8" w:rsidRPr="004648FA">
        <w:rPr>
          <w:sz w:val="28"/>
          <w:szCs w:val="28"/>
          <w:lang w:val="en-GB"/>
        </w:rPr>
        <w:t>.</w:t>
      </w:r>
      <w:r w:rsidR="004F63D7" w:rsidRPr="004648FA">
        <w:rPr>
          <w:rStyle w:val="FootnoteReference"/>
          <w:sz w:val="28"/>
          <w:szCs w:val="28"/>
          <w:lang w:val="en-GB"/>
        </w:rPr>
        <w:footnoteReference w:id="31"/>
      </w:r>
      <w:r w:rsidR="008225B8" w:rsidRPr="004648FA">
        <w:rPr>
          <w:sz w:val="28"/>
          <w:szCs w:val="28"/>
          <w:lang w:val="en-GB"/>
        </w:rPr>
        <w:t xml:space="preserve"> </w:t>
      </w:r>
      <w:r w:rsidR="003F2A56">
        <w:rPr>
          <w:sz w:val="28"/>
          <w:szCs w:val="28"/>
          <w:lang w:val="en-GB"/>
        </w:rPr>
        <w:t xml:space="preserve"> </w:t>
      </w:r>
      <w:r w:rsidR="008225B8" w:rsidRPr="004648FA">
        <w:rPr>
          <w:sz w:val="28"/>
          <w:szCs w:val="28"/>
          <w:lang w:val="en-GB"/>
        </w:rPr>
        <w:t xml:space="preserve">Applications to purchase HOS flats are restricted to households (not individuals) consisting of persons </w:t>
      </w:r>
      <w:r w:rsidR="002E1414" w:rsidRPr="004648FA">
        <w:rPr>
          <w:sz w:val="28"/>
          <w:szCs w:val="28"/>
          <w:lang w:val="en-GB"/>
        </w:rPr>
        <w:t xml:space="preserve">in a </w:t>
      </w:r>
      <w:r w:rsidR="008225B8" w:rsidRPr="004648FA">
        <w:rPr>
          <w:sz w:val="28"/>
          <w:szCs w:val="28"/>
          <w:lang w:val="en-GB"/>
        </w:rPr>
        <w:t>“blood or legal relationship”.</w:t>
      </w:r>
      <w:r w:rsidR="002653BA" w:rsidRPr="004648FA">
        <w:rPr>
          <w:rStyle w:val="FootnoteReference"/>
          <w:sz w:val="28"/>
          <w:szCs w:val="28"/>
          <w:lang w:val="en-GB"/>
        </w:rPr>
        <w:footnoteReference w:id="32"/>
      </w:r>
      <w:r w:rsidR="008225B8" w:rsidRPr="004648FA">
        <w:rPr>
          <w:sz w:val="28"/>
          <w:szCs w:val="28"/>
          <w:lang w:val="en-GB"/>
        </w:rPr>
        <w:t xml:space="preserve"> </w:t>
      </w:r>
      <w:r w:rsidR="003F2A56">
        <w:rPr>
          <w:sz w:val="28"/>
          <w:szCs w:val="28"/>
          <w:lang w:val="en-GB"/>
        </w:rPr>
        <w:t xml:space="preserve"> </w:t>
      </w:r>
      <w:r w:rsidR="008225B8" w:rsidRPr="004648FA">
        <w:rPr>
          <w:sz w:val="28"/>
          <w:szCs w:val="28"/>
          <w:lang w:val="en-GB"/>
        </w:rPr>
        <w:t>In addition to opposite-sex married couples, an eligible household may comprise the applicant and their children, parents, grandparents, parents-in-law, grandparents-in-law, unmarried siblings, unmarried brother</w:t>
      </w:r>
      <w:r w:rsidR="00236988">
        <w:rPr>
          <w:sz w:val="28"/>
          <w:szCs w:val="28"/>
          <w:lang w:val="en-GB"/>
        </w:rPr>
        <w:t>s</w:t>
      </w:r>
      <w:r w:rsidR="008225B8" w:rsidRPr="004648FA">
        <w:rPr>
          <w:sz w:val="28"/>
          <w:szCs w:val="28"/>
          <w:lang w:val="en-GB"/>
        </w:rPr>
        <w:t>-in-law or sister</w:t>
      </w:r>
      <w:r w:rsidR="00236988">
        <w:rPr>
          <w:sz w:val="28"/>
          <w:szCs w:val="28"/>
          <w:lang w:val="en-GB"/>
        </w:rPr>
        <w:t>s</w:t>
      </w:r>
      <w:r w:rsidR="008225B8" w:rsidRPr="004648FA">
        <w:rPr>
          <w:sz w:val="28"/>
          <w:szCs w:val="28"/>
          <w:lang w:val="en-GB"/>
        </w:rPr>
        <w:t>-in-law, or other relatives dependent on the applicant.</w:t>
      </w:r>
      <w:r w:rsidR="00851DA7" w:rsidRPr="004648FA">
        <w:rPr>
          <w:rStyle w:val="FootnoteReference"/>
          <w:sz w:val="28"/>
          <w:szCs w:val="28"/>
          <w:lang w:val="en-GB"/>
        </w:rPr>
        <w:footnoteReference w:id="33"/>
      </w:r>
      <w:r w:rsidR="008225B8" w:rsidRPr="004648FA">
        <w:rPr>
          <w:sz w:val="28"/>
          <w:szCs w:val="28"/>
          <w:lang w:val="en-GB"/>
        </w:rPr>
        <w:t xml:space="preserve"> </w:t>
      </w:r>
      <w:r w:rsidR="003F2A56">
        <w:rPr>
          <w:sz w:val="28"/>
          <w:szCs w:val="28"/>
          <w:lang w:val="en-GB"/>
        </w:rPr>
        <w:t xml:space="preserve"> </w:t>
      </w:r>
      <w:r w:rsidR="00341E3C">
        <w:rPr>
          <w:sz w:val="28"/>
          <w:szCs w:val="28"/>
          <w:lang w:val="en-GB"/>
        </w:rPr>
        <w:t>Again, s</w:t>
      </w:r>
      <w:r w:rsidR="008225B8" w:rsidRPr="004648FA">
        <w:rPr>
          <w:sz w:val="28"/>
          <w:szCs w:val="28"/>
          <w:lang w:val="en-GB"/>
        </w:rPr>
        <w:t>ame-sex couples lawfully married overseas</w:t>
      </w:r>
      <w:r w:rsidR="00341E3C">
        <w:rPr>
          <w:sz w:val="28"/>
          <w:szCs w:val="28"/>
          <w:lang w:val="en-GB"/>
        </w:rPr>
        <w:t xml:space="preserve"> cannot</w:t>
      </w:r>
      <w:r w:rsidR="008225B8" w:rsidRPr="004648FA">
        <w:rPr>
          <w:sz w:val="28"/>
          <w:szCs w:val="28"/>
          <w:lang w:val="en-GB"/>
        </w:rPr>
        <w:t xml:space="preserve"> apply </w:t>
      </w:r>
      <w:r w:rsidR="00341E3C">
        <w:rPr>
          <w:sz w:val="28"/>
          <w:szCs w:val="28"/>
          <w:lang w:val="en-GB"/>
        </w:rPr>
        <w:t>to</w:t>
      </w:r>
      <w:r w:rsidR="008225B8" w:rsidRPr="004648FA">
        <w:rPr>
          <w:sz w:val="28"/>
          <w:szCs w:val="28"/>
          <w:lang w:val="en-GB"/>
        </w:rPr>
        <w:t xml:space="preserve"> purchase </w:t>
      </w:r>
      <w:r w:rsidR="00341E3C">
        <w:rPr>
          <w:sz w:val="28"/>
          <w:szCs w:val="28"/>
          <w:lang w:val="en-GB"/>
        </w:rPr>
        <w:t>H</w:t>
      </w:r>
      <w:r w:rsidR="008225B8" w:rsidRPr="004648FA">
        <w:rPr>
          <w:sz w:val="28"/>
          <w:szCs w:val="28"/>
          <w:lang w:val="en-GB"/>
        </w:rPr>
        <w:t>OS flats</w:t>
      </w:r>
      <w:r w:rsidR="00341E3C">
        <w:rPr>
          <w:sz w:val="28"/>
          <w:szCs w:val="28"/>
          <w:lang w:val="en-GB"/>
        </w:rPr>
        <w:t xml:space="preserve"> as couples</w:t>
      </w:r>
      <w:r w:rsidR="008225B8" w:rsidRPr="004648FA">
        <w:rPr>
          <w:sz w:val="28"/>
          <w:szCs w:val="28"/>
          <w:lang w:val="en-GB"/>
        </w:rPr>
        <w:t xml:space="preserve">. </w:t>
      </w:r>
    </w:p>
    <w:p w:rsidR="008225B8" w:rsidRPr="004648FA" w:rsidRDefault="004D6454"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r w:rsidR="00463B60">
        <w:rPr>
          <w:sz w:val="28"/>
          <w:szCs w:val="28"/>
          <w:lang w:val="en-GB"/>
        </w:rPr>
        <w:t>Moreover, t</w:t>
      </w:r>
      <w:r w:rsidR="006B080A">
        <w:rPr>
          <w:sz w:val="28"/>
          <w:szCs w:val="28"/>
          <w:lang w:val="en-GB"/>
        </w:rPr>
        <w:t xml:space="preserve">he HA’s policy on addition of authorised occupants does not permit the </w:t>
      </w:r>
      <w:r w:rsidR="008225B8" w:rsidRPr="004648FA">
        <w:rPr>
          <w:sz w:val="28"/>
          <w:szCs w:val="28"/>
          <w:lang w:val="en-GB"/>
        </w:rPr>
        <w:t xml:space="preserve">same-sex spouse </w:t>
      </w:r>
      <w:r w:rsidR="006B080A">
        <w:rPr>
          <w:sz w:val="28"/>
          <w:szCs w:val="28"/>
          <w:lang w:val="en-GB"/>
        </w:rPr>
        <w:t xml:space="preserve">of </w:t>
      </w:r>
      <w:r w:rsidR="008225B8" w:rsidRPr="004648FA">
        <w:rPr>
          <w:sz w:val="28"/>
          <w:szCs w:val="28"/>
          <w:lang w:val="en-GB"/>
        </w:rPr>
        <w:t>a</w:t>
      </w:r>
      <w:r w:rsidR="007E294A">
        <w:rPr>
          <w:sz w:val="28"/>
          <w:szCs w:val="28"/>
          <w:lang w:val="en-GB"/>
        </w:rPr>
        <w:t>n</w:t>
      </w:r>
      <w:r w:rsidR="008225B8" w:rsidRPr="004648FA">
        <w:rPr>
          <w:sz w:val="28"/>
          <w:szCs w:val="28"/>
          <w:lang w:val="en-GB"/>
        </w:rPr>
        <w:t xml:space="preserve"> HOS flat owner </w:t>
      </w:r>
      <w:r w:rsidR="006B080A">
        <w:rPr>
          <w:sz w:val="28"/>
          <w:szCs w:val="28"/>
          <w:lang w:val="en-GB"/>
        </w:rPr>
        <w:t>to be so added.</w:t>
      </w:r>
      <w:r w:rsidR="006B080A">
        <w:rPr>
          <w:rStyle w:val="FootnoteReference"/>
          <w:sz w:val="28"/>
          <w:szCs w:val="28"/>
          <w:lang w:val="en-GB"/>
        </w:rPr>
        <w:footnoteReference w:id="34"/>
      </w:r>
      <w:r w:rsidR="006B080A">
        <w:rPr>
          <w:sz w:val="28"/>
          <w:szCs w:val="28"/>
          <w:lang w:val="en-GB"/>
        </w:rPr>
        <w:t xml:space="preserve">  Nor does its policy on transfer of ownership without a premium cater for a t</w:t>
      </w:r>
      <w:r w:rsidR="008225B8" w:rsidRPr="004648FA">
        <w:rPr>
          <w:sz w:val="28"/>
          <w:szCs w:val="28"/>
          <w:lang w:val="en-GB"/>
        </w:rPr>
        <w:t xml:space="preserve">ransfer of ownership of the flat in </w:t>
      </w:r>
      <w:r w:rsidR="006B080A">
        <w:rPr>
          <w:sz w:val="28"/>
          <w:szCs w:val="28"/>
          <w:lang w:val="en-GB"/>
        </w:rPr>
        <w:t xml:space="preserve">the same-sex spouse’s </w:t>
      </w:r>
      <w:r w:rsidR="008225B8" w:rsidRPr="004648FA">
        <w:rPr>
          <w:sz w:val="28"/>
          <w:szCs w:val="28"/>
          <w:lang w:val="en-GB"/>
        </w:rPr>
        <w:t>favour</w:t>
      </w:r>
      <w:r w:rsidR="006B177B">
        <w:rPr>
          <w:sz w:val="28"/>
          <w:szCs w:val="28"/>
          <w:lang w:val="en-GB"/>
        </w:rPr>
        <w:t xml:space="preserve"> as joint </w:t>
      </w:r>
      <w:r w:rsidR="006B177B">
        <w:rPr>
          <w:sz w:val="28"/>
          <w:szCs w:val="28"/>
          <w:lang w:val="en-GB"/>
        </w:rPr>
        <w:lastRenderedPageBreak/>
        <w:t>owner</w:t>
      </w:r>
      <w:r w:rsidR="008225B8" w:rsidRPr="004648FA">
        <w:rPr>
          <w:sz w:val="28"/>
          <w:szCs w:val="28"/>
          <w:lang w:val="en-GB"/>
        </w:rPr>
        <w:t>.</w:t>
      </w:r>
      <w:r w:rsidR="00D5150F" w:rsidRPr="004648FA">
        <w:rPr>
          <w:rStyle w:val="FootnoteReference"/>
          <w:sz w:val="28"/>
          <w:szCs w:val="28"/>
          <w:lang w:val="en-GB"/>
        </w:rPr>
        <w:footnoteReference w:id="35"/>
      </w:r>
      <w:r w:rsidR="008225B8" w:rsidRPr="004648FA">
        <w:rPr>
          <w:sz w:val="28"/>
          <w:szCs w:val="28"/>
          <w:lang w:val="en-GB"/>
        </w:rPr>
        <w:t xml:space="preserve"> </w:t>
      </w:r>
      <w:r w:rsidR="003F2A56">
        <w:rPr>
          <w:sz w:val="28"/>
          <w:szCs w:val="28"/>
          <w:lang w:val="en-GB"/>
        </w:rPr>
        <w:t xml:space="preserve"> </w:t>
      </w:r>
      <w:r w:rsidR="008225B8" w:rsidRPr="004648FA">
        <w:rPr>
          <w:sz w:val="28"/>
          <w:szCs w:val="28"/>
          <w:lang w:val="en-GB"/>
        </w:rPr>
        <w:t xml:space="preserve">By contrast, the opposite-sex spouse of an HOS flat owner, whether married locally or overseas (where the marriage is recognised in Hong Kong), is eligible for both </w:t>
      </w:r>
      <w:r w:rsidR="001A0C60">
        <w:rPr>
          <w:sz w:val="28"/>
          <w:szCs w:val="28"/>
          <w:lang w:val="en-GB"/>
        </w:rPr>
        <w:t xml:space="preserve">addition and transfer </w:t>
      </w:r>
      <w:r w:rsidR="008225B8" w:rsidRPr="004648FA">
        <w:rPr>
          <w:sz w:val="28"/>
          <w:szCs w:val="28"/>
          <w:lang w:val="en-GB"/>
        </w:rPr>
        <w:t>under the HOS polic</w:t>
      </w:r>
      <w:r w:rsidR="00EE5643">
        <w:rPr>
          <w:sz w:val="28"/>
          <w:szCs w:val="28"/>
          <w:lang w:val="en-GB"/>
        </w:rPr>
        <w:t>ies</w:t>
      </w:r>
      <w:r w:rsidR="008225B8" w:rsidRPr="004648FA">
        <w:rPr>
          <w:sz w:val="28"/>
          <w:szCs w:val="28"/>
          <w:lang w:val="en-GB"/>
        </w:rPr>
        <w:t>.</w:t>
      </w:r>
      <w:r w:rsidR="00D5150F" w:rsidRPr="004648FA">
        <w:rPr>
          <w:rStyle w:val="FootnoteReference"/>
          <w:sz w:val="28"/>
          <w:szCs w:val="28"/>
          <w:lang w:val="en-GB"/>
        </w:rPr>
        <w:footnoteReference w:id="36"/>
      </w:r>
    </w:p>
    <w:p w:rsidR="008225B8" w:rsidRDefault="004D6454"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r w:rsidR="00236988">
        <w:rPr>
          <w:sz w:val="28"/>
          <w:szCs w:val="28"/>
          <w:lang w:val="en-GB"/>
        </w:rPr>
        <w:t>T</w:t>
      </w:r>
      <w:r w:rsidR="008225B8" w:rsidRPr="004648FA">
        <w:rPr>
          <w:sz w:val="28"/>
          <w:szCs w:val="28"/>
          <w:lang w:val="en-GB"/>
        </w:rPr>
        <w:t>he</w:t>
      </w:r>
      <w:r w:rsidR="005B4091">
        <w:rPr>
          <w:sz w:val="28"/>
          <w:szCs w:val="28"/>
          <w:lang w:val="en-GB"/>
        </w:rPr>
        <w:t xml:space="preserve"> HA’s PRH policy</w:t>
      </w:r>
      <w:r w:rsidR="007F08D6">
        <w:rPr>
          <w:sz w:val="28"/>
          <w:szCs w:val="28"/>
          <w:lang w:val="en-GB"/>
        </w:rPr>
        <w:t>,</w:t>
      </w:r>
      <w:r w:rsidR="005B4091">
        <w:rPr>
          <w:sz w:val="28"/>
          <w:szCs w:val="28"/>
          <w:lang w:val="en-GB"/>
        </w:rPr>
        <w:t xml:space="preserve"> and its HOS polic</w:t>
      </w:r>
      <w:r w:rsidR="00EE5643">
        <w:rPr>
          <w:sz w:val="28"/>
          <w:szCs w:val="28"/>
          <w:lang w:val="en-GB"/>
        </w:rPr>
        <w:t>ies</w:t>
      </w:r>
      <w:r w:rsidR="005B4091">
        <w:rPr>
          <w:sz w:val="28"/>
          <w:szCs w:val="28"/>
          <w:lang w:val="en-GB"/>
        </w:rPr>
        <w:t xml:space="preserve"> on addition and transfer</w:t>
      </w:r>
      <w:r w:rsidR="001A0C60">
        <w:rPr>
          <w:sz w:val="28"/>
          <w:szCs w:val="28"/>
          <w:lang w:val="en-GB"/>
        </w:rPr>
        <w:t>,</w:t>
      </w:r>
      <w:r w:rsidR="002D3674">
        <w:rPr>
          <w:sz w:val="28"/>
          <w:szCs w:val="28"/>
          <w:lang w:val="en-GB"/>
        </w:rPr>
        <w:t xml:space="preserve"> as applied to same-sex couples married overseas,</w:t>
      </w:r>
      <w:r w:rsidR="00403FC0">
        <w:rPr>
          <w:sz w:val="28"/>
          <w:szCs w:val="28"/>
          <w:lang w:val="en-GB"/>
        </w:rPr>
        <w:t xml:space="preserve"> </w:t>
      </w:r>
      <w:r w:rsidR="00236988">
        <w:rPr>
          <w:sz w:val="28"/>
          <w:szCs w:val="28"/>
          <w:lang w:val="en-GB"/>
        </w:rPr>
        <w:t xml:space="preserve">were challenged in the </w:t>
      </w:r>
      <w:r w:rsidR="008225B8" w:rsidRPr="004648FA">
        <w:rPr>
          <w:sz w:val="28"/>
          <w:szCs w:val="28"/>
          <w:lang w:val="en-GB"/>
        </w:rPr>
        <w:t xml:space="preserve">two sets of </w:t>
      </w:r>
      <w:r w:rsidR="00236988">
        <w:rPr>
          <w:sz w:val="28"/>
          <w:szCs w:val="28"/>
          <w:lang w:val="en-GB"/>
        </w:rPr>
        <w:t xml:space="preserve">judicial review </w:t>
      </w:r>
      <w:r w:rsidR="008225B8" w:rsidRPr="004648FA">
        <w:rPr>
          <w:sz w:val="28"/>
          <w:szCs w:val="28"/>
          <w:lang w:val="en-GB"/>
        </w:rPr>
        <w:t xml:space="preserve">proceedings below (the </w:t>
      </w:r>
      <w:r w:rsidR="009567C9" w:rsidRPr="004648FA">
        <w:rPr>
          <w:sz w:val="28"/>
          <w:szCs w:val="28"/>
          <w:lang w:val="en-GB"/>
        </w:rPr>
        <w:t>“</w:t>
      </w:r>
      <w:r w:rsidR="008225B8" w:rsidRPr="004648FA">
        <w:rPr>
          <w:sz w:val="28"/>
          <w:szCs w:val="28"/>
          <w:lang w:val="en-GB"/>
        </w:rPr>
        <w:t xml:space="preserve">PRH </w:t>
      </w:r>
      <w:r w:rsidR="009567C9" w:rsidRPr="004648FA">
        <w:rPr>
          <w:sz w:val="28"/>
          <w:szCs w:val="28"/>
          <w:lang w:val="en-GB"/>
        </w:rPr>
        <w:t xml:space="preserve">proceedings” </w:t>
      </w:r>
      <w:r w:rsidR="008225B8" w:rsidRPr="004648FA">
        <w:rPr>
          <w:sz w:val="28"/>
          <w:szCs w:val="28"/>
          <w:lang w:val="en-GB"/>
        </w:rPr>
        <w:t xml:space="preserve">and </w:t>
      </w:r>
      <w:r w:rsidR="009567C9" w:rsidRPr="004648FA">
        <w:rPr>
          <w:sz w:val="28"/>
          <w:szCs w:val="28"/>
          <w:lang w:val="en-GB"/>
        </w:rPr>
        <w:t>“</w:t>
      </w:r>
      <w:r w:rsidR="008225B8" w:rsidRPr="004648FA">
        <w:rPr>
          <w:sz w:val="28"/>
          <w:szCs w:val="28"/>
          <w:lang w:val="en-GB"/>
        </w:rPr>
        <w:t>HOS proceedings</w:t>
      </w:r>
      <w:r w:rsidR="009567C9" w:rsidRPr="004648FA">
        <w:rPr>
          <w:sz w:val="28"/>
          <w:szCs w:val="28"/>
          <w:lang w:val="en-GB"/>
        </w:rPr>
        <w:t>”</w:t>
      </w:r>
      <w:r w:rsidR="008225B8" w:rsidRPr="004648FA">
        <w:rPr>
          <w:sz w:val="28"/>
          <w:szCs w:val="28"/>
          <w:lang w:val="en-GB"/>
        </w:rPr>
        <w:t xml:space="preserve"> respectively)</w:t>
      </w:r>
      <w:r w:rsidR="007C357E" w:rsidRPr="004648FA">
        <w:rPr>
          <w:sz w:val="28"/>
          <w:szCs w:val="28"/>
          <w:lang w:val="en-GB"/>
        </w:rPr>
        <w:t>.</w:t>
      </w:r>
      <w:r w:rsidR="007F08D6">
        <w:rPr>
          <w:rStyle w:val="FootnoteReference"/>
          <w:sz w:val="28"/>
          <w:szCs w:val="28"/>
          <w:lang w:val="en-GB"/>
        </w:rPr>
        <w:footnoteReference w:id="37"/>
      </w:r>
      <w:r w:rsidR="007C357E" w:rsidRPr="004648FA">
        <w:rPr>
          <w:sz w:val="28"/>
          <w:szCs w:val="28"/>
          <w:lang w:val="en-GB"/>
        </w:rPr>
        <w:t xml:space="preserve">  </w:t>
      </w:r>
      <w:r w:rsidR="008225B8" w:rsidRPr="004648FA">
        <w:rPr>
          <w:sz w:val="28"/>
          <w:szCs w:val="28"/>
          <w:lang w:val="en-GB"/>
        </w:rPr>
        <w:t xml:space="preserve">They </w:t>
      </w:r>
      <w:r w:rsidR="00E24A42">
        <w:rPr>
          <w:sz w:val="28"/>
          <w:szCs w:val="28"/>
          <w:lang w:val="en-GB"/>
        </w:rPr>
        <w:t>continue to be</w:t>
      </w:r>
      <w:r w:rsidR="008225B8" w:rsidRPr="004648FA">
        <w:rPr>
          <w:sz w:val="28"/>
          <w:szCs w:val="28"/>
          <w:lang w:val="en-GB"/>
        </w:rPr>
        <w:t xml:space="preserve"> the focal points of these appeals.</w:t>
      </w:r>
    </w:p>
    <w:p w:rsidR="008225B8" w:rsidRDefault="009567C9" w:rsidP="0053491D">
      <w:pPr>
        <w:keepNext/>
        <w:snapToGrid w:val="0"/>
        <w:spacing w:after="360" w:line="360" w:lineRule="auto"/>
        <w:jc w:val="both"/>
        <w:rPr>
          <w:b/>
          <w:i/>
          <w:sz w:val="28"/>
          <w:szCs w:val="28"/>
          <w:lang w:val="en-GB"/>
        </w:rPr>
      </w:pPr>
      <w:r w:rsidRPr="004648FA">
        <w:rPr>
          <w:b/>
          <w:i/>
          <w:sz w:val="28"/>
          <w:szCs w:val="28"/>
          <w:lang w:val="en-GB"/>
        </w:rPr>
        <w:t>Facts and procedural history</w:t>
      </w:r>
    </w:p>
    <w:p w:rsidR="008225B8" w:rsidRPr="004648FA" w:rsidRDefault="004D6454"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r w:rsidR="008225B8" w:rsidRPr="004648FA">
        <w:rPr>
          <w:sz w:val="28"/>
          <w:szCs w:val="28"/>
          <w:lang w:val="en-GB"/>
        </w:rPr>
        <w:t xml:space="preserve">In the PRH proceedings, the applicant for judicial review, Mr Nick </w:t>
      </w:r>
      <w:proofErr w:type="spellStart"/>
      <w:r w:rsidR="008225B8" w:rsidRPr="004648FA">
        <w:rPr>
          <w:sz w:val="28"/>
          <w:szCs w:val="28"/>
          <w:lang w:val="en-GB"/>
        </w:rPr>
        <w:t>Infinger</w:t>
      </w:r>
      <w:proofErr w:type="spellEnd"/>
      <w:r w:rsidR="008225B8" w:rsidRPr="004648FA">
        <w:rPr>
          <w:sz w:val="28"/>
          <w:szCs w:val="28"/>
          <w:lang w:val="en-GB"/>
        </w:rPr>
        <w:t>, married his husband in Canada in January 2018</w:t>
      </w:r>
      <w:r w:rsidR="007C357E" w:rsidRPr="004648FA">
        <w:rPr>
          <w:sz w:val="28"/>
          <w:szCs w:val="28"/>
          <w:lang w:val="en-GB"/>
        </w:rPr>
        <w:t xml:space="preserve">.  </w:t>
      </w:r>
      <w:r w:rsidR="008224A4">
        <w:rPr>
          <w:sz w:val="28"/>
          <w:szCs w:val="28"/>
          <w:lang w:val="en-GB"/>
        </w:rPr>
        <w:t>W</w:t>
      </w:r>
      <w:r w:rsidR="008224A4" w:rsidRPr="008224A4">
        <w:rPr>
          <w:sz w:val="28"/>
          <w:szCs w:val="28"/>
          <w:lang w:val="en-GB"/>
        </w:rPr>
        <w:t xml:space="preserve">ith his same-sex spouse as his only family member, </w:t>
      </w:r>
      <w:r w:rsidR="008224A4">
        <w:rPr>
          <w:sz w:val="28"/>
          <w:szCs w:val="28"/>
          <w:lang w:val="en-GB"/>
        </w:rPr>
        <w:t>he applied</w:t>
      </w:r>
      <w:r w:rsidR="008225B8" w:rsidRPr="004648FA">
        <w:rPr>
          <w:sz w:val="28"/>
          <w:szCs w:val="28"/>
          <w:lang w:val="en-GB"/>
        </w:rPr>
        <w:t xml:space="preserve"> for a shared PRH unit under the “Ordinary Families” sub-category</w:t>
      </w:r>
      <w:r w:rsidR="008224A4">
        <w:rPr>
          <w:sz w:val="28"/>
          <w:szCs w:val="28"/>
          <w:lang w:val="en-GB"/>
        </w:rPr>
        <w:t>.  Pursuant to its policy</w:t>
      </w:r>
      <w:r w:rsidR="008225B8" w:rsidRPr="004648FA">
        <w:rPr>
          <w:sz w:val="28"/>
          <w:szCs w:val="28"/>
          <w:lang w:val="en-GB"/>
        </w:rPr>
        <w:t xml:space="preserve">, </w:t>
      </w:r>
      <w:r w:rsidR="008224A4">
        <w:rPr>
          <w:sz w:val="28"/>
          <w:szCs w:val="28"/>
          <w:lang w:val="en-GB"/>
        </w:rPr>
        <w:t>the HA rejected the application</w:t>
      </w:r>
      <w:r w:rsidR="007C357E" w:rsidRPr="004648FA">
        <w:rPr>
          <w:sz w:val="28"/>
          <w:szCs w:val="28"/>
          <w:lang w:val="en-GB"/>
        </w:rPr>
        <w:t>.</w:t>
      </w:r>
      <w:r w:rsidR="007F08D6">
        <w:rPr>
          <w:rStyle w:val="FootnoteReference"/>
          <w:sz w:val="28"/>
          <w:szCs w:val="28"/>
          <w:lang w:val="en-GB"/>
        </w:rPr>
        <w:footnoteReference w:id="38"/>
      </w:r>
      <w:r w:rsidR="007C357E" w:rsidRPr="004648FA">
        <w:rPr>
          <w:sz w:val="28"/>
          <w:szCs w:val="28"/>
          <w:lang w:val="en-GB"/>
        </w:rPr>
        <w:t xml:space="preserve">  </w:t>
      </w:r>
      <w:r w:rsidR="008225B8" w:rsidRPr="004648FA">
        <w:rPr>
          <w:sz w:val="28"/>
          <w:szCs w:val="28"/>
          <w:lang w:val="en-GB"/>
        </w:rPr>
        <w:t xml:space="preserve">In November 2018, Mr </w:t>
      </w:r>
      <w:proofErr w:type="spellStart"/>
      <w:r w:rsidR="008225B8" w:rsidRPr="004648FA">
        <w:rPr>
          <w:sz w:val="28"/>
          <w:szCs w:val="28"/>
          <w:lang w:val="en-GB"/>
        </w:rPr>
        <w:t>Infinger</w:t>
      </w:r>
      <w:proofErr w:type="spellEnd"/>
      <w:r w:rsidR="008225B8" w:rsidRPr="004648FA">
        <w:rPr>
          <w:sz w:val="28"/>
          <w:szCs w:val="28"/>
          <w:lang w:val="en-GB"/>
        </w:rPr>
        <w:t xml:space="preserve"> initiated judicial </w:t>
      </w:r>
      <w:r w:rsidR="008225B8" w:rsidRPr="004648FA">
        <w:rPr>
          <w:sz w:val="28"/>
          <w:szCs w:val="28"/>
          <w:lang w:val="en-GB"/>
        </w:rPr>
        <w:lastRenderedPageBreak/>
        <w:t>review proceedings to challenge the policy on the grounds of discrimination</w:t>
      </w:r>
      <w:r w:rsidR="00403FC0">
        <w:rPr>
          <w:sz w:val="28"/>
          <w:szCs w:val="28"/>
          <w:lang w:val="en-GB"/>
        </w:rPr>
        <w:t xml:space="preserve"> against same-sex married couples</w:t>
      </w:r>
      <w:r w:rsidR="002D3674">
        <w:rPr>
          <w:sz w:val="28"/>
          <w:szCs w:val="28"/>
          <w:lang w:val="en-GB"/>
        </w:rPr>
        <w:t xml:space="preserve">, along </w:t>
      </w:r>
      <w:r w:rsidR="00683071">
        <w:rPr>
          <w:sz w:val="28"/>
          <w:szCs w:val="28"/>
          <w:lang w:val="en-GB"/>
        </w:rPr>
        <w:t xml:space="preserve">with </w:t>
      </w:r>
      <w:r w:rsidR="002D3674">
        <w:rPr>
          <w:sz w:val="28"/>
          <w:szCs w:val="28"/>
          <w:lang w:val="en-GB"/>
        </w:rPr>
        <w:t>other grounds</w:t>
      </w:r>
      <w:r w:rsidR="008225B8" w:rsidRPr="004648FA">
        <w:rPr>
          <w:sz w:val="28"/>
          <w:szCs w:val="28"/>
          <w:lang w:val="en-GB"/>
        </w:rPr>
        <w:t>.</w:t>
      </w:r>
      <w:r w:rsidR="005B4091">
        <w:rPr>
          <w:rStyle w:val="FootnoteReference"/>
          <w:sz w:val="28"/>
          <w:szCs w:val="28"/>
          <w:lang w:val="en-GB"/>
        </w:rPr>
        <w:footnoteReference w:id="39"/>
      </w:r>
    </w:p>
    <w:p w:rsidR="001E69F9" w:rsidRPr="004648FA" w:rsidRDefault="003F2A56"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r w:rsidR="008225B8" w:rsidRPr="004648FA">
        <w:rPr>
          <w:sz w:val="28"/>
          <w:szCs w:val="28"/>
          <w:lang w:val="en-GB"/>
        </w:rPr>
        <w:t>In the HOS proceedings, the original applicant for judicial review, Mr Edgar Ng, and the substitute</w:t>
      </w:r>
      <w:r w:rsidR="00236988">
        <w:rPr>
          <w:sz w:val="28"/>
          <w:szCs w:val="28"/>
          <w:lang w:val="en-GB"/>
        </w:rPr>
        <w:t>d</w:t>
      </w:r>
      <w:r w:rsidR="008225B8" w:rsidRPr="004648FA">
        <w:rPr>
          <w:sz w:val="28"/>
          <w:szCs w:val="28"/>
          <w:lang w:val="en-GB"/>
        </w:rPr>
        <w:t xml:space="preserve"> applicant, Mr Li</w:t>
      </w:r>
      <w:r w:rsidR="002C0DDB">
        <w:rPr>
          <w:sz w:val="28"/>
          <w:szCs w:val="28"/>
          <w:lang w:val="en-GB"/>
        </w:rPr>
        <w:t xml:space="preserve"> </w:t>
      </w:r>
      <w:proofErr w:type="spellStart"/>
      <w:r w:rsidR="002C0DDB">
        <w:rPr>
          <w:sz w:val="28"/>
          <w:szCs w:val="28"/>
          <w:lang w:val="en-GB"/>
        </w:rPr>
        <w:t>Yik</w:t>
      </w:r>
      <w:proofErr w:type="spellEnd"/>
      <w:r w:rsidR="002C0DDB">
        <w:rPr>
          <w:sz w:val="28"/>
          <w:szCs w:val="28"/>
          <w:lang w:val="en-GB"/>
        </w:rPr>
        <w:t xml:space="preserve"> </w:t>
      </w:r>
      <w:proofErr w:type="spellStart"/>
      <w:r w:rsidR="002C0DDB">
        <w:rPr>
          <w:sz w:val="28"/>
          <w:szCs w:val="28"/>
          <w:lang w:val="en-GB"/>
        </w:rPr>
        <w:t>Ho</w:t>
      </w:r>
      <w:proofErr w:type="spellEnd"/>
      <w:r w:rsidR="008225B8" w:rsidRPr="004648FA">
        <w:rPr>
          <w:sz w:val="28"/>
          <w:szCs w:val="28"/>
          <w:lang w:val="en-GB"/>
        </w:rPr>
        <w:t>, were a gay couple lawfully married in the United Kingdom in 2017</w:t>
      </w:r>
      <w:r w:rsidR="007C357E" w:rsidRPr="004648FA">
        <w:rPr>
          <w:sz w:val="28"/>
          <w:szCs w:val="28"/>
          <w:lang w:val="en-GB"/>
        </w:rPr>
        <w:t xml:space="preserve">.  </w:t>
      </w:r>
      <w:r w:rsidR="008225B8" w:rsidRPr="004648FA">
        <w:rPr>
          <w:sz w:val="28"/>
          <w:szCs w:val="28"/>
          <w:lang w:val="en-GB"/>
        </w:rPr>
        <w:t>Mr Ng, a former PRH tenant, was the registered owner of an HOS flat purchased on the HOS secondary market in April 2018 in his own name</w:t>
      </w:r>
      <w:r w:rsidR="007C357E" w:rsidRPr="004648FA">
        <w:rPr>
          <w:sz w:val="28"/>
          <w:szCs w:val="28"/>
          <w:lang w:val="en-GB"/>
        </w:rPr>
        <w:t xml:space="preserve">.  </w:t>
      </w:r>
      <w:r w:rsidR="008225B8" w:rsidRPr="004648FA">
        <w:rPr>
          <w:sz w:val="28"/>
          <w:szCs w:val="28"/>
          <w:lang w:val="en-GB"/>
        </w:rPr>
        <w:t xml:space="preserve">Although, according to the evidence, Mr Li contributed more than 90% of the financial costs, Mr Ng could only purchase </w:t>
      </w:r>
      <w:r w:rsidR="000F62C8">
        <w:rPr>
          <w:sz w:val="28"/>
          <w:szCs w:val="28"/>
          <w:lang w:val="en-GB"/>
        </w:rPr>
        <w:t xml:space="preserve">the flat </w:t>
      </w:r>
      <w:r w:rsidR="008225B8" w:rsidRPr="004648FA">
        <w:rPr>
          <w:sz w:val="28"/>
          <w:szCs w:val="28"/>
          <w:lang w:val="en-GB"/>
        </w:rPr>
        <w:t xml:space="preserve">as </w:t>
      </w:r>
      <w:r w:rsidR="007E294A">
        <w:rPr>
          <w:sz w:val="28"/>
          <w:szCs w:val="28"/>
          <w:lang w:val="en-GB"/>
        </w:rPr>
        <w:t>sole</w:t>
      </w:r>
      <w:r w:rsidR="008225B8" w:rsidRPr="004648FA">
        <w:rPr>
          <w:sz w:val="28"/>
          <w:szCs w:val="28"/>
          <w:lang w:val="en-GB"/>
        </w:rPr>
        <w:t xml:space="preserve"> owner, as </w:t>
      </w:r>
      <w:r w:rsidR="003A4EFB">
        <w:rPr>
          <w:sz w:val="28"/>
          <w:szCs w:val="28"/>
          <w:lang w:val="en-GB"/>
        </w:rPr>
        <w:t xml:space="preserve">the </w:t>
      </w:r>
      <w:r w:rsidR="00403FC0">
        <w:rPr>
          <w:sz w:val="28"/>
          <w:szCs w:val="28"/>
          <w:lang w:val="en-GB"/>
        </w:rPr>
        <w:t xml:space="preserve">HA’s </w:t>
      </w:r>
      <w:r w:rsidR="00631ECF">
        <w:rPr>
          <w:sz w:val="28"/>
          <w:szCs w:val="28"/>
          <w:lang w:val="en-GB"/>
        </w:rPr>
        <w:t xml:space="preserve">purchase </w:t>
      </w:r>
      <w:r w:rsidR="00403FC0">
        <w:rPr>
          <w:sz w:val="28"/>
          <w:szCs w:val="28"/>
          <w:lang w:val="en-GB"/>
        </w:rPr>
        <w:t xml:space="preserve">policy did not recognise </w:t>
      </w:r>
      <w:r w:rsidR="008225B8" w:rsidRPr="004648FA">
        <w:rPr>
          <w:sz w:val="28"/>
          <w:szCs w:val="28"/>
          <w:lang w:val="en-GB"/>
        </w:rPr>
        <w:t>his same-sex relationship with Mr Li.</w:t>
      </w:r>
      <w:r w:rsidR="005B4091">
        <w:rPr>
          <w:rStyle w:val="FootnoteReference"/>
          <w:sz w:val="28"/>
          <w:szCs w:val="28"/>
          <w:lang w:val="en-GB"/>
        </w:rPr>
        <w:footnoteReference w:id="40"/>
      </w:r>
    </w:p>
    <w:p w:rsidR="008225B8" w:rsidRDefault="003F2A56"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r w:rsidR="008225B8" w:rsidRPr="004648FA">
        <w:rPr>
          <w:sz w:val="28"/>
          <w:szCs w:val="28"/>
          <w:lang w:val="en-GB"/>
        </w:rPr>
        <w:t xml:space="preserve">As </w:t>
      </w:r>
      <w:r w:rsidR="00DA244B">
        <w:rPr>
          <w:sz w:val="28"/>
          <w:szCs w:val="28"/>
          <w:lang w:val="en-GB"/>
        </w:rPr>
        <w:t>explained</w:t>
      </w:r>
      <w:r w:rsidR="003C40D1" w:rsidRPr="004648FA">
        <w:rPr>
          <w:sz w:val="28"/>
          <w:szCs w:val="28"/>
          <w:lang w:val="en-GB"/>
        </w:rPr>
        <w:t xml:space="preserve"> above</w:t>
      </w:r>
      <w:r w:rsidR="008225B8" w:rsidRPr="004648FA">
        <w:rPr>
          <w:sz w:val="28"/>
          <w:szCs w:val="28"/>
          <w:lang w:val="en-GB"/>
        </w:rPr>
        <w:t>,</w:t>
      </w:r>
      <w:r w:rsidR="00B53A8C" w:rsidRPr="00B53A8C">
        <w:rPr>
          <w:rStyle w:val="FootnoteReference"/>
          <w:sz w:val="28"/>
          <w:szCs w:val="28"/>
          <w:lang w:val="en-GB"/>
        </w:rPr>
        <w:t xml:space="preserve"> </w:t>
      </w:r>
      <w:r w:rsidR="009567C9" w:rsidRPr="004648FA">
        <w:rPr>
          <w:sz w:val="28"/>
          <w:szCs w:val="28"/>
          <w:lang w:val="en-GB"/>
        </w:rPr>
        <w:t xml:space="preserve">the </w:t>
      </w:r>
      <w:r w:rsidR="008225B8" w:rsidRPr="004648FA">
        <w:rPr>
          <w:sz w:val="28"/>
          <w:szCs w:val="28"/>
          <w:lang w:val="en-GB"/>
        </w:rPr>
        <w:t>HA</w:t>
      </w:r>
      <w:r w:rsidR="009567C9" w:rsidRPr="004648FA">
        <w:rPr>
          <w:sz w:val="28"/>
          <w:szCs w:val="28"/>
          <w:lang w:val="en-GB"/>
        </w:rPr>
        <w:t>’s</w:t>
      </w:r>
      <w:r w:rsidR="008225B8" w:rsidRPr="004648FA">
        <w:rPr>
          <w:sz w:val="28"/>
          <w:szCs w:val="28"/>
          <w:lang w:val="en-GB"/>
        </w:rPr>
        <w:t xml:space="preserve"> polic</w:t>
      </w:r>
      <w:r w:rsidR="00EE5643">
        <w:rPr>
          <w:sz w:val="28"/>
          <w:szCs w:val="28"/>
          <w:lang w:val="en-GB"/>
        </w:rPr>
        <w:t>ies</w:t>
      </w:r>
      <w:r w:rsidR="008225B8" w:rsidRPr="004648FA">
        <w:rPr>
          <w:sz w:val="28"/>
          <w:szCs w:val="28"/>
          <w:lang w:val="en-GB"/>
        </w:rPr>
        <w:t xml:space="preserve"> also rendered Mr Li ineligible to be added as an occupant of the flat as Mr Ng’s same-sex spouse, </w:t>
      </w:r>
      <w:r w:rsidR="000362F7">
        <w:rPr>
          <w:sz w:val="28"/>
          <w:szCs w:val="28"/>
          <w:lang w:val="en-GB"/>
        </w:rPr>
        <w:t>or</w:t>
      </w:r>
      <w:r w:rsidR="008225B8" w:rsidRPr="004648FA">
        <w:rPr>
          <w:sz w:val="28"/>
          <w:szCs w:val="28"/>
          <w:lang w:val="en-GB"/>
        </w:rPr>
        <w:t xml:space="preserve"> considered for a transfer of ownership </w:t>
      </w:r>
      <w:r w:rsidR="00236988">
        <w:rPr>
          <w:sz w:val="28"/>
          <w:szCs w:val="28"/>
          <w:lang w:val="en-GB"/>
        </w:rPr>
        <w:t xml:space="preserve">of the flat </w:t>
      </w:r>
      <w:r w:rsidR="008225B8" w:rsidRPr="004648FA">
        <w:rPr>
          <w:sz w:val="28"/>
          <w:szCs w:val="28"/>
          <w:lang w:val="en-GB"/>
        </w:rPr>
        <w:t>without payment of a premium.</w:t>
      </w:r>
      <w:r w:rsidR="00E9589E" w:rsidRPr="004648FA">
        <w:rPr>
          <w:rStyle w:val="FootnoteReference"/>
          <w:sz w:val="28"/>
          <w:szCs w:val="28"/>
          <w:lang w:val="en-GB"/>
        </w:rPr>
        <w:footnoteReference w:id="41"/>
      </w:r>
      <w:r w:rsidR="008225B8" w:rsidRPr="004648FA">
        <w:rPr>
          <w:sz w:val="28"/>
          <w:szCs w:val="28"/>
          <w:lang w:val="en-GB"/>
        </w:rPr>
        <w:t xml:space="preserve"> </w:t>
      </w:r>
      <w:r>
        <w:rPr>
          <w:sz w:val="28"/>
          <w:szCs w:val="28"/>
          <w:lang w:val="en-GB"/>
        </w:rPr>
        <w:t xml:space="preserve"> </w:t>
      </w:r>
      <w:r w:rsidR="008225B8" w:rsidRPr="004648FA">
        <w:rPr>
          <w:sz w:val="28"/>
          <w:szCs w:val="28"/>
          <w:lang w:val="en-GB"/>
        </w:rPr>
        <w:t xml:space="preserve">In September 2019, Mr Ng commenced judicial review proceedings to challenge the </w:t>
      </w:r>
      <w:r w:rsidR="00E24A42">
        <w:rPr>
          <w:sz w:val="28"/>
          <w:szCs w:val="28"/>
          <w:lang w:val="en-GB"/>
        </w:rPr>
        <w:t>exclusionary</w:t>
      </w:r>
      <w:r w:rsidR="008225B8" w:rsidRPr="004648FA">
        <w:rPr>
          <w:sz w:val="28"/>
          <w:szCs w:val="28"/>
          <w:lang w:val="en-GB"/>
        </w:rPr>
        <w:t xml:space="preserve"> HOS polic</w:t>
      </w:r>
      <w:r w:rsidR="00EE5643">
        <w:rPr>
          <w:sz w:val="28"/>
          <w:szCs w:val="28"/>
          <w:lang w:val="en-GB"/>
        </w:rPr>
        <w:t>ies</w:t>
      </w:r>
      <w:r w:rsidR="008225B8" w:rsidRPr="004648FA">
        <w:rPr>
          <w:sz w:val="28"/>
          <w:szCs w:val="28"/>
          <w:lang w:val="en-GB"/>
        </w:rPr>
        <w:t xml:space="preserve"> </w:t>
      </w:r>
      <w:r w:rsidR="00D05B24">
        <w:rPr>
          <w:sz w:val="28"/>
          <w:szCs w:val="28"/>
          <w:lang w:val="en-GB"/>
        </w:rPr>
        <w:t>on</w:t>
      </w:r>
      <w:r w:rsidR="007F08D6">
        <w:rPr>
          <w:sz w:val="28"/>
          <w:szCs w:val="28"/>
          <w:lang w:val="en-GB"/>
        </w:rPr>
        <w:t xml:space="preserve"> grounds including</w:t>
      </w:r>
      <w:r w:rsidR="00D05B24">
        <w:rPr>
          <w:sz w:val="28"/>
          <w:szCs w:val="28"/>
          <w:lang w:val="en-GB"/>
        </w:rPr>
        <w:t xml:space="preserve"> d</w:t>
      </w:r>
      <w:r w:rsidR="008225B8" w:rsidRPr="004648FA">
        <w:rPr>
          <w:sz w:val="28"/>
          <w:szCs w:val="28"/>
          <w:lang w:val="en-GB"/>
        </w:rPr>
        <w:t>iscrimination.</w:t>
      </w:r>
      <w:r w:rsidR="005B4091">
        <w:rPr>
          <w:rStyle w:val="FootnoteReference"/>
          <w:sz w:val="28"/>
          <w:szCs w:val="28"/>
          <w:lang w:val="en-GB"/>
        </w:rPr>
        <w:footnoteReference w:id="42"/>
      </w:r>
      <w:r w:rsidR="008225B8" w:rsidRPr="004648FA">
        <w:rPr>
          <w:sz w:val="28"/>
          <w:szCs w:val="28"/>
          <w:lang w:val="en-GB"/>
        </w:rPr>
        <w:t xml:space="preserve"> </w:t>
      </w:r>
      <w:r>
        <w:rPr>
          <w:sz w:val="28"/>
          <w:szCs w:val="28"/>
          <w:lang w:val="en-GB"/>
        </w:rPr>
        <w:t xml:space="preserve"> </w:t>
      </w:r>
      <w:r w:rsidR="008225B8" w:rsidRPr="004648FA">
        <w:rPr>
          <w:sz w:val="28"/>
          <w:szCs w:val="28"/>
          <w:lang w:val="en-GB"/>
        </w:rPr>
        <w:t xml:space="preserve">Unfortunately, Mr Ng passed away on 7 December 2020, </w:t>
      </w:r>
      <w:r w:rsidR="0053491D">
        <w:rPr>
          <w:sz w:val="28"/>
          <w:szCs w:val="28"/>
          <w:lang w:val="en-GB"/>
        </w:rPr>
        <w:lastRenderedPageBreak/>
        <w:t>a</w:t>
      </w:r>
      <w:r w:rsidR="008225B8" w:rsidRPr="004648FA">
        <w:rPr>
          <w:sz w:val="28"/>
          <w:szCs w:val="28"/>
          <w:lang w:val="en-GB"/>
        </w:rPr>
        <w:t xml:space="preserve">nd Mr Li, as his surviving spouse under their foreign same-sex marriage, </w:t>
      </w:r>
      <w:proofErr w:type="gramStart"/>
      <w:r w:rsidR="008225B8" w:rsidRPr="004648FA">
        <w:rPr>
          <w:sz w:val="28"/>
          <w:szCs w:val="28"/>
          <w:lang w:val="en-GB"/>
        </w:rPr>
        <w:t>was substituted</w:t>
      </w:r>
      <w:proofErr w:type="gramEnd"/>
      <w:r w:rsidR="008225B8" w:rsidRPr="004648FA">
        <w:rPr>
          <w:sz w:val="28"/>
          <w:szCs w:val="28"/>
          <w:lang w:val="en-GB"/>
        </w:rPr>
        <w:t xml:space="preserve"> as the applicant in the </w:t>
      </w:r>
      <w:r w:rsidR="007E4FB6" w:rsidRPr="004648FA">
        <w:rPr>
          <w:sz w:val="28"/>
          <w:szCs w:val="28"/>
          <w:lang w:val="en-GB"/>
        </w:rPr>
        <w:t>HOS</w:t>
      </w:r>
      <w:r w:rsidR="008225B8" w:rsidRPr="004648FA">
        <w:rPr>
          <w:sz w:val="28"/>
          <w:szCs w:val="28"/>
          <w:lang w:val="en-GB"/>
        </w:rPr>
        <w:t xml:space="preserve"> proceedings.</w:t>
      </w:r>
      <w:r w:rsidR="00503B84" w:rsidRPr="004648FA">
        <w:rPr>
          <w:rStyle w:val="FootnoteReference"/>
          <w:sz w:val="28"/>
          <w:szCs w:val="28"/>
          <w:lang w:val="en-GB"/>
        </w:rPr>
        <w:footnoteReference w:id="43"/>
      </w:r>
    </w:p>
    <w:p w:rsidR="008225B8" w:rsidRPr="004648FA" w:rsidRDefault="003F2A56"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r w:rsidR="00631ECF">
        <w:rPr>
          <w:sz w:val="28"/>
          <w:szCs w:val="28"/>
          <w:lang w:val="en-GB"/>
        </w:rPr>
        <w:t xml:space="preserve">The two </w:t>
      </w:r>
      <w:r w:rsidR="008225B8" w:rsidRPr="004648FA">
        <w:rPr>
          <w:sz w:val="28"/>
          <w:szCs w:val="28"/>
          <w:lang w:val="en-GB"/>
        </w:rPr>
        <w:t xml:space="preserve">sets of proceedings </w:t>
      </w:r>
      <w:r w:rsidR="008B259E">
        <w:rPr>
          <w:sz w:val="28"/>
          <w:szCs w:val="28"/>
          <w:lang w:val="en-GB"/>
        </w:rPr>
        <w:t>came before</w:t>
      </w:r>
      <w:r w:rsidR="008225B8" w:rsidRPr="004648FA">
        <w:rPr>
          <w:sz w:val="28"/>
          <w:szCs w:val="28"/>
          <w:lang w:val="en-GB"/>
        </w:rPr>
        <w:t xml:space="preserve"> Chow JA</w:t>
      </w:r>
      <w:r w:rsidR="007E294A">
        <w:rPr>
          <w:sz w:val="28"/>
          <w:szCs w:val="28"/>
          <w:lang w:val="en-GB"/>
        </w:rPr>
        <w:t>.</w:t>
      </w:r>
      <w:r w:rsidR="005B4091">
        <w:rPr>
          <w:rStyle w:val="FootnoteReference"/>
          <w:sz w:val="28"/>
          <w:szCs w:val="28"/>
          <w:lang w:val="en-GB"/>
        </w:rPr>
        <w:footnoteReference w:id="44"/>
      </w:r>
      <w:r w:rsidR="007C357E" w:rsidRPr="004648FA">
        <w:rPr>
          <w:sz w:val="28"/>
          <w:szCs w:val="28"/>
          <w:lang w:val="en-GB"/>
        </w:rPr>
        <w:t xml:space="preserve">  </w:t>
      </w:r>
      <w:r w:rsidR="008B259E">
        <w:rPr>
          <w:sz w:val="28"/>
          <w:szCs w:val="28"/>
          <w:lang w:val="en-GB"/>
        </w:rPr>
        <w:t xml:space="preserve">After </w:t>
      </w:r>
      <w:r w:rsidR="009C6C90">
        <w:rPr>
          <w:sz w:val="28"/>
          <w:szCs w:val="28"/>
          <w:lang w:val="en-GB"/>
        </w:rPr>
        <w:t xml:space="preserve">separate </w:t>
      </w:r>
      <w:r w:rsidR="008B259E">
        <w:rPr>
          <w:sz w:val="28"/>
          <w:szCs w:val="28"/>
          <w:lang w:val="en-GB"/>
        </w:rPr>
        <w:t>hearing</w:t>
      </w:r>
      <w:r w:rsidR="007F08D6">
        <w:rPr>
          <w:sz w:val="28"/>
          <w:szCs w:val="28"/>
          <w:lang w:val="en-GB"/>
        </w:rPr>
        <w:t>s</w:t>
      </w:r>
      <w:r w:rsidR="008B259E">
        <w:rPr>
          <w:sz w:val="28"/>
          <w:szCs w:val="28"/>
          <w:lang w:val="en-GB"/>
        </w:rPr>
        <w:t>, t</w:t>
      </w:r>
      <w:r w:rsidR="008225B8" w:rsidRPr="004648FA">
        <w:rPr>
          <w:sz w:val="28"/>
          <w:szCs w:val="28"/>
          <w:lang w:val="en-GB"/>
        </w:rPr>
        <w:t xml:space="preserve">he </w:t>
      </w:r>
      <w:r w:rsidR="00DA244B">
        <w:rPr>
          <w:sz w:val="28"/>
          <w:szCs w:val="28"/>
          <w:lang w:val="en-GB"/>
        </w:rPr>
        <w:t xml:space="preserve">learned </w:t>
      </w:r>
      <w:r w:rsidR="008225B8" w:rsidRPr="004648FA">
        <w:rPr>
          <w:sz w:val="28"/>
          <w:szCs w:val="28"/>
          <w:lang w:val="en-GB"/>
        </w:rPr>
        <w:t xml:space="preserve">judge </w:t>
      </w:r>
      <w:r w:rsidR="00D05B24">
        <w:rPr>
          <w:sz w:val="28"/>
          <w:szCs w:val="28"/>
          <w:lang w:val="en-GB"/>
        </w:rPr>
        <w:t>held</w:t>
      </w:r>
      <w:r w:rsidR="008225B8" w:rsidRPr="004648FA">
        <w:rPr>
          <w:sz w:val="28"/>
          <w:szCs w:val="28"/>
          <w:lang w:val="en-GB"/>
        </w:rPr>
        <w:t xml:space="preserve"> that the respective policies of the HA discriminated against same-sex couples lawfully married overseas and declared them</w:t>
      </w:r>
      <w:r w:rsidR="0022729E" w:rsidRPr="004648FA">
        <w:rPr>
          <w:sz w:val="28"/>
          <w:szCs w:val="28"/>
          <w:lang w:val="en-GB"/>
        </w:rPr>
        <w:t xml:space="preserve"> unlawful and</w:t>
      </w:r>
      <w:r w:rsidR="008225B8" w:rsidRPr="004648FA">
        <w:rPr>
          <w:sz w:val="28"/>
          <w:szCs w:val="28"/>
          <w:lang w:val="en-GB"/>
        </w:rPr>
        <w:t xml:space="preserve"> </w:t>
      </w:r>
      <w:r w:rsidR="00453964" w:rsidRPr="004648FA">
        <w:rPr>
          <w:sz w:val="28"/>
          <w:szCs w:val="28"/>
          <w:lang w:val="en-GB"/>
        </w:rPr>
        <w:t>unconstitutional</w:t>
      </w:r>
      <w:r w:rsidR="008225B8" w:rsidRPr="004648FA">
        <w:rPr>
          <w:sz w:val="28"/>
          <w:szCs w:val="28"/>
          <w:lang w:val="en-GB"/>
        </w:rPr>
        <w:t>.</w:t>
      </w:r>
      <w:r w:rsidR="0022729E" w:rsidRPr="004648FA">
        <w:rPr>
          <w:rStyle w:val="FootnoteReference"/>
          <w:sz w:val="28"/>
          <w:szCs w:val="28"/>
          <w:lang w:val="en-GB"/>
        </w:rPr>
        <w:footnoteReference w:id="45"/>
      </w:r>
      <w:r>
        <w:rPr>
          <w:sz w:val="28"/>
          <w:szCs w:val="28"/>
          <w:lang w:val="en-GB"/>
        </w:rPr>
        <w:t xml:space="preserve"> </w:t>
      </w:r>
      <w:r w:rsidR="008225B8" w:rsidRPr="004648FA">
        <w:rPr>
          <w:sz w:val="28"/>
          <w:szCs w:val="28"/>
          <w:lang w:val="en-GB"/>
        </w:rPr>
        <w:t xml:space="preserve"> On appeal, the Court of Appeal held the same view and dismissed both appeals accordingly.</w:t>
      </w:r>
      <w:r w:rsidR="0022729E" w:rsidRPr="004648FA">
        <w:rPr>
          <w:rStyle w:val="FootnoteReference"/>
          <w:sz w:val="28"/>
          <w:szCs w:val="28"/>
          <w:lang w:val="en-GB"/>
        </w:rPr>
        <w:footnoteReference w:id="46"/>
      </w:r>
    </w:p>
    <w:p w:rsidR="008225B8" w:rsidRDefault="003F2A56"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r w:rsidR="008225B8" w:rsidRPr="004648FA">
        <w:rPr>
          <w:sz w:val="28"/>
          <w:szCs w:val="28"/>
          <w:lang w:val="en-GB"/>
        </w:rPr>
        <w:t>With leave to appeal granted by the Court of Appeal in each of the two appeals, on the basis that they each raised questions of great general or public importance,</w:t>
      </w:r>
      <w:r w:rsidR="001E69F9" w:rsidRPr="004648FA">
        <w:rPr>
          <w:rStyle w:val="FootnoteReference"/>
          <w:sz w:val="28"/>
          <w:szCs w:val="28"/>
          <w:lang w:val="en-GB"/>
        </w:rPr>
        <w:footnoteReference w:id="47"/>
      </w:r>
      <w:r w:rsidR="008225B8" w:rsidRPr="004648FA">
        <w:rPr>
          <w:sz w:val="28"/>
          <w:szCs w:val="28"/>
          <w:lang w:val="en-GB"/>
        </w:rPr>
        <w:t xml:space="preserve"> these appeals now come before us for final adjudication.</w:t>
      </w:r>
      <w:r w:rsidR="005F6F2A">
        <w:rPr>
          <w:rStyle w:val="FootnoteReference"/>
          <w:sz w:val="28"/>
          <w:szCs w:val="28"/>
          <w:lang w:val="en-GB"/>
        </w:rPr>
        <w:footnoteReference w:id="48"/>
      </w:r>
    </w:p>
    <w:p w:rsidR="00EA6308" w:rsidRDefault="008C273E" w:rsidP="0053491D">
      <w:pPr>
        <w:keepNext/>
        <w:snapToGrid w:val="0"/>
        <w:spacing w:after="360" w:line="360" w:lineRule="auto"/>
        <w:jc w:val="both"/>
        <w:rPr>
          <w:b/>
          <w:i/>
          <w:sz w:val="28"/>
          <w:szCs w:val="28"/>
          <w:lang w:val="en-GB"/>
        </w:rPr>
      </w:pPr>
      <w:r>
        <w:rPr>
          <w:b/>
          <w:i/>
          <w:sz w:val="28"/>
          <w:szCs w:val="28"/>
          <w:lang w:val="en-GB"/>
        </w:rPr>
        <w:t>A</w:t>
      </w:r>
      <w:r w:rsidR="005B4091">
        <w:rPr>
          <w:b/>
          <w:i/>
          <w:sz w:val="28"/>
          <w:szCs w:val="28"/>
          <w:lang w:val="en-GB"/>
        </w:rPr>
        <w:t xml:space="preserve">pproach to constitutional </w:t>
      </w:r>
      <w:r w:rsidR="00EA6308" w:rsidRPr="004648FA">
        <w:rPr>
          <w:b/>
          <w:i/>
          <w:sz w:val="28"/>
          <w:szCs w:val="28"/>
          <w:lang w:val="en-GB"/>
        </w:rPr>
        <w:t>challenges based on discrimination</w:t>
      </w:r>
    </w:p>
    <w:p w:rsidR="00CD08DB" w:rsidRDefault="00B345C4"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r w:rsidR="005B4091" w:rsidRPr="00CD08DB">
        <w:rPr>
          <w:sz w:val="28"/>
          <w:szCs w:val="28"/>
          <w:lang w:val="en-GB"/>
        </w:rPr>
        <w:t xml:space="preserve">The </w:t>
      </w:r>
      <w:r w:rsidR="008C273E">
        <w:rPr>
          <w:sz w:val="28"/>
          <w:szCs w:val="28"/>
          <w:lang w:val="en-GB"/>
        </w:rPr>
        <w:t xml:space="preserve">general </w:t>
      </w:r>
      <w:r w:rsidR="005B4091" w:rsidRPr="00CD08DB">
        <w:rPr>
          <w:sz w:val="28"/>
          <w:szCs w:val="28"/>
          <w:lang w:val="en-GB"/>
        </w:rPr>
        <w:t xml:space="preserve">approach to constitutional challenges is </w:t>
      </w:r>
      <w:proofErr w:type="gramStart"/>
      <w:r w:rsidR="005B4091" w:rsidRPr="00CD08DB">
        <w:rPr>
          <w:sz w:val="28"/>
          <w:szCs w:val="28"/>
          <w:lang w:val="en-GB"/>
        </w:rPr>
        <w:t>well</w:t>
      </w:r>
      <w:r w:rsidR="000F62C8">
        <w:rPr>
          <w:sz w:val="28"/>
          <w:szCs w:val="28"/>
          <w:lang w:val="en-GB"/>
        </w:rPr>
        <w:t>-</w:t>
      </w:r>
      <w:r w:rsidR="005B4091" w:rsidRPr="00CD08DB">
        <w:rPr>
          <w:sz w:val="28"/>
          <w:szCs w:val="28"/>
          <w:lang w:val="en-GB"/>
        </w:rPr>
        <w:t>established</w:t>
      </w:r>
      <w:proofErr w:type="gramEnd"/>
      <w:r w:rsidR="005B4091" w:rsidRPr="00CD08DB">
        <w:rPr>
          <w:sz w:val="28"/>
          <w:szCs w:val="28"/>
          <w:lang w:val="en-GB"/>
        </w:rPr>
        <w:t xml:space="preserve">.  </w:t>
      </w:r>
      <w:proofErr w:type="gramStart"/>
      <w:r w:rsidR="005B4091" w:rsidRPr="00CD08DB">
        <w:rPr>
          <w:sz w:val="28"/>
          <w:szCs w:val="28"/>
          <w:lang w:val="en-GB"/>
        </w:rPr>
        <w:t xml:space="preserve">As this </w:t>
      </w:r>
      <w:r w:rsidR="00B24E0B">
        <w:rPr>
          <w:sz w:val="28"/>
          <w:szCs w:val="28"/>
          <w:lang w:val="en-GB"/>
        </w:rPr>
        <w:t>c</w:t>
      </w:r>
      <w:r w:rsidR="005B4091" w:rsidRPr="00CD08DB">
        <w:rPr>
          <w:sz w:val="28"/>
          <w:szCs w:val="28"/>
          <w:lang w:val="en-GB"/>
        </w:rPr>
        <w:t>ourt has recently explained,</w:t>
      </w:r>
      <w:r w:rsidR="00CD08DB">
        <w:rPr>
          <w:rStyle w:val="FootnoteReference"/>
          <w:sz w:val="28"/>
          <w:szCs w:val="28"/>
          <w:lang w:val="en-GB"/>
        </w:rPr>
        <w:footnoteReference w:id="49"/>
      </w:r>
      <w:r w:rsidR="005B4091" w:rsidRPr="00CD08DB">
        <w:rPr>
          <w:sz w:val="28"/>
          <w:szCs w:val="28"/>
          <w:lang w:val="en-GB"/>
        </w:rPr>
        <w:t xml:space="preserve"> </w:t>
      </w:r>
      <w:r w:rsidR="00C12F2D" w:rsidRPr="00CD08DB">
        <w:rPr>
          <w:sz w:val="28"/>
          <w:szCs w:val="28"/>
          <w:lang w:val="en-GB"/>
        </w:rPr>
        <w:t xml:space="preserve">this approach involves five </w:t>
      </w:r>
      <w:r w:rsidR="00C12F2D" w:rsidRPr="00CD08DB">
        <w:rPr>
          <w:sz w:val="28"/>
          <w:szCs w:val="28"/>
          <w:lang w:val="en-GB"/>
        </w:rPr>
        <w:lastRenderedPageBreak/>
        <w:t>stages: (1) the court identifies</w:t>
      </w:r>
      <w:r w:rsidR="00CD08DB">
        <w:rPr>
          <w:sz w:val="28"/>
          <w:szCs w:val="28"/>
          <w:lang w:val="en-GB"/>
        </w:rPr>
        <w:t xml:space="preserve"> </w:t>
      </w:r>
      <w:r w:rsidR="00C12F2D" w:rsidRPr="00CD08DB">
        <w:rPr>
          <w:sz w:val="28"/>
          <w:szCs w:val="28"/>
          <w:lang w:val="en-GB"/>
        </w:rPr>
        <w:t xml:space="preserve">the constitutional right relied on and the impugned measure; (2) it asks whether and on what grounds the impugned measure is said to encroach upon and thus to engage the right; (3) if there is such encroachment and the ground is that the encroachment excessively and unjustifiably infringes that right, the court undertakes the </w:t>
      </w:r>
      <w:r w:rsidR="00C12F2D" w:rsidRPr="00CD08DB">
        <w:rPr>
          <w:i/>
          <w:sz w:val="28"/>
          <w:szCs w:val="28"/>
          <w:lang w:val="en-GB"/>
        </w:rPr>
        <w:t>Hysan</w:t>
      </w:r>
      <w:r w:rsidR="005B4091" w:rsidRPr="00CD08DB">
        <w:rPr>
          <w:sz w:val="28"/>
          <w:szCs w:val="28"/>
          <w:lang w:val="en-GB"/>
        </w:rPr>
        <w:t xml:space="preserve"> </w:t>
      </w:r>
      <w:r w:rsidR="00C12F2D" w:rsidRPr="00CD08DB">
        <w:rPr>
          <w:sz w:val="28"/>
          <w:szCs w:val="28"/>
          <w:lang w:val="en-GB"/>
        </w:rPr>
        <w:t xml:space="preserve">four-step proportionality </w:t>
      </w:r>
      <w:r w:rsidR="00CD08DB" w:rsidRPr="00CD08DB">
        <w:rPr>
          <w:sz w:val="28"/>
          <w:szCs w:val="28"/>
          <w:lang w:val="en-GB"/>
        </w:rPr>
        <w:t>test</w:t>
      </w:r>
      <w:r w:rsidR="00CD08DB">
        <w:rPr>
          <w:rStyle w:val="FootnoteReference"/>
          <w:sz w:val="28"/>
          <w:szCs w:val="28"/>
          <w:lang w:val="en-GB"/>
        </w:rPr>
        <w:footnoteReference w:id="50"/>
      </w:r>
      <w:r w:rsidR="00C12F2D" w:rsidRPr="00CD08DB">
        <w:rPr>
          <w:sz w:val="28"/>
          <w:szCs w:val="28"/>
          <w:lang w:val="en-GB"/>
        </w:rPr>
        <w:t xml:space="preserve"> to determine if this is indeed the case; </w:t>
      </w:r>
      <w:bookmarkStart w:id="0" w:name="_Hlk170315882"/>
      <w:r w:rsidR="00CD08DB" w:rsidRPr="00CD08DB">
        <w:rPr>
          <w:sz w:val="28"/>
          <w:szCs w:val="28"/>
          <w:lang w:val="en-GB"/>
        </w:rPr>
        <w:t xml:space="preserve">(4) </w:t>
      </w:r>
      <w:r w:rsidR="00C12F2D" w:rsidRPr="00CD08DB">
        <w:rPr>
          <w:sz w:val="28"/>
          <w:szCs w:val="28"/>
        </w:rPr>
        <w:t xml:space="preserve">if </w:t>
      </w:r>
      <w:r w:rsidR="00CD08DB" w:rsidRPr="00CD08DB">
        <w:rPr>
          <w:sz w:val="28"/>
          <w:szCs w:val="28"/>
        </w:rPr>
        <w:t xml:space="preserve">the impugned measure </w:t>
      </w:r>
      <w:r w:rsidR="007E294A">
        <w:rPr>
          <w:sz w:val="28"/>
          <w:szCs w:val="28"/>
        </w:rPr>
        <w:t>fails to satisfy</w:t>
      </w:r>
      <w:r w:rsidR="00C12F2D" w:rsidRPr="00CD08DB">
        <w:rPr>
          <w:sz w:val="28"/>
          <w:szCs w:val="28"/>
        </w:rPr>
        <w:t xml:space="preserve"> </w:t>
      </w:r>
      <w:r w:rsidR="007E294A" w:rsidRPr="00CD08DB">
        <w:rPr>
          <w:sz w:val="28"/>
          <w:szCs w:val="28"/>
        </w:rPr>
        <w:t>th</w:t>
      </w:r>
      <w:r w:rsidR="007E294A">
        <w:rPr>
          <w:sz w:val="28"/>
          <w:szCs w:val="28"/>
        </w:rPr>
        <w:t xml:space="preserve">e </w:t>
      </w:r>
      <w:r w:rsidR="007E294A" w:rsidRPr="00EE5D9E">
        <w:rPr>
          <w:i/>
          <w:sz w:val="28"/>
          <w:szCs w:val="28"/>
        </w:rPr>
        <w:t>Hysan</w:t>
      </w:r>
      <w:r w:rsidR="007E294A" w:rsidRPr="00CD08DB">
        <w:rPr>
          <w:sz w:val="28"/>
          <w:szCs w:val="28"/>
        </w:rPr>
        <w:t xml:space="preserve"> </w:t>
      </w:r>
      <w:r w:rsidR="00C12F2D" w:rsidRPr="00CD08DB">
        <w:rPr>
          <w:sz w:val="28"/>
          <w:szCs w:val="28"/>
        </w:rPr>
        <w:t>test, the court proceeds to consider whether any remedial order should be made to preserve the validity of the impug</w:t>
      </w:r>
      <w:r w:rsidR="00CD08DB" w:rsidRPr="00CD08DB">
        <w:rPr>
          <w:sz w:val="28"/>
          <w:szCs w:val="28"/>
        </w:rPr>
        <w:t xml:space="preserve">ned measure in whole or in part; and (5) </w:t>
      </w:r>
      <w:proofErr w:type="spellStart"/>
      <w:r w:rsidR="00CD08DB" w:rsidRPr="00CD08DB">
        <w:rPr>
          <w:sz w:val="28"/>
          <w:szCs w:val="28"/>
        </w:rPr>
        <w:t>i</w:t>
      </w:r>
      <w:bookmarkEnd w:id="0"/>
      <w:proofErr w:type="spellEnd"/>
      <w:r w:rsidR="00C12F2D" w:rsidRPr="00CD08DB">
        <w:rPr>
          <w:sz w:val="28"/>
          <w:szCs w:val="28"/>
          <w:lang w:val="en-GB"/>
        </w:rPr>
        <w:t>f no such remedial possibilities exist, the court declares the impugned measure unconstitutional and invalid</w:t>
      </w:r>
      <w:r w:rsidR="00CD08DB">
        <w:rPr>
          <w:sz w:val="28"/>
          <w:szCs w:val="28"/>
          <w:lang w:val="en-GB"/>
        </w:rPr>
        <w:t>.</w:t>
      </w:r>
      <w:proofErr w:type="gramEnd"/>
      <w:r w:rsidR="00C12F2D" w:rsidRPr="00CD08DB">
        <w:rPr>
          <w:sz w:val="28"/>
          <w:szCs w:val="28"/>
          <w:lang w:val="en-GB"/>
        </w:rPr>
        <w:t xml:space="preserve"> </w:t>
      </w:r>
    </w:p>
    <w:p w:rsidR="008225B8" w:rsidRPr="00CD08DB" w:rsidRDefault="00B345C4"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r w:rsidR="00EC1848">
        <w:rPr>
          <w:sz w:val="28"/>
          <w:szCs w:val="28"/>
          <w:lang w:val="en-GB"/>
        </w:rPr>
        <w:t>Essentially t</w:t>
      </w:r>
      <w:r w:rsidR="00373863">
        <w:rPr>
          <w:sz w:val="28"/>
          <w:szCs w:val="28"/>
          <w:lang w:val="en-GB"/>
        </w:rPr>
        <w:t>he same approach applies to challenges based on the constitutional right</w:t>
      </w:r>
      <w:r w:rsidR="00EC1848">
        <w:rPr>
          <w:sz w:val="28"/>
          <w:szCs w:val="28"/>
          <w:lang w:val="en-GB"/>
        </w:rPr>
        <w:t>s</w:t>
      </w:r>
      <w:r w:rsidR="00373863">
        <w:rPr>
          <w:sz w:val="28"/>
          <w:szCs w:val="28"/>
          <w:lang w:val="en-GB"/>
        </w:rPr>
        <w:t xml:space="preserve"> to equality and non-discrimination.</w:t>
      </w:r>
      <w:r w:rsidR="007F08D6">
        <w:rPr>
          <w:rStyle w:val="FootnoteReference"/>
          <w:sz w:val="28"/>
          <w:szCs w:val="28"/>
          <w:lang w:val="en-GB"/>
        </w:rPr>
        <w:footnoteReference w:id="51"/>
      </w:r>
      <w:r w:rsidR="00373863">
        <w:rPr>
          <w:sz w:val="28"/>
          <w:szCs w:val="28"/>
          <w:lang w:val="en-GB"/>
        </w:rPr>
        <w:t xml:space="preserve"> </w:t>
      </w:r>
      <w:r>
        <w:rPr>
          <w:sz w:val="28"/>
          <w:szCs w:val="28"/>
          <w:lang w:val="en-GB"/>
        </w:rPr>
        <w:t xml:space="preserve"> </w:t>
      </w:r>
      <w:r w:rsidR="00AF2A30">
        <w:rPr>
          <w:sz w:val="28"/>
          <w:szCs w:val="28"/>
          <w:lang w:val="en-GB"/>
        </w:rPr>
        <w:t xml:space="preserve">That is, </w:t>
      </w:r>
      <w:r w:rsidR="008225B8" w:rsidRPr="00CD08DB">
        <w:rPr>
          <w:sz w:val="28"/>
          <w:szCs w:val="28"/>
          <w:lang w:val="en-GB"/>
        </w:rPr>
        <w:t>the court must first identify the rule or policy subject to challenge and determine whether the right</w:t>
      </w:r>
      <w:r w:rsidR="00EC1848">
        <w:rPr>
          <w:sz w:val="28"/>
          <w:szCs w:val="28"/>
          <w:lang w:val="en-GB"/>
        </w:rPr>
        <w:t>s</w:t>
      </w:r>
      <w:r w:rsidR="008225B8" w:rsidRPr="00CD08DB">
        <w:rPr>
          <w:sz w:val="28"/>
          <w:szCs w:val="28"/>
          <w:lang w:val="en-GB"/>
        </w:rPr>
        <w:t xml:space="preserve"> to equality </w:t>
      </w:r>
      <w:r w:rsidR="00EC1848">
        <w:rPr>
          <w:sz w:val="28"/>
          <w:szCs w:val="28"/>
          <w:lang w:val="en-GB"/>
        </w:rPr>
        <w:t xml:space="preserve">and non-discrimination </w:t>
      </w:r>
      <w:proofErr w:type="gramStart"/>
      <w:r w:rsidR="00EC1848">
        <w:rPr>
          <w:sz w:val="28"/>
          <w:szCs w:val="28"/>
          <w:lang w:val="en-GB"/>
        </w:rPr>
        <w:t>are</w:t>
      </w:r>
      <w:r w:rsidR="008225B8" w:rsidRPr="00CD08DB">
        <w:rPr>
          <w:sz w:val="28"/>
          <w:szCs w:val="28"/>
          <w:lang w:val="en-GB"/>
        </w:rPr>
        <w:t xml:space="preserve"> engaged</w:t>
      </w:r>
      <w:proofErr w:type="gramEnd"/>
      <w:r w:rsidR="008225B8" w:rsidRPr="00CD08DB">
        <w:rPr>
          <w:sz w:val="28"/>
          <w:szCs w:val="28"/>
          <w:lang w:val="en-GB"/>
        </w:rPr>
        <w:t>.</w:t>
      </w:r>
      <w:r w:rsidR="00EB5535" w:rsidRPr="004648FA">
        <w:rPr>
          <w:rStyle w:val="FootnoteReference"/>
          <w:sz w:val="28"/>
          <w:szCs w:val="28"/>
          <w:lang w:val="en-GB"/>
        </w:rPr>
        <w:footnoteReference w:id="52"/>
      </w:r>
      <w:r w:rsidR="008225B8" w:rsidRPr="00CD08DB">
        <w:rPr>
          <w:sz w:val="28"/>
          <w:szCs w:val="28"/>
          <w:lang w:val="en-GB"/>
        </w:rPr>
        <w:t xml:space="preserve"> </w:t>
      </w:r>
      <w:r w:rsidR="003D3258">
        <w:rPr>
          <w:sz w:val="28"/>
          <w:szCs w:val="28"/>
          <w:lang w:val="en-GB"/>
        </w:rPr>
        <w:t xml:space="preserve"> </w:t>
      </w:r>
      <w:r w:rsidR="008225B8" w:rsidRPr="00CD08DB">
        <w:rPr>
          <w:sz w:val="28"/>
          <w:szCs w:val="28"/>
          <w:lang w:val="en-GB"/>
        </w:rPr>
        <w:t>Th</w:t>
      </w:r>
      <w:r w:rsidR="00EC1848">
        <w:rPr>
          <w:sz w:val="28"/>
          <w:szCs w:val="28"/>
          <w:lang w:val="en-GB"/>
        </w:rPr>
        <w:t xml:space="preserve">ose </w:t>
      </w:r>
      <w:r w:rsidR="008225B8" w:rsidRPr="00CD08DB">
        <w:rPr>
          <w:sz w:val="28"/>
          <w:szCs w:val="28"/>
          <w:lang w:val="en-GB"/>
        </w:rPr>
        <w:t>right</w:t>
      </w:r>
      <w:r w:rsidR="00EC1848">
        <w:rPr>
          <w:sz w:val="28"/>
          <w:szCs w:val="28"/>
          <w:lang w:val="en-GB"/>
        </w:rPr>
        <w:t xml:space="preserve">s </w:t>
      </w:r>
      <w:proofErr w:type="gramStart"/>
      <w:r w:rsidR="00EC1848">
        <w:rPr>
          <w:sz w:val="28"/>
          <w:szCs w:val="28"/>
          <w:lang w:val="en-GB"/>
        </w:rPr>
        <w:t>are</w:t>
      </w:r>
      <w:r w:rsidR="008225B8" w:rsidRPr="00CD08DB">
        <w:rPr>
          <w:sz w:val="28"/>
          <w:szCs w:val="28"/>
          <w:lang w:val="en-GB"/>
        </w:rPr>
        <w:t xml:space="preserve"> engaged</w:t>
      </w:r>
      <w:proofErr w:type="gramEnd"/>
      <w:r w:rsidR="008225B8" w:rsidRPr="00CD08DB">
        <w:rPr>
          <w:sz w:val="28"/>
          <w:szCs w:val="28"/>
          <w:lang w:val="en-GB"/>
        </w:rPr>
        <w:t xml:space="preserve"> if the court is satisfied that differential treatment exists in relation to a person in a comparable position.</w:t>
      </w:r>
      <w:r w:rsidR="004F5D05" w:rsidRPr="004648FA">
        <w:rPr>
          <w:rStyle w:val="FootnoteReference"/>
          <w:sz w:val="28"/>
          <w:szCs w:val="28"/>
          <w:lang w:val="en-GB"/>
        </w:rPr>
        <w:footnoteReference w:id="53"/>
      </w:r>
      <w:r w:rsidR="008225B8" w:rsidRPr="00CD08DB">
        <w:rPr>
          <w:sz w:val="28"/>
          <w:szCs w:val="28"/>
          <w:lang w:val="en-GB"/>
        </w:rPr>
        <w:t xml:space="preserve"> </w:t>
      </w:r>
      <w:r w:rsidR="003D3258">
        <w:rPr>
          <w:sz w:val="28"/>
          <w:szCs w:val="28"/>
          <w:lang w:val="en-GB"/>
        </w:rPr>
        <w:t xml:space="preserve"> </w:t>
      </w:r>
      <w:r w:rsidR="008225B8" w:rsidRPr="00CD08DB">
        <w:rPr>
          <w:sz w:val="28"/>
          <w:szCs w:val="28"/>
          <w:lang w:val="en-GB"/>
        </w:rPr>
        <w:t xml:space="preserve">If the court concludes </w:t>
      </w:r>
      <w:r w:rsidR="00EC1848">
        <w:rPr>
          <w:sz w:val="28"/>
          <w:szCs w:val="28"/>
          <w:lang w:val="en-GB"/>
        </w:rPr>
        <w:t>in the affirmative</w:t>
      </w:r>
      <w:r w:rsidR="008225B8" w:rsidRPr="00CD08DB">
        <w:rPr>
          <w:sz w:val="28"/>
          <w:szCs w:val="28"/>
          <w:lang w:val="en-GB"/>
        </w:rPr>
        <w:t xml:space="preserve">, it will </w:t>
      </w:r>
      <w:r w:rsidR="00EC1848">
        <w:rPr>
          <w:sz w:val="28"/>
          <w:szCs w:val="28"/>
          <w:lang w:val="en-GB"/>
        </w:rPr>
        <w:t>proceed to</w:t>
      </w:r>
      <w:r w:rsidR="008225B8" w:rsidRPr="00CD08DB">
        <w:rPr>
          <w:sz w:val="28"/>
          <w:szCs w:val="28"/>
          <w:lang w:val="en-GB"/>
        </w:rPr>
        <w:t xml:space="preserve"> examine the justification advanced by the </w:t>
      </w:r>
      <w:r w:rsidR="00373863">
        <w:rPr>
          <w:sz w:val="28"/>
          <w:szCs w:val="28"/>
          <w:lang w:val="en-GB"/>
        </w:rPr>
        <w:lastRenderedPageBreak/>
        <w:t>rule/policy-maker</w:t>
      </w:r>
      <w:r w:rsidR="008225B8" w:rsidRPr="00CD08DB">
        <w:rPr>
          <w:sz w:val="28"/>
          <w:szCs w:val="28"/>
          <w:lang w:val="en-GB"/>
        </w:rPr>
        <w:t xml:space="preserve"> </w:t>
      </w:r>
      <w:r w:rsidR="00373863">
        <w:rPr>
          <w:sz w:val="28"/>
          <w:szCs w:val="28"/>
          <w:lang w:val="en-GB"/>
        </w:rPr>
        <w:t xml:space="preserve">to </w:t>
      </w:r>
      <w:r w:rsidR="008225B8" w:rsidRPr="00CD08DB">
        <w:rPr>
          <w:sz w:val="28"/>
          <w:szCs w:val="28"/>
          <w:lang w:val="en-GB"/>
        </w:rPr>
        <w:t>sustain the differential treatment.</w:t>
      </w:r>
      <w:r w:rsidR="00961F98">
        <w:rPr>
          <w:rStyle w:val="FootnoteReference"/>
          <w:sz w:val="28"/>
          <w:szCs w:val="28"/>
          <w:lang w:val="en-GB"/>
        </w:rPr>
        <w:footnoteReference w:id="54"/>
      </w:r>
      <w:r w:rsidR="008225B8" w:rsidRPr="00CD08DB">
        <w:rPr>
          <w:sz w:val="28"/>
          <w:szCs w:val="28"/>
          <w:lang w:val="en-GB"/>
        </w:rPr>
        <w:t xml:space="preserve"> </w:t>
      </w:r>
      <w:r w:rsidR="003D3258">
        <w:rPr>
          <w:sz w:val="28"/>
          <w:szCs w:val="28"/>
          <w:lang w:val="en-GB"/>
        </w:rPr>
        <w:t xml:space="preserve"> </w:t>
      </w:r>
      <w:proofErr w:type="gramStart"/>
      <w:r w:rsidR="008225B8" w:rsidRPr="00CD08DB">
        <w:rPr>
          <w:sz w:val="28"/>
          <w:szCs w:val="28"/>
          <w:lang w:val="en-GB"/>
        </w:rPr>
        <w:t xml:space="preserve">This justification is scrutinised under the </w:t>
      </w:r>
      <w:r w:rsidR="00373863" w:rsidRPr="00B813CD">
        <w:rPr>
          <w:i/>
          <w:sz w:val="28"/>
          <w:szCs w:val="28"/>
          <w:lang w:val="en-GB"/>
        </w:rPr>
        <w:t>Hysan</w:t>
      </w:r>
      <w:r w:rsidR="008225B8" w:rsidRPr="00CD08DB">
        <w:rPr>
          <w:sz w:val="28"/>
          <w:szCs w:val="28"/>
          <w:lang w:val="en-GB"/>
        </w:rPr>
        <w:t xml:space="preserve"> four-stage proportionality analysis</w:t>
      </w:r>
      <w:r w:rsidR="00EC1848">
        <w:rPr>
          <w:sz w:val="28"/>
          <w:szCs w:val="28"/>
          <w:lang w:val="en-GB"/>
        </w:rPr>
        <w:t xml:space="preserve"> involving</w:t>
      </w:r>
      <w:r w:rsidR="008225B8" w:rsidRPr="00CD08DB">
        <w:rPr>
          <w:sz w:val="28"/>
          <w:szCs w:val="28"/>
          <w:lang w:val="en-GB"/>
        </w:rPr>
        <w:t>:</w:t>
      </w:r>
      <w:r w:rsidR="0036482A" w:rsidRPr="004648FA">
        <w:rPr>
          <w:rStyle w:val="FootnoteReference"/>
          <w:sz w:val="28"/>
          <w:szCs w:val="28"/>
          <w:lang w:val="en-GB"/>
        </w:rPr>
        <w:footnoteReference w:id="55"/>
      </w:r>
      <w:r w:rsidR="008225B8" w:rsidRPr="00CD08DB">
        <w:rPr>
          <w:sz w:val="28"/>
          <w:szCs w:val="28"/>
          <w:lang w:val="en-GB"/>
        </w:rPr>
        <w:t xml:space="preserve"> </w:t>
      </w:r>
      <w:r w:rsidR="00EC1848">
        <w:rPr>
          <w:sz w:val="28"/>
          <w:szCs w:val="28"/>
          <w:lang w:val="en-GB"/>
        </w:rPr>
        <w:t>(1) identifying</w:t>
      </w:r>
      <w:r w:rsidR="008225B8" w:rsidRPr="00CD08DB">
        <w:rPr>
          <w:sz w:val="28"/>
          <w:szCs w:val="28"/>
          <w:lang w:val="en-GB"/>
        </w:rPr>
        <w:t xml:space="preserve"> a legitimate aim; </w:t>
      </w:r>
      <w:r w:rsidR="00EC1848">
        <w:rPr>
          <w:sz w:val="28"/>
          <w:szCs w:val="28"/>
          <w:lang w:val="en-GB"/>
        </w:rPr>
        <w:t xml:space="preserve">(2) establishing </w:t>
      </w:r>
      <w:r w:rsidR="008225B8" w:rsidRPr="00CD08DB">
        <w:rPr>
          <w:sz w:val="28"/>
          <w:szCs w:val="28"/>
          <w:lang w:val="en-GB"/>
        </w:rPr>
        <w:t xml:space="preserve">a rational connection between the </w:t>
      </w:r>
      <w:r w:rsidR="002B33AF" w:rsidRPr="00CD08DB">
        <w:rPr>
          <w:sz w:val="28"/>
          <w:szCs w:val="28"/>
          <w:lang w:val="en-GB"/>
        </w:rPr>
        <w:t xml:space="preserve">challenged </w:t>
      </w:r>
      <w:r w:rsidR="008225B8" w:rsidRPr="00CD08DB">
        <w:rPr>
          <w:sz w:val="28"/>
          <w:szCs w:val="28"/>
          <w:lang w:val="en-GB"/>
        </w:rPr>
        <w:t xml:space="preserve">measure and its aim; </w:t>
      </w:r>
      <w:r w:rsidR="00EC1848">
        <w:rPr>
          <w:sz w:val="28"/>
          <w:szCs w:val="28"/>
          <w:lang w:val="en-GB"/>
        </w:rPr>
        <w:t xml:space="preserve">(3) reviewing </w:t>
      </w:r>
      <w:r w:rsidR="008225B8" w:rsidRPr="00CD08DB">
        <w:rPr>
          <w:sz w:val="28"/>
          <w:szCs w:val="28"/>
          <w:lang w:val="en-GB"/>
        </w:rPr>
        <w:t xml:space="preserve">whether the measure is </w:t>
      </w:r>
      <w:r w:rsidR="00B813CD">
        <w:rPr>
          <w:sz w:val="28"/>
          <w:szCs w:val="28"/>
          <w:lang w:val="en-GB"/>
        </w:rPr>
        <w:t>proportionate</w:t>
      </w:r>
      <w:r w:rsidR="008225B8" w:rsidRPr="00CD08DB">
        <w:rPr>
          <w:sz w:val="28"/>
          <w:szCs w:val="28"/>
          <w:lang w:val="en-GB"/>
        </w:rPr>
        <w:t>;</w:t>
      </w:r>
      <w:r w:rsidR="000E369E" w:rsidRPr="004648FA">
        <w:rPr>
          <w:rStyle w:val="FootnoteReference"/>
          <w:sz w:val="28"/>
          <w:szCs w:val="28"/>
          <w:lang w:val="en-GB"/>
        </w:rPr>
        <w:footnoteReference w:id="56"/>
      </w:r>
      <w:r w:rsidR="008225B8" w:rsidRPr="00CD08DB">
        <w:rPr>
          <w:sz w:val="28"/>
          <w:szCs w:val="28"/>
          <w:lang w:val="en-GB"/>
        </w:rPr>
        <w:t xml:space="preserve"> and </w:t>
      </w:r>
      <w:r w:rsidR="00EC1848">
        <w:rPr>
          <w:sz w:val="28"/>
          <w:szCs w:val="28"/>
          <w:lang w:val="en-GB"/>
        </w:rPr>
        <w:t xml:space="preserve">(4) verifying that </w:t>
      </w:r>
      <w:r w:rsidR="008225B8" w:rsidRPr="00CD08DB">
        <w:rPr>
          <w:sz w:val="28"/>
          <w:szCs w:val="28"/>
          <w:lang w:val="en-GB"/>
        </w:rPr>
        <w:t xml:space="preserve">a reasonable balance is struck between the societal benefits of the measure and the </w:t>
      </w:r>
      <w:r w:rsidR="00CD3423">
        <w:rPr>
          <w:sz w:val="28"/>
          <w:szCs w:val="28"/>
          <w:lang w:val="en-GB"/>
        </w:rPr>
        <w:t>inroads made into the rights of the</w:t>
      </w:r>
      <w:r w:rsidR="008225B8" w:rsidRPr="00CD08DB">
        <w:rPr>
          <w:sz w:val="28"/>
          <w:szCs w:val="28"/>
          <w:lang w:val="en-GB"/>
        </w:rPr>
        <w:t xml:space="preserve"> affected individuals.</w:t>
      </w:r>
      <w:r w:rsidR="00A50D8A" w:rsidRPr="004648FA">
        <w:rPr>
          <w:rStyle w:val="FootnoteReference"/>
          <w:sz w:val="28"/>
          <w:szCs w:val="28"/>
          <w:lang w:val="en-GB"/>
        </w:rPr>
        <w:footnoteReference w:id="57"/>
      </w:r>
      <w:proofErr w:type="gramEnd"/>
      <w:r w:rsidR="00AF2A30">
        <w:rPr>
          <w:sz w:val="28"/>
          <w:szCs w:val="28"/>
          <w:lang w:val="en-GB"/>
        </w:rPr>
        <w:t xml:space="preserve">  Where the rule or policy cannot be so justified, the court will consider if it </w:t>
      </w:r>
      <w:proofErr w:type="gramStart"/>
      <w:r w:rsidR="00AF2A30">
        <w:rPr>
          <w:sz w:val="28"/>
          <w:szCs w:val="28"/>
          <w:lang w:val="en-GB"/>
        </w:rPr>
        <w:t>can</w:t>
      </w:r>
      <w:r w:rsidR="000F62C8">
        <w:rPr>
          <w:sz w:val="28"/>
          <w:szCs w:val="28"/>
          <w:lang w:val="en-GB"/>
        </w:rPr>
        <w:t xml:space="preserve"> nevertheless</w:t>
      </w:r>
      <w:r w:rsidR="00AF2A30">
        <w:rPr>
          <w:sz w:val="28"/>
          <w:szCs w:val="28"/>
          <w:lang w:val="en-GB"/>
        </w:rPr>
        <w:t xml:space="preserve"> be preserved</w:t>
      </w:r>
      <w:proofErr w:type="gramEnd"/>
      <w:r w:rsidR="00AF2A30">
        <w:rPr>
          <w:sz w:val="28"/>
          <w:szCs w:val="28"/>
          <w:lang w:val="en-GB"/>
        </w:rPr>
        <w:t xml:space="preserve"> by a remedial interpretation.</w:t>
      </w:r>
      <w:r w:rsidR="007F08D6">
        <w:rPr>
          <w:rStyle w:val="FootnoteReference"/>
          <w:sz w:val="28"/>
          <w:szCs w:val="28"/>
          <w:lang w:val="en-GB"/>
        </w:rPr>
        <w:footnoteReference w:id="58"/>
      </w:r>
      <w:r w:rsidR="00AF2A30">
        <w:rPr>
          <w:sz w:val="28"/>
          <w:szCs w:val="28"/>
          <w:lang w:val="en-GB"/>
        </w:rPr>
        <w:t xml:space="preserve">  If not, the court will strike it down as being unconstitutional and invalid.</w:t>
      </w:r>
      <w:r w:rsidR="007F08D6">
        <w:rPr>
          <w:rStyle w:val="FootnoteReference"/>
          <w:sz w:val="28"/>
          <w:szCs w:val="28"/>
          <w:lang w:val="en-GB"/>
        </w:rPr>
        <w:footnoteReference w:id="59"/>
      </w:r>
      <w:r w:rsidR="00AF2A30">
        <w:rPr>
          <w:sz w:val="28"/>
          <w:szCs w:val="28"/>
          <w:lang w:val="en-GB"/>
        </w:rPr>
        <w:t xml:space="preserve"> </w:t>
      </w:r>
    </w:p>
    <w:p w:rsidR="007D22C5" w:rsidRPr="007D22C5" w:rsidRDefault="00F2184A" w:rsidP="0053491D">
      <w:pPr>
        <w:keepNext/>
        <w:numPr>
          <w:ilvl w:val="0"/>
          <w:numId w:val="4"/>
        </w:numPr>
        <w:snapToGrid w:val="0"/>
        <w:spacing w:after="360" w:line="360" w:lineRule="auto"/>
        <w:ind w:left="0" w:firstLine="0"/>
        <w:jc w:val="both"/>
        <w:rPr>
          <w:b/>
          <w:i/>
          <w:sz w:val="28"/>
          <w:szCs w:val="28"/>
          <w:lang w:val="en-GB"/>
        </w:rPr>
      </w:pPr>
      <w:r w:rsidRPr="007D22C5">
        <w:rPr>
          <w:sz w:val="28"/>
          <w:szCs w:val="28"/>
          <w:lang w:val="en-GB"/>
        </w:rPr>
        <w:tab/>
      </w:r>
      <w:r w:rsidR="008225B8" w:rsidRPr="007D22C5">
        <w:rPr>
          <w:sz w:val="28"/>
          <w:szCs w:val="28"/>
          <w:lang w:val="en-GB"/>
        </w:rPr>
        <w:t xml:space="preserve">Furthermore, in a series of cases </w:t>
      </w:r>
      <w:r w:rsidR="007D22C5" w:rsidRPr="007D22C5">
        <w:rPr>
          <w:sz w:val="28"/>
          <w:szCs w:val="28"/>
          <w:lang w:val="en-GB"/>
        </w:rPr>
        <w:t>involving</w:t>
      </w:r>
      <w:r w:rsidR="008225B8" w:rsidRPr="007D22C5">
        <w:rPr>
          <w:sz w:val="28"/>
          <w:szCs w:val="28"/>
          <w:lang w:val="en-GB"/>
        </w:rPr>
        <w:t xml:space="preserve"> same-sex </w:t>
      </w:r>
      <w:r w:rsidR="007D22C5" w:rsidRPr="007D22C5">
        <w:rPr>
          <w:sz w:val="28"/>
          <w:szCs w:val="28"/>
          <w:lang w:val="en-GB"/>
        </w:rPr>
        <w:t>unions</w:t>
      </w:r>
      <w:r w:rsidR="008225B8" w:rsidRPr="007D22C5">
        <w:rPr>
          <w:sz w:val="28"/>
          <w:szCs w:val="28"/>
          <w:lang w:val="en-GB"/>
        </w:rPr>
        <w:t>,</w:t>
      </w:r>
      <w:r w:rsidR="00254F30" w:rsidRPr="004648FA">
        <w:rPr>
          <w:rStyle w:val="FootnoteReference"/>
          <w:sz w:val="28"/>
          <w:szCs w:val="28"/>
          <w:lang w:val="en-GB"/>
        </w:rPr>
        <w:footnoteReference w:id="60"/>
      </w:r>
      <w:r w:rsidR="008225B8" w:rsidRPr="007D22C5">
        <w:rPr>
          <w:sz w:val="28"/>
          <w:szCs w:val="28"/>
          <w:lang w:val="en-GB"/>
        </w:rPr>
        <w:t xml:space="preserve"> this </w:t>
      </w:r>
      <w:r w:rsidR="00B24E0B">
        <w:rPr>
          <w:sz w:val="28"/>
          <w:szCs w:val="28"/>
          <w:lang w:val="en-GB"/>
        </w:rPr>
        <w:t>c</w:t>
      </w:r>
      <w:r w:rsidR="008225B8" w:rsidRPr="007D22C5">
        <w:rPr>
          <w:sz w:val="28"/>
          <w:szCs w:val="28"/>
          <w:lang w:val="en-GB"/>
        </w:rPr>
        <w:t xml:space="preserve">ourt has explained and demonstrated how the legal principles on equality and </w:t>
      </w:r>
      <w:r w:rsidR="00CB4EAD">
        <w:rPr>
          <w:sz w:val="28"/>
          <w:szCs w:val="28"/>
          <w:lang w:val="en-GB"/>
        </w:rPr>
        <w:t>non</w:t>
      </w:r>
      <w:r w:rsidR="008225B8" w:rsidRPr="007D22C5">
        <w:rPr>
          <w:sz w:val="28"/>
          <w:szCs w:val="28"/>
          <w:lang w:val="en-GB"/>
        </w:rPr>
        <w:t xml:space="preserve">-discrimination </w:t>
      </w:r>
      <w:proofErr w:type="gramStart"/>
      <w:r w:rsidR="008225B8" w:rsidRPr="007D22C5">
        <w:rPr>
          <w:sz w:val="28"/>
          <w:szCs w:val="28"/>
          <w:lang w:val="en-GB"/>
        </w:rPr>
        <w:t>should be applied</w:t>
      </w:r>
      <w:proofErr w:type="gramEnd"/>
      <w:r w:rsidR="008225B8" w:rsidRPr="007D22C5">
        <w:rPr>
          <w:sz w:val="28"/>
          <w:szCs w:val="28"/>
          <w:lang w:val="en-GB"/>
        </w:rPr>
        <w:t xml:space="preserve"> in the context of the unique </w:t>
      </w:r>
      <w:r w:rsidR="008225B8" w:rsidRPr="007D22C5">
        <w:rPr>
          <w:sz w:val="28"/>
          <w:szCs w:val="28"/>
          <w:lang w:val="en-GB"/>
        </w:rPr>
        <w:lastRenderedPageBreak/>
        <w:t xml:space="preserve">situations and challenges faced by same-sex </w:t>
      </w:r>
      <w:r w:rsidR="007D22C5" w:rsidRPr="007D22C5">
        <w:rPr>
          <w:sz w:val="28"/>
          <w:szCs w:val="28"/>
          <w:lang w:val="en-GB"/>
        </w:rPr>
        <w:t>couples</w:t>
      </w:r>
      <w:r w:rsidR="008225B8" w:rsidRPr="007D22C5">
        <w:rPr>
          <w:sz w:val="28"/>
          <w:szCs w:val="28"/>
          <w:lang w:val="en-GB"/>
        </w:rPr>
        <w:t xml:space="preserve"> in Hong Kong</w:t>
      </w:r>
      <w:r w:rsidR="007C357E" w:rsidRPr="007D22C5">
        <w:rPr>
          <w:sz w:val="28"/>
          <w:szCs w:val="28"/>
          <w:lang w:val="en-GB"/>
        </w:rPr>
        <w:t xml:space="preserve">.  </w:t>
      </w:r>
      <w:r w:rsidR="008225B8" w:rsidRPr="007D22C5">
        <w:rPr>
          <w:sz w:val="28"/>
          <w:szCs w:val="28"/>
          <w:lang w:val="en-GB"/>
        </w:rPr>
        <w:t>The</w:t>
      </w:r>
      <w:r w:rsidR="00DD55EE" w:rsidRPr="007D22C5">
        <w:rPr>
          <w:sz w:val="28"/>
          <w:szCs w:val="28"/>
          <w:lang w:val="en-GB"/>
        </w:rPr>
        <w:t xml:space="preserve"> present</w:t>
      </w:r>
      <w:r w:rsidR="008225B8" w:rsidRPr="007D22C5">
        <w:rPr>
          <w:sz w:val="28"/>
          <w:szCs w:val="28"/>
          <w:lang w:val="en-GB"/>
        </w:rPr>
        <w:t xml:space="preserve"> appeals concern</w:t>
      </w:r>
      <w:r w:rsidR="000F62C8">
        <w:rPr>
          <w:sz w:val="28"/>
          <w:szCs w:val="28"/>
          <w:lang w:val="en-GB"/>
        </w:rPr>
        <w:t xml:space="preserve"> similar issues in </w:t>
      </w:r>
      <w:r w:rsidR="009C6C90">
        <w:rPr>
          <w:sz w:val="28"/>
          <w:szCs w:val="28"/>
          <w:lang w:val="en-GB"/>
        </w:rPr>
        <w:t>the respective contexts of</w:t>
      </w:r>
      <w:r w:rsidR="008225B8" w:rsidRPr="007D22C5">
        <w:rPr>
          <w:sz w:val="28"/>
          <w:szCs w:val="28"/>
          <w:lang w:val="en-GB"/>
        </w:rPr>
        <w:t xml:space="preserve"> public </w:t>
      </w:r>
      <w:r w:rsidR="00DA244B" w:rsidRPr="007D22C5">
        <w:rPr>
          <w:sz w:val="28"/>
          <w:szCs w:val="28"/>
          <w:lang w:val="en-GB"/>
        </w:rPr>
        <w:t xml:space="preserve">rental </w:t>
      </w:r>
      <w:r w:rsidR="008225B8" w:rsidRPr="007D22C5">
        <w:rPr>
          <w:sz w:val="28"/>
          <w:szCs w:val="28"/>
          <w:lang w:val="en-GB"/>
        </w:rPr>
        <w:t>housing and subsidised home ownership flats</w:t>
      </w:r>
      <w:r w:rsidR="007C357E" w:rsidRPr="007D22C5">
        <w:rPr>
          <w:sz w:val="28"/>
          <w:szCs w:val="28"/>
          <w:lang w:val="en-GB"/>
        </w:rPr>
        <w:t xml:space="preserve">.  </w:t>
      </w:r>
      <w:r w:rsidR="006003FC">
        <w:rPr>
          <w:sz w:val="28"/>
          <w:szCs w:val="28"/>
          <w:lang w:val="en-GB"/>
        </w:rPr>
        <w:t xml:space="preserve">I </w:t>
      </w:r>
      <w:r w:rsidR="008225B8" w:rsidRPr="007D22C5">
        <w:rPr>
          <w:sz w:val="28"/>
          <w:szCs w:val="28"/>
          <w:lang w:val="en-GB"/>
        </w:rPr>
        <w:t xml:space="preserve">shall return to these principles when addressing the </w:t>
      </w:r>
      <w:r w:rsidR="009C6C90">
        <w:rPr>
          <w:sz w:val="28"/>
          <w:szCs w:val="28"/>
          <w:lang w:val="en-GB"/>
        </w:rPr>
        <w:t>various</w:t>
      </w:r>
      <w:r w:rsidR="008225B8" w:rsidRPr="007D22C5">
        <w:rPr>
          <w:sz w:val="28"/>
          <w:szCs w:val="28"/>
          <w:lang w:val="en-GB"/>
        </w:rPr>
        <w:t xml:space="preserve"> issues raised </w:t>
      </w:r>
      <w:r w:rsidR="00DA1A8B">
        <w:rPr>
          <w:sz w:val="28"/>
          <w:szCs w:val="28"/>
          <w:lang w:val="en-GB"/>
        </w:rPr>
        <w:t>in</w:t>
      </w:r>
      <w:r w:rsidR="00DA1A8B" w:rsidRPr="007D22C5">
        <w:rPr>
          <w:sz w:val="28"/>
          <w:szCs w:val="28"/>
          <w:lang w:val="en-GB"/>
        </w:rPr>
        <w:t xml:space="preserve"> </w:t>
      </w:r>
      <w:r w:rsidR="008225B8" w:rsidRPr="007D22C5">
        <w:rPr>
          <w:sz w:val="28"/>
          <w:szCs w:val="28"/>
          <w:lang w:val="en-GB"/>
        </w:rPr>
        <w:t>these appeals.</w:t>
      </w:r>
    </w:p>
    <w:p w:rsidR="00A24A08" w:rsidRPr="007D22C5" w:rsidRDefault="00DA244B" w:rsidP="0053491D">
      <w:pPr>
        <w:keepNext/>
        <w:snapToGrid w:val="0"/>
        <w:spacing w:after="360" w:line="360" w:lineRule="auto"/>
        <w:jc w:val="both"/>
        <w:rPr>
          <w:b/>
          <w:i/>
          <w:sz w:val="28"/>
          <w:szCs w:val="28"/>
          <w:lang w:val="en-GB"/>
        </w:rPr>
      </w:pPr>
      <w:r w:rsidRPr="007D22C5">
        <w:rPr>
          <w:b/>
          <w:i/>
          <w:sz w:val="28"/>
          <w:szCs w:val="28"/>
          <w:lang w:val="en-GB"/>
        </w:rPr>
        <w:t>I</w:t>
      </w:r>
      <w:r w:rsidR="00A24A08" w:rsidRPr="007D22C5">
        <w:rPr>
          <w:b/>
          <w:i/>
          <w:sz w:val="28"/>
          <w:szCs w:val="28"/>
          <w:lang w:val="en-GB"/>
        </w:rPr>
        <w:t>mpugned policies</w:t>
      </w:r>
    </w:p>
    <w:p w:rsidR="008225B8" w:rsidRPr="004648FA" w:rsidRDefault="00F2184A"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r w:rsidR="008225B8" w:rsidRPr="004648FA">
        <w:rPr>
          <w:sz w:val="28"/>
          <w:szCs w:val="28"/>
          <w:lang w:val="en-GB"/>
        </w:rPr>
        <w:t>The HA policies challenged in these appeals have been outlined above.</w:t>
      </w:r>
      <w:r w:rsidR="00254F30" w:rsidRPr="004648FA">
        <w:rPr>
          <w:rStyle w:val="FootnoteReference"/>
          <w:sz w:val="28"/>
          <w:lang w:val="en-GB"/>
        </w:rPr>
        <w:footnoteReference w:id="61"/>
      </w:r>
    </w:p>
    <w:p w:rsidR="00254F30" w:rsidRDefault="00E44243" w:rsidP="0053491D">
      <w:pPr>
        <w:keepNext/>
        <w:snapToGrid w:val="0"/>
        <w:spacing w:after="360" w:line="360" w:lineRule="auto"/>
        <w:jc w:val="both"/>
        <w:rPr>
          <w:b/>
          <w:i/>
          <w:sz w:val="28"/>
          <w:szCs w:val="28"/>
          <w:lang w:val="en-GB"/>
        </w:rPr>
      </w:pPr>
      <w:r w:rsidRPr="004648FA">
        <w:rPr>
          <w:b/>
          <w:i/>
          <w:sz w:val="28"/>
          <w:szCs w:val="28"/>
          <w:lang w:val="en-GB"/>
        </w:rPr>
        <w:t xml:space="preserve">HA’s </w:t>
      </w:r>
      <w:r w:rsidR="00DA244B">
        <w:rPr>
          <w:b/>
          <w:i/>
          <w:sz w:val="28"/>
          <w:szCs w:val="28"/>
          <w:lang w:val="en-GB"/>
        </w:rPr>
        <w:t>central</w:t>
      </w:r>
      <w:r w:rsidRPr="004648FA">
        <w:rPr>
          <w:b/>
          <w:i/>
          <w:sz w:val="28"/>
          <w:szCs w:val="28"/>
          <w:lang w:val="en-GB"/>
        </w:rPr>
        <w:t xml:space="preserve"> argument</w:t>
      </w:r>
      <w:r w:rsidR="00A24A08">
        <w:rPr>
          <w:b/>
          <w:i/>
          <w:sz w:val="28"/>
          <w:szCs w:val="28"/>
          <w:lang w:val="en-GB"/>
        </w:rPr>
        <w:t xml:space="preserve"> on </w:t>
      </w:r>
      <w:r w:rsidR="00EA6EED">
        <w:rPr>
          <w:b/>
          <w:i/>
          <w:sz w:val="28"/>
          <w:szCs w:val="28"/>
          <w:lang w:val="en-GB"/>
        </w:rPr>
        <w:t>non-</w:t>
      </w:r>
      <w:r w:rsidR="00A24A08">
        <w:rPr>
          <w:b/>
          <w:i/>
          <w:sz w:val="28"/>
          <w:szCs w:val="28"/>
          <w:lang w:val="en-GB"/>
        </w:rPr>
        <w:t>engagement</w:t>
      </w:r>
      <w:r w:rsidR="00EA6EED">
        <w:rPr>
          <w:b/>
          <w:i/>
          <w:sz w:val="28"/>
          <w:szCs w:val="28"/>
          <w:lang w:val="en-GB"/>
        </w:rPr>
        <w:t xml:space="preserve"> of right to equality</w:t>
      </w:r>
      <w:r w:rsidR="00A24A08">
        <w:rPr>
          <w:b/>
          <w:i/>
          <w:sz w:val="28"/>
          <w:szCs w:val="28"/>
          <w:lang w:val="en-GB"/>
        </w:rPr>
        <w:t>:  BL36</w:t>
      </w:r>
    </w:p>
    <w:p w:rsidR="008225B8" w:rsidRDefault="00F2184A" w:rsidP="003C2699">
      <w:pPr>
        <w:keepNext/>
        <w:numPr>
          <w:ilvl w:val="0"/>
          <w:numId w:val="4"/>
        </w:numPr>
        <w:snapToGrid w:val="0"/>
        <w:spacing w:after="280" w:line="360" w:lineRule="auto"/>
        <w:ind w:left="0" w:firstLine="0"/>
        <w:jc w:val="both"/>
        <w:rPr>
          <w:sz w:val="28"/>
          <w:szCs w:val="28"/>
          <w:lang w:val="en-GB"/>
        </w:rPr>
      </w:pPr>
      <w:r>
        <w:rPr>
          <w:sz w:val="28"/>
          <w:szCs w:val="28"/>
          <w:lang w:val="en-GB"/>
        </w:rPr>
        <w:tab/>
      </w:r>
      <w:r w:rsidR="008225B8" w:rsidRPr="004648FA">
        <w:rPr>
          <w:sz w:val="28"/>
          <w:szCs w:val="28"/>
          <w:lang w:val="en-GB"/>
        </w:rPr>
        <w:t xml:space="preserve">Under the common law, equality before the law is fundamental to the </w:t>
      </w:r>
      <w:r w:rsidR="00DC1325" w:rsidRPr="004648FA">
        <w:rPr>
          <w:sz w:val="28"/>
          <w:szCs w:val="28"/>
          <w:lang w:val="en-GB"/>
        </w:rPr>
        <w:t>r</w:t>
      </w:r>
      <w:r w:rsidR="008225B8" w:rsidRPr="004648FA">
        <w:rPr>
          <w:sz w:val="28"/>
          <w:szCs w:val="28"/>
          <w:lang w:val="en-GB"/>
        </w:rPr>
        <w:t xml:space="preserve">ule of </w:t>
      </w:r>
      <w:r w:rsidR="00DC1325" w:rsidRPr="004648FA">
        <w:rPr>
          <w:sz w:val="28"/>
          <w:szCs w:val="28"/>
          <w:lang w:val="en-GB"/>
        </w:rPr>
        <w:t>l</w:t>
      </w:r>
      <w:r w:rsidR="008225B8" w:rsidRPr="004648FA">
        <w:rPr>
          <w:sz w:val="28"/>
          <w:szCs w:val="28"/>
          <w:lang w:val="en-GB"/>
        </w:rPr>
        <w:t>aw.</w:t>
      </w:r>
      <w:r w:rsidR="00DC1325" w:rsidRPr="004648FA">
        <w:rPr>
          <w:rStyle w:val="FootnoteReference"/>
          <w:sz w:val="28"/>
          <w:szCs w:val="28"/>
          <w:lang w:val="en-GB"/>
        </w:rPr>
        <w:footnoteReference w:id="62"/>
      </w:r>
      <w:r w:rsidR="008225B8" w:rsidRPr="004648FA">
        <w:rPr>
          <w:sz w:val="28"/>
          <w:szCs w:val="28"/>
          <w:lang w:val="en-GB"/>
        </w:rPr>
        <w:t xml:space="preserve"> At the </w:t>
      </w:r>
      <w:r w:rsidR="00DA244B">
        <w:rPr>
          <w:sz w:val="28"/>
          <w:szCs w:val="28"/>
          <w:lang w:val="en-GB"/>
        </w:rPr>
        <w:t>constitutional</w:t>
      </w:r>
      <w:r w:rsidR="008225B8" w:rsidRPr="004648FA">
        <w:rPr>
          <w:sz w:val="28"/>
          <w:szCs w:val="28"/>
          <w:lang w:val="en-GB"/>
        </w:rPr>
        <w:t xml:space="preserve"> level, equality protection and </w:t>
      </w:r>
      <w:r w:rsidR="00CB4EAD">
        <w:rPr>
          <w:sz w:val="28"/>
          <w:szCs w:val="28"/>
          <w:lang w:val="en-GB"/>
        </w:rPr>
        <w:t>non</w:t>
      </w:r>
      <w:r w:rsidR="008225B8" w:rsidRPr="004648FA">
        <w:rPr>
          <w:sz w:val="28"/>
          <w:szCs w:val="28"/>
          <w:lang w:val="en-GB"/>
        </w:rPr>
        <w:t xml:space="preserve">-discrimination </w:t>
      </w:r>
      <w:proofErr w:type="gramStart"/>
      <w:r w:rsidR="008225B8" w:rsidRPr="004648FA">
        <w:rPr>
          <w:sz w:val="28"/>
          <w:szCs w:val="28"/>
          <w:lang w:val="en-GB"/>
        </w:rPr>
        <w:t>are guaranteed</w:t>
      </w:r>
      <w:proofErr w:type="gramEnd"/>
      <w:r w:rsidR="008225B8" w:rsidRPr="004648FA">
        <w:rPr>
          <w:sz w:val="28"/>
          <w:szCs w:val="28"/>
          <w:lang w:val="en-GB"/>
        </w:rPr>
        <w:t xml:space="preserve"> under Article </w:t>
      </w:r>
      <w:r w:rsidR="002B33AF" w:rsidRPr="004648FA">
        <w:rPr>
          <w:sz w:val="28"/>
          <w:szCs w:val="28"/>
          <w:lang w:val="en-GB"/>
        </w:rPr>
        <w:t>25</w:t>
      </w:r>
      <w:r w:rsidR="008225B8" w:rsidRPr="004648FA">
        <w:rPr>
          <w:sz w:val="28"/>
          <w:szCs w:val="28"/>
          <w:lang w:val="en-GB"/>
        </w:rPr>
        <w:t xml:space="preserve"> of the </w:t>
      </w:r>
      <w:r w:rsidR="002B33AF" w:rsidRPr="004648FA">
        <w:rPr>
          <w:sz w:val="28"/>
          <w:szCs w:val="28"/>
          <w:lang w:val="en-GB"/>
        </w:rPr>
        <w:t>Basic Law</w:t>
      </w:r>
      <w:r w:rsidR="008225B8" w:rsidRPr="004648FA">
        <w:rPr>
          <w:sz w:val="28"/>
          <w:szCs w:val="28"/>
          <w:lang w:val="en-GB"/>
        </w:rPr>
        <w:t xml:space="preserve"> </w:t>
      </w:r>
      <w:r w:rsidR="002B712F" w:rsidRPr="004648FA">
        <w:rPr>
          <w:sz w:val="28"/>
          <w:szCs w:val="28"/>
          <w:lang w:val="en-GB"/>
        </w:rPr>
        <w:t>(“BL25”)</w:t>
      </w:r>
      <w:r w:rsidR="0063643D" w:rsidRPr="004648FA">
        <w:rPr>
          <w:rStyle w:val="FootnoteReference"/>
          <w:sz w:val="28"/>
          <w:szCs w:val="28"/>
          <w:lang w:val="en-GB"/>
        </w:rPr>
        <w:t xml:space="preserve"> </w:t>
      </w:r>
      <w:r w:rsidR="0063643D" w:rsidRPr="004648FA">
        <w:rPr>
          <w:rStyle w:val="FootnoteReference"/>
          <w:sz w:val="28"/>
          <w:szCs w:val="28"/>
          <w:lang w:val="en-GB"/>
        </w:rPr>
        <w:footnoteReference w:id="63"/>
      </w:r>
      <w:r w:rsidR="002B712F" w:rsidRPr="004648FA">
        <w:rPr>
          <w:sz w:val="28"/>
          <w:szCs w:val="28"/>
          <w:lang w:val="en-GB"/>
        </w:rPr>
        <w:t xml:space="preserve"> </w:t>
      </w:r>
      <w:r w:rsidR="008225B8" w:rsidRPr="004648FA">
        <w:rPr>
          <w:sz w:val="28"/>
          <w:szCs w:val="28"/>
          <w:lang w:val="en-GB"/>
        </w:rPr>
        <w:t xml:space="preserve">and Article </w:t>
      </w:r>
      <w:r w:rsidR="002B33AF" w:rsidRPr="004648FA">
        <w:rPr>
          <w:sz w:val="28"/>
          <w:szCs w:val="28"/>
          <w:lang w:val="en-GB"/>
        </w:rPr>
        <w:t>22</w:t>
      </w:r>
      <w:r w:rsidR="008225B8" w:rsidRPr="004648FA">
        <w:rPr>
          <w:sz w:val="28"/>
          <w:szCs w:val="28"/>
          <w:lang w:val="en-GB"/>
        </w:rPr>
        <w:t xml:space="preserve"> of the Hong Kong </w:t>
      </w:r>
      <w:r w:rsidR="002B33AF" w:rsidRPr="004648FA">
        <w:rPr>
          <w:sz w:val="28"/>
          <w:szCs w:val="28"/>
          <w:lang w:val="en-GB"/>
        </w:rPr>
        <w:t>Bill of Rights</w:t>
      </w:r>
      <w:r w:rsidR="002B712F" w:rsidRPr="004648FA">
        <w:rPr>
          <w:sz w:val="28"/>
          <w:szCs w:val="28"/>
          <w:lang w:val="en-GB"/>
        </w:rPr>
        <w:t xml:space="preserve"> (“BOR22”)</w:t>
      </w:r>
      <w:r w:rsidR="008225B8" w:rsidRPr="004648FA">
        <w:rPr>
          <w:sz w:val="28"/>
          <w:szCs w:val="28"/>
          <w:lang w:val="en-GB"/>
        </w:rPr>
        <w:t>,</w:t>
      </w:r>
      <w:r w:rsidR="0063643D" w:rsidRPr="004648FA">
        <w:rPr>
          <w:rStyle w:val="FootnoteReference"/>
          <w:sz w:val="28"/>
          <w:szCs w:val="28"/>
          <w:lang w:val="en-GB"/>
        </w:rPr>
        <w:footnoteReference w:id="64"/>
      </w:r>
      <w:r w:rsidR="008225B8" w:rsidRPr="004648FA">
        <w:rPr>
          <w:sz w:val="28"/>
          <w:szCs w:val="28"/>
          <w:lang w:val="en-GB"/>
        </w:rPr>
        <w:t xml:space="preserve"> which is </w:t>
      </w:r>
      <w:r w:rsidR="002B33AF" w:rsidRPr="004648FA">
        <w:rPr>
          <w:sz w:val="28"/>
          <w:szCs w:val="28"/>
          <w:lang w:val="en-GB"/>
        </w:rPr>
        <w:t>constitutionally entrenched</w:t>
      </w:r>
      <w:r w:rsidR="008225B8" w:rsidRPr="004648FA">
        <w:rPr>
          <w:sz w:val="28"/>
          <w:szCs w:val="28"/>
          <w:lang w:val="en-GB"/>
        </w:rPr>
        <w:t xml:space="preserve"> under Article </w:t>
      </w:r>
      <w:r w:rsidR="002B33AF" w:rsidRPr="004648FA">
        <w:rPr>
          <w:sz w:val="28"/>
          <w:szCs w:val="28"/>
          <w:lang w:val="en-GB"/>
        </w:rPr>
        <w:t>39(1)</w:t>
      </w:r>
      <w:r w:rsidR="008225B8" w:rsidRPr="004648FA">
        <w:rPr>
          <w:sz w:val="28"/>
          <w:szCs w:val="28"/>
          <w:lang w:val="en-GB"/>
        </w:rPr>
        <w:t xml:space="preserve"> of the </w:t>
      </w:r>
      <w:r w:rsidR="002B33AF" w:rsidRPr="004648FA">
        <w:rPr>
          <w:sz w:val="28"/>
          <w:szCs w:val="28"/>
          <w:lang w:val="en-GB"/>
        </w:rPr>
        <w:t>Basic Law</w:t>
      </w:r>
      <w:r w:rsidR="008225B8" w:rsidRPr="004648FA">
        <w:rPr>
          <w:sz w:val="28"/>
          <w:szCs w:val="28"/>
          <w:lang w:val="en-GB"/>
        </w:rPr>
        <w:t>.</w:t>
      </w:r>
      <w:r w:rsidR="0063643D" w:rsidRPr="004648FA">
        <w:rPr>
          <w:rStyle w:val="FootnoteReference"/>
          <w:sz w:val="28"/>
          <w:szCs w:val="28"/>
          <w:lang w:val="en-GB"/>
        </w:rPr>
        <w:t xml:space="preserve"> </w:t>
      </w:r>
      <w:r w:rsidR="0063643D" w:rsidRPr="004648FA">
        <w:rPr>
          <w:rStyle w:val="FootnoteReference"/>
          <w:sz w:val="28"/>
          <w:szCs w:val="28"/>
          <w:lang w:val="en-GB"/>
        </w:rPr>
        <w:footnoteReference w:id="65"/>
      </w:r>
      <w:r w:rsidR="008225B8" w:rsidRPr="004648FA">
        <w:rPr>
          <w:sz w:val="28"/>
          <w:szCs w:val="28"/>
          <w:lang w:val="en-GB"/>
        </w:rPr>
        <w:t xml:space="preserve"> The first </w:t>
      </w:r>
      <w:r w:rsidR="008225B8" w:rsidRPr="004648FA">
        <w:rPr>
          <w:sz w:val="28"/>
          <w:szCs w:val="28"/>
          <w:lang w:val="en-GB"/>
        </w:rPr>
        <w:lastRenderedPageBreak/>
        <w:t>issue raised in these appeals, and indeed the main thrust of the HA’s argument,</w:t>
      </w:r>
      <w:r w:rsidR="007E294A">
        <w:rPr>
          <w:rStyle w:val="FootnoteReference"/>
          <w:sz w:val="28"/>
          <w:szCs w:val="28"/>
          <w:lang w:val="en-GB"/>
        </w:rPr>
        <w:footnoteReference w:id="66"/>
      </w:r>
      <w:r w:rsidR="008225B8" w:rsidRPr="004648FA">
        <w:rPr>
          <w:sz w:val="28"/>
          <w:szCs w:val="28"/>
          <w:lang w:val="en-GB"/>
        </w:rPr>
        <w:t xml:space="preserve"> is that these equality provisions are not engaged insofar as the challenged HA policies are concerned, because the matter is specifically governed by Article </w:t>
      </w:r>
      <w:r w:rsidR="002B33AF" w:rsidRPr="004648FA">
        <w:rPr>
          <w:sz w:val="28"/>
          <w:szCs w:val="28"/>
          <w:lang w:val="en-GB"/>
        </w:rPr>
        <w:t>36</w:t>
      </w:r>
      <w:r w:rsidR="008225B8" w:rsidRPr="004648FA">
        <w:rPr>
          <w:sz w:val="28"/>
          <w:szCs w:val="28"/>
          <w:lang w:val="en-GB"/>
        </w:rPr>
        <w:t xml:space="preserve"> of the </w:t>
      </w:r>
      <w:r w:rsidR="002B33AF" w:rsidRPr="004648FA">
        <w:rPr>
          <w:sz w:val="28"/>
          <w:szCs w:val="28"/>
          <w:lang w:val="en-GB"/>
        </w:rPr>
        <w:t>Basic Law</w:t>
      </w:r>
      <w:r w:rsidR="001B6819" w:rsidRPr="004648FA">
        <w:rPr>
          <w:sz w:val="28"/>
          <w:szCs w:val="28"/>
          <w:lang w:val="en-GB"/>
        </w:rPr>
        <w:t xml:space="preserve"> (“BL36”)</w:t>
      </w:r>
      <w:r w:rsidR="008225B8" w:rsidRPr="004648FA">
        <w:rPr>
          <w:sz w:val="28"/>
          <w:szCs w:val="28"/>
          <w:lang w:val="en-GB"/>
        </w:rPr>
        <w:t>.</w:t>
      </w:r>
      <w:r w:rsidR="001B6819" w:rsidRPr="004648FA">
        <w:rPr>
          <w:rStyle w:val="FootnoteReference"/>
          <w:sz w:val="28"/>
          <w:szCs w:val="28"/>
          <w:lang w:val="en-GB"/>
        </w:rPr>
        <w:footnoteReference w:id="67"/>
      </w:r>
      <w:r w:rsidR="008225B8" w:rsidRPr="004648FA">
        <w:rPr>
          <w:sz w:val="28"/>
          <w:szCs w:val="28"/>
          <w:lang w:val="en-GB"/>
        </w:rPr>
        <w:t xml:space="preserve"> </w:t>
      </w:r>
    </w:p>
    <w:p w:rsidR="00A93A63" w:rsidRDefault="00F2184A" w:rsidP="003C2699">
      <w:pPr>
        <w:keepNext/>
        <w:numPr>
          <w:ilvl w:val="0"/>
          <w:numId w:val="4"/>
        </w:numPr>
        <w:snapToGrid w:val="0"/>
        <w:spacing w:after="280" w:line="360" w:lineRule="auto"/>
        <w:ind w:left="0" w:firstLine="0"/>
        <w:jc w:val="both"/>
        <w:rPr>
          <w:sz w:val="28"/>
          <w:szCs w:val="28"/>
          <w:lang w:val="en-GB"/>
        </w:rPr>
      </w:pPr>
      <w:r>
        <w:rPr>
          <w:sz w:val="28"/>
          <w:szCs w:val="28"/>
          <w:lang w:val="en-GB"/>
        </w:rPr>
        <w:tab/>
      </w:r>
      <w:r w:rsidR="008225B8" w:rsidRPr="004648FA">
        <w:rPr>
          <w:sz w:val="28"/>
          <w:szCs w:val="28"/>
          <w:lang w:val="en-GB"/>
        </w:rPr>
        <w:t xml:space="preserve">In essence, the HA contends that </w:t>
      </w:r>
      <w:r w:rsidR="001A3933" w:rsidRPr="004648FA">
        <w:rPr>
          <w:sz w:val="28"/>
          <w:szCs w:val="28"/>
          <w:lang w:val="en-GB"/>
        </w:rPr>
        <w:t>BL</w:t>
      </w:r>
      <w:r w:rsidR="002B33AF" w:rsidRPr="004648FA">
        <w:rPr>
          <w:sz w:val="28"/>
          <w:szCs w:val="28"/>
          <w:lang w:val="en-GB"/>
        </w:rPr>
        <w:t>36</w:t>
      </w:r>
      <w:r w:rsidR="008225B8" w:rsidRPr="004648FA">
        <w:rPr>
          <w:sz w:val="28"/>
          <w:szCs w:val="28"/>
          <w:lang w:val="en-GB"/>
        </w:rPr>
        <w:t xml:space="preserve">, as interpreted by this </w:t>
      </w:r>
      <w:r w:rsidR="00B24E0B">
        <w:rPr>
          <w:sz w:val="28"/>
          <w:szCs w:val="28"/>
          <w:lang w:val="en-GB"/>
        </w:rPr>
        <w:t>c</w:t>
      </w:r>
      <w:r w:rsidR="008225B8" w:rsidRPr="004648FA">
        <w:rPr>
          <w:sz w:val="28"/>
          <w:szCs w:val="28"/>
          <w:lang w:val="en-GB"/>
        </w:rPr>
        <w:t xml:space="preserve">ourt in </w:t>
      </w:r>
      <w:r w:rsidR="002B33AF" w:rsidRPr="004648FA">
        <w:rPr>
          <w:i/>
          <w:sz w:val="28"/>
          <w:szCs w:val="28"/>
          <w:lang w:val="en-GB"/>
        </w:rPr>
        <w:t xml:space="preserve">Kong </w:t>
      </w:r>
      <w:proofErr w:type="spellStart"/>
      <w:r w:rsidR="002B33AF" w:rsidRPr="004648FA">
        <w:rPr>
          <w:i/>
          <w:sz w:val="28"/>
          <w:szCs w:val="28"/>
          <w:lang w:val="en-GB"/>
        </w:rPr>
        <w:t>Yun</w:t>
      </w:r>
      <w:r w:rsidR="00A93A63" w:rsidRPr="004648FA">
        <w:rPr>
          <w:i/>
          <w:sz w:val="28"/>
          <w:szCs w:val="28"/>
          <w:lang w:val="en-GB"/>
        </w:rPr>
        <w:t>m</w:t>
      </w:r>
      <w:r w:rsidR="002B33AF" w:rsidRPr="004648FA">
        <w:rPr>
          <w:i/>
          <w:sz w:val="28"/>
          <w:szCs w:val="28"/>
          <w:lang w:val="en-GB"/>
        </w:rPr>
        <w:t>ing</w:t>
      </w:r>
      <w:proofErr w:type="spellEnd"/>
      <w:r w:rsidR="002B33AF" w:rsidRPr="004648FA">
        <w:rPr>
          <w:i/>
          <w:sz w:val="28"/>
          <w:szCs w:val="28"/>
          <w:lang w:val="en-GB"/>
        </w:rPr>
        <w:t xml:space="preserve"> v Director of Social Welfare</w:t>
      </w:r>
      <w:r w:rsidR="008225B8" w:rsidRPr="004648FA">
        <w:rPr>
          <w:sz w:val="28"/>
          <w:szCs w:val="28"/>
          <w:lang w:val="en-GB"/>
        </w:rPr>
        <w:t>,</w:t>
      </w:r>
      <w:r w:rsidR="00A93A63" w:rsidRPr="004648FA">
        <w:rPr>
          <w:rStyle w:val="FootnoteReference"/>
          <w:sz w:val="28"/>
          <w:szCs w:val="28"/>
          <w:lang w:val="en-GB"/>
        </w:rPr>
        <w:footnoteReference w:id="68"/>
      </w:r>
      <w:r w:rsidR="008225B8" w:rsidRPr="004648FA">
        <w:rPr>
          <w:sz w:val="28"/>
          <w:szCs w:val="28"/>
          <w:lang w:val="en-GB"/>
        </w:rPr>
        <w:t xml:space="preserve"> </w:t>
      </w:r>
      <w:r w:rsidR="00C06A8D">
        <w:rPr>
          <w:sz w:val="28"/>
          <w:szCs w:val="28"/>
          <w:lang w:val="en-GB"/>
        </w:rPr>
        <w:t>entrenches</w:t>
      </w:r>
      <w:r w:rsidR="008225B8" w:rsidRPr="004648FA">
        <w:rPr>
          <w:sz w:val="28"/>
          <w:szCs w:val="28"/>
          <w:lang w:val="en-GB"/>
        </w:rPr>
        <w:t xml:space="preserve"> all pre-</w:t>
      </w:r>
      <w:r w:rsidR="002B33AF" w:rsidRPr="004648FA">
        <w:rPr>
          <w:sz w:val="28"/>
          <w:szCs w:val="28"/>
          <w:lang w:val="en-GB"/>
        </w:rPr>
        <w:t>1997</w:t>
      </w:r>
      <w:r w:rsidR="008225B8" w:rsidRPr="004648FA">
        <w:rPr>
          <w:sz w:val="28"/>
          <w:szCs w:val="28"/>
          <w:lang w:val="en-GB"/>
        </w:rPr>
        <w:t xml:space="preserve"> social welfare </w:t>
      </w:r>
      <w:r w:rsidR="00681EDA">
        <w:rPr>
          <w:sz w:val="28"/>
          <w:szCs w:val="28"/>
          <w:lang w:val="en-GB"/>
        </w:rPr>
        <w:t>benefits and entitlements</w:t>
      </w:r>
      <w:r w:rsidR="008225B8" w:rsidRPr="004648FA">
        <w:rPr>
          <w:sz w:val="28"/>
          <w:szCs w:val="28"/>
          <w:lang w:val="en-GB"/>
        </w:rPr>
        <w:t xml:space="preserve"> </w:t>
      </w:r>
      <w:r w:rsidR="00C06A8D">
        <w:rPr>
          <w:sz w:val="28"/>
          <w:szCs w:val="28"/>
          <w:lang w:val="en-GB"/>
        </w:rPr>
        <w:t>as</w:t>
      </w:r>
      <w:r w:rsidR="008225B8" w:rsidRPr="004648FA">
        <w:rPr>
          <w:sz w:val="28"/>
          <w:szCs w:val="28"/>
          <w:lang w:val="en-GB"/>
        </w:rPr>
        <w:t xml:space="preserve"> rights protected under the </w:t>
      </w:r>
      <w:r w:rsidR="002B33AF" w:rsidRPr="004648FA">
        <w:rPr>
          <w:sz w:val="28"/>
          <w:szCs w:val="28"/>
          <w:lang w:val="en-GB"/>
        </w:rPr>
        <w:t>Basic Law</w:t>
      </w:r>
      <w:r w:rsidR="00C06A8D">
        <w:rPr>
          <w:sz w:val="28"/>
          <w:szCs w:val="28"/>
          <w:lang w:val="en-GB"/>
        </w:rPr>
        <w:t>.</w:t>
      </w:r>
      <w:r w:rsidR="001B71B8" w:rsidRPr="004648FA">
        <w:rPr>
          <w:rStyle w:val="FootnoteReference"/>
          <w:sz w:val="28"/>
          <w:szCs w:val="28"/>
          <w:lang w:val="en-GB"/>
        </w:rPr>
        <w:footnoteReference w:id="69"/>
      </w:r>
      <w:r w:rsidR="00C06A8D">
        <w:rPr>
          <w:sz w:val="28"/>
          <w:szCs w:val="28"/>
          <w:lang w:val="en-GB"/>
        </w:rPr>
        <w:t xml:space="preserve">  The government may develop and improve t</w:t>
      </w:r>
      <w:r w:rsidR="008225B8" w:rsidRPr="004648FA">
        <w:rPr>
          <w:sz w:val="28"/>
          <w:szCs w:val="28"/>
          <w:lang w:val="en-GB"/>
        </w:rPr>
        <w:t xml:space="preserve">he pre-existing social welfare system in </w:t>
      </w:r>
      <w:r w:rsidR="0031426C">
        <w:rPr>
          <w:sz w:val="28"/>
          <w:szCs w:val="28"/>
          <w:lang w:val="en-GB"/>
        </w:rPr>
        <w:t xml:space="preserve">the </w:t>
      </w:r>
      <w:r w:rsidR="008225B8" w:rsidRPr="004648FA">
        <w:rPr>
          <w:sz w:val="28"/>
          <w:szCs w:val="28"/>
          <w:lang w:val="en-GB"/>
        </w:rPr>
        <w:t xml:space="preserve">light of </w:t>
      </w:r>
      <w:r w:rsidR="007F08D6">
        <w:rPr>
          <w:sz w:val="28"/>
          <w:szCs w:val="28"/>
          <w:lang w:val="en-GB"/>
        </w:rPr>
        <w:t xml:space="preserve">prevailing </w:t>
      </w:r>
      <w:r w:rsidR="008225B8" w:rsidRPr="004648FA">
        <w:rPr>
          <w:sz w:val="28"/>
          <w:szCs w:val="28"/>
          <w:lang w:val="en-GB"/>
        </w:rPr>
        <w:t>economic conditions and social needs</w:t>
      </w:r>
      <w:r w:rsidR="00C06A8D">
        <w:rPr>
          <w:sz w:val="28"/>
          <w:szCs w:val="28"/>
          <w:lang w:val="en-GB"/>
        </w:rPr>
        <w:t xml:space="preserve">, as provided by </w:t>
      </w:r>
      <w:r w:rsidR="008225B8" w:rsidRPr="004648FA">
        <w:rPr>
          <w:sz w:val="28"/>
          <w:szCs w:val="28"/>
          <w:lang w:val="en-GB"/>
        </w:rPr>
        <w:t xml:space="preserve">Article </w:t>
      </w:r>
      <w:r w:rsidR="002B33AF" w:rsidRPr="004648FA">
        <w:rPr>
          <w:sz w:val="28"/>
          <w:szCs w:val="28"/>
          <w:lang w:val="en-GB"/>
        </w:rPr>
        <w:t>145</w:t>
      </w:r>
      <w:r w:rsidR="008225B8" w:rsidRPr="004648FA">
        <w:rPr>
          <w:sz w:val="28"/>
          <w:szCs w:val="28"/>
          <w:lang w:val="en-GB"/>
        </w:rPr>
        <w:t xml:space="preserve"> of the </w:t>
      </w:r>
      <w:r w:rsidR="002B33AF" w:rsidRPr="004648FA">
        <w:rPr>
          <w:sz w:val="28"/>
          <w:szCs w:val="28"/>
          <w:lang w:val="en-GB"/>
        </w:rPr>
        <w:t>Basic Law</w:t>
      </w:r>
      <w:r w:rsidR="00A93A63" w:rsidRPr="004648FA">
        <w:rPr>
          <w:sz w:val="28"/>
          <w:szCs w:val="28"/>
          <w:lang w:val="en-GB"/>
        </w:rPr>
        <w:t xml:space="preserve"> (“BL145”)</w:t>
      </w:r>
      <w:r w:rsidR="008225B8" w:rsidRPr="004648FA">
        <w:rPr>
          <w:sz w:val="28"/>
          <w:szCs w:val="28"/>
          <w:lang w:val="en-GB"/>
        </w:rPr>
        <w:t>.</w:t>
      </w:r>
      <w:r w:rsidR="00A93A63" w:rsidRPr="004648FA">
        <w:rPr>
          <w:rStyle w:val="FootnoteReference"/>
          <w:sz w:val="28"/>
          <w:lang w:val="en-GB"/>
        </w:rPr>
        <w:footnoteReference w:id="70"/>
      </w:r>
      <w:r w:rsidR="00A93A63" w:rsidRPr="004648FA">
        <w:rPr>
          <w:sz w:val="28"/>
          <w:szCs w:val="28"/>
          <w:lang w:val="en-GB"/>
        </w:rPr>
        <w:t xml:space="preserve"> </w:t>
      </w:r>
      <w:r w:rsidR="007F08D6">
        <w:rPr>
          <w:sz w:val="28"/>
          <w:szCs w:val="28"/>
          <w:lang w:val="en-GB"/>
        </w:rPr>
        <w:t xml:space="preserve"> </w:t>
      </w:r>
      <w:r w:rsidR="00C06A8D" w:rsidRPr="00C06A8D">
        <w:rPr>
          <w:sz w:val="28"/>
          <w:szCs w:val="28"/>
          <w:lang w:val="en-GB"/>
        </w:rPr>
        <w:t xml:space="preserve">Any </w:t>
      </w:r>
      <w:r w:rsidR="00C06A8D">
        <w:rPr>
          <w:sz w:val="28"/>
          <w:szCs w:val="28"/>
          <w:lang w:val="en-GB"/>
        </w:rPr>
        <w:t xml:space="preserve">such </w:t>
      </w:r>
      <w:r w:rsidR="00C06A8D" w:rsidRPr="00C06A8D">
        <w:rPr>
          <w:sz w:val="28"/>
          <w:szCs w:val="28"/>
          <w:lang w:val="en-GB"/>
        </w:rPr>
        <w:t xml:space="preserve">modification is subject to constitutional review by the court </w:t>
      </w:r>
      <w:r w:rsidR="00C06A8D">
        <w:rPr>
          <w:sz w:val="28"/>
          <w:szCs w:val="28"/>
          <w:lang w:val="en-GB"/>
        </w:rPr>
        <w:t>based on</w:t>
      </w:r>
      <w:r w:rsidR="00C06A8D" w:rsidRPr="00C06A8D">
        <w:rPr>
          <w:sz w:val="28"/>
          <w:szCs w:val="28"/>
          <w:lang w:val="en-GB"/>
        </w:rPr>
        <w:t xml:space="preserve"> a proportionality analysis</w:t>
      </w:r>
      <w:r w:rsidR="00C06A8D">
        <w:rPr>
          <w:sz w:val="28"/>
          <w:szCs w:val="28"/>
          <w:lang w:val="en-GB"/>
        </w:rPr>
        <w:t>.</w:t>
      </w:r>
      <w:r w:rsidR="00C06A8D">
        <w:rPr>
          <w:rStyle w:val="FootnoteReference"/>
          <w:sz w:val="28"/>
          <w:szCs w:val="28"/>
          <w:lang w:val="en-GB"/>
        </w:rPr>
        <w:footnoteReference w:id="71"/>
      </w:r>
    </w:p>
    <w:p w:rsidR="00AD676E" w:rsidRPr="004648FA" w:rsidRDefault="00F2184A"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r w:rsidR="00A93A63" w:rsidRPr="004648FA">
        <w:rPr>
          <w:sz w:val="28"/>
          <w:szCs w:val="28"/>
          <w:lang w:val="en-GB"/>
        </w:rPr>
        <w:t xml:space="preserve">The HA goes on to </w:t>
      </w:r>
      <w:r w:rsidR="0031426C">
        <w:rPr>
          <w:sz w:val="28"/>
          <w:szCs w:val="28"/>
          <w:lang w:val="en-GB"/>
        </w:rPr>
        <w:t>argue</w:t>
      </w:r>
      <w:r w:rsidR="00A93A63" w:rsidRPr="004648FA">
        <w:rPr>
          <w:sz w:val="28"/>
          <w:szCs w:val="28"/>
          <w:lang w:val="en-GB"/>
        </w:rPr>
        <w:t xml:space="preserve"> that BL</w:t>
      </w:r>
      <w:r w:rsidR="002B33AF" w:rsidRPr="004648FA">
        <w:rPr>
          <w:sz w:val="28"/>
          <w:szCs w:val="28"/>
          <w:lang w:val="en-GB"/>
        </w:rPr>
        <w:t>36</w:t>
      </w:r>
      <w:r w:rsidR="008225B8" w:rsidRPr="004648FA">
        <w:rPr>
          <w:sz w:val="28"/>
          <w:szCs w:val="28"/>
          <w:lang w:val="en-GB"/>
        </w:rPr>
        <w:t xml:space="preserve"> is the </w:t>
      </w:r>
      <w:proofErr w:type="spellStart"/>
      <w:r w:rsidR="002B33AF" w:rsidRPr="004648FA">
        <w:rPr>
          <w:i/>
          <w:sz w:val="28"/>
          <w:szCs w:val="28"/>
          <w:lang w:val="en-GB"/>
        </w:rPr>
        <w:t>lex</w:t>
      </w:r>
      <w:proofErr w:type="spellEnd"/>
      <w:r w:rsidR="002B33AF" w:rsidRPr="004648FA">
        <w:rPr>
          <w:i/>
          <w:sz w:val="28"/>
          <w:szCs w:val="28"/>
          <w:lang w:val="en-GB"/>
        </w:rPr>
        <w:t xml:space="preserve"> </w:t>
      </w:r>
      <w:proofErr w:type="spellStart"/>
      <w:r w:rsidR="002B33AF" w:rsidRPr="004648FA">
        <w:rPr>
          <w:i/>
          <w:sz w:val="28"/>
          <w:szCs w:val="28"/>
          <w:lang w:val="en-GB"/>
        </w:rPr>
        <w:t>specialis</w:t>
      </w:r>
      <w:proofErr w:type="spellEnd"/>
      <w:r w:rsidR="008225B8" w:rsidRPr="004648FA">
        <w:rPr>
          <w:sz w:val="28"/>
          <w:szCs w:val="28"/>
          <w:lang w:val="en-GB"/>
        </w:rPr>
        <w:t xml:space="preserve"> concerning social welfare rights and policies,</w:t>
      </w:r>
      <w:r w:rsidR="001B71B8" w:rsidRPr="004648FA">
        <w:rPr>
          <w:rStyle w:val="FootnoteReference"/>
          <w:sz w:val="28"/>
          <w:szCs w:val="28"/>
          <w:lang w:val="en-GB"/>
        </w:rPr>
        <w:footnoteReference w:id="72"/>
      </w:r>
      <w:r w:rsidR="008225B8" w:rsidRPr="004648FA">
        <w:rPr>
          <w:sz w:val="28"/>
          <w:szCs w:val="28"/>
          <w:lang w:val="en-GB"/>
        </w:rPr>
        <w:t xml:space="preserve"> in the same way that Article </w:t>
      </w:r>
      <w:r w:rsidR="002B33AF" w:rsidRPr="004648FA">
        <w:rPr>
          <w:sz w:val="28"/>
          <w:szCs w:val="28"/>
          <w:lang w:val="en-GB"/>
        </w:rPr>
        <w:t>40</w:t>
      </w:r>
      <w:r w:rsidR="008225B8" w:rsidRPr="004648FA">
        <w:rPr>
          <w:sz w:val="28"/>
          <w:szCs w:val="28"/>
          <w:lang w:val="en-GB"/>
        </w:rPr>
        <w:t xml:space="preserve"> </w:t>
      </w:r>
      <w:r w:rsidR="00A93A63" w:rsidRPr="004648FA">
        <w:rPr>
          <w:sz w:val="28"/>
          <w:szCs w:val="28"/>
          <w:lang w:val="en-GB"/>
        </w:rPr>
        <w:t>of the Basic Law (“BL40”)</w:t>
      </w:r>
      <w:r w:rsidR="006929AB">
        <w:rPr>
          <w:rStyle w:val="FootnoteReference"/>
          <w:sz w:val="28"/>
          <w:szCs w:val="28"/>
          <w:lang w:val="en-GB"/>
        </w:rPr>
        <w:footnoteReference w:id="73"/>
      </w:r>
      <w:r w:rsidR="00A93A63" w:rsidRPr="004648FA">
        <w:rPr>
          <w:sz w:val="28"/>
          <w:szCs w:val="28"/>
          <w:lang w:val="en-GB"/>
        </w:rPr>
        <w:t xml:space="preserve"> </w:t>
      </w:r>
      <w:r w:rsidR="008225B8" w:rsidRPr="004648FA">
        <w:rPr>
          <w:sz w:val="28"/>
          <w:szCs w:val="28"/>
          <w:lang w:val="en-GB"/>
        </w:rPr>
        <w:t xml:space="preserve">specifically and exclusively governs the </w:t>
      </w:r>
      <w:r w:rsidR="008225B8" w:rsidRPr="004648FA">
        <w:rPr>
          <w:sz w:val="28"/>
          <w:szCs w:val="28"/>
          <w:lang w:val="en-GB"/>
        </w:rPr>
        <w:lastRenderedPageBreak/>
        <w:t>preservation and protection of the lawful traditional rights and interests of indigenous inhabitants of the New Territories.</w:t>
      </w:r>
      <w:r w:rsidR="00A93A63" w:rsidRPr="004648FA">
        <w:rPr>
          <w:rStyle w:val="FootnoteReference"/>
          <w:sz w:val="28"/>
          <w:szCs w:val="28"/>
          <w:lang w:val="en-GB"/>
        </w:rPr>
        <w:footnoteReference w:id="74"/>
      </w:r>
      <w:r w:rsidR="008225B8" w:rsidRPr="004648FA">
        <w:rPr>
          <w:sz w:val="28"/>
          <w:szCs w:val="28"/>
          <w:lang w:val="en-GB"/>
        </w:rPr>
        <w:t xml:space="preserve"> </w:t>
      </w:r>
      <w:r w:rsidR="00580EBA">
        <w:rPr>
          <w:sz w:val="28"/>
          <w:szCs w:val="28"/>
          <w:lang w:val="en-GB"/>
        </w:rPr>
        <w:t xml:space="preserve"> </w:t>
      </w:r>
      <w:r w:rsidR="008225B8" w:rsidRPr="004648FA">
        <w:rPr>
          <w:sz w:val="28"/>
          <w:szCs w:val="28"/>
          <w:lang w:val="en-GB"/>
        </w:rPr>
        <w:t xml:space="preserve">When </w:t>
      </w:r>
      <w:r w:rsidR="00EA6EED">
        <w:rPr>
          <w:sz w:val="28"/>
          <w:szCs w:val="28"/>
          <w:lang w:val="en-GB"/>
        </w:rPr>
        <w:t xml:space="preserve">the Basic Law and the Hong Kong Bill of Rights </w:t>
      </w:r>
      <w:proofErr w:type="gramStart"/>
      <w:r w:rsidR="00EA6EED">
        <w:rPr>
          <w:sz w:val="28"/>
          <w:szCs w:val="28"/>
          <w:lang w:val="en-GB"/>
        </w:rPr>
        <w:t xml:space="preserve">are </w:t>
      </w:r>
      <w:r w:rsidR="008225B8" w:rsidRPr="004648FA">
        <w:rPr>
          <w:sz w:val="28"/>
          <w:szCs w:val="28"/>
          <w:lang w:val="en-GB"/>
        </w:rPr>
        <w:t>construed</w:t>
      </w:r>
      <w:proofErr w:type="gramEnd"/>
      <w:r w:rsidR="008225B8" w:rsidRPr="004648FA">
        <w:rPr>
          <w:sz w:val="28"/>
          <w:szCs w:val="28"/>
          <w:lang w:val="en-GB"/>
        </w:rPr>
        <w:t xml:space="preserve"> as a coherent whole, </w:t>
      </w:r>
      <w:r w:rsidR="00966FDC">
        <w:rPr>
          <w:sz w:val="28"/>
          <w:szCs w:val="28"/>
          <w:lang w:val="en-GB"/>
        </w:rPr>
        <w:t xml:space="preserve">it becomes apparent that, much like </w:t>
      </w:r>
      <w:r w:rsidR="008225B8" w:rsidRPr="004648FA">
        <w:rPr>
          <w:sz w:val="28"/>
          <w:szCs w:val="28"/>
          <w:lang w:val="en-GB"/>
        </w:rPr>
        <w:t xml:space="preserve">the rights and interests protected under </w:t>
      </w:r>
      <w:r w:rsidR="00A93A63" w:rsidRPr="004648FA">
        <w:rPr>
          <w:sz w:val="28"/>
          <w:szCs w:val="28"/>
          <w:lang w:val="en-GB"/>
        </w:rPr>
        <w:t>BL</w:t>
      </w:r>
      <w:r w:rsidR="002B33AF" w:rsidRPr="004648FA">
        <w:rPr>
          <w:sz w:val="28"/>
          <w:szCs w:val="28"/>
          <w:lang w:val="en-GB"/>
        </w:rPr>
        <w:t>40</w:t>
      </w:r>
      <w:r w:rsidR="008225B8" w:rsidRPr="004648FA">
        <w:rPr>
          <w:sz w:val="28"/>
          <w:szCs w:val="28"/>
          <w:lang w:val="en-GB"/>
        </w:rPr>
        <w:t xml:space="preserve"> are </w:t>
      </w:r>
      <w:r w:rsidR="00C00322">
        <w:rPr>
          <w:sz w:val="28"/>
          <w:szCs w:val="28"/>
          <w:lang w:val="en-GB"/>
        </w:rPr>
        <w:t>not subject to</w:t>
      </w:r>
      <w:r w:rsidR="008225B8" w:rsidRPr="004648FA">
        <w:rPr>
          <w:sz w:val="28"/>
          <w:szCs w:val="28"/>
          <w:lang w:val="en-GB"/>
        </w:rPr>
        <w:t xml:space="preserve"> </w:t>
      </w:r>
      <w:r w:rsidR="00966FDC">
        <w:rPr>
          <w:sz w:val="28"/>
          <w:szCs w:val="28"/>
          <w:lang w:val="en-GB"/>
        </w:rPr>
        <w:t>t</w:t>
      </w:r>
      <w:r w:rsidR="00C00322">
        <w:rPr>
          <w:sz w:val="28"/>
          <w:szCs w:val="28"/>
          <w:lang w:val="en-GB"/>
        </w:rPr>
        <w:t xml:space="preserve">he </w:t>
      </w:r>
      <w:r w:rsidR="0031426C">
        <w:rPr>
          <w:sz w:val="28"/>
          <w:szCs w:val="28"/>
          <w:lang w:val="en-GB"/>
        </w:rPr>
        <w:t xml:space="preserve">general </w:t>
      </w:r>
      <w:r w:rsidR="008225B8" w:rsidRPr="004648FA">
        <w:rPr>
          <w:sz w:val="28"/>
          <w:szCs w:val="28"/>
          <w:lang w:val="en-GB"/>
        </w:rPr>
        <w:t xml:space="preserve">equality provisions, the entrenched social welfare rights under </w:t>
      </w:r>
      <w:r w:rsidR="00881BE5" w:rsidRPr="004648FA">
        <w:rPr>
          <w:sz w:val="28"/>
          <w:szCs w:val="28"/>
          <w:lang w:val="en-GB"/>
        </w:rPr>
        <w:t>BL</w:t>
      </w:r>
      <w:r w:rsidR="002B33AF" w:rsidRPr="004648FA">
        <w:rPr>
          <w:sz w:val="28"/>
          <w:szCs w:val="28"/>
          <w:lang w:val="en-GB"/>
        </w:rPr>
        <w:t>36</w:t>
      </w:r>
      <w:r w:rsidR="008225B8" w:rsidRPr="004648FA">
        <w:rPr>
          <w:sz w:val="28"/>
          <w:szCs w:val="28"/>
          <w:lang w:val="en-GB"/>
        </w:rPr>
        <w:t xml:space="preserve"> are </w:t>
      </w:r>
      <w:r w:rsidR="00966FDC">
        <w:rPr>
          <w:sz w:val="28"/>
          <w:szCs w:val="28"/>
          <w:lang w:val="en-GB"/>
        </w:rPr>
        <w:t xml:space="preserve">likewise </w:t>
      </w:r>
      <w:r w:rsidR="00C00322">
        <w:rPr>
          <w:sz w:val="28"/>
          <w:szCs w:val="28"/>
          <w:lang w:val="en-GB"/>
        </w:rPr>
        <w:t>excluded</w:t>
      </w:r>
      <w:r w:rsidR="00966FDC">
        <w:rPr>
          <w:sz w:val="28"/>
          <w:szCs w:val="28"/>
          <w:lang w:val="en-GB"/>
        </w:rPr>
        <w:t xml:space="preserve"> from such review</w:t>
      </w:r>
      <w:r w:rsidR="008225B8" w:rsidRPr="004648FA">
        <w:rPr>
          <w:sz w:val="28"/>
          <w:szCs w:val="28"/>
          <w:lang w:val="en-GB"/>
        </w:rPr>
        <w:t>.</w:t>
      </w:r>
      <w:r w:rsidR="00E7691D" w:rsidRPr="004648FA">
        <w:rPr>
          <w:rStyle w:val="FootnoteReference"/>
          <w:sz w:val="28"/>
          <w:szCs w:val="28"/>
          <w:lang w:val="en-GB"/>
        </w:rPr>
        <w:footnoteReference w:id="75"/>
      </w:r>
      <w:r w:rsidR="008225B8" w:rsidRPr="004648FA">
        <w:rPr>
          <w:sz w:val="28"/>
          <w:szCs w:val="28"/>
          <w:lang w:val="en-GB"/>
        </w:rPr>
        <w:t xml:space="preserve"> </w:t>
      </w:r>
    </w:p>
    <w:p w:rsidR="008225B8" w:rsidRDefault="00580EBA"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r w:rsidR="008225B8" w:rsidRPr="004648FA">
        <w:rPr>
          <w:sz w:val="28"/>
          <w:szCs w:val="28"/>
          <w:lang w:val="en-GB"/>
        </w:rPr>
        <w:t xml:space="preserve">The HA argues that opposite-sex married couples </w:t>
      </w:r>
      <w:r w:rsidR="00265203">
        <w:rPr>
          <w:sz w:val="28"/>
          <w:szCs w:val="28"/>
          <w:lang w:val="en-GB"/>
        </w:rPr>
        <w:t xml:space="preserve">have always </w:t>
      </w:r>
      <w:r w:rsidR="008225B8" w:rsidRPr="004648FA">
        <w:rPr>
          <w:sz w:val="28"/>
          <w:szCs w:val="28"/>
          <w:lang w:val="en-GB"/>
        </w:rPr>
        <w:t>enjoy</w:t>
      </w:r>
      <w:r w:rsidR="00265203">
        <w:rPr>
          <w:sz w:val="28"/>
          <w:szCs w:val="28"/>
          <w:lang w:val="en-GB"/>
        </w:rPr>
        <w:t>ed</w:t>
      </w:r>
      <w:r w:rsidR="008225B8" w:rsidRPr="004648FA">
        <w:rPr>
          <w:sz w:val="28"/>
          <w:szCs w:val="28"/>
          <w:lang w:val="en-GB"/>
        </w:rPr>
        <w:t xml:space="preserve"> exclusive rights to apply for PRH units and HOS flats under the pre-</w:t>
      </w:r>
      <w:r w:rsidR="002B33AF" w:rsidRPr="004648FA">
        <w:rPr>
          <w:sz w:val="28"/>
          <w:szCs w:val="28"/>
          <w:lang w:val="en-GB"/>
        </w:rPr>
        <w:t>1997</w:t>
      </w:r>
      <w:r w:rsidR="008225B8" w:rsidRPr="004648FA">
        <w:rPr>
          <w:sz w:val="28"/>
          <w:szCs w:val="28"/>
          <w:lang w:val="en-GB"/>
        </w:rPr>
        <w:t xml:space="preserve"> social welfare system</w:t>
      </w:r>
      <w:r w:rsidR="00966FDC">
        <w:rPr>
          <w:sz w:val="28"/>
          <w:szCs w:val="28"/>
          <w:lang w:val="en-GB"/>
        </w:rPr>
        <w:t>.</w:t>
      </w:r>
      <w:r w:rsidR="007F08D6">
        <w:rPr>
          <w:rStyle w:val="FootnoteReference"/>
          <w:sz w:val="28"/>
          <w:szCs w:val="28"/>
          <w:lang w:val="en-GB"/>
        </w:rPr>
        <w:footnoteReference w:id="76"/>
      </w:r>
      <w:r w:rsidR="00966FDC">
        <w:rPr>
          <w:sz w:val="28"/>
          <w:szCs w:val="28"/>
          <w:lang w:val="en-GB"/>
        </w:rPr>
        <w:t xml:space="preserve">  T</w:t>
      </w:r>
      <w:r w:rsidR="008225B8" w:rsidRPr="004648FA">
        <w:rPr>
          <w:sz w:val="28"/>
          <w:szCs w:val="28"/>
          <w:lang w:val="en-GB"/>
        </w:rPr>
        <w:t xml:space="preserve">heir exclusive entitlements </w:t>
      </w:r>
      <w:proofErr w:type="gramStart"/>
      <w:r w:rsidR="00AD676E" w:rsidRPr="004648FA">
        <w:rPr>
          <w:sz w:val="28"/>
          <w:szCs w:val="28"/>
          <w:lang w:val="en-GB"/>
        </w:rPr>
        <w:t>are protected</w:t>
      </w:r>
      <w:proofErr w:type="gramEnd"/>
      <w:r w:rsidR="00AD676E" w:rsidRPr="004648FA">
        <w:rPr>
          <w:sz w:val="28"/>
          <w:szCs w:val="28"/>
          <w:lang w:val="en-GB"/>
        </w:rPr>
        <w:t xml:space="preserve"> by BL36 and </w:t>
      </w:r>
      <w:r w:rsidR="008225B8" w:rsidRPr="004648FA">
        <w:rPr>
          <w:sz w:val="28"/>
          <w:szCs w:val="28"/>
          <w:lang w:val="en-GB"/>
        </w:rPr>
        <w:t>cannot be diluted or otherwise negatively impacted by extending the same privileges to same-sex couples married overseas.</w:t>
      </w:r>
      <w:r w:rsidR="00E7691D" w:rsidRPr="004648FA">
        <w:rPr>
          <w:rStyle w:val="FootnoteReference"/>
          <w:sz w:val="28"/>
          <w:szCs w:val="28"/>
          <w:lang w:val="en-GB"/>
        </w:rPr>
        <w:footnoteReference w:id="77"/>
      </w:r>
      <w:r w:rsidR="008225B8" w:rsidRPr="004648FA">
        <w:rPr>
          <w:sz w:val="28"/>
          <w:szCs w:val="28"/>
          <w:lang w:val="en-GB"/>
        </w:rPr>
        <w:t xml:space="preserve"> </w:t>
      </w:r>
      <w:r>
        <w:rPr>
          <w:sz w:val="28"/>
          <w:szCs w:val="28"/>
          <w:lang w:val="en-GB"/>
        </w:rPr>
        <w:t xml:space="preserve"> </w:t>
      </w:r>
      <w:r w:rsidR="008225B8" w:rsidRPr="004648FA">
        <w:rPr>
          <w:sz w:val="28"/>
          <w:szCs w:val="28"/>
          <w:lang w:val="en-GB"/>
        </w:rPr>
        <w:t xml:space="preserve">The relevant HA policies, which reflect and uphold the </w:t>
      </w:r>
      <w:r w:rsidR="002B33AF" w:rsidRPr="004648FA">
        <w:rPr>
          <w:sz w:val="28"/>
          <w:szCs w:val="28"/>
          <w:lang w:val="en-GB"/>
        </w:rPr>
        <w:t>constitutionally</w:t>
      </w:r>
      <w:r w:rsidR="008225B8" w:rsidRPr="004648FA">
        <w:rPr>
          <w:sz w:val="28"/>
          <w:szCs w:val="28"/>
          <w:lang w:val="en-GB"/>
        </w:rPr>
        <w:t xml:space="preserve"> entrenched social welfare entitlements of opposite-sex married couples, are therefore immune from </w:t>
      </w:r>
      <w:r w:rsidR="00C00322">
        <w:rPr>
          <w:sz w:val="28"/>
          <w:szCs w:val="28"/>
          <w:lang w:val="en-GB"/>
        </w:rPr>
        <w:t xml:space="preserve">the scrutiny of </w:t>
      </w:r>
      <w:r w:rsidR="008225B8" w:rsidRPr="004648FA">
        <w:rPr>
          <w:sz w:val="28"/>
          <w:szCs w:val="28"/>
          <w:lang w:val="en-GB"/>
        </w:rPr>
        <w:t xml:space="preserve">the </w:t>
      </w:r>
      <w:r w:rsidR="00C00322">
        <w:rPr>
          <w:sz w:val="28"/>
          <w:szCs w:val="28"/>
          <w:lang w:val="en-GB"/>
        </w:rPr>
        <w:t xml:space="preserve">general </w:t>
      </w:r>
      <w:r w:rsidR="008225B8" w:rsidRPr="004648FA">
        <w:rPr>
          <w:sz w:val="28"/>
          <w:szCs w:val="28"/>
          <w:lang w:val="en-GB"/>
        </w:rPr>
        <w:t>equality provisions</w:t>
      </w:r>
      <w:r w:rsidR="00D23239">
        <w:rPr>
          <w:sz w:val="28"/>
          <w:szCs w:val="28"/>
          <w:lang w:val="en-GB"/>
        </w:rPr>
        <w:t>.</w:t>
      </w:r>
      <w:r w:rsidR="00E7691D" w:rsidRPr="004648FA">
        <w:rPr>
          <w:rStyle w:val="FootnoteReference"/>
          <w:sz w:val="28"/>
          <w:szCs w:val="28"/>
          <w:lang w:val="en-GB"/>
        </w:rPr>
        <w:footnoteReference w:id="78"/>
      </w:r>
      <w:r w:rsidR="00681EDA">
        <w:rPr>
          <w:sz w:val="28"/>
          <w:szCs w:val="28"/>
          <w:lang w:val="en-GB"/>
        </w:rPr>
        <w:t xml:space="preserve">  </w:t>
      </w:r>
      <w:r w:rsidR="002A5923">
        <w:rPr>
          <w:sz w:val="28"/>
          <w:szCs w:val="28"/>
          <w:lang w:val="en-GB"/>
        </w:rPr>
        <w:t xml:space="preserve">Accordingly, </w:t>
      </w:r>
      <w:r w:rsidR="00681EDA">
        <w:rPr>
          <w:sz w:val="28"/>
          <w:szCs w:val="28"/>
          <w:lang w:val="en-GB"/>
        </w:rPr>
        <w:t xml:space="preserve">the equality provisions </w:t>
      </w:r>
      <w:proofErr w:type="gramStart"/>
      <w:r w:rsidR="00681EDA">
        <w:rPr>
          <w:sz w:val="28"/>
          <w:szCs w:val="28"/>
          <w:lang w:val="en-GB"/>
        </w:rPr>
        <w:t>are not engaged</w:t>
      </w:r>
      <w:proofErr w:type="gramEnd"/>
      <w:r w:rsidR="002A5923">
        <w:rPr>
          <w:sz w:val="28"/>
          <w:szCs w:val="28"/>
          <w:lang w:val="en-GB"/>
        </w:rPr>
        <w:t>,</w:t>
      </w:r>
      <w:r w:rsidR="00681EDA">
        <w:rPr>
          <w:sz w:val="28"/>
          <w:szCs w:val="28"/>
          <w:lang w:val="en-GB"/>
        </w:rPr>
        <w:t xml:space="preserve"> and the constitutional challenges </w:t>
      </w:r>
      <w:r w:rsidR="00961F98">
        <w:rPr>
          <w:sz w:val="28"/>
          <w:szCs w:val="28"/>
          <w:lang w:val="en-GB"/>
        </w:rPr>
        <w:t>do not even get to</w:t>
      </w:r>
      <w:r w:rsidR="00681EDA">
        <w:rPr>
          <w:sz w:val="28"/>
          <w:szCs w:val="28"/>
          <w:lang w:val="en-GB"/>
        </w:rPr>
        <w:t xml:space="preserve"> first base.</w:t>
      </w:r>
      <w:r w:rsidR="008225B8" w:rsidRPr="004648FA">
        <w:rPr>
          <w:sz w:val="28"/>
          <w:szCs w:val="28"/>
          <w:lang w:val="en-GB"/>
        </w:rPr>
        <w:t xml:space="preserve"> </w:t>
      </w:r>
    </w:p>
    <w:p w:rsidR="007B5106" w:rsidRPr="007B5106" w:rsidRDefault="00580EBA" w:rsidP="0053491D">
      <w:pPr>
        <w:keepNext/>
        <w:numPr>
          <w:ilvl w:val="0"/>
          <w:numId w:val="4"/>
        </w:numPr>
        <w:snapToGrid w:val="0"/>
        <w:spacing w:after="360" w:line="360" w:lineRule="auto"/>
        <w:ind w:left="0" w:firstLine="0"/>
        <w:jc w:val="both"/>
        <w:rPr>
          <w:b/>
          <w:i/>
          <w:sz w:val="28"/>
          <w:szCs w:val="28"/>
          <w:lang w:val="en-GB"/>
        </w:rPr>
      </w:pPr>
      <w:r w:rsidRPr="007B5106">
        <w:rPr>
          <w:sz w:val="28"/>
          <w:szCs w:val="28"/>
          <w:lang w:val="en-GB"/>
        </w:rPr>
        <w:tab/>
      </w:r>
      <w:r w:rsidR="008225B8" w:rsidRPr="007B5106">
        <w:rPr>
          <w:sz w:val="28"/>
          <w:szCs w:val="28"/>
          <w:lang w:val="en-GB"/>
        </w:rPr>
        <w:t xml:space="preserve">The Court of Appeal </w:t>
      </w:r>
      <w:r w:rsidR="00603AA2" w:rsidRPr="007B5106">
        <w:rPr>
          <w:sz w:val="28"/>
          <w:szCs w:val="28"/>
          <w:lang w:val="en-GB"/>
        </w:rPr>
        <w:t xml:space="preserve">refused to allow the HA to run its argument on BL36 </w:t>
      </w:r>
      <w:r w:rsidR="002A5923" w:rsidRPr="007B5106">
        <w:rPr>
          <w:sz w:val="28"/>
          <w:szCs w:val="28"/>
          <w:lang w:val="en-GB"/>
        </w:rPr>
        <w:t>for</w:t>
      </w:r>
      <w:r w:rsidR="00603AA2" w:rsidRPr="007B5106">
        <w:rPr>
          <w:sz w:val="28"/>
          <w:szCs w:val="28"/>
          <w:lang w:val="en-GB"/>
        </w:rPr>
        <w:t xml:space="preserve"> lateness and </w:t>
      </w:r>
      <w:r w:rsidR="002A5923" w:rsidRPr="007B5106">
        <w:rPr>
          <w:sz w:val="28"/>
          <w:szCs w:val="28"/>
          <w:lang w:val="en-GB"/>
        </w:rPr>
        <w:t>because</w:t>
      </w:r>
      <w:r w:rsidR="00603AA2" w:rsidRPr="007B5106">
        <w:rPr>
          <w:sz w:val="28"/>
          <w:szCs w:val="28"/>
          <w:lang w:val="en-GB"/>
        </w:rPr>
        <w:t xml:space="preserve"> it did not raise a pure question of law.</w:t>
      </w:r>
      <w:r w:rsidR="00603AA2">
        <w:rPr>
          <w:rStyle w:val="FootnoteReference"/>
          <w:sz w:val="28"/>
          <w:szCs w:val="28"/>
          <w:lang w:val="en-GB"/>
        </w:rPr>
        <w:footnoteReference w:id="79"/>
      </w:r>
      <w:r w:rsidR="00603AA2" w:rsidRPr="007B5106">
        <w:rPr>
          <w:sz w:val="28"/>
          <w:szCs w:val="28"/>
          <w:lang w:val="en-GB"/>
        </w:rPr>
        <w:t xml:space="preserve">  </w:t>
      </w:r>
      <w:r w:rsidR="00603AA2" w:rsidRPr="007B5106">
        <w:rPr>
          <w:sz w:val="28"/>
          <w:szCs w:val="28"/>
          <w:lang w:val="en-GB"/>
        </w:rPr>
        <w:lastRenderedPageBreak/>
        <w:t xml:space="preserve">Nonetheless, it considered </w:t>
      </w:r>
      <w:r w:rsidR="0031426C" w:rsidRPr="007B5106">
        <w:rPr>
          <w:sz w:val="28"/>
          <w:szCs w:val="28"/>
          <w:lang w:val="en-GB"/>
        </w:rPr>
        <w:t xml:space="preserve">the merits of </w:t>
      </w:r>
      <w:r w:rsidR="00603AA2" w:rsidRPr="007B5106">
        <w:rPr>
          <w:sz w:val="28"/>
          <w:szCs w:val="28"/>
          <w:lang w:val="en-GB"/>
        </w:rPr>
        <w:t>the argument in full and r</w:t>
      </w:r>
      <w:r w:rsidR="008225B8" w:rsidRPr="007B5106">
        <w:rPr>
          <w:sz w:val="28"/>
          <w:szCs w:val="28"/>
          <w:lang w:val="en-GB"/>
        </w:rPr>
        <w:t xml:space="preserve">ejected </w:t>
      </w:r>
      <w:r w:rsidR="00603AA2" w:rsidRPr="007B5106">
        <w:rPr>
          <w:sz w:val="28"/>
          <w:szCs w:val="28"/>
          <w:lang w:val="en-GB"/>
        </w:rPr>
        <w:t>it</w:t>
      </w:r>
      <w:r w:rsidR="008225B8" w:rsidRPr="007B5106">
        <w:rPr>
          <w:sz w:val="28"/>
          <w:szCs w:val="28"/>
          <w:lang w:val="en-GB"/>
        </w:rPr>
        <w:t xml:space="preserve"> on the basis that under the pre-</w:t>
      </w:r>
      <w:r w:rsidR="002B33AF" w:rsidRPr="007B5106">
        <w:rPr>
          <w:sz w:val="28"/>
          <w:szCs w:val="28"/>
          <w:lang w:val="en-GB"/>
        </w:rPr>
        <w:t>1997</w:t>
      </w:r>
      <w:r w:rsidR="008225B8" w:rsidRPr="007B5106">
        <w:rPr>
          <w:sz w:val="28"/>
          <w:szCs w:val="28"/>
          <w:lang w:val="en-GB"/>
        </w:rPr>
        <w:t xml:space="preserve"> social welfare system, opposite-sex married couples only had rights to apply for </w:t>
      </w:r>
      <w:r w:rsidR="00833D49" w:rsidRPr="007B5106">
        <w:rPr>
          <w:sz w:val="28"/>
          <w:szCs w:val="28"/>
          <w:lang w:val="en-GB"/>
        </w:rPr>
        <w:t>PRH units</w:t>
      </w:r>
      <w:r w:rsidR="008225B8" w:rsidRPr="007B5106">
        <w:rPr>
          <w:sz w:val="28"/>
          <w:szCs w:val="28"/>
          <w:lang w:val="en-GB"/>
        </w:rPr>
        <w:t xml:space="preserve"> and HOS flats.</w:t>
      </w:r>
      <w:r w:rsidR="00833D49" w:rsidRPr="004648FA">
        <w:rPr>
          <w:rStyle w:val="FootnoteReference"/>
          <w:sz w:val="28"/>
          <w:szCs w:val="28"/>
          <w:lang w:val="en-GB"/>
        </w:rPr>
        <w:footnoteReference w:id="80"/>
      </w:r>
      <w:r w:rsidR="008225B8" w:rsidRPr="007B5106">
        <w:rPr>
          <w:sz w:val="28"/>
          <w:szCs w:val="28"/>
          <w:lang w:val="en-GB"/>
        </w:rPr>
        <w:t xml:space="preserve"> </w:t>
      </w:r>
      <w:r w:rsidRPr="007B5106">
        <w:rPr>
          <w:sz w:val="28"/>
          <w:szCs w:val="28"/>
          <w:lang w:val="en-GB"/>
        </w:rPr>
        <w:t xml:space="preserve"> </w:t>
      </w:r>
      <w:r w:rsidR="008225B8" w:rsidRPr="007B5106">
        <w:rPr>
          <w:sz w:val="28"/>
          <w:szCs w:val="28"/>
          <w:lang w:val="en-GB"/>
        </w:rPr>
        <w:t>Their rights did not extend to a guarantee on the AWT.</w:t>
      </w:r>
      <w:r w:rsidR="00833D49" w:rsidRPr="004648FA">
        <w:rPr>
          <w:rStyle w:val="FootnoteReference"/>
          <w:sz w:val="28"/>
          <w:szCs w:val="28"/>
          <w:lang w:val="en-GB"/>
        </w:rPr>
        <w:footnoteReference w:id="81"/>
      </w:r>
      <w:r w:rsidRPr="007B5106">
        <w:rPr>
          <w:sz w:val="28"/>
          <w:szCs w:val="28"/>
          <w:lang w:val="en-GB"/>
        </w:rPr>
        <w:t xml:space="preserve"> </w:t>
      </w:r>
      <w:r w:rsidR="008225B8" w:rsidRPr="007B5106">
        <w:rPr>
          <w:sz w:val="28"/>
          <w:szCs w:val="28"/>
          <w:lang w:val="en-GB"/>
        </w:rPr>
        <w:t xml:space="preserve"> The addition of otherwise eligible same-sex married couples to the same queue of opposite-sex married couples would at most lengthen the queue and thus the AWT, but would not affect the latter’s rights to apply for </w:t>
      </w:r>
      <w:r w:rsidR="00833D49" w:rsidRPr="007B5106">
        <w:rPr>
          <w:sz w:val="28"/>
          <w:szCs w:val="28"/>
          <w:lang w:val="en-GB"/>
        </w:rPr>
        <w:t>PRH units</w:t>
      </w:r>
      <w:r w:rsidR="008225B8" w:rsidRPr="007B5106">
        <w:rPr>
          <w:sz w:val="28"/>
          <w:szCs w:val="28"/>
          <w:lang w:val="en-GB"/>
        </w:rPr>
        <w:t xml:space="preserve"> or HOS flats.</w:t>
      </w:r>
      <w:r w:rsidR="00833D49" w:rsidRPr="004648FA">
        <w:rPr>
          <w:rStyle w:val="FootnoteReference"/>
          <w:sz w:val="28"/>
          <w:szCs w:val="28"/>
          <w:lang w:val="en-GB"/>
        </w:rPr>
        <w:footnoteReference w:id="82"/>
      </w:r>
      <w:r w:rsidR="00833D49" w:rsidRPr="007B5106">
        <w:rPr>
          <w:sz w:val="28"/>
          <w:szCs w:val="28"/>
          <w:lang w:val="en-GB"/>
        </w:rPr>
        <w:t xml:space="preserve"> </w:t>
      </w:r>
      <w:r w:rsidRPr="007B5106">
        <w:rPr>
          <w:sz w:val="28"/>
          <w:szCs w:val="28"/>
          <w:lang w:val="en-GB"/>
        </w:rPr>
        <w:t xml:space="preserve"> </w:t>
      </w:r>
      <w:r w:rsidR="00833D49" w:rsidRPr="007B5106">
        <w:rPr>
          <w:sz w:val="28"/>
          <w:szCs w:val="28"/>
          <w:lang w:val="en-GB"/>
        </w:rPr>
        <w:t>BL</w:t>
      </w:r>
      <w:r w:rsidR="002B33AF" w:rsidRPr="007B5106">
        <w:rPr>
          <w:sz w:val="28"/>
          <w:szCs w:val="28"/>
          <w:lang w:val="en-GB"/>
        </w:rPr>
        <w:t>36</w:t>
      </w:r>
      <w:r w:rsidR="008225B8" w:rsidRPr="007B5106">
        <w:rPr>
          <w:sz w:val="28"/>
          <w:szCs w:val="28"/>
          <w:lang w:val="en-GB"/>
        </w:rPr>
        <w:t xml:space="preserve"> </w:t>
      </w:r>
      <w:proofErr w:type="gramStart"/>
      <w:r w:rsidR="008225B8" w:rsidRPr="007B5106">
        <w:rPr>
          <w:sz w:val="28"/>
          <w:szCs w:val="28"/>
          <w:lang w:val="en-GB"/>
        </w:rPr>
        <w:t xml:space="preserve">was </w:t>
      </w:r>
      <w:r w:rsidR="002A5923" w:rsidRPr="007B5106">
        <w:rPr>
          <w:sz w:val="28"/>
          <w:szCs w:val="28"/>
          <w:lang w:val="en-GB"/>
        </w:rPr>
        <w:t xml:space="preserve">simply </w:t>
      </w:r>
      <w:r w:rsidR="008225B8" w:rsidRPr="007B5106">
        <w:rPr>
          <w:sz w:val="28"/>
          <w:szCs w:val="28"/>
          <w:lang w:val="en-GB"/>
        </w:rPr>
        <w:t>not engaged</w:t>
      </w:r>
      <w:proofErr w:type="gramEnd"/>
      <w:r w:rsidR="008225B8" w:rsidRPr="007B5106">
        <w:rPr>
          <w:sz w:val="28"/>
          <w:szCs w:val="28"/>
          <w:lang w:val="en-GB"/>
        </w:rPr>
        <w:t>.</w:t>
      </w:r>
      <w:r w:rsidR="00833D49" w:rsidRPr="004648FA">
        <w:rPr>
          <w:rStyle w:val="FootnoteReference"/>
          <w:sz w:val="28"/>
          <w:szCs w:val="28"/>
          <w:lang w:val="en-GB"/>
        </w:rPr>
        <w:footnoteReference w:id="83"/>
      </w:r>
      <w:r w:rsidR="008225B8" w:rsidRPr="007B5106">
        <w:rPr>
          <w:sz w:val="28"/>
          <w:szCs w:val="28"/>
          <w:lang w:val="en-GB"/>
        </w:rPr>
        <w:t xml:space="preserve"> </w:t>
      </w:r>
      <w:r w:rsidRPr="007B5106">
        <w:rPr>
          <w:sz w:val="28"/>
          <w:szCs w:val="28"/>
          <w:lang w:val="en-GB"/>
        </w:rPr>
        <w:t xml:space="preserve"> </w:t>
      </w:r>
      <w:r w:rsidR="008225B8" w:rsidRPr="007B5106">
        <w:rPr>
          <w:sz w:val="28"/>
          <w:szCs w:val="28"/>
          <w:lang w:val="en-GB"/>
        </w:rPr>
        <w:t xml:space="preserve">It was therefore unnecessary to decide whether </w:t>
      </w:r>
      <w:r w:rsidR="00833D49" w:rsidRPr="007B5106">
        <w:rPr>
          <w:sz w:val="28"/>
          <w:szCs w:val="28"/>
          <w:lang w:val="en-GB"/>
        </w:rPr>
        <w:t>BL</w:t>
      </w:r>
      <w:r w:rsidR="002B33AF" w:rsidRPr="007B5106">
        <w:rPr>
          <w:sz w:val="28"/>
          <w:szCs w:val="28"/>
          <w:lang w:val="en-GB"/>
        </w:rPr>
        <w:t>36</w:t>
      </w:r>
      <w:r w:rsidR="008225B8" w:rsidRPr="007B5106">
        <w:rPr>
          <w:sz w:val="28"/>
          <w:szCs w:val="28"/>
          <w:lang w:val="en-GB"/>
        </w:rPr>
        <w:t xml:space="preserve"> is the </w:t>
      </w:r>
      <w:proofErr w:type="spellStart"/>
      <w:r w:rsidR="002B33AF" w:rsidRPr="007B5106">
        <w:rPr>
          <w:i/>
          <w:sz w:val="28"/>
          <w:szCs w:val="28"/>
          <w:lang w:val="en-GB"/>
        </w:rPr>
        <w:t>lex</w:t>
      </w:r>
      <w:proofErr w:type="spellEnd"/>
      <w:r w:rsidR="002B33AF" w:rsidRPr="007B5106">
        <w:rPr>
          <w:i/>
          <w:sz w:val="28"/>
          <w:szCs w:val="28"/>
          <w:lang w:val="en-GB"/>
        </w:rPr>
        <w:t xml:space="preserve"> </w:t>
      </w:r>
      <w:proofErr w:type="spellStart"/>
      <w:r w:rsidR="002B33AF" w:rsidRPr="007B5106">
        <w:rPr>
          <w:i/>
          <w:sz w:val="28"/>
          <w:szCs w:val="28"/>
          <w:lang w:val="en-GB"/>
        </w:rPr>
        <w:t>specialis</w:t>
      </w:r>
      <w:proofErr w:type="spellEnd"/>
      <w:r w:rsidR="008225B8" w:rsidRPr="007B5106">
        <w:rPr>
          <w:sz w:val="28"/>
          <w:szCs w:val="28"/>
          <w:lang w:val="en-GB"/>
        </w:rPr>
        <w:t xml:space="preserve"> concerning social welfare rights and excludes the operation of the </w:t>
      </w:r>
      <w:r w:rsidR="00D23239" w:rsidRPr="007B5106">
        <w:rPr>
          <w:sz w:val="28"/>
          <w:szCs w:val="28"/>
          <w:lang w:val="en-GB"/>
        </w:rPr>
        <w:t xml:space="preserve">general </w:t>
      </w:r>
      <w:r w:rsidR="008225B8" w:rsidRPr="007B5106">
        <w:rPr>
          <w:sz w:val="28"/>
          <w:szCs w:val="28"/>
          <w:lang w:val="en-GB"/>
        </w:rPr>
        <w:t>equality provisions.</w:t>
      </w:r>
      <w:r w:rsidR="00833D49" w:rsidRPr="004648FA">
        <w:rPr>
          <w:rStyle w:val="FootnoteReference"/>
          <w:sz w:val="28"/>
          <w:szCs w:val="28"/>
          <w:lang w:val="en-GB"/>
        </w:rPr>
        <w:footnoteReference w:id="84"/>
      </w:r>
    </w:p>
    <w:p w:rsidR="008225B8" w:rsidRPr="007B5106" w:rsidRDefault="006E4427" w:rsidP="0053491D">
      <w:pPr>
        <w:keepNext/>
        <w:snapToGrid w:val="0"/>
        <w:spacing w:after="360" w:line="360" w:lineRule="auto"/>
        <w:jc w:val="both"/>
        <w:rPr>
          <w:b/>
          <w:i/>
          <w:sz w:val="28"/>
          <w:szCs w:val="28"/>
          <w:lang w:val="en-GB"/>
        </w:rPr>
      </w:pPr>
      <w:r w:rsidRPr="007B5106">
        <w:rPr>
          <w:b/>
          <w:i/>
          <w:sz w:val="28"/>
          <w:szCs w:val="28"/>
          <w:lang w:val="en-GB"/>
        </w:rPr>
        <w:t xml:space="preserve">Is </w:t>
      </w:r>
      <w:r w:rsidR="000149B7" w:rsidRPr="007B5106">
        <w:rPr>
          <w:b/>
          <w:i/>
          <w:sz w:val="28"/>
          <w:szCs w:val="28"/>
          <w:lang w:val="en-GB"/>
        </w:rPr>
        <w:t>BL36 engaged</w:t>
      </w:r>
      <w:r w:rsidR="001C2C09" w:rsidRPr="007B5106">
        <w:rPr>
          <w:b/>
          <w:i/>
          <w:sz w:val="28"/>
          <w:szCs w:val="28"/>
          <w:lang w:val="en-GB"/>
        </w:rPr>
        <w:t xml:space="preserve"> (Question 1)</w:t>
      </w:r>
      <w:r w:rsidRPr="007B5106">
        <w:rPr>
          <w:b/>
          <w:i/>
          <w:sz w:val="28"/>
          <w:szCs w:val="28"/>
          <w:lang w:val="en-GB"/>
        </w:rPr>
        <w:t>?</w:t>
      </w:r>
      <w:r w:rsidR="001C2C09">
        <w:rPr>
          <w:rStyle w:val="FootnoteReference"/>
          <w:b/>
          <w:i/>
          <w:sz w:val="28"/>
          <w:szCs w:val="28"/>
          <w:lang w:val="en-GB"/>
        </w:rPr>
        <w:footnoteReference w:id="85"/>
      </w:r>
    </w:p>
    <w:p w:rsidR="00E04F2D" w:rsidRDefault="00580EBA"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r w:rsidR="006003FC">
        <w:rPr>
          <w:sz w:val="28"/>
          <w:szCs w:val="28"/>
          <w:lang w:val="en-GB"/>
        </w:rPr>
        <w:t xml:space="preserve">I </w:t>
      </w:r>
      <w:r w:rsidR="007B5106">
        <w:rPr>
          <w:sz w:val="28"/>
          <w:szCs w:val="28"/>
          <w:lang w:val="en-GB"/>
        </w:rPr>
        <w:t>see good reasons</w:t>
      </w:r>
      <w:r w:rsidR="00603AA2">
        <w:rPr>
          <w:sz w:val="28"/>
          <w:szCs w:val="28"/>
          <w:lang w:val="en-GB"/>
        </w:rPr>
        <w:t xml:space="preserve"> to entertain the argument based on BL36.  The Court of Appeal has </w:t>
      </w:r>
      <w:r w:rsidR="007B5106">
        <w:rPr>
          <w:sz w:val="28"/>
          <w:szCs w:val="28"/>
          <w:lang w:val="en-GB"/>
        </w:rPr>
        <w:t>dealt with it on the merits.  T</w:t>
      </w:r>
      <w:r w:rsidR="00E04F2D">
        <w:rPr>
          <w:sz w:val="28"/>
          <w:szCs w:val="28"/>
          <w:lang w:val="en-GB"/>
        </w:rPr>
        <w:t>wo of the questions on which leave</w:t>
      </w:r>
      <w:r w:rsidR="007E294A">
        <w:rPr>
          <w:sz w:val="28"/>
          <w:szCs w:val="28"/>
          <w:lang w:val="en-GB"/>
        </w:rPr>
        <w:t xml:space="preserve"> to appeal</w:t>
      </w:r>
      <w:r w:rsidR="00E04F2D">
        <w:rPr>
          <w:sz w:val="28"/>
          <w:szCs w:val="28"/>
          <w:lang w:val="en-GB"/>
        </w:rPr>
        <w:t xml:space="preserve"> was granted</w:t>
      </w:r>
      <w:r w:rsidR="007B5106">
        <w:rPr>
          <w:sz w:val="28"/>
          <w:szCs w:val="28"/>
          <w:lang w:val="en-GB"/>
        </w:rPr>
        <w:t xml:space="preserve"> are based on this argument</w:t>
      </w:r>
      <w:r w:rsidR="00E04F2D">
        <w:rPr>
          <w:sz w:val="28"/>
          <w:szCs w:val="28"/>
          <w:lang w:val="en-GB"/>
        </w:rPr>
        <w:t>.</w:t>
      </w:r>
      <w:r w:rsidR="00E04F2D">
        <w:rPr>
          <w:rStyle w:val="FootnoteReference"/>
          <w:sz w:val="28"/>
          <w:szCs w:val="28"/>
          <w:lang w:val="en-GB"/>
        </w:rPr>
        <w:footnoteReference w:id="86"/>
      </w:r>
      <w:r w:rsidR="00E04F2D">
        <w:rPr>
          <w:sz w:val="28"/>
          <w:szCs w:val="28"/>
          <w:lang w:val="en-GB"/>
        </w:rPr>
        <w:t xml:space="preserve">  The parties have advanced full submissions on them in their </w:t>
      </w:r>
      <w:r w:rsidR="00341505">
        <w:rPr>
          <w:sz w:val="28"/>
          <w:szCs w:val="28"/>
          <w:lang w:val="en-GB"/>
        </w:rPr>
        <w:t>written</w:t>
      </w:r>
      <w:r w:rsidR="00E04F2D">
        <w:rPr>
          <w:sz w:val="28"/>
          <w:szCs w:val="28"/>
          <w:lang w:val="en-GB"/>
        </w:rPr>
        <w:t xml:space="preserve"> cases and at the hearing.</w:t>
      </w:r>
      <w:r w:rsidR="005A1A88">
        <w:rPr>
          <w:rStyle w:val="FootnoteReference"/>
          <w:sz w:val="28"/>
          <w:szCs w:val="28"/>
          <w:lang w:val="en-GB"/>
        </w:rPr>
        <w:footnoteReference w:id="87"/>
      </w:r>
      <w:r w:rsidR="00E04F2D">
        <w:rPr>
          <w:sz w:val="28"/>
          <w:szCs w:val="28"/>
          <w:lang w:val="en-GB"/>
        </w:rPr>
        <w:t xml:space="preserve">  Furthermore, a proper understanding of BL36 and its relationship to other </w:t>
      </w:r>
      <w:r w:rsidR="00E04F2D">
        <w:rPr>
          <w:sz w:val="28"/>
          <w:szCs w:val="28"/>
          <w:lang w:val="en-GB"/>
        </w:rPr>
        <w:lastRenderedPageBreak/>
        <w:t xml:space="preserve">relevant provisions </w:t>
      </w:r>
      <w:r w:rsidR="00956471">
        <w:rPr>
          <w:sz w:val="28"/>
          <w:szCs w:val="28"/>
          <w:lang w:val="en-GB"/>
        </w:rPr>
        <w:t>of</w:t>
      </w:r>
      <w:r w:rsidR="00E04F2D">
        <w:rPr>
          <w:sz w:val="28"/>
          <w:szCs w:val="28"/>
          <w:lang w:val="en-GB"/>
        </w:rPr>
        <w:t xml:space="preserve"> the Basic Law and the Hong Kong Bill of Rights is a matter of importance that this </w:t>
      </w:r>
      <w:r w:rsidR="00B24E0B">
        <w:rPr>
          <w:sz w:val="28"/>
          <w:szCs w:val="28"/>
          <w:lang w:val="en-GB"/>
        </w:rPr>
        <w:t>c</w:t>
      </w:r>
      <w:r w:rsidR="00E04F2D">
        <w:rPr>
          <w:sz w:val="28"/>
          <w:szCs w:val="28"/>
          <w:lang w:val="en-GB"/>
        </w:rPr>
        <w:t>ourt should address.</w:t>
      </w:r>
    </w:p>
    <w:p w:rsidR="002B33AF" w:rsidRDefault="00580EBA"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r w:rsidR="006003FC">
        <w:rPr>
          <w:sz w:val="28"/>
          <w:szCs w:val="28"/>
          <w:lang w:val="en-GB"/>
        </w:rPr>
        <w:t>I</w:t>
      </w:r>
      <w:r w:rsidR="00E04F2D">
        <w:rPr>
          <w:sz w:val="28"/>
          <w:szCs w:val="28"/>
          <w:lang w:val="en-GB"/>
        </w:rPr>
        <w:t xml:space="preserve"> </w:t>
      </w:r>
      <w:r w:rsidR="008225B8" w:rsidRPr="004648FA">
        <w:rPr>
          <w:sz w:val="28"/>
          <w:szCs w:val="28"/>
          <w:lang w:val="en-GB"/>
        </w:rPr>
        <w:t xml:space="preserve">would approach the </w:t>
      </w:r>
      <w:r w:rsidR="00482CA4">
        <w:rPr>
          <w:sz w:val="28"/>
          <w:szCs w:val="28"/>
          <w:lang w:val="en-GB"/>
        </w:rPr>
        <w:t xml:space="preserve">BL36 </w:t>
      </w:r>
      <w:r w:rsidR="008225B8" w:rsidRPr="004648FA">
        <w:rPr>
          <w:sz w:val="28"/>
          <w:szCs w:val="28"/>
          <w:lang w:val="en-GB"/>
        </w:rPr>
        <w:t>argument on two levels</w:t>
      </w:r>
      <w:r w:rsidR="007C357E" w:rsidRPr="004648FA">
        <w:rPr>
          <w:sz w:val="28"/>
          <w:szCs w:val="28"/>
          <w:lang w:val="en-GB"/>
        </w:rPr>
        <w:t xml:space="preserve">.  </w:t>
      </w:r>
      <w:r w:rsidR="008225B8" w:rsidRPr="004648FA">
        <w:rPr>
          <w:sz w:val="28"/>
          <w:szCs w:val="28"/>
          <w:lang w:val="en-GB"/>
        </w:rPr>
        <w:t>First, on the facts</w:t>
      </w:r>
      <w:r w:rsidR="00482CA4">
        <w:rPr>
          <w:sz w:val="28"/>
          <w:szCs w:val="28"/>
          <w:lang w:val="en-GB"/>
        </w:rPr>
        <w:t xml:space="preserve">.  Admittedly, </w:t>
      </w:r>
      <w:r w:rsidR="008225B8" w:rsidRPr="004648FA">
        <w:rPr>
          <w:sz w:val="28"/>
          <w:szCs w:val="28"/>
          <w:lang w:val="en-GB"/>
        </w:rPr>
        <w:t xml:space="preserve">allowing same-sex married couples to apply </w:t>
      </w:r>
      <w:proofErr w:type="gramStart"/>
      <w:r w:rsidR="008225B8" w:rsidRPr="004648FA">
        <w:rPr>
          <w:sz w:val="28"/>
          <w:szCs w:val="28"/>
          <w:lang w:val="en-GB"/>
        </w:rPr>
        <w:t>does not</w:t>
      </w:r>
      <w:r w:rsidR="00482CA4">
        <w:rPr>
          <w:sz w:val="28"/>
          <w:szCs w:val="28"/>
          <w:lang w:val="en-GB"/>
        </w:rPr>
        <w:t>, as such,</w:t>
      </w:r>
      <w:r w:rsidR="008225B8" w:rsidRPr="004648FA">
        <w:rPr>
          <w:sz w:val="28"/>
          <w:szCs w:val="28"/>
          <w:lang w:val="en-GB"/>
        </w:rPr>
        <w:t xml:space="preserve"> </w:t>
      </w:r>
      <w:r w:rsidR="00482CA4">
        <w:rPr>
          <w:sz w:val="28"/>
          <w:szCs w:val="28"/>
          <w:lang w:val="en-GB"/>
        </w:rPr>
        <w:t>deprive</w:t>
      </w:r>
      <w:proofErr w:type="gramEnd"/>
      <w:r w:rsidR="008225B8" w:rsidRPr="004648FA">
        <w:rPr>
          <w:sz w:val="28"/>
          <w:szCs w:val="28"/>
          <w:lang w:val="en-GB"/>
        </w:rPr>
        <w:t xml:space="preserve"> opposite-sex couples</w:t>
      </w:r>
      <w:r w:rsidR="00482CA4">
        <w:rPr>
          <w:sz w:val="28"/>
          <w:szCs w:val="28"/>
          <w:lang w:val="en-GB"/>
        </w:rPr>
        <w:t xml:space="preserve"> of their rights</w:t>
      </w:r>
      <w:r w:rsidR="008225B8" w:rsidRPr="004648FA">
        <w:rPr>
          <w:sz w:val="28"/>
          <w:szCs w:val="28"/>
          <w:lang w:val="en-GB"/>
        </w:rPr>
        <w:t xml:space="preserve"> to apply</w:t>
      </w:r>
      <w:r w:rsidR="007C357E" w:rsidRPr="004648FA">
        <w:rPr>
          <w:sz w:val="28"/>
          <w:szCs w:val="28"/>
          <w:lang w:val="en-GB"/>
        </w:rPr>
        <w:t xml:space="preserve">.  </w:t>
      </w:r>
      <w:r w:rsidR="00867BF0">
        <w:rPr>
          <w:sz w:val="28"/>
          <w:szCs w:val="28"/>
          <w:lang w:val="en-GB"/>
        </w:rPr>
        <w:t>However, th</w:t>
      </w:r>
      <w:r w:rsidR="008225B8" w:rsidRPr="004648FA">
        <w:rPr>
          <w:sz w:val="28"/>
          <w:szCs w:val="28"/>
          <w:lang w:val="en-GB"/>
        </w:rPr>
        <w:t xml:space="preserve">e HA’s </w:t>
      </w:r>
      <w:r w:rsidR="00482CA4">
        <w:rPr>
          <w:sz w:val="28"/>
          <w:szCs w:val="28"/>
          <w:lang w:val="en-GB"/>
        </w:rPr>
        <w:t>real point</w:t>
      </w:r>
      <w:r w:rsidR="008225B8" w:rsidRPr="004648FA">
        <w:rPr>
          <w:sz w:val="28"/>
          <w:szCs w:val="28"/>
          <w:lang w:val="en-GB"/>
        </w:rPr>
        <w:t xml:space="preserve"> is that this would lengthen the queue and the AWT</w:t>
      </w:r>
      <w:r w:rsidR="007E294A">
        <w:rPr>
          <w:sz w:val="28"/>
          <w:szCs w:val="28"/>
          <w:lang w:val="en-GB"/>
        </w:rPr>
        <w:t>,</w:t>
      </w:r>
      <w:r w:rsidR="008225B8" w:rsidRPr="004648FA">
        <w:rPr>
          <w:sz w:val="28"/>
          <w:szCs w:val="28"/>
          <w:lang w:val="en-GB"/>
        </w:rPr>
        <w:t xml:space="preserve"> and therefore dilute, in substance although not in form, opposite-sex couples’ pre-existing rights to apply</w:t>
      </w:r>
      <w:r w:rsidR="007C357E" w:rsidRPr="004648FA">
        <w:rPr>
          <w:sz w:val="28"/>
          <w:szCs w:val="28"/>
          <w:lang w:val="en-GB"/>
        </w:rPr>
        <w:t>.</w:t>
      </w:r>
      <w:r w:rsidR="005A1A88">
        <w:rPr>
          <w:rStyle w:val="FootnoteReference"/>
          <w:sz w:val="28"/>
          <w:szCs w:val="28"/>
          <w:lang w:val="en-GB"/>
        </w:rPr>
        <w:footnoteReference w:id="88"/>
      </w:r>
      <w:r w:rsidR="007C357E" w:rsidRPr="004648FA">
        <w:rPr>
          <w:sz w:val="28"/>
          <w:szCs w:val="28"/>
          <w:lang w:val="en-GB"/>
        </w:rPr>
        <w:t xml:space="preserve">  </w:t>
      </w:r>
      <w:r w:rsidR="008225B8" w:rsidRPr="004648FA">
        <w:rPr>
          <w:sz w:val="28"/>
          <w:szCs w:val="28"/>
          <w:lang w:val="en-GB"/>
        </w:rPr>
        <w:t xml:space="preserve">This argument </w:t>
      </w:r>
      <w:r w:rsidR="0031426C">
        <w:rPr>
          <w:sz w:val="28"/>
          <w:szCs w:val="28"/>
          <w:lang w:val="en-GB"/>
        </w:rPr>
        <w:t>might</w:t>
      </w:r>
      <w:r w:rsidR="008225B8" w:rsidRPr="004648FA">
        <w:rPr>
          <w:sz w:val="28"/>
          <w:szCs w:val="28"/>
          <w:lang w:val="en-GB"/>
        </w:rPr>
        <w:t xml:space="preserve"> </w:t>
      </w:r>
      <w:r w:rsidR="00727A76">
        <w:rPr>
          <w:sz w:val="28"/>
          <w:szCs w:val="28"/>
          <w:lang w:val="en-GB"/>
        </w:rPr>
        <w:t>carry weight</w:t>
      </w:r>
      <w:r w:rsidR="008225B8" w:rsidRPr="004648FA">
        <w:rPr>
          <w:sz w:val="28"/>
          <w:szCs w:val="28"/>
          <w:lang w:val="en-GB"/>
        </w:rPr>
        <w:t xml:space="preserve"> if a separate queue for opposite-sex married couples</w:t>
      </w:r>
      <w:r w:rsidR="00727A76" w:rsidRPr="00727A76">
        <w:rPr>
          <w:sz w:val="28"/>
          <w:szCs w:val="28"/>
          <w:lang w:val="en-GB"/>
        </w:rPr>
        <w:t xml:space="preserve"> </w:t>
      </w:r>
      <w:proofErr w:type="gramStart"/>
      <w:r w:rsidR="00727A76" w:rsidRPr="00727A76">
        <w:rPr>
          <w:sz w:val="28"/>
          <w:szCs w:val="28"/>
          <w:lang w:val="en-GB"/>
        </w:rPr>
        <w:t>had been reserved</w:t>
      </w:r>
      <w:proofErr w:type="gramEnd"/>
      <w:r w:rsidR="008225B8" w:rsidRPr="004648FA">
        <w:rPr>
          <w:sz w:val="28"/>
          <w:szCs w:val="28"/>
          <w:lang w:val="en-GB"/>
        </w:rPr>
        <w:t xml:space="preserve">, </w:t>
      </w:r>
      <w:r w:rsidR="001E7459" w:rsidRPr="004648FA">
        <w:rPr>
          <w:sz w:val="28"/>
          <w:szCs w:val="28"/>
          <w:lang w:val="en-GB"/>
        </w:rPr>
        <w:t xml:space="preserve">such </w:t>
      </w:r>
      <w:r w:rsidR="008225B8" w:rsidRPr="004648FA">
        <w:rPr>
          <w:sz w:val="28"/>
          <w:szCs w:val="28"/>
          <w:lang w:val="en-GB"/>
        </w:rPr>
        <w:t xml:space="preserve">that </w:t>
      </w:r>
      <w:r w:rsidR="00727A76" w:rsidRPr="00727A76">
        <w:rPr>
          <w:sz w:val="28"/>
          <w:szCs w:val="28"/>
          <w:lang w:val="en-GB"/>
        </w:rPr>
        <w:t xml:space="preserve">the inclusion of a substantial number of same-sex married couples in the same queue would significantly </w:t>
      </w:r>
      <w:r w:rsidR="00863E24">
        <w:rPr>
          <w:sz w:val="28"/>
          <w:szCs w:val="28"/>
          <w:lang w:val="en-GB"/>
        </w:rPr>
        <w:t>lengthen</w:t>
      </w:r>
      <w:r w:rsidR="00863E24" w:rsidRPr="00727A76">
        <w:rPr>
          <w:sz w:val="28"/>
          <w:szCs w:val="28"/>
          <w:lang w:val="en-GB"/>
        </w:rPr>
        <w:t xml:space="preserve"> </w:t>
      </w:r>
      <w:r w:rsidR="00727A76" w:rsidRPr="00727A76">
        <w:rPr>
          <w:sz w:val="28"/>
          <w:szCs w:val="28"/>
          <w:lang w:val="en-GB"/>
        </w:rPr>
        <w:t>the AWT for opposite-sex couples</w:t>
      </w:r>
      <w:r w:rsidR="008225B8" w:rsidRPr="004648FA">
        <w:rPr>
          <w:sz w:val="28"/>
          <w:szCs w:val="28"/>
          <w:lang w:val="en-GB"/>
        </w:rPr>
        <w:t xml:space="preserve">, </w:t>
      </w:r>
      <w:r w:rsidR="00727A76">
        <w:rPr>
          <w:sz w:val="28"/>
          <w:szCs w:val="28"/>
          <w:lang w:val="en-GB"/>
        </w:rPr>
        <w:t xml:space="preserve">thereby rendering </w:t>
      </w:r>
      <w:r w:rsidR="00867BF0">
        <w:rPr>
          <w:sz w:val="28"/>
          <w:szCs w:val="28"/>
          <w:lang w:val="en-GB"/>
        </w:rPr>
        <w:t>the</w:t>
      </w:r>
      <w:r w:rsidR="00727A76">
        <w:rPr>
          <w:sz w:val="28"/>
          <w:szCs w:val="28"/>
          <w:lang w:val="en-GB"/>
        </w:rPr>
        <w:t xml:space="preserve"> claim of a </w:t>
      </w:r>
      <w:r w:rsidR="008225B8" w:rsidRPr="004648FA">
        <w:rPr>
          <w:sz w:val="28"/>
          <w:szCs w:val="28"/>
          <w:lang w:val="en-GB"/>
        </w:rPr>
        <w:t>dilution of their pre-existing rights</w:t>
      </w:r>
      <w:r w:rsidR="00727A76">
        <w:rPr>
          <w:sz w:val="28"/>
          <w:szCs w:val="28"/>
          <w:lang w:val="en-GB"/>
        </w:rPr>
        <w:t xml:space="preserve"> more tenable</w:t>
      </w:r>
      <w:r w:rsidR="008225B8" w:rsidRPr="004648FA">
        <w:rPr>
          <w:sz w:val="28"/>
          <w:szCs w:val="28"/>
          <w:lang w:val="en-GB"/>
        </w:rPr>
        <w:t>.</w:t>
      </w:r>
    </w:p>
    <w:p w:rsidR="001E7459" w:rsidRPr="004648FA" w:rsidRDefault="00580EBA"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r w:rsidR="008225B8" w:rsidRPr="004648FA">
        <w:rPr>
          <w:sz w:val="28"/>
          <w:szCs w:val="28"/>
          <w:lang w:val="en-GB"/>
        </w:rPr>
        <w:t>However, as described, for PRH units, opposite-sex married couples apply under the “Ordinary Families” sub-category, which also includes parent and child, grandparent and grandchild, and single siblings.</w:t>
      </w:r>
      <w:r w:rsidR="001E7459" w:rsidRPr="004648FA">
        <w:rPr>
          <w:rStyle w:val="FootnoteReference"/>
          <w:sz w:val="28"/>
          <w:szCs w:val="28"/>
          <w:lang w:val="en-GB"/>
        </w:rPr>
        <w:footnoteReference w:id="89"/>
      </w:r>
      <w:r w:rsidR="008225B8" w:rsidRPr="004648FA">
        <w:rPr>
          <w:sz w:val="28"/>
          <w:szCs w:val="28"/>
          <w:lang w:val="en-GB"/>
        </w:rPr>
        <w:t xml:space="preserve"> </w:t>
      </w:r>
      <w:r>
        <w:rPr>
          <w:sz w:val="28"/>
          <w:szCs w:val="28"/>
          <w:lang w:val="en-GB"/>
        </w:rPr>
        <w:t xml:space="preserve"> </w:t>
      </w:r>
      <w:r w:rsidR="008225B8" w:rsidRPr="004648FA">
        <w:rPr>
          <w:sz w:val="28"/>
          <w:szCs w:val="28"/>
          <w:lang w:val="en-GB"/>
        </w:rPr>
        <w:t>Together, they form one queue</w:t>
      </w:r>
      <w:r w:rsidR="007C357E" w:rsidRPr="004648FA">
        <w:rPr>
          <w:sz w:val="28"/>
          <w:szCs w:val="28"/>
          <w:lang w:val="en-GB"/>
        </w:rPr>
        <w:t xml:space="preserve">.  </w:t>
      </w:r>
      <w:r w:rsidR="008225B8" w:rsidRPr="004648FA">
        <w:rPr>
          <w:sz w:val="28"/>
          <w:szCs w:val="28"/>
          <w:lang w:val="en-GB"/>
        </w:rPr>
        <w:t>There is no separate queue for opposite-sex married couples as such</w:t>
      </w:r>
      <w:r w:rsidR="007C357E" w:rsidRPr="004648FA">
        <w:rPr>
          <w:sz w:val="28"/>
          <w:szCs w:val="28"/>
          <w:lang w:val="en-GB"/>
        </w:rPr>
        <w:t xml:space="preserve">.  </w:t>
      </w:r>
      <w:r w:rsidR="008225B8" w:rsidRPr="004648FA">
        <w:rPr>
          <w:sz w:val="28"/>
          <w:szCs w:val="28"/>
          <w:lang w:val="en-GB"/>
        </w:rPr>
        <w:t xml:space="preserve">The entitlement of opposite-sex married couples to apply under the “Ordinary Families” sub-category </w:t>
      </w:r>
      <w:proofErr w:type="gramStart"/>
      <w:r w:rsidR="008225B8" w:rsidRPr="004648FA">
        <w:rPr>
          <w:sz w:val="28"/>
          <w:szCs w:val="28"/>
          <w:lang w:val="en-GB"/>
        </w:rPr>
        <w:t>can hardly be said</w:t>
      </w:r>
      <w:proofErr w:type="gramEnd"/>
      <w:r w:rsidR="008225B8" w:rsidRPr="004648FA">
        <w:rPr>
          <w:sz w:val="28"/>
          <w:szCs w:val="28"/>
          <w:lang w:val="en-GB"/>
        </w:rPr>
        <w:t xml:space="preserve"> to be “exclusive”</w:t>
      </w:r>
      <w:r w:rsidR="007C357E" w:rsidRPr="004648FA">
        <w:rPr>
          <w:sz w:val="28"/>
          <w:szCs w:val="28"/>
          <w:lang w:val="en-GB"/>
        </w:rPr>
        <w:t xml:space="preserve">.  </w:t>
      </w:r>
      <w:r w:rsidR="00BB0423">
        <w:rPr>
          <w:sz w:val="28"/>
          <w:szCs w:val="28"/>
          <w:lang w:val="en-GB"/>
        </w:rPr>
        <w:t>A</w:t>
      </w:r>
      <w:r w:rsidR="008225B8" w:rsidRPr="004648FA">
        <w:rPr>
          <w:sz w:val="28"/>
          <w:szCs w:val="28"/>
          <w:lang w:val="en-GB"/>
        </w:rPr>
        <w:t>s its name suggests, the sub-category under which opposite-sex married couples apply for PRH units is one for “Ordinary Families”</w:t>
      </w:r>
      <w:r w:rsidR="007C357E" w:rsidRPr="004648FA">
        <w:rPr>
          <w:sz w:val="28"/>
          <w:szCs w:val="28"/>
          <w:lang w:val="en-GB"/>
        </w:rPr>
        <w:t xml:space="preserve">.  </w:t>
      </w:r>
      <w:r w:rsidR="008225B8" w:rsidRPr="004648FA">
        <w:rPr>
          <w:sz w:val="28"/>
          <w:szCs w:val="28"/>
          <w:lang w:val="en-GB"/>
        </w:rPr>
        <w:t xml:space="preserve">An </w:t>
      </w:r>
      <w:r w:rsidR="008225B8" w:rsidRPr="004648FA">
        <w:rPr>
          <w:sz w:val="28"/>
          <w:szCs w:val="28"/>
          <w:lang w:val="en-GB"/>
        </w:rPr>
        <w:lastRenderedPageBreak/>
        <w:t xml:space="preserve">opposite-sex married relationship is just one of the several familial relationships included </w:t>
      </w:r>
      <w:r w:rsidR="00956471">
        <w:rPr>
          <w:sz w:val="28"/>
          <w:szCs w:val="28"/>
          <w:lang w:val="en-GB"/>
        </w:rPr>
        <w:t>within</w:t>
      </w:r>
      <w:r w:rsidR="00956471" w:rsidRPr="004648FA">
        <w:rPr>
          <w:sz w:val="28"/>
          <w:szCs w:val="28"/>
          <w:lang w:val="en-GB"/>
        </w:rPr>
        <w:t xml:space="preserve"> </w:t>
      </w:r>
      <w:r w:rsidR="008225B8" w:rsidRPr="004648FA">
        <w:rPr>
          <w:sz w:val="28"/>
          <w:szCs w:val="28"/>
          <w:lang w:val="en-GB"/>
        </w:rPr>
        <w:t>this sub-category.</w:t>
      </w:r>
      <w:r w:rsidR="005A1A88">
        <w:rPr>
          <w:rStyle w:val="FootnoteReference"/>
          <w:sz w:val="28"/>
          <w:szCs w:val="28"/>
          <w:lang w:val="en-GB"/>
        </w:rPr>
        <w:footnoteReference w:id="90"/>
      </w:r>
      <w:r w:rsidR="008225B8" w:rsidRPr="004648FA">
        <w:rPr>
          <w:sz w:val="28"/>
          <w:szCs w:val="28"/>
          <w:lang w:val="en-GB"/>
        </w:rPr>
        <w:t xml:space="preserve"> </w:t>
      </w:r>
    </w:p>
    <w:p w:rsidR="001E7459" w:rsidRPr="004648FA" w:rsidRDefault="00580EBA"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r w:rsidR="008225B8" w:rsidRPr="004648FA">
        <w:rPr>
          <w:sz w:val="28"/>
          <w:szCs w:val="28"/>
          <w:lang w:val="en-GB"/>
        </w:rPr>
        <w:t xml:space="preserve">Nothing in the evidence suggests that the “Ordinary Families” sub-category is a closed sub-category such that no other familial relationships </w:t>
      </w:r>
      <w:proofErr w:type="gramStart"/>
      <w:r w:rsidR="008225B8" w:rsidRPr="004648FA">
        <w:rPr>
          <w:sz w:val="28"/>
          <w:szCs w:val="28"/>
          <w:lang w:val="en-GB"/>
        </w:rPr>
        <w:t>can be recognised</w:t>
      </w:r>
      <w:proofErr w:type="gramEnd"/>
      <w:r w:rsidR="008225B8" w:rsidRPr="004648FA">
        <w:rPr>
          <w:sz w:val="28"/>
          <w:szCs w:val="28"/>
          <w:lang w:val="en-GB"/>
        </w:rPr>
        <w:t xml:space="preserve"> for inclusion into this sub-category</w:t>
      </w:r>
      <w:r w:rsidR="007C357E" w:rsidRPr="004648FA">
        <w:rPr>
          <w:sz w:val="28"/>
          <w:szCs w:val="28"/>
          <w:lang w:val="en-GB"/>
        </w:rPr>
        <w:t xml:space="preserve">.  </w:t>
      </w:r>
      <w:r w:rsidR="008225B8" w:rsidRPr="004648FA">
        <w:rPr>
          <w:sz w:val="28"/>
          <w:szCs w:val="28"/>
          <w:lang w:val="en-GB"/>
        </w:rPr>
        <w:t>The mere fact that pre-</w:t>
      </w:r>
      <w:r w:rsidR="002B33AF" w:rsidRPr="004648FA">
        <w:rPr>
          <w:sz w:val="28"/>
          <w:szCs w:val="28"/>
          <w:lang w:val="en-GB"/>
        </w:rPr>
        <w:t>1997</w:t>
      </w:r>
      <w:r w:rsidR="008225B8" w:rsidRPr="004648FA">
        <w:rPr>
          <w:sz w:val="28"/>
          <w:szCs w:val="28"/>
          <w:lang w:val="en-GB"/>
        </w:rPr>
        <w:t xml:space="preserve">, same-sex married couples were not included cannot be equated with an “exclusive” entitlement of opposite-sex married couples to be included. </w:t>
      </w:r>
    </w:p>
    <w:p w:rsidR="002B33AF" w:rsidRPr="004648FA" w:rsidRDefault="00580EBA"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r w:rsidR="008225B8" w:rsidRPr="004648FA">
        <w:rPr>
          <w:sz w:val="28"/>
          <w:szCs w:val="28"/>
          <w:lang w:val="en-GB"/>
        </w:rPr>
        <w:t>The truth is that different familial relationships have always been included in the same “Ordinary Families” sub-category and they all join the same queue</w:t>
      </w:r>
      <w:r w:rsidR="007C357E" w:rsidRPr="004648FA">
        <w:rPr>
          <w:sz w:val="28"/>
          <w:szCs w:val="28"/>
          <w:lang w:val="en-GB"/>
        </w:rPr>
        <w:t xml:space="preserve">.  </w:t>
      </w:r>
      <w:r w:rsidR="008225B8" w:rsidRPr="004648FA">
        <w:rPr>
          <w:sz w:val="28"/>
          <w:szCs w:val="28"/>
          <w:lang w:val="en-GB"/>
        </w:rPr>
        <w:t>None of them can claim to have</w:t>
      </w:r>
      <w:r w:rsidR="00B45848">
        <w:rPr>
          <w:sz w:val="28"/>
          <w:szCs w:val="28"/>
          <w:lang w:val="en-GB"/>
        </w:rPr>
        <w:t>, or to have had as at 1 July 1997,</w:t>
      </w:r>
      <w:r w:rsidR="008225B8" w:rsidRPr="004648FA">
        <w:rPr>
          <w:sz w:val="28"/>
          <w:szCs w:val="28"/>
          <w:lang w:val="en-GB"/>
        </w:rPr>
        <w:t xml:space="preserve"> any “exclusive” entitlement to being in the queue, to the exclusion of other familial relationships which the HA may from time to time decide to recognise and include</w:t>
      </w:r>
      <w:r w:rsidR="007C357E" w:rsidRPr="004648FA">
        <w:rPr>
          <w:sz w:val="28"/>
          <w:szCs w:val="28"/>
          <w:lang w:val="en-GB"/>
        </w:rPr>
        <w:t xml:space="preserve">.  </w:t>
      </w:r>
      <w:r w:rsidR="008225B8" w:rsidRPr="004648FA">
        <w:rPr>
          <w:sz w:val="28"/>
          <w:szCs w:val="28"/>
          <w:lang w:val="en-GB"/>
        </w:rPr>
        <w:t>There is nothing in the documentary evidence produced by the HA concerning the PRH policy and its implementation to suggest that no new familial relationship can be added to the “Ordinary Families” sub-category</w:t>
      </w:r>
      <w:r w:rsidR="00DE2FA4">
        <w:rPr>
          <w:sz w:val="28"/>
          <w:szCs w:val="28"/>
          <w:lang w:val="en-GB"/>
        </w:rPr>
        <w:t xml:space="preserve">.  </w:t>
      </w:r>
      <w:r w:rsidR="00B24E0B">
        <w:rPr>
          <w:sz w:val="28"/>
          <w:szCs w:val="28"/>
          <w:lang w:val="en-GB"/>
        </w:rPr>
        <w:t>There is equally no</w:t>
      </w:r>
      <w:r w:rsidR="00DE2FA4">
        <w:rPr>
          <w:sz w:val="28"/>
          <w:szCs w:val="28"/>
          <w:lang w:val="en-GB"/>
        </w:rPr>
        <w:t xml:space="preserve"> suggest</w:t>
      </w:r>
      <w:r w:rsidR="00B24E0B">
        <w:rPr>
          <w:sz w:val="28"/>
          <w:szCs w:val="28"/>
          <w:lang w:val="en-GB"/>
        </w:rPr>
        <w:t>ion</w:t>
      </w:r>
      <w:r w:rsidR="00DE2FA4">
        <w:rPr>
          <w:sz w:val="28"/>
          <w:szCs w:val="28"/>
          <w:lang w:val="en-GB"/>
        </w:rPr>
        <w:t xml:space="preserve"> </w:t>
      </w:r>
      <w:r w:rsidR="008225B8" w:rsidRPr="004648FA">
        <w:rPr>
          <w:sz w:val="28"/>
          <w:szCs w:val="28"/>
          <w:lang w:val="en-GB"/>
        </w:rPr>
        <w:t>that the HA cannot or will not revise and enlarge the “Ordinary Families” sub-category, or even create new sub-categories that enjoy priorit</w:t>
      </w:r>
      <w:r w:rsidR="007E294A">
        <w:rPr>
          <w:sz w:val="28"/>
          <w:szCs w:val="28"/>
          <w:lang w:val="en-GB"/>
        </w:rPr>
        <w:t>y</w:t>
      </w:r>
      <w:r w:rsidR="008225B8" w:rsidRPr="004648FA">
        <w:rPr>
          <w:sz w:val="28"/>
          <w:szCs w:val="28"/>
          <w:lang w:val="en-GB"/>
        </w:rPr>
        <w:t xml:space="preserve"> over the “Ordinary Families” sub-category.</w:t>
      </w:r>
    </w:p>
    <w:p w:rsidR="002B33AF" w:rsidRPr="004648FA" w:rsidRDefault="00580EBA"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r w:rsidR="008225B8" w:rsidRPr="004648FA">
        <w:rPr>
          <w:sz w:val="28"/>
          <w:szCs w:val="28"/>
          <w:lang w:val="en-GB"/>
        </w:rPr>
        <w:t xml:space="preserve">The same may be said in relation to the </w:t>
      </w:r>
      <w:r w:rsidR="003B7BF1">
        <w:rPr>
          <w:sz w:val="28"/>
          <w:szCs w:val="28"/>
          <w:lang w:val="en-GB"/>
        </w:rPr>
        <w:t xml:space="preserve">HA’s overall </w:t>
      </w:r>
      <w:r w:rsidR="008225B8" w:rsidRPr="004648FA">
        <w:rPr>
          <w:sz w:val="28"/>
          <w:szCs w:val="28"/>
          <w:lang w:val="en-GB"/>
        </w:rPr>
        <w:t>HOS policy</w:t>
      </w:r>
      <w:r w:rsidR="003B7BF1">
        <w:rPr>
          <w:sz w:val="28"/>
          <w:szCs w:val="28"/>
          <w:lang w:val="en-GB"/>
        </w:rPr>
        <w:t xml:space="preserve"> (of which the policies on addition of occupants and transfer of ownership form part</w:t>
      </w:r>
      <w:r w:rsidR="00370DEA">
        <w:rPr>
          <w:sz w:val="28"/>
          <w:szCs w:val="28"/>
          <w:lang w:val="en-GB"/>
        </w:rPr>
        <w:t>).</w:t>
      </w:r>
      <w:r w:rsidR="003B7BF1">
        <w:rPr>
          <w:rStyle w:val="FootnoteReference"/>
          <w:sz w:val="28"/>
          <w:szCs w:val="28"/>
          <w:lang w:val="en-GB"/>
        </w:rPr>
        <w:footnoteReference w:id="91"/>
      </w:r>
      <w:r w:rsidR="007C357E" w:rsidRPr="004648FA">
        <w:rPr>
          <w:sz w:val="28"/>
          <w:szCs w:val="28"/>
          <w:lang w:val="en-GB"/>
        </w:rPr>
        <w:t xml:space="preserve">  </w:t>
      </w:r>
      <w:r w:rsidR="00956471">
        <w:rPr>
          <w:sz w:val="28"/>
          <w:szCs w:val="28"/>
          <w:lang w:val="en-GB"/>
        </w:rPr>
        <w:t>Households e</w:t>
      </w:r>
      <w:r w:rsidR="008225B8" w:rsidRPr="004648FA">
        <w:rPr>
          <w:sz w:val="28"/>
          <w:szCs w:val="28"/>
          <w:lang w:val="en-GB"/>
        </w:rPr>
        <w:t xml:space="preserve">ligible to apply for purchase of HOS flats are not limited </w:t>
      </w:r>
      <w:r w:rsidR="008225B8" w:rsidRPr="004648FA">
        <w:rPr>
          <w:sz w:val="28"/>
          <w:szCs w:val="28"/>
          <w:lang w:val="en-GB"/>
        </w:rPr>
        <w:lastRenderedPageBreak/>
        <w:t xml:space="preserve">to </w:t>
      </w:r>
      <w:r w:rsidR="00956471">
        <w:rPr>
          <w:sz w:val="28"/>
          <w:szCs w:val="28"/>
          <w:lang w:val="en-GB"/>
        </w:rPr>
        <w:t>those</w:t>
      </w:r>
      <w:r w:rsidR="00956471" w:rsidRPr="004648FA">
        <w:rPr>
          <w:sz w:val="28"/>
          <w:szCs w:val="28"/>
          <w:lang w:val="en-GB"/>
        </w:rPr>
        <w:t xml:space="preserve"> </w:t>
      </w:r>
      <w:r w:rsidR="008225B8" w:rsidRPr="004648FA">
        <w:rPr>
          <w:sz w:val="28"/>
          <w:szCs w:val="28"/>
          <w:lang w:val="en-GB"/>
        </w:rPr>
        <w:t>of opposite-sex married couples</w:t>
      </w:r>
      <w:r w:rsidR="007C357E" w:rsidRPr="004648FA">
        <w:rPr>
          <w:sz w:val="28"/>
          <w:szCs w:val="28"/>
          <w:lang w:val="en-GB"/>
        </w:rPr>
        <w:t xml:space="preserve">.  </w:t>
      </w:r>
      <w:r w:rsidR="008225B8" w:rsidRPr="004648FA">
        <w:rPr>
          <w:sz w:val="28"/>
          <w:szCs w:val="28"/>
          <w:lang w:val="en-GB"/>
        </w:rPr>
        <w:t>Rather, an eligible household may include the applicant’s children, parents, grandparents, in-laws, siblings, as well as other relatives if dependent on the applicant</w:t>
      </w:r>
      <w:r w:rsidR="007C357E" w:rsidRPr="004648FA">
        <w:rPr>
          <w:sz w:val="28"/>
          <w:szCs w:val="28"/>
          <w:lang w:val="en-GB"/>
        </w:rPr>
        <w:t xml:space="preserve">.  </w:t>
      </w:r>
      <w:r w:rsidR="008225B8" w:rsidRPr="004648FA">
        <w:rPr>
          <w:sz w:val="28"/>
          <w:szCs w:val="28"/>
          <w:lang w:val="en-GB"/>
        </w:rPr>
        <w:t xml:space="preserve">Again, there is nothing “exclusive” about </w:t>
      </w:r>
      <w:r w:rsidR="003B7BF1">
        <w:rPr>
          <w:sz w:val="28"/>
          <w:szCs w:val="28"/>
          <w:lang w:val="en-GB"/>
        </w:rPr>
        <w:t>o</w:t>
      </w:r>
      <w:r w:rsidR="008225B8" w:rsidRPr="004648FA">
        <w:rPr>
          <w:sz w:val="28"/>
          <w:szCs w:val="28"/>
          <w:lang w:val="en-GB"/>
        </w:rPr>
        <w:t>pposite-sex married couple</w:t>
      </w:r>
      <w:r w:rsidR="003B7BF1">
        <w:rPr>
          <w:sz w:val="28"/>
          <w:szCs w:val="28"/>
          <w:lang w:val="en-GB"/>
        </w:rPr>
        <w:t>s’</w:t>
      </w:r>
      <w:r w:rsidR="008225B8" w:rsidRPr="004648FA">
        <w:rPr>
          <w:sz w:val="28"/>
          <w:szCs w:val="28"/>
          <w:lang w:val="en-GB"/>
        </w:rPr>
        <w:t xml:space="preserve"> entitlement to apply </w:t>
      </w:r>
      <w:r w:rsidR="003B7BF1">
        <w:rPr>
          <w:sz w:val="28"/>
          <w:szCs w:val="28"/>
          <w:lang w:val="en-GB"/>
        </w:rPr>
        <w:t>as couples to purchase HOS flats</w:t>
      </w:r>
      <w:r w:rsidR="008225B8" w:rsidRPr="004648FA">
        <w:rPr>
          <w:sz w:val="28"/>
          <w:szCs w:val="28"/>
          <w:lang w:val="en-GB"/>
        </w:rPr>
        <w:t>.</w:t>
      </w:r>
    </w:p>
    <w:p w:rsidR="002B33AF" w:rsidRPr="004648FA" w:rsidRDefault="00580EBA"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r w:rsidR="008225B8" w:rsidRPr="004648FA">
        <w:rPr>
          <w:sz w:val="28"/>
          <w:szCs w:val="28"/>
          <w:lang w:val="en-GB"/>
        </w:rPr>
        <w:t xml:space="preserve">The HA </w:t>
      </w:r>
      <w:r w:rsidR="000B2DEB">
        <w:rPr>
          <w:sz w:val="28"/>
          <w:szCs w:val="28"/>
          <w:lang w:val="en-GB"/>
        </w:rPr>
        <w:t>responds</w:t>
      </w:r>
      <w:r w:rsidR="008225B8" w:rsidRPr="004648FA">
        <w:rPr>
          <w:sz w:val="28"/>
          <w:szCs w:val="28"/>
          <w:lang w:val="en-GB"/>
        </w:rPr>
        <w:t xml:space="preserve"> that one should relevantly focus on married couples, and amongst them, only opposite-sex married couples are eligible.</w:t>
      </w:r>
      <w:r w:rsidR="001E7459" w:rsidRPr="004648FA">
        <w:rPr>
          <w:rStyle w:val="FootnoteReference"/>
          <w:sz w:val="28"/>
          <w:lang w:val="en-GB"/>
        </w:rPr>
        <w:footnoteReference w:id="92"/>
      </w:r>
      <w:r w:rsidR="008225B8" w:rsidRPr="004648FA">
        <w:rPr>
          <w:sz w:val="28"/>
          <w:szCs w:val="28"/>
          <w:lang w:val="en-GB"/>
        </w:rPr>
        <w:t xml:space="preserve"> </w:t>
      </w:r>
      <w:r w:rsidR="000B2DEB">
        <w:rPr>
          <w:sz w:val="28"/>
          <w:szCs w:val="28"/>
          <w:lang w:val="en-GB"/>
        </w:rPr>
        <w:t>However, t</w:t>
      </w:r>
      <w:r w:rsidR="008225B8" w:rsidRPr="004648FA">
        <w:rPr>
          <w:sz w:val="28"/>
          <w:szCs w:val="28"/>
          <w:lang w:val="en-GB"/>
        </w:rPr>
        <w:t xml:space="preserve">his argument </w:t>
      </w:r>
      <w:r w:rsidR="000B2DEB">
        <w:rPr>
          <w:sz w:val="28"/>
          <w:szCs w:val="28"/>
          <w:lang w:val="en-GB"/>
        </w:rPr>
        <w:t xml:space="preserve">still </w:t>
      </w:r>
      <w:r w:rsidR="00370DEA">
        <w:rPr>
          <w:sz w:val="28"/>
          <w:szCs w:val="28"/>
          <w:lang w:val="en-GB"/>
        </w:rPr>
        <w:t xml:space="preserve">cannot overcome the </w:t>
      </w:r>
      <w:r w:rsidR="00DE2FA4">
        <w:rPr>
          <w:sz w:val="28"/>
          <w:szCs w:val="28"/>
          <w:lang w:val="en-GB"/>
        </w:rPr>
        <w:t>objection</w:t>
      </w:r>
      <w:r w:rsidR="00370DEA">
        <w:rPr>
          <w:sz w:val="28"/>
          <w:szCs w:val="28"/>
          <w:lang w:val="en-GB"/>
        </w:rPr>
        <w:t xml:space="preserve"> that there </w:t>
      </w:r>
      <w:r w:rsidR="000B2DEB">
        <w:rPr>
          <w:sz w:val="28"/>
          <w:szCs w:val="28"/>
          <w:lang w:val="en-GB"/>
        </w:rPr>
        <w:t xml:space="preserve">has </w:t>
      </w:r>
      <w:r w:rsidR="00370DEA">
        <w:rPr>
          <w:sz w:val="28"/>
          <w:szCs w:val="28"/>
          <w:lang w:val="en-GB"/>
        </w:rPr>
        <w:t>never exist</w:t>
      </w:r>
      <w:r w:rsidR="000B2DEB">
        <w:rPr>
          <w:sz w:val="28"/>
          <w:szCs w:val="28"/>
          <w:lang w:val="en-GB"/>
        </w:rPr>
        <w:t>ed</w:t>
      </w:r>
      <w:r w:rsidR="008225B8" w:rsidRPr="004648FA">
        <w:rPr>
          <w:sz w:val="28"/>
          <w:szCs w:val="28"/>
          <w:lang w:val="en-GB"/>
        </w:rPr>
        <w:t xml:space="preserve"> a </w:t>
      </w:r>
      <w:r w:rsidR="00370DEA">
        <w:rPr>
          <w:sz w:val="28"/>
          <w:szCs w:val="28"/>
          <w:lang w:val="en-GB"/>
        </w:rPr>
        <w:t>distinct</w:t>
      </w:r>
      <w:r w:rsidR="008225B8" w:rsidRPr="004648FA">
        <w:rPr>
          <w:sz w:val="28"/>
          <w:szCs w:val="28"/>
          <w:lang w:val="en-GB"/>
        </w:rPr>
        <w:t xml:space="preserve">, exclusive spousal sub-category or queue </w:t>
      </w:r>
      <w:r w:rsidR="007C4C5D">
        <w:rPr>
          <w:sz w:val="28"/>
          <w:szCs w:val="28"/>
          <w:lang w:val="en-GB"/>
        </w:rPr>
        <w:t>catering for</w:t>
      </w:r>
      <w:r w:rsidR="008225B8" w:rsidRPr="004648FA">
        <w:rPr>
          <w:sz w:val="28"/>
          <w:szCs w:val="28"/>
          <w:lang w:val="en-GB"/>
        </w:rPr>
        <w:t xml:space="preserve"> opposite-sex married couples only</w:t>
      </w:r>
      <w:r w:rsidR="00370DEA">
        <w:rPr>
          <w:sz w:val="28"/>
          <w:szCs w:val="28"/>
          <w:lang w:val="en-GB"/>
        </w:rPr>
        <w:t>, and</w:t>
      </w:r>
      <w:r w:rsidR="008225B8" w:rsidRPr="004648FA">
        <w:rPr>
          <w:sz w:val="28"/>
          <w:szCs w:val="28"/>
          <w:lang w:val="en-GB"/>
        </w:rPr>
        <w:t xml:space="preserve"> </w:t>
      </w:r>
      <w:r w:rsidR="00370DEA">
        <w:rPr>
          <w:sz w:val="28"/>
          <w:szCs w:val="28"/>
          <w:lang w:val="en-GB"/>
        </w:rPr>
        <w:t>their</w:t>
      </w:r>
      <w:r w:rsidR="008225B8" w:rsidRPr="004648FA">
        <w:rPr>
          <w:sz w:val="28"/>
          <w:szCs w:val="28"/>
          <w:lang w:val="en-GB"/>
        </w:rPr>
        <w:t xml:space="preserve"> rights to apply </w:t>
      </w:r>
      <w:r w:rsidR="000B2DEB">
        <w:rPr>
          <w:sz w:val="28"/>
          <w:szCs w:val="28"/>
          <w:lang w:val="en-GB"/>
        </w:rPr>
        <w:t>have always been</w:t>
      </w:r>
      <w:r w:rsidR="00370DEA">
        <w:rPr>
          <w:sz w:val="28"/>
          <w:szCs w:val="28"/>
          <w:lang w:val="en-GB"/>
        </w:rPr>
        <w:t xml:space="preserve"> </w:t>
      </w:r>
      <w:r w:rsidR="008225B8" w:rsidRPr="004648FA">
        <w:rPr>
          <w:sz w:val="28"/>
          <w:szCs w:val="28"/>
          <w:lang w:val="en-GB"/>
        </w:rPr>
        <w:t>non-exclusive</w:t>
      </w:r>
      <w:r w:rsidR="007C357E" w:rsidRPr="004648FA">
        <w:rPr>
          <w:sz w:val="28"/>
          <w:szCs w:val="28"/>
          <w:lang w:val="en-GB"/>
        </w:rPr>
        <w:t xml:space="preserve">.  </w:t>
      </w:r>
      <w:r w:rsidR="008225B8" w:rsidRPr="004648FA">
        <w:rPr>
          <w:sz w:val="28"/>
          <w:szCs w:val="28"/>
          <w:lang w:val="en-GB"/>
        </w:rPr>
        <w:t xml:space="preserve">This being the case, there can be no complaint of a dilution of their entitlements by the admission of other relationships to the same queue – be it same-sex marital relationships or other familial relationships which the HA may choose to </w:t>
      </w:r>
      <w:r w:rsidR="007E294A">
        <w:rPr>
          <w:sz w:val="28"/>
          <w:szCs w:val="28"/>
          <w:lang w:val="en-GB"/>
        </w:rPr>
        <w:t>recognise</w:t>
      </w:r>
      <w:r w:rsidR="008225B8" w:rsidRPr="004648FA">
        <w:rPr>
          <w:sz w:val="28"/>
          <w:szCs w:val="28"/>
          <w:lang w:val="en-GB"/>
        </w:rPr>
        <w:t>.</w:t>
      </w:r>
    </w:p>
    <w:p w:rsidR="002B33AF" w:rsidRDefault="00580EBA" w:rsidP="006C4390">
      <w:pPr>
        <w:numPr>
          <w:ilvl w:val="0"/>
          <w:numId w:val="4"/>
        </w:numPr>
        <w:snapToGrid w:val="0"/>
        <w:spacing w:after="360" w:line="360" w:lineRule="auto"/>
        <w:ind w:left="0" w:firstLine="0"/>
        <w:jc w:val="both"/>
        <w:rPr>
          <w:sz w:val="28"/>
          <w:szCs w:val="28"/>
          <w:lang w:val="en-GB"/>
        </w:rPr>
      </w:pPr>
      <w:r>
        <w:rPr>
          <w:sz w:val="28"/>
          <w:szCs w:val="28"/>
          <w:lang w:val="en-GB"/>
        </w:rPr>
        <w:tab/>
      </w:r>
      <w:r w:rsidR="008225B8" w:rsidRPr="004648FA">
        <w:rPr>
          <w:sz w:val="28"/>
          <w:szCs w:val="28"/>
          <w:lang w:val="en-GB"/>
        </w:rPr>
        <w:t xml:space="preserve">The Court of Appeal was therefore right to </w:t>
      </w:r>
      <w:r w:rsidR="007C4C5D">
        <w:rPr>
          <w:sz w:val="28"/>
          <w:szCs w:val="28"/>
          <w:lang w:val="en-GB"/>
        </w:rPr>
        <w:t>conclude</w:t>
      </w:r>
      <w:r w:rsidR="008225B8" w:rsidRPr="004648FA">
        <w:rPr>
          <w:sz w:val="28"/>
          <w:szCs w:val="28"/>
          <w:lang w:val="en-GB"/>
        </w:rPr>
        <w:t xml:space="preserve"> that </w:t>
      </w:r>
      <w:r w:rsidR="002D42BD">
        <w:rPr>
          <w:sz w:val="28"/>
          <w:szCs w:val="28"/>
          <w:lang w:val="en-GB"/>
        </w:rPr>
        <w:t>permitting</w:t>
      </w:r>
      <w:r w:rsidR="002D42BD" w:rsidRPr="002D42BD">
        <w:rPr>
          <w:sz w:val="28"/>
          <w:szCs w:val="28"/>
          <w:lang w:val="en-GB"/>
        </w:rPr>
        <w:t xml:space="preserve"> same-sex married couples to apply </w:t>
      </w:r>
      <w:r w:rsidR="002D42BD">
        <w:rPr>
          <w:sz w:val="28"/>
          <w:szCs w:val="28"/>
          <w:lang w:val="en-GB"/>
        </w:rPr>
        <w:t xml:space="preserve">would not affect </w:t>
      </w:r>
      <w:r w:rsidR="008225B8" w:rsidRPr="004648FA">
        <w:rPr>
          <w:sz w:val="28"/>
          <w:szCs w:val="28"/>
          <w:lang w:val="en-GB"/>
        </w:rPr>
        <w:t xml:space="preserve">opposite-sex couples’ </w:t>
      </w:r>
      <w:r w:rsidR="002D42BD">
        <w:rPr>
          <w:sz w:val="28"/>
          <w:szCs w:val="28"/>
          <w:lang w:val="en-GB"/>
        </w:rPr>
        <w:t xml:space="preserve">protected </w:t>
      </w:r>
      <w:r w:rsidR="008225B8" w:rsidRPr="004648FA">
        <w:rPr>
          <w:sz w:val="28"/>
          <w:szCs w:val="28"/>
          <w:lang w:val="en-GB"/>
        </w:rPr>
        <w:t>right to apply</w:t>
      </w:r>
      <w:r w:rsidR="00DE2FA4">
        <w:rPr>
          <w:sz w:val="28"/>
          <w:szCs w:val="28"/>
          <w:lang w:val="en-GB"/>
        </w:rPr>
        <w:t>.</w:t>
      </w:r>
      <w:r w:rsidR="00DA1A8B" w:rsidRPr="00DA1A8B">
        <w:rPr>
          <w:rStyle w:val="FootnoteReference"/>
          <w:sz w:val="28"/>
          <w:szCs w:val="28"/>
          <w:lang w:val="en-GB"/>
        </w:rPr>
        <w:t xml:space="preserve"> </w:t>
      </w:r>
      <w:r w:rsidR="00DA1A8B" w:rsidRPr="004648FA">
        <w:rPr>
          <w:rStyle w:val="FootnoteReference"/>
          <w:sz w:val="28"/>
          <w:szCs w:val="28"/>
          <w:lang w:val="en-GB"/>
        </w:rPr>
        <w:footnoteReference w:id="93"/>
      </w:r>
      <w:r w:rsidR="00DE2FA4">
        <w:rPr>
          <w:sz w:val="28"/>
          <w:szCs w:val="28"/>
          <w:lang w:val="en-GB"/>
        </w:rPr>
        <w:t xml:space="preserve">  There</w:t>
      </w:r>
      <w:r w:rsidR="008225B8" w:rsidRPr="004648FA">
        <w:rPr>
          <w:sz w:val="28"/>
          <w:szCs w:val="28"/>
          <w:lang w:val="en-GB"/>
        </w:rPr>
        <w:t xml:space="preserve"> being no </w:t>
      </w:r>
      <w:r w:rsidR="002B33AF" w:rsidRPr="004648FA">
        <w:rPr>
          <w:sz w:val="28"/>
          <w:szCs w:val="28"/>
          <w:lang w:val="en-GB"/>
        </w:rPr>
        <w:t>constitutional</w:t>
      </w:r>
      <w:r w:rsidR="008225B8" w:rsidRPr="004648FA">
        <w:rPr>
          <w:sz w:val="28"/>
          <w:szCs w:val="28"/>
          <w:lang w:val="en-GB"/>
        </w:rPr>
        <w:t xml:space="preserve"> guarantee on the AWT, </w:t>
      </w:r>
      <w:r w:rsidR="00161C9F" w:rsidRPr="004648FA">
        <w:rPr>
          <w:sz w:val="28"/>
          <w:szCs w:val="28"/>
          <w:lang w:val="en-GB"/>
        </w:rPr>
        <w:t>BL</w:t>
      </w:r>
      <w:r w:rsidR="002B33AF" w:rsidRPr="004648FA">
        <w:rPr>
          <w:sz w:val="28"/>
          <w:szCs w:val="28"/>
          <w:lang w:val="en-GB"/>
        </w:rPr>
        <w:t>36</w:t>
      </w:r>
      <w:r w:rsidR="008225B8" w:rsidRPr="004648FA">
        <w:rPr>
          <w:sz w:val="28"/>
          <w:szCs w:val="28"/>
          <w:lang w:val="en-GB"/>
        </w:rPr>
        <w:t xml:space="preserve"> </w:t>
      </w:r>
      <w:proofErr w:type="gramStart"/>
      <w:r w:rsidR="008225B8" w:rsidRPr="004648FA">
        <w:rPr>
          <w:sz w:val="28"/>
          <w:szCs w:val="28"/>
          <w:lang w:val="en-GB"/>
        </w:rPr>
        <w:t>would not be engaged</w:t>
      </w:r>
      <w:proofErr w:type="gramEnd"/>
      <w:r w:rsidR="00DE2FA4">
        <w:rPr>
          <w:sz w:val="28"/>
          <w:szCs w:val="28"/>
          <w:lang w:val="en-GB"/>
        </w:rPr>
        <w:t xml:space="preserve"> at all</w:t>
      </w:r>
      <w:r w:rsidR="008225B8" w:rsidRPr="004648FA">
        <w:rPr>
          <w:sz w:val="28"/>
          <w:szCs w:val="28"/>
          <w:lang w:val="en-GB"/>
        </w:rPr>
        <w:t>.</w:t>
      </w:r>
    </w:p>
    <w:p w:rsidR="008225B8" w:rsidRDefault="006E4427" w:rsidP="006C4390">
      <w:pPr>
        <w:keepNext/>
        <w:snapToGrid w:val="0"/>
        <w:spacing w:after="360" w:line="360" w:lineRule="auto"/>
        <w:jc w:val="both"/>
        <w:rPr>
          <w:b/>
          <w:i/>
          <w:sz w:val="28"/>
          <w:szCs w:val="28"/>
          <w:lang w:val="en-GB"/>
        </w:rPr>
      </w:pPr>
      <w:r>
        <w:rPr>
          <w:b/>
          <w:i/>
          <w:sz w:val="28"/>
          <w:szCs w:val="28"/>
          <w:lang w:val="en-GB"/>
        </w:rPr>
        <w:lastRenderedPageBreak/>
        <w:t xml:space="preserve">Does </w:t>
      </w:r>
      <w:r w:rsidR="007013FA" w:rsidRPr="001C2C09">
        <w:rPr>
          <w:b/>
          <w:i/>
          <w:sz w:val="28"/>
          <w:szCs w:val="28"/>
          <w:lang w:val="en-GB"/>
        </w:rPr>
        <w:t xml:space="preserve">BL36 </w:t>
      </w:r>
      <w:r w:rsidR="001C2C09" w:rsidRPr="001C2C09">
        <w:rPr>
          <w:b/>
          <w:i/>
          <w:sz w:val="28"/>
          <w:szCs w:val="28"/>
          <w:lang w:val="en-GB"/>
        </w:rPr>
        <w:t xml:space="preserve">override the </w:t>
      </w:r>
      <w:r w:rsidR="003F380B">
        <w:rPr>
          <w:b/>
          <w:i/>
          <w:sz w:val="28"/>
          <w:szCs w:val="28"/>
          <w:lang w:val="en-GB"/>
        </w:rPr>
        <w:t>equality provisions</w:t>
      </w:r>
      <w:r w:rsidR="001C2C09" w:rsidRPr="001C2C09">
        <w:rPr>
          <w:b/>
          <w:i/>
          <w:sz w:val="28"/>
          <w:szCs w:val="28"/>
          <w:lang w:val="en-GB"/>
        </w:rPr>
        <w:t xml:space="preserve"> (Question 2)</w:t>
      </w:r>
      <w:r>
        <w:rPr>
          <w:b/>
          <w:i/>
          <w:sz w:val="28"/>
          <w:szCs w:val="28"/>
          <w:lang w:val="en-GB"/>
        </w:rPr>
        <w:t>?</w:t>
      </w:r>
      <w:r w:rsidR="001C2C09">
        <w:rPr>
          <w:rStyle w:val="FootnoteReference"/>
          <w:b/>
          <w:i/>
          <w:sz w:val="28"/>
          <w:szCs w:val="28"/>
          <w:lang w:val="en-GB"/>
        </w:rPr>
        <w:footnoteReference w:id="94"/>
      </w:r>
      <w:r w:rsidR="008225B8" w:rsidRPr="001C2C09">
        <w:rPr>
          <w:b/>
          <w:i/>
          <w:sz w:val="28"/>
          <w:szCs w:val="28"/>
          <w:lang w:val="en-GB"/>
        </w:rPr>
        <w:t xml:space="preserve"> </w:t>
      </w:r>
    </w:p>
    <w:p w:rsidR="008225B8" w:rsidRPr="004648FA" w:rsidRDefault="00580EBA" w:rsidP="006C4390">
      <w:pPr>
        <w:keepNext/>
        <w:numPr>
          <w:ilvl w:val="0"/>
          <w:numId w:val="4"/>
        </w:numPr>
        <w:snapToGrid w:val="0"/>
        <w:spacing w:after="360" w:line="360" w:lineRule="auto"/>
        <w:ind w:left="0" w:firstLine="0"/>
        <w:jc w:val="both"/>
        <w:rPr>
          <w:sz w:val="28"/>
          <w:szCs w:val="28"/>
          <w:lang w:val="en-GB"/>
        </w:rPr>
      </w:pPr>
      <w:r>
        <w:rPr>
          <w:sz w:val="28"/>
          <w:szCs w:val="28"/>
          <w:lang w:val="en-GB"/>
        </w:rPr>
        <w:tab/>
      </w:r>
      <w:r w:rsidR="008225B8" w:rsidRPr="004648FA">
        <w:rPr>
          <w:sz w:val="28"/>
          <w:szCs w:val="28"/>
          <w:lang w:val="en-GB"/>
        </w:rPr>
        <w:t xml:space="preserve">Secondly, and indeed more fundamentally, </w:t>
      </w:r>
      <w:r w:rsidR="006003FC">
        <w:rPr>
          <w:sz w:val="28"/>
          <w:szCs w:val="28"/>
          <w:lang w:val="en-GB"/>
        </w:rPr>
        <w:t>I</w:t>
      </w:r>
      <w:r w:rsidR="002D42BD">
        <w:rPr>
          <w:sz w:val="28"/>
          <w:szCs w:val="28"/>
          <w:lang w:val="en-GB"/>
        </w:rPr>
        <w:t xml:space="preserve"> do not accept the </w:t>
      </w:r>
      <w:r w:rsidR="008225B8" w:rsidRPr="004648FA">
        <w:rPr>
          <w:sz w:val="28"/>
          <w:szCs w:val="28"/>
          <w:lang w:val="en-GB"/>
        </w:rPr>
        <w:t xml:space="preserve">premise of </w:t>
      </w:r>
      <w:r w:rsidR="002D42BD">
        <w:rPr>
          <w:sz w:val="28"/>
          <w:szCs w:val="28"/>
          <w:lang w:val="en-GB"/>
        </w:rPr>
        <w:t xml:space="preserve">the </w:t>
      </w:r>
      <w:r w:rsidR="008225B8" w:rsidRPr="004648FA">
        <w:rPr>
          <w:sz w:val="28"/>
          <w:szCs w:val="28"/>
          <w:lang w:val="en-GB"/>
        </w:rPr>
        <w:t xml:space="preserve">argument based on </w:t>
      </w:r>
      <w:r w:rsidR="00161C9F" w:rsidRPr="004648FA">
        <w:rPr>
          <w:sz w:val="28"/>
          <w:szCs w:val="28"/>
          <w:lang w:val="en-GB"/>
        </w:rPr>
        <w:t>BL</w:t>
      </w:r>
      <w:r w:rsidR="002B33AF" w:rsidRPr="004648FA">
        <w:rPr>
          <w:sz w:val="28"/>
          <w:szCs w:val="28"/>
          <w:lang w:val="en-GB"/>
        </w:rPr>
        <w:t>36</w:t>
      </w:r>
      <w:r w:rsidR="007C357E" w:rsidRPr="004648FA">
        <w:rPr>
          <w:sz w:val="28"/>
          <w:szCs w:val="28"/>
          <w:lang w:val="en-GB"/>
        </w:rPr>
        <w:t xml:space="preserve">.  </w:t>
      </w:r>
      <w:r w:rsidR="008225B8" w:rsidRPr="004648FA">
        <w:rPr>
          <w:sz w:val="28"/>
          <w:szCs w:val="28"/>
          <w:lang w:val="en-GB"/>
        </w:rPr>
        <w:t xml:space="preserve">The HA’s contention is founded on the undoubted principle of </w:t>
      </w:r>
      <w:r w:rsidR="00370DEA">
        <w:rPr>
          <w:sz w:val="28"/>
          <w:szCs w:val="28"/>
          <w:lang w:val="en-GB"/>
        </w:rPr>
        <w:t xml:space="preserve">constitutional </w:t>
      </w:r>
      <w:r w:rsidR="008225B8" w:rsidRPr="004648FA">
        <w:rPr>
          <w:sz w:val="28"/>
          <w:szCs w:val="28"/>
          <w:lang w:val="en-GB"/>
        </w:rPr>
        <w:t xml:space="preserve">interpretation that the </w:t>
      </w:r>
      <w:r w:rsidR="002B33AF" w:rsidRPr="004648FA">
        <w:rPr>
          <w:sz w:val="28"/>
          <w:szCs w:val="28"/>
          <w:lang w:val="en-GB"/>
        </w:rPr>
        <w:t>Basic Law</w:t>
      </w:r>
      <w:r w:rsidR="008225B8" w:rsidRPr="004648FA">
        <w:rPr>
          <w:sz w:val="28"/>
          <w:szCs w:val="28"/>
          <w:lang w:val="en-GB"/>
        </w:rPr>
        <w:t xml:space="preserve"> </w:t>
      </w:r>
      <w:r w:rsidR="002D42BD">
        <w:rPr>
          <w:sz w:val="28"/>
          <w:szCs w:val="28"/>
          <w:lang w:val="en-GB"/>
        </w:rPr>
        <w:t>should</w:t>
      </w:r>
      <w:r w:rsidR="008225B8" w:rsidRPr="004648FA">
        <w:rPr>
          <w:sz w:val="28"/>
          <w:szCs w:val="28"/>
          <w:lang w:val="en-GB"/>
        </w:rPr>
        <w:t xml:space="preserve"> be read as a coherent whole.</w:t>
      </w:r>
      <w:r w:rsidR="004837CC" w:rsidRPr="004648FA">
        <w:rPr>
          <w:rStyle w:val="FootnoteReference"/>
          <w:sz w:val="28"/>
          <w:szCs w:val="28"/>
          <w:lang w:val="en-GB"/>
        </w:rPr>
        <w:footnoteReference w:id="95"/>
      </w:r>
      <w:r w:rsidR="008225B8" w:rsidRPr="004648FA">
        <w:rPr>
          <w:sz w:val="28"/>
          <w:szCs w:val="28"/>
          <w:lang w:val="en-GB"/>
        </w:rPr>
        <w:t xml:space="preserve"> </w:t>
      </w:r>
      <w:r>
        <w:rPr>
          <w:sz w:val="28"/>
          <w:szCs w:val="28"/>
          <w:lang w:val="en-GB"/>
        </w:rPr>
        <w:t xml:space="preserve"> </w:t>
      </w:r>
      <w:r w:rsidR="008225B8" w:rsidRPr="004648FA">
        <w:rPr>
          <w:sz w:val="28"/>
          <w:szCs w:val="28"/>
          <w:lang w:val="en-GB"/>
        </w:rPr>
        <w:t xml:space="preserve">However, it does not follow that this can only be achieved, as the HA suggests as </w:t>
      </w:r>
      <w:r w:rsidR="002D42BD">
        <w:rPr>
          <w:sz w:val="28"/>
          <w:szCs w:val="28"/>
          <w:lang w:val="en-GB"/>
        </w:rPr>
        <w:t>the</w:t>
      </w:r>
      <w:r w:rsidR="008225B8" w:rsidRPr="004648FA">
        <w:rPr>
          <w:sz w:val="28"/>
          <w:szCs w:val="28"/>
          <w:lang w:val="en-GB"/>
        </w:rPr>
        <w:t xml:space="preserve"> main plank of its argument, by reading </w:t>
      </w:r>
      <w:r w:rsidR="00161C9F" w:rsidRPr="004648FA">
        <w:rPr>
          <w:sz w:val="28"/>
          <w:szCs w:val="28"/>
          <w:lang w:val="en-GB"/>
        </w:rPr>
        <w:t>BL</w:t>
      </w:r>
      <w:r w:rsidR="002B33AF" w:rsidRPr="004648FA">
        <w:rPr>
          <w:sz w:val="28"/>
          <w:szCs w:val="28"/>
          <w:lang w:val="en-GB"/>
        </w:rPr>
        <w:t>36</w:t>
      </w:r>
      <w:r w:rsidR="008225B8" w:rsidRPr="004648FA">
        <w:rPr>
          <w:sz w:val="28"/>
          <w:szCs w:val="28"/>
          <w:lang w:val="en-GB"/>
        </w:rPr>
        <w:t xml:space="preserve"> as overriding the equality provisions in </w:t>
      </w:r>
      <w:r w:rsidR="00161C9F" w:rsidRPr="004648FA">
        <w:rPr>
          <w:sz w:val="28"/>
          <w:szCs w:val="28"/>
          <w:lang w:val="en-GB"/>
        </w:rPr>
        <w:t>BL</w:t>
      </w:r>
      <w:r w:rsidR="002B33AF" w:rsidRPr="004648FA">
        <w:rPr>
          <w:sz w:val="28"/>
          <w:szCs w:val="28"/>
          <w:lang w:val="en-GB"/>
        </w:rPr>
        <w:t>25</w:t>
      </w:r>
      <w:r w:rsidR="008225B8" w:rsidRPr="004648FA">
        <w:rPr>
          <w:sz w:val="28"/>
          <w:szCs w:val="28"/>
          <w:lang w:val="en-GB"/>
        </w:rPr>
        <w:t xml:space="preserve"> </w:t>
      </w:r>
      <w:r w:rsidR="006929AB">
        <w:rPr>
          <w:sz w:val="28"/>
          <w:szCs w:val="28"/>
          <w:lang w:val="en-GB"/>
        </w:rPr>
        <w:t>and</w:t>
      </w:r>
      <w:r w:rsidR="008225B8" w:rsidRPr="004648FA">
        <w:rPr>
          <w:sz w:val="28"/>
          <w:szCs w:val="28"/>
          <w:lang w:val="en-GB"/>
        </w:rPr>
        <w:t xml:space="preserve"> </w:t>
      </w:r>
      <w:r w:rsidR="00161C9F" w:rsidRPr="004648FA">
        <w:rPr>
          <w:sz w:val="28"/>
          <w:szCs w:val="28"/>
          <w:lang w:val="en-GB"/>
        </w:rPr>
        <w:t>BOR22</w:t>
      </w:r>
      <w:r w:rsidR="007C357E" w:rsidRPr="004648FA">
        <w:rPr>
          <w:sz w:val="28"/>
          <w:szCs w:val="28"/>
          <w:lang w:val="en-GB"/>
        </w:rPr>
        <w:t xml:space="preserve">.  </w:t>
      </w:r>
      <w:r w:rsidR="002D42BD">
        <w:rPr>
          <w:sz w:val="28"/>
          <w:szCs w:val="28"/>
          <w:lang w:val="en-GB"/>
        </w:rPr>
        <w:t>In other words</w:t>
      </w:r>
      <w:r w:rsidR="008225B8" w:rsidRPr="004648FA">
        <w:rPr>
          <w:sz w:val="28"/>
          <w:szCs w:val="28"/>
          <w:lang w:val="en-GB"/>
        </w:rPr>
        <w:t xml:space="preserve">, there is no </w:t>
      </w:r>
      <w:r w:rsidR="002D42BD">
        <w:rPr>
          <w:sz w:val="28"/>
          <w:szCs w:val="28"/>
          <w:lang w:val="en-GB"/>
        </w:rPr>
        <w:t>warrant</w:t>
      </w:r>
      <w:r w:rsidR="008225B8" w:rsidRPr="004648FA">
        <w:rPr>
          <w:sz w:val="28"/>
          <w:szCs w:val="28"/>
          <w:lang w:val="en-GB"/>
        </w:rPr>
        <w:t xml:space="preserve"> to read a </w:t>
      </w:r>
      <w:r w:rsidR="00370DEA">
        <w:rPr>
          <w:sz w:val="28"/>
          <w:szCs w:val="28"/>
          <w:lang w:val="en-GB"/>
        </w:rPr>
        <w:t xml:space="preserve">Basic Law </w:t>
      </w:r>
      <w:r w:rsidR="008225B8" w:rsidRPr="004648FA">
        <w:rPr>
          <w:sz w:val="28"/>
          <w:szCs w:val="28"/>
          <w:lang w:val="en-GB"/>
        </w:rPr>
        <w:t xml:space="preserve">guarantee on pre-existing social </w:t>
      </w:r>
      <w:r w:rsidR="007C4C5D">
        <w:rPr>
          <w:sz w:val="28"/>
          <w:szCs w:val="28"/>
          <w:lang w:val="en-GB"/>
        </w:rPr>
        <w:t xml:space="preserve">welfare </w:t>
      </w:r>
      <w:r w:rsidR="008225B8" w:rsidRPr="004648FA">
        <w:rPr>
          <w:sz w:val="28"/>
          <w:szCs w:val="28"/>
          <w:lang w:val="en-GB"/>
        </w:rPr>
        <w:t xml:space="preserve">rights as trumping the </w:t>
      </w:r>
      <w:r w:rsidR="002B33AF" w:rsidRPr="004648FA">
        <w:rPr>
          <w:sz w:val="28"/>
          <w:szCs w:val="28"/>
          <w:lang w:val="en-GB"/>
        </w:rPr>
        <w:t>constitutional</w:t>
      </w:r>
      <w:r w:rsidR="008225B8" w:rsidRPr="004648FA">
        <w:rPr>
          <w:sz w:val="28"/>
          <w:szCs w:val="28"/>
          <w:lang w:val="en-GB"/>
        </w:rPr>
        <w:t xml:space="preserve"> requirement of equality before the law under </w:t>
      </w:r>
      <w:r w:rsidR="00161C9F" w:rsidRPr="004648FA">
        <w:rPr>
          <w:sz w:val="28"/>
          <w:szCs w:val="28"/>
          <w:lang w:val="en-GB"/>
        </w:rPr>
        <w:t>BL</w:t>
      </w:r>
      <w:r w:rsidR="002B33AF" w:rsidRPr="004648FA">
        <w:rPr>
          <w:sz w:val="28"/>
          <w:szCs w:val="28"/>
          <w:lang w:val="en-GB"/>
        </w:rPr>
        <w:t>25</w:t>
      </w:r>
      <w:r w:rsidR="008225B8" w:rsidRPr="004648FA">
        <w:rPr>
          <w:sz w:val="28"/>
          <w:szCs w:val="28"/>
          <w:lang w:val="en-GB"/>
        </w:rPr>
        <w:t xml:space="preserve"> and of non-discrimination under </w:t>
      </w:r>
      <w:r w:rsidR="00161C9F" w:rsidRPr="004648FA">
        <w:rPr>
          <w:sz w:val="28"/>
          <w:szCs w:val="28"/>
          <w:lang w:val="en-GB"/>
        </w:rPr>
        <w:t>BOR22</w:t>
      </w:r>
      <w:r w:rsidR="007C357E" w:rsidRPr="004648FA">
        <w:rPr>
          <w:sz w:val="28"/>
          <w:szCs w:val="28"/>
          <w:lang w:val="en-GB"/>
        </w:rPr>
        <w:t xml:space="preserve">.  </w:t>
      </w:r>
      <w:r w:rsidR="008225B8" w:rsidRPr="004648FA">
        <w:rPr>
          <w:sz w:val="28"/>
          <w:szCs w:val="28"/>
          <w:lang w:val="en-GB"/>
        </w:rPr>
        <w:t xml:space="preserve">Rather, one should proceed on the </w:t>
      </w:r>
      <w:r w:rsidR="007C4C5D">
        <w:rPr>
          <w:sz w:val="28"/>
          <w:szCs w:val="28"/>
          <w:lang w:val="en-GB"/>
        </w:rPr>
        <w:t xml:space="preserve">footing </w:t>
      </w:r>
      <w:r w:rsidR="008225B8" w:rsidRPr="004648FA">
        <w:rPr>
          <w:sz w:val="28"/>
          <w:szCs w:val="28"/>
          <w:lang w:val="en-GB"/>
        </w:rPr>
        <w:t>that</w:t>
      </w:r>
      <w:r w:rsidR="002D42BD">
        <w:rPr>
          <w:sz w:val="28"/>
          <w:szCs w:val="28"/>
          <w:lang w:val="en-GB"/>
        </w:rPr>
        <w:t xml:space="preserve">, as a core tenet of </w:t>
      </w:r>
      <w:r w:rsidR="008225B8" w:rsidRPr="004648FA">
        <w:rPr>
          <w:sz w:val="28"/>
          <w:szCs w:val="28"/>
          <w:lang w:val="en-GB"/>
        </w:rPr>
        <w:t xml:space="preserve">the </w:t>
      </w:r>
      <w:r w:rsidR="00161C9F" w:rsidRPr="004648FA">
        <w:rPr>
          <w:sz w:val="28"/>
          <w:szCs w:val="28"/>
          <w:lang w:val="en-GB"/>
        </w:rPr>
        <w:t>r</w:t>
      </w:r>
      <w:r w:rsidR="008225B8" w:rsidRPr="004648FA">
        <w:rPr>
          <w:sz w:val="28"/>
          <w:szCs w:val="28"/>
          <w:lang w:val="en-GB"/>
        </w:rPr>
        <w:t xml:space="preserve">ule of </w:t>
      </w:r>
      <w:r w:rsidR="00161C9F" w:rsidRPr="004648FA">
        <w:rPr>
          <w:sz w:val="28"/>
          <w:szCs w:val="28"/>
          <w:lang w:val="en-GB"/>
        </w:rPr>
        <w:t>l</w:t>
      </w:r>
      <w:r w:rsidR="008225B8" w:rsidRPr="004648FA">
        <w:rPr>
          <w:sz w:val="28"/>
          <w:szCs w:val="28"/>
          <w:lang w:val="en-GB"/>
        </w:rPr>
        <w:t xml:space="preserve">aw, </w:t>
      </w:r>
      <w:r w:rsidR="00263EDF">
        <w:rPr>
          <w:sz w:val="28"/>
          <w:szCs w:val="28"/>
          <w:lang w:val="en-GB"/>
        </w:rPr>
        <w:t xml:space="preserve">equality </w:t>
      </w:r>
      <w:proofErr w:type="gramStart"/>
      <w:r w:rsidR="00263EDF">
        <w:rPr>
          <w:sz w:val="28"/>
          <w:szCs w:val="28"/>
          <w:lang w:val="en-GB"/>
        </w:rPr>
        <w:t>can only be displaced</w:t>
      </w:r>
      <w:proofErr w:type="gramEnd"/>
      <w:r w:rsidR="00263EDF">
        <w:rPr>
          <w:sz w:val="28"/>
          <w:szCs w:val="28"/>
          <w:lang w:val="en-GB"/>
        </w:rPr>
        <w:t xml:space="preserve"> by compelling justifications and unequivocal language</w:t>
      </w:r>
      <w:r w:rsidR="008225B8" w:rsidRPr="004648FA">
        <w:rPr>
          <w:sz w:val="28"/>
          <w:szCs w:val="28"/>
          <w:lang w:val="en-GB"/>
        </w:rPr>
        <w:t>.</w:t>
      </w:r>
      <w:r w:rsidR="007013FA" w:rsidRPr="004648FA">
        <w:rPr>
          <w:rStyle w:val="FootnoteReference"/>
          <w:sz w:val="28"/>
          <w:szCs w:val="28"/>
          <w:lang w:val="en-GB"/>
        </w:rPr>
        <w:footnoteReference w:id="96"/>
      </w:r>
    </w:p>
    <w:p w:rsidR="00AA6658" w:rsidRPr="004648FA" w:rsidRDefault="00580EBA"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r w:rsidR="00370DEA">
        <w:rPr>
          <w:sz w:val="28"/>
          <w:szCs w:val="28"/>
          <w:lang w:val="en-GB"/>
        </w:rPr>
        <w:t xml:space="preserve">Social welfare entitlements and benefits, covered by </w:t>
      </w:r>
      <w:r w:rsidR="0086311A" w:rsidRPr="004648FA">
        <w:rPr>
          <w:sz w:val="28"/>
          <w:szCs w:val="28"/>
          <w:lang w:val="en-GB"/>
        </w:rPr>
        <w:t>BL</w:t>
      </w:r>
      <w:r w:rsidR="002B33AF" w:rsidRPr="004648FA">
        <w:rPr>
          <w:sz w:val="28"/>
          <w:szCs w:val="28"/>
          <w:lang w:val="en-GB"/>
        </w:rPr>
        <w:t>36</w:t>
      </w:r>
      <w:r w:rsidR="00370DEA">
        <w:rPr>
          <w:sz w:val="28"/>
          <w:szCs w:val="28"/>
          <w:lang w:val="en-GB"/>
        </w:rPr>
        <w:t xml:space="preserve">, are </w:t>
      </w:r>
      <w:r w:rsidR="008225B8" w:rsidRPr="004648FA">
        <w:rPr>
          <w:sz w:val="28"/>
          <w:szCs w:val="28"/>
          <w:lang w:val="en-GB"/>
        </w:rPr>
        <w:t xml:space="preserve">almost by definition concerned with the allocation of limited </w:t>
      </w:r>
      <w:r w:rsidR="00956471">
        <w:rPr>
          <w:sz w:val="28"/>
          <w:szCs w:val="28"/>
          <w:lang w:val="en-GB"/>
        </w:rPr>
        <w:t xml:space="preserve">societal </w:t>
      </w:r>
      <w:r w:rsidR="008225B8" w:rsidRPr="004648FA">
        <w:rPr>
          <w:sz w:val="28"/>
          <w:szCs w:val="28"/>
          <w:lang w:val="en-GB"/>
        </w:rPr>
        <w:t>resources</w:t>
      </w:r>
      <w:r w:rsidR="007C357E" w:rsidRPr="004648FA">
        <w:rPr>
          <w:sz w:val="28"/>
          <w:szCs w:val="28"/>
          <w:lang w:val="en-GB"/>
        </w:rPr>
        <w:t xml:space="preserve">.  </w:t>
      </w:r>
      <w:r w:rsidR="008225B8" w:rsidRPr="004648FA">
        <w:rPr>
          <w:sz w:val="28"/>
          <w:szCs w:val="28"/>
          <w:lang w:val="en-GB"/>
        </w:rPr>
        <w:t xml:space="preserve">Such allocation must involve differentiating </w:t>
      </w:r>
      <w:r w:rsidR="005379E7">
        <w:rPr>
          <w:sz w:val="28"/>
          <w:szCs w:val="28"/>
          <w:lang w:val="en-GB"/>
        </w:rPr>
        <w:t>among</w:t>
      </w:r>
      <w:r w:rsidR="005A1A88">
        <w:rPr>
          <w:sz w:val="28"/>
          <w:szCs w:val="28"/>
          <w:lang w:val="en-GB"/>
        </w:rPr>
        <w:t>st</w:t>
      </w:r>
      <w:r w:rsidR="00486364" w:rsidRPr="004648FA">
        <w:rPr>
          <w:sz w:val="28"/>
          <w:szCs w:val="28"/>
          <w:lang w:val="en-GB"/>
        </w:rPr>
        <w:t xml:space="preserve"> </w:t>
      </w:r>
      <w:r w:rsidR="008225B8" w:rsidRPr="004648FA">
        <w:rPr>
          <w:sz w:val="28"/>
          <w:szCs w:val="28"/>
          <w:lang w:val="en-GB"/>
        </w:rPr>
        <w:t xml:space="preserve">members of society by classes and </w:t>
      </w:r>
      <w:r w:rsidR="00EB27A4">
        <w:rPr>
          <w:sz w:val="28"/>
          <w:szCs w:val="28"/>
          <w:lang w:val="en-GB"/>
        </w:rPr>
        <w:t>demographics</w:t>
      </w:r>
      <w:r w:rsidR="008225B8" w:rsidRPr="004648FA">
        <w:rPr>
          <w:sz w:val="28"/>
          <w:szCs w:val="28"/>
          <w:lang w:val="en-GB"/>
        </w:rPr>
        <w:t>, whereby some are favoured or privileged over others in view of their needs and circumstances, connection</w:t>
      </w:r>
      <w:r w:rsidR="006929AB">
        <w:rPr>
          <w:sz w:val="28"/>
          <w:szCs w:val="28"/>
          <w:lang w:val="en-GB"/>
        </w:rPr>
        <w:t>s</w:t>
      </w:r>
      <w:r w:rsidR="008225B8" w:rsidRPr="004648FA">
        <w:rPr>
          <w:sz w:val="28"/>
          <w:szCs w:val="28"/>
          <w:lang w:val="en-GB"/>
        </w:rPr>
        <w:t xml:space="preserve"> to Hong Kong, past contributions to society and so forth</w:t>
      </w:r>
      <w:r w:rsidR="007C357E" w:rsidRPr="004648FA">
        <w:rPr>
          <w:sz w:val="28"/>
          <w:szCs w:val="28"/>
          <w:lang w:val="en-GB"/>
        </w:rPr>
        <w:t xml:space="preserve">.  </w:t>
      </w:r>
      <w:r w:rsidR="008225B8" w:rsidRPr="004648FA">
        <w:rPr>
          <w:sz w:val="28"/>
          <w:szCs w:val="28"/>
          <w:lang w:val="en-GB"/>
        </w:rPr>
        <w:t xml:space="preserve">There is, however, </w:t>
      </w:r>
      <w:r w:rsidR="008225B8" w:rsidRPr="004648FA">
        <w:rPr>
          <w:sz w:val="28"/>
          <w:szCs w:val="28"/>
          <w:lang w:val="en-GB"/>
        </w:rPr>
        <w:lastRenderedPageBreak/>
        <w:t xml:space="preserve">no reason why such differentiation </w:t>
      </w:r>
      <w:proofErr w:type="gramStart"/>
      <w:r w:rsidR="008225B8" w:rsidRPr="004648FA">
        <w:rPr>
          <w:sz w:val="28"/>
          <w:szCs w:val="28"/>
          <w:lang w:val="en-GB"/>
        </w:rPr>
        <w:t>should be made</w:t>
      </w:r>
      <w:proofErr w:type="gramEnd"/>
      <w:r w:rsidR="008225B8" w:rsidRPr="004648FA">
        <w:rPr>
          <w:sz w:val="28"/>
          <w:szCs w:val="28"/>
          <w:lang w:val="en-GB"/>
        </w:rPr>
        <w:t xml:space="preserve"> on grounds other than ones that are fair, rational, and otherwise justifiable</w:t>
      </w:r>
      <w:r w:rsidR="007C357E" w:rsidRPr="004648FA">
        <w:rPr>
          <w:sz w:val="28"/>
          <w:szCs w:val="28"/>
          <w:lang w:val="en-GB"/>
        </w:rPr>
        <w:t xml:space="preserve">.  </w:t>
      </w:r>
      <w:r w:rsidR="008225B8" w:rsidRPr="004648FA">
        <w:rPr>
          <w:sz w:val="28"/>
          <w:szCs w:val="28"/>
          <w:lang w:val="en-GB"/>
        </w:rPr>
        <w:t xml:space="preserve">Still less would one expect </w:t>
      </w:r>
      <w:r w:rsidR="00370DEA">
        <w:rPr>
          <w:sz w:val="28"/>
          <w:szCs w:val="28"/>
          <w:lang w:val="en-GB"/>
        </w:rPr>
        <w:t xml:space="preserve">any distinctions to </w:t>
      </w:r>
      <w:proofErr w:type="gramStart"/>
      <w:r w:rsidR="00370DEA">
        <w:rPr>
          <w:sz w:val="28"/>
          <w:szCs w:val="28"/>
          <w:lang w:val="en-GB"/>
        </w:rPr>
        <w:t xml:space="preserve">be </w:t>
      </w:r>
      <w:r w:rsidR="005379E7">
        <w:rPr>
          <w:sz w:val="28"/>
          <w:szCs w:val="28"/>
          <w:lang w:val="en-GB"/>
        </w:rPr>
        <w:t>drawn</w:t>
      </w:r>
      <w:proofErr w:type="gramEnd"/>
      <w:r w:rsidR="008225B8" w:rsidRPr="004648FA">
        <w:rPr>
          <w:sz w:val="28"/>
          <w:szCs w:val="28"/>
          <w:lang w:val="en-GB"/>
        </w:rPr>
        <w:t xml:space="preserve"> on inherently suspect grounds</w:t>
      </w:r>
      <w:r w:rsidR="00FB5496">
        <w:rPr>
          <w:rStyle w:val="FootnoteReference"/>
          <w:sz w:val="28"/>
          <w:szCs w:val="28"/>
          <w:lang w:val="en-GB"/>
        </w:rPr>
        <w:footnoteReference w:id="97"/>
      </w:r>
      <w:r w:rsidR="008225B8" w:rsidRPr="004648FA">
        <w:rPr>
          <w:sz w:val="28"/>
          <w:szCs w:val="28"/>
          <w:lang w:val="en-GB"/>
        </w:rPr>
        <w:t xml:space="preserve"> or grounds that cannot be justified. </w:t>
      </w:r>
    </w:p>
    <w:p w:rsidR="002B33AF" w:rsidRDefault="00580EBA"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r w:rsidR="008225B8" w:rsidRPr="004648FA">
        <w:rPr>
          <w:sz w:val="28"/>
          <w:szCs w:val="28"/>
          <w:lang w:val="en-GB"/>
        </w:rPr>
        <w:t xml:space="preserve">In fact, precisely because social welfare benefits inevitably </w:t>
      </w:r>
      <w:r w:rsidR="007C4C5D">
        <w:rPr>
          <w:sz w:val="28"/>
          <w:szCs w:val="28"/>
          <w:lang w:val="en-GB"/>
        </w:rPr>
        <w:t xml:space="preserve">involve </w:t>
      </w:r>
      <w:r w:rsidR="008225B8" w:rsidRPr="004648FA">
        <w:rPr>
          <w:sz w:val="28"/>
          <w:szCs w:val="28"/>
          <w:lang w:val="en-GB"/>
        </w:rPr>
        <w:t>favour</w:t>
      </w:r>
      <w:r w:rsidR="007C4C5D">
        <w:rPr>
          <w:sz w:val="28"/>
          <w:szCs w:val="28"/>
          <w:lang w:val="en-GB"/>
        </w:rPr>
        <w:t>ing</w:t>
      </w:r>
      <w:r w:rsidR="008225B8" w:rsidRPr="004648FA">
        <w:rPr>
          <w:sz w:val="28"/>
          <w:szCs w:val="28"/>
          <w:lang w:val="en-GB"/>
        </w:rPr>
        <w:t xml:space="preserve"> some categories </w:t>
      </w:r>
      <w:r w:rsidR="00EB27A4">
        <w:rPr>
          <w:sz w:val="28"/>
          <w:szCs w:val="28"/>
          <w:lang w:val="en-GB"/>
        </w:rPr>
        <w:t>or strata of the populace</w:t>
      </w:r>
      <w:r w:rsidR="008225B8" w:rsidRPr="004648FA">
        <w:rPr>
          <w:sz w:val="28"/>
          <w:szCs w:val="28"/>
          <w:lang w:val="en-GB"/>
        </w:rPr>
        <w:t xml:space="preserve"> over others, the need for drawing demarcation lines </w:t>
      </w:r>
      <w:proofErr w:type="gramStart"/>
      <w:r w:rsidR="008225B8" w:rsidRPr="004648FA">
        <w:rPr>
          <w:sz w:val="28"/>
          <w:szCs w:val="28"/>
          <w:lang w:val="en-GB"/>
        </w:rPr>
        <w:t xml:space="preserve">on a fair and </w:t>
      </w:r>
      <w:r w:rsidR="00EB27A4">
        <w:rPr>
          <w:sz w:val="28"/>
          <w:szCs w:val="28"/>
          <w:lang w:val="en-GB"/>
        </w:rPr>
        <w:t>defensible</w:t>
      </w:r>
      <w:r w:rsidR="008225B8" w:rsidRPr="004648FA">
        <w:rPr>
          <w:sz w:val="28"/>
          <w:szCs w:val="28"/>
          <w:lang w:val="en-GB"/>
        </w:rPr>
        <w:t xml:space="preserve"> bas</w:t>
      </w:r>
      <w:r w:rsidR="005A1A88">
        <w:rPr>
          <w:sz w:val="28"/>
          <w:szCs w:val="28"/>
          <w:lang w:val="en-GB"/>
        </w:rPr>
        <w:t>e</w:t>
      </w:r>
      <w:r w:rsidR="008225B8" w:rsidRPr="004648FA">
        <w:rPr>
          <w:sz w:val="28"/>
          <w:szCs w:val="28"/>
          <w:lang w:val="en-GB"/>
        </w:rPr>
        <w:t>s</w:t>
      </w:r>
      <w:proofErr w:type="gramEnd"/>
      <w:r w:rsidR="008225B8" w:rsidRPr="004648FA">
        <w:rPr>
          <w:sz w:val="28"/>
          <w:szCs w:val="28"/>
          <w:lang w:val="en-GB"/>
        </w:rPr>
        <w:t xml:space="preserve"> is all the stronger</w:t>
      </w:r>
      <w:r w:rsidR="007C357E" w:rsidRPr="004648FA">
        <w:rPr>
          <w:sz w:val="28"/>
          <w:szCs w:val="28"/>
          <w:lang w:val="en-GB"/>
        </w:rPr>
        <w:t xml:space="preserve">.  </w:t>
      </w:r>
      <w:r w:rsidR="005D4D50">
        <w:rPr>
          <w:sz w:val="28"/>
          <w:szCs w:val="28"/>
          <w:lang w:val="en-GB"/>
        </w:rPr>
        <w:t>Admittedly, those responsible for making social welfare policies often have to make hard choices</w:t>
      </w:r>
      <w:r w:rsidR="006510D5">
        <w:rPr>
          <w:sz w:val="28"/>
          <w:szCs w:val="28"/>
          <w:lang w:val="en-GB"/>
        </w:rPr>
        <w:t>,</w:t>
      </w:r>
      <w:r w:rsidR="005D4D50">
        <w:rPr>
          <w:sz w:val="28"/>
          <w:szCs w:val="28"/>
          <w:lang w:val="en-GB"/>
        </w:rPr>
        <w:t xml:space="preserve"> given limited resources</w:t>
      </w:r>
      <w:r w:rsidR="006510D5" w:rsidRPr="006510D5">
        <w:rPr>
          <w:sz w:val="28"/>
          <w:szCs w:val="28"/>
          <w:lang w:val="en-GB"/>
        </w:rPr>
        <w:t xml:space="preserve"> </w:t>
      </w:r>
      <w:r w:rsidR="006510D5">
        <w:rPr>
          <w:sz w:val="28"/>
          <w:szCs w:val="28"/>
          <w:lang w:val="en-GB"/>
        </w:rPr>
        <w:t xml:space="preserve">and </w:t>
      </w:r>
      <w:r w:rsidR="006510D5" w:rsidRPr="006510D5">
        <w:rPr>
          <w:sz w:val="28"/>
          <w:szCs w:val="28"/>
          <w:lang w:val="en-GB"/>
        </w:rPr>
        <w:t>competing demands</w:t>
      </w:r>
      <w:r w:rsidR="005D4D50">
        <w:rPr>
          <w:sz w:val="28"/>
          <w:szCs w:val="28"/>
          <w:lang w:val="en-GB"/>
        </w:rPr>
        <w:t xml:space="preserve">.  However, this </w:t>
      </w:r>
      <w:r w:rsidR="006510D5">
        <w:rPr>
          <w:sz w:val="28"/>
          <w:szCs w:val="28"/>
          <w:lang w:val="en-GB"/>
        </w:rPr>
        <w:t xml:space="preserve">pertains only </w:t>
      </w:r>
      <w:r w:rsidR="005D4D50">
        <w:rPr>
          <w:sz w:val="28"/>
          <w:szCs w:val="28"/>
          <w:lang w:val="en-GB"/>
        </w:rPr>
        <w:t xml:space="preserve">to the margin of discretion </w:t>
      </w:r>
      <w:r w:rsidR="006510D5">
        <w:rPr>
          <w:sz w:val="28"/>
          <w:szCs w:val="28"/>
          <w:lang w:val="en-GB"/>
        </w:rPr>
        <w:t xml:space="preserve">to which </w:t>
      </w:r>
      <w:r w:rsidR="005D4D50">
        <w:rPr>
          <w:sz w:val="28"/>
          <w:szCs w:val="28"/>
          <w:lang w:val="en-GB"/>
        </w:rPr>
        <w:t xml:space="preserve">policy-makers </w:t>
      </w:r>
      <w:r w:rsidR="006510D5">
        <w:rPr>
          <w:sz w:val="28"/>
          <w:szCs w:val="28"/>
          <w:lang w:val="en-GB"/>
        </w:rPr>
        <w:t>are entitled when their decisions are subject to judicial scrutiny</w:t>
      </w:r>
      <w:r w:rsidR="005D4D50">
        <w:rPr>
          <w:sz w:val="28"/>
          <w:szCs w:val="28"/>
          <w:lang w:val="en-GB"/>
        </w:rPr>
        <w:t>,</w:t>
      </w:r>
      <w:r w:rsidR="005D4D50">
        <w:rPr>
          <w:rStyle w:val="FootnoteReference"/>
          <w:sz w:val="28"/>
          <w:szCs w:val="28"/>
          <w:lang w:val="en-GB"/>
        </w:rPr>
        <w:footnoteReference w:id="98"/>
      </w:r>
      <w:r w:rsidR="005D4D50">
        <w:rPr>
          <w:sz w:val="28"/>
          <w:szCs w:val="28"/>
          <w:lang w:val="en-GB"/>
        </w:rPr>
        <w:t xml:space="preserve"> but</w:t>
      </w:r>
      <w:r w:rsidR="002A440C">
        <w:rPr>
          <w:sz w:val="28"/>
          <w:szCs w:val="28"/>
          <w:lang w:val="en-GB"/>
        </w:rPr>
        <w:t xml:space="preserve"> it</w:t>
      </w:r>
      <w:r w:rsidR="005D4D50">
        <w:rPr>
          <w:sz w:val="28"/>
          <w:szCs w:val="28"/>
          <w:lang w:val="en-GB"/>
        </w:rPr>
        <w:t xml:space="preserve"> </w:t>
      </w:r>
      <w:r w:rsidR="006510D5">
        <w:rPr>
          <w:sz w:val="28"/>
          <w:szCs w:val="28"/>
          <w:lang w:val="en-GB"/>
        </w:rPr>
        <w:t>in no way lessen</w:t>
      </w:r>
      <w:r w:rsidR="005A1A88">
        <w:rPr>
          <w:sz w:val="28"/>
          <w:szCs w:val="28"/>
          <w:lang w:val="en-GB"/>
        </w:rPr>
        <w:t>s</w:t>
      </w:r>
      <w:r w:rsidR="006510D5">
        <w:rPr>
          <w:sz w:val="28"/>
          <w:szCs w:val="28"/>
          <w:lang w:val="en-GB"/>
        </w:rPr>
        <w:t xml:space="preserve"> the necessity of</w:t>
      </w:r>
      <w:r w:rsidR="005D4D50">
        <w:rPr>
          <w:sz w:val="28"/>
          <w:szCs w:val="28"/>
          <w:lang w:val="en-GB"/>
        </w:rPr>
        <w:t xml:space="preserve"> allocating </w:t>
      </w:r>
      <w:r w:rsidR="008225B8" w:rsidRPr="004648FA">
        <w:rPr>
          <w:sz w:val="28"/>
          <w:szCs w:val="28"/>
          <w:lang w:val="en-GB"/>
        </w:rPr>
        <w:t xml:space="preserve">social welfare benefits </w:t>
      </w:r>
      <w:r w:rsidR="005D4D50">
        <w:rPr>
          <w:sz w:val="28"/>
          <w:szCs w:val="28"/>
          <w:lang w:val="en-GB"/>
        </w:rPr>
        <w:t>o</w:t>
      </w:r>
      <w:r w:rsidR="008225B8" w:rsidRPr="004648FA">
        <w:rPr>
          <w:sz w:val="28"/>
          <w:szCs w:val="28"/>
          <w:lang w:val="en-GB"/>
        </w:rPr>
        <w:t>n a rational</w:t>
      </w:r>
      <w:r w:rsidR="006510D5">
        <w:rPr>
          <w:sz w:val="28"/>
          <w:szCs w:val="28"/>
          <w:lang w:val="en-GB"/>
        </w:rPr>
        <w:t xml:space="preserve"> and justifiable basis, free from discrimination</w:t>
      </w:r>
      <w:r w:rsidR="007C357E" w:rsidRPr="004648FA">
        <w:rPr>
          <w:sz w:val="28"/>
          <w:szCs w:val="28"/>
          <w:lang w:val="en-GB"/>
        </w:rPr>
        <w:t xml:space="preserve">.  </w:t>
      </w:r>
      <w:r w:rsidR="008225B8" w:rsidRPr="004648FA">
        <w:rPr>
          <w:sz w:val="28"/>
          <w:szCs w:val="28"/>
          <w:lang w:val="en-GB"/>
        </w:rPr>
        <w:t xml:space="preserve">Thus analysed, there is no necessary conflict between the protection of equality under </w:t>
      </w:r>
      <w:r w:rsidR="0086311A" w:rsidRPr="004648FA">
        <w:rPr>
          <w:sz w:val="28"/>
          <w:szCs w:val="28"/>
          <w:lang w:val="en-GB"/>
        </w:rPr>
        <w:t>BL</w:t>
      </w:r>
      <w:r w:rsidR="002B33AF" w:rsidRPr="004648FA">
        <w:rPr>
          <w:sz w:val="28"/>
          <w:szCs w:val="28"/>
          <w:lang w:val="en-GB"/>
        </w:rPr>
        <w:t>25</w:t>
      </w:r>
      <w:r w:rsidR="008225B8" w:rsidRPr="004648FA">
        <w:rPr>
          <w:sz w:val="28"/>
          <w:szCs w:val="28"/>
          <w:lang w:val="en-GB"/>
        </w:rPr>
        <w:t xml:space="preserve"> </w:t>
      </w:r>
      <w:r w:rsidR="006929AB">
        <w:rPr>
          <w:sz w:val="28"/>
          <w:szCs w:val="28"/>
          <w:lang w:val="en-GB"/>
        </w:rPr>
        <w:t xml:space="preserve">(and BOR22) </w:t>
      </w:r>
      <w:r w:rsidR="008225B8" w:rsidRPr="004648FA">
        <w:rPr>
          <w:sz w:val="28"/>
          <w:szCs w:val="28"/>
          <w:lang w:val="en-GB"/>
        </w:rPr>
        <w:t xml:space="preserve">and the preservation of pre-existing social welfare rights under </w:t>
      </w:r>
      <w:r w:rsidR="0086311A" w:rsidRPr="004648FA">
        <w:rPr>
          <w:sz w:val="28"/>
          <w:szCs w:val="28"/>
          <w:lang w:val="en-GB"/>
        </w:rPr>
        <w:t>BL</w:t>
      </w:r>
      <w:r w:rsidR="002B33AF" w:rsidRPr="004648FA">
        <w:rPr>
          <w:sz w:val="28"/>
          <w:szCs w:val="28"/>
          <w:lang w:val="en-GB"/>
        </w:rPr>
        <w:t>36</w:t>
      </w:r>
      <w:r w:rsidR="008225B8" w:rsidRPr="004648FA">
        <w:rPr>
          <w:sz w:val="28"/>
          <w:szCs w:val="28"/>
          <w:lang w:val="en-GB"/>
        </w:rPr>
        <w:t>.</w:t>
      </w:r>
    </w:p>
    <w:p w:rsidR="008225B8" w:rsidRDefault="00580EBA"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r w:rsidR="008225B8" w:rsidRPr="004648FA">
        <w:rPr>
          <w:sz w:val="28"/>
          <w:szCs w:val="28"/>
          <w:lang w:val="en-GB"/>
        </w:rPr>
        <w:t xml:space="preserve">Moreover, </w:t>
      </w:r>
      <w:r w:rsidR="0086311A" w:rsidRPr="004648FA">
        <w:rPr>
          <w:sz w:val="28"/>
          <w:szCs w:val="28"/>
          <w:lang w:val="en-GB"/>
        </w:rPr>
        <w:t>BL145</w:t>
      </w:r>
      <w:r w:rsidR="008225B8" w:rsidRPr="004648FA">
        <w:rPr>
          <w:sz w:val="28"/>
          <w:szCs w:val="28"/>
          <w:lang w:val="en-GB"/>
        </w:rPr>
        <w:t xml:space="preserve"> expressly envisages that the pre-existing social welfare system may be improved and developed in the light of the </w:t>
      </w:r>
      <w:r w:rsidR="005A1A88">
        <w:rPr>
          <w:sz w:val="28"/>
          <w:szCs w:val="28"/>
          <w:lang w:val="en-GB"/>
        </w:rPr>
        <w:t xml:space="preserve">prevailing </w:t>
      </w:r>
      <w:r w:rsidR="008225B8" w:rsidRPr="004648FA">
        <w:rPr>
          <w:sz w:val="28"/>
          <w:szCs w:val="28"/>
          <w:lang w:val="en-GB"/>
        </w:rPr>
        <w:t>economic condition</w:t>
      </w:r>
      <w:r w:rsidR="005A1A88">
        <w:rPr>
          <w:sz w:val="28"/>
          <w:szCs w:val="28"/>
          <w:lang w:val="en-GB"/>
        </w:rPr>
        <w:t>s</w:t>
      </w:r>
      <w:r w:rsidR="008225B8" w:rsidRPr="004648FA">
        <w:rPr>
          <w:sz w:val="28"/>
          <w:szCs w:val="28"/>
          <w:lang w:val="en-GB"/>
        </w:rPr>
        <w:t xml:space="preserve"> and social needs of society</w:t>
      </w:r>
      <w:r w:rsidR="007C357E" w:rsidRPr="004648FA">
        <w:rPr>
          <w:sz w:val="28"/>
          <w:szCs w:val="28"/>
          <w:lang w:val="en-GB"/>
        </w:rPr>
        <w:t xml:space="preserve">.  </w:t>
      </w:r>
      <w:r w:rsidR="008225B8" w:rsidRPr="004648FA">
        <w:rPr>
          <w:sz w:val="28"/>
          <w:szCs w:val="28"/>
          <w:lang w:val="en-GB"/>
        </w:rPr>
        <w:t xml:space="preserve">There is no basis for saying that </w:t>
      </w:r>
      <w:r w:rsidR="0035614A">
        <w:rPr>
          <w:sz w:val="28"/>
          <w:szCs w:val="28"/>
          <w:lang w:val="en-GB"/>
        </w:rPr>
        <w:t xml:space="preserve">a </w:t>
      </w:r>
      <w:r w:rsidR="008225B8" w:rsidRPr="004648FA">
        <w:rPr>
          <w:sz w:val="28"/>
          <w:szCs w:val="28"/>
          <w:lang w:val="en-GB"/>
        </w:rPr>
        <w:t>pre-</w:t>
      </w:r>
      <w:r w:rsidR="0035614A">
        <w:rPr>
          <w:sz w:val="28"/>
          <w:szCs w:val="28"/>
          <w:lang w:val="en-GB"/>
        </w:rPr>
        <w:t>1997</w:t>
      </w:r>
      <w:r w:rsidR="008225B8" w:rsidRPr="004648FA">
        <w:rPr>
          <w:sz w:val="28"/>
          <w:szCs w:val="28"/>
          <w:lang w:val="en-GB"/>
        </w:rPr>
        <w:t xml:space="preserve"> social welfare </w:t>
      </w:r>
      <w:r w:rsidR="0035614A">
        <w:rPr>
          <w:sz w:val="28"/>
          <w:szCs w:val="28"/>
          <w:lang w:val="en-GB"/>
        </w:rPr>
        <w:t>entitlement is</w:t>
      </w:r>
      <w:r w:rsidR="008225B8" w:rsidRPr="004648FA">
        <w:rPr>
          <w:sz w:val="28"/>
          <w:szCs w:val="28"/>
          <w:lang w:val="en-GB"/>
        </w:rPr>
        <w:t xml:space="preserve"> </w:t>
      </w:r>
      <w:r w:rsidR="002B33AF" w:rsidRPr="004648FA">
        <w:rPr>
          <w:sz w:val="28"/>
          <w:szCs w:val="28"/>
          <w:lang w:val="en-GB"/>
        </w:rPr>
        <w:t>constitutional</w:t>
      </w:r>
      <w:r w:rsidR="008225B8" w:rsidRPr="004648FA">
        <w:rPr>
          <w:sz w:val="28"/>
          <w:szCs w:val="28"/>
          <w:lang w:val="en-GB"/>
        </w:rPr>
        <w:t xml:space="preserve">ly </w:t>
      </w:r>
      <w:r w:rsidR="000E49B5">
        <w:rPr>
          <w:sz w:val="28"/>
          <w:szCs w:val="28"/>
          <w:lang w:val="en-GB"/>
        </w:rPr>
        <w:t>entrenched</w:t>
      </w:r>
      <w:r w:rsidR="006929AB">
        <w:rPr>
          <w:sz w:val="28"/>
          <w:szCs w:val="28"/>
          <w:lang w:val="en-GB"/>
        </w:rPr>
        <w:t xml:space="preserve"> </w:t>
      </w:r>
      <w:r w:rsidR="003A0737">
        <w:rPr>
          <w:sz w:val="28"/>
          <w:szCs w:val="28"/>
          <w:lang w:val="en-GB"/>
        </w:rPr>
        <w:t xml:space="preserve">and </w:t>
      </w:r>
      <w:r w:rsidR="0035614A">
        <w:rPr>
          <w:sz w:val="28"/>
          <w:szCs w:val="28"/>
          <w:lang w:val="en-GB"/>
        </w:rPr>
        <w:t>free from equality scrutiny</w:t>
      </w:r>
      <w:r w:rsidR="0031426C">
        <w:rPr>
          <w:sz w:val="28"/>
          <w:szCs w:val="28"/>
          <w:lang w:val="en-GB"/>
        </w:rPr>
        <w:t xml:space="preserve"> </w:t>
      </w:r>
      <w:r w:rsidR="008225B8" w:rsidRPr="004648FA">
        <w:rPr>
          <w:sz w:val="28"/>
          <w:szCs w:val="28"/>
          <w:lang w:val="en-GB"/>
        </w:rPr>
        <w:t xml:space="preserve">even </w:t>
      </w:r>
      <w:r w:rsidR="003A0737">
        <w:rPr>
          <w:sz w:val="28"/>
          <w:szCs w:val="28"/>
          <w:lang w:val="en-GB"/>
        </w:rPr>
        <w:t xml:space="preserve">if </w:t>
      </w:r>
      <w:r w:rsidR="0035614A">
        <w:rPr>
          <w:sz w:val="28"/>
          <w:szCs w:val="28"/>
          <w:lang w:val="en-GB"/>
        </w:rPr>
        <w:t xml:space="preserve">it </w:t>
      </w:r>
      <w:proofErr w:type="gramStart"/>
      <w:r w:rsidR="0035614A">
        <w:rPr>
          <w:sz w:val="28"/>
          <w:szCs w:val="28"/>
          <w:lang w:val="en-GB"/>
        </w:rPr>
        <w:t xml:space="preserve">is </w:t>
      </w:r>
      <w:r w:rsidR="003A0737">
        <w:rPr>
          <w:sz w:val="28"/>
          <w:szCs w:val="28"/>
          <w:lang w:val="en-GB"/>
        </w:rPr>
        <w:t>s</w:t>
      </w:r>
      <w:r w:rsidR="008225B8" w:rsidRPr="004648FA">
        <w:rPr>
          <w:sz w:val="28"/>
          <w:szCs w:val="28"/>
          <w:lang w:val="en-GB"/>
        </w:rPr>
        <w:t>ubsequently found</w:t>
      </w:r>
      <w:proofErr w:type="gramEnd"/>
      <w:r w:rsidR="008225B8" w:rsidRPr="004648FA">
        <w:rPr>
          <w:sz w:val="28"/>
          <w:szCs w:val="28"/>
          <w:lang w:val="en-GB"/>
        </w:rPr>
        <w:t xml:space="preserve"> to</w:t>
      </w:r>
      <w:r w:rsidR="0035614A">
        <w:rPr>
          <w:sz w:val="28"/>
          <w:szCs w:val="28"/>
          <w:lang w:val="en-GB"/>
        </w:rPr>
        <w:t xml:space="preserve"> </w:t>
      </w:r>
      <w:r w:rsidR="0035614A">
        <w:rPr>
          <w:sz w:val="28"/>
          <w:szCs w:val="28"/>
          <w:lang w:val="en-GB"/>
        </w:rPr>
        <w:lastRenderedPageBreak/>
        <w:t>be wanting in justification</w:t>
      </w:r>
      <w:r w:rsidR="007C357E" w:rsidRPr="004648FA">
        <w:rPr>
          <w:sz w:val="28"/>
          <w:szCs w:val="28"/>
          <w:lang w:val="en-GB"/>
        </w:rPr>
        <w:t xml:space="preserve">.  </w:t>
      </w:r>
      <w:r w:rsidR="008225B8" w:rsidRPr="004648FA">
        <w:rPr>
          <w:sz w:val="28"/>
          <w:szCs w:val="28"/>
          <w:lang w:val="en-GB"/>
        </w:rPr>
        <w:t xml:space="preserve">One can discern no such drafting intention of the </w:t>
      </w:r>
      <w:r w:rsidR="002B33AF" w:rsidRPr="004648FA">
        <w:rPr>
          <w:sz w:val="28"/>
          <w:szCs w:val="28"/>
          <w:lang w:val="en-GB"/>
        </w:rPr>
        <w:t>Basic Law</w:t>
      </w:r>
      <w:r w:rsidR="007C357E" w:rsidRPr="004648FA">
        <w:rPr>
          <w:sz w:val="28"/>
          <w:szCs w:val="28"/>
          <w:lang w:val="en-GB"/>
        </w:rPr>
        <w:t xml:space="preserve">.  </w:t>
      </w:r>
      <w:r w:rsidR="008225B8" w:rsidRPr="004648FA">
        <w:rPr>
          <w:sz w:val="28"/>
          <w:szCs w:val="28"/>
          <w:lang w:val="en-GB"/>
        </w:rPr>
        <w:t xml:space="preserve">If anything, </w:t>
      </w:r>
      <w:r w:rsidR="0086311A" w:rsidRPr="004648FA">
        <w:rPr>
          <w:sz w:val="28"/>
          <w:szCs w:val="28"/>
          <w:lang w:val="en-GB"/>
        </w:rPr>
        <w:t>BL145</w:t>
      </w:r>
      <w:r w:rsidR="008225B8" w:rsidRPr="004648FA">
        <w:rPr>
          <w:sz w:val="28"/>
          <w:szCs w:val="28"/>
          <w:lang w:val="en-GB"/>
        </w:rPr>
        <w:t xml:space="preserve"> </w:t>
      </w:r>
      <w:r w:rsidR="00C1077A">
        <w:rPr>
          <w:sz w:val="28"/>
          <w:szCs w:val="28"/>
          <w:lang w:val="en-GB"/>
        </w:rPr>
        <w:t xml:space="preserve">tends to </w:t>
      </w:r>
      <w:r w:rsidR="008225B8" w:rsidRPr="004648FA">
        <w:rPr>
          <w:sz w:val="28"/>
          <w:szCs w:val="28"/>
          <w:lang w:val="en-GB"/>
        </w:rPr>
        <w:t xml:space="preserve">suggest that the pre-existing social welfare system </w:t>
      </w:r>
      <w:proofErr w:type="gramStart"/>
      <w:r w:rsidR="008225B8" w:rsidRPr="004648FA">
        <w:rPr>
          <w:sz w:val="28"/>
          <w:szCs w:val="28"/>
          <w:lang w:val="en-GB"/>
        </w:rPr>
        <w:t xml:space="preserve">may be </w:t>
      </w:r>
      <w:r w:rsidR="00907D17">
        <w:rPr>
          <w:sz w:val="28"/>
          <w:szCs w:val="28"/>
          <w:lang w:val="en-GB"/>
        </w:rPr>
        <w:t>modified</w:t>
      </w:r>
      <w:proofErr w:type="gramEnd"/>
      <w:r w:rsidR="00907D17">
        <w:rPr>
          <w:sz w:val="28"/>
          <w:szCs w:val="28"/>
          <w:lang w:val="en-GB"/>
        </w:rPr>
        <w:t xml:space="preserve"> t</w:t>
      </w:r>
      <w:r w:rsidR="008225B8" w:rsidRPr="004648FA">
        <w:rPr>
          <w:sz w:val="28"/>
          <w:szCs w:val="28"/>
          <w:lang w:val="en-GB"/>
        </w:rPr>
        <w:t xml:space="preserve">o remove any differential treatment that cannot or can no longer be justified in the light of prevailing social values and conditions.  </w:t>
      </w:r>
    </w:p>
    <w:p w:rsidR="002B33AF" w:rsidRDefault="00580EBA"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r w:rsidR="0086311A" w:rsidRPr="004648FA">
        <w:rPr>
          <w:sz w:val="28"/>
          <w:szCs w:val="28"/>
          <w:lang w:val="en-GB"/>
        </w:rPr>
        <w:t>BL40</w:t>
      </w:r>
      <w:r w:rsidR="008225B8" w:rsidRPr="004648FA">
        <w:rPr>
          <w:sz w:val="28"/>
          <w:szCs w:val="28"/>
          <w:lang w:val="en-GB"/>
        </w:rPr>
        <w:t>,</w:t>
      </w:r>
      <w:r w:rsidR="000E49B5">
        <w:rPr>
          <w:sz w:val="28"/>
          <w:szCs w:val="28"/>
          <w:lang w:val="en-GB"/>
        </w:rPr>
        <w:t xml:space="preserve"> </w:t>
      </w:r>
      <w:r w:rsidR="008225B8" w:rsidRPr="004648FA">
        <w:rPr>
          <w:sz w:val="28"/>
          <w:szCs w:val="28"/>
          <w:lang w:val="en-GB"/>
        </w:rPr>
        <w:t xml:space="preserve">concerning the preservation and protection of the traditional rights and interests of the indigenous inhabitants of </w:t>
      </w:r>
      <w:r w:rsidR="002B33AF" w:rsidRPr="004648FA">
        <w:rPr>
          <w:sz w:val="28"/>
          <w:szCs w:val="28"/>
          <w:lang w:val="en-GB"/>
        </w:rPr>
        <w:t>the New Territories</w:t>
      </w:r>
      <w:r w:rsidR="008225B8" w:rsidRPr="004648FA">
        <w:rPr>
          <w:sz w:val="28"/>
          <w:szCs w:val="28"/>
          <w:lang w:val="en-GB"/>
        </w:rPr>
        <w:t>, is an entirely different story</w:t>
      </w:r>
      <w:r w:rsidR="007C357E" w:rsidRPr="004648FA">
        <w:rPr>
          <w:sz w:val="28"/>
          <w:szCs w:val="28"/>
          <w:lang w:val="en-GB"/>
        </w:rPr>
        <w:t xml:space="preserve">.  </w:t>
      </w:r>
      <w:r w:rsidR="008225B8" w:rsidRPr="004648FA">
        <w:rPr>
          <w:sz w:val="28"/>
          <w:szCs w:val="28"/>
          <w:lang w:val="en-GB"/>
        </w:rPr>
        <w:t xml:space="preserve">As explained in this </w:t>
      </w:r>
      <w:r w:rsidR="00B24E0B">
        <w:rPr>
          <w:sz w:val="28"/>
          <w:szCs w:val="28"/>
          <w:lang w:val="en-GB"/>
        </w:rPr>
        <w:t>c</w:t>
      </w:r>
      <w:r w:rsidR="008225B8" w:rsidRPr="004648FA">
        <w:rPr>
          <w:sz w:val="28"/>
          <w:szCs w:val="28"/>
          <w:lang w:val="en-GB"/>
        </w:rPr>
        <w:t xml:space="preserve">ourt’s judgment in </w:t>
      </w:r>
      <w:r w:rsidR="002B33AF" w:rsidRPr="004648FA">
        <w:rPr>
          <w:i/>
          <w:sz w:val="28"/>
          <w:szCs w:val="28"/>
          <w:lang w:val="en-GB"/>
        </w:rPr>
        <w:t xml:space="preserve">Kwok </w:t>
      </w:r>
      <w:proofErr w:type="spellStart"/>
      <w:r w:rsidR="002B33AF" w:rsidRPr="004648FA">
        <w:rPr>
          <w:i/>
          <w:sz w:val="28"/>
          <w:szCs w:val="28"/>
          <w:lang w:val="en-GB"/>
        </w:rPr>
        <w:t>Cheuk</w:t>
      </w:r>
      <w:proofErr w:type="spellEnd"/>
      <w:r w:rsidR="002B33AF" w:rsidRPr="004648FA">
        <w:rPr>
          <w:i/>
          <w:sz w:val="28"/>
          <w:szCs w:val="28"/>
          <w:lang w:val="en-GB"/>
        </w:rPr>
        <w:t xml:space="preserve"> Kin</w:t>
      </w:r>
      <w:r w:rsidR="008225B8" w:rsidRPr="004648FA">
        <w:rPr>
          <w:sz w:val="28"/>
          <w:szCs w:val="28"/>
          <w:lang w:val="en-GB"/>
        </w:rPr>
        <w:t xml:space="preserve">, right from the beginning, the drafters of the </w:t>
      </w:r>
      <w:r w:rsidR="002B33AF" w:rsidRPr="004648FA">
        <w:rPr>
          <w:sz w:val="28"/>
          <w:szCs w:val="28"/>
          <w:lang w:val="en-GB"/>
        </w:rPr>
        <w:t>Basic Law</w:t>
      </w:r>
      <w:r w:rsidR="008225B8" w:rsidRPr="004648FA">
        <w:rPr>
          <w:sz w:val="28"/>
          <w:szCs w:val="28"/>
          <w:lang w:val="en-GB"/>
        </w:rPr>
        <w:t xml:space="preserve"> were fully aware of the </w:t>
      </w:r>
      <w:r w:rsidR="00907D17">
        <w:rPr>
          <w:sz w:val="28"/>
          <w:szCs w:val="28"/>
          <w:lang w:val="en-GB"/>
        </w:rPr>
        <w:t>“</w:t>
      </w:r>
      <w:r w:rsidR="008225B8" w:rsidRPr="004648FA">
        <w:rPr>
          <w:sz w:val="28"/>
          <w:szCs w:val="28"/>
          <w:lang w:val="en-GB"/>
        </w:rPr>
        <w:t>inherently discriminatory</w:t>
      </w:r>
      <w:r w:rsidR="00907D17">
        <w:rPr>
          <w:sz w:val="28"/>
          <w:szCs w:val="28"/>
          <w:lang w:val="en-GB"/>
        </w:rPr>
        <w:t>”</w:t>
      </w:r>
      <w:r w:rsidR="008225B8" w:rsidRPr="004648FA">
        <w:rPr>
          <w:sz w:val="28"/>
          <w:szCs w:val="28"/>
          <w:lang w:val="en-GB"/>
        </w:rPr>
        <w:t xml:space="preserve"> nature of the </w:t>
      </w:r>
      <w:r w:rsidR="00AA6658" w:rsidRPr="004648FA">
        <w:rPr>
          <w:sz w:val="28"/>
          <w:szCs w:val="28"/>
          <w:lang w:val="en-GB"/>
        </w:rPr>
        <w:t>“</w:t>
      </w:r>
      <w:r w:rsidR="008225B8" w:rsidRPr="004648FA">
        <w:rPr>
          <w:sz w:val="28"/>
          <w:szCs w:val="28"/>
          <w:lang w:val="en-GB"/>
        </w:rPr>
        <w:t>Ding rights</w:t>
      </w:r>
      <w:r w:rsidR="00AA6658" w:rsidRPr="004648FA">
        <w:rPr>
          <w:sz w:val="28"/>
          <w:szCs w:val="28"/>
          <w:lang w:val="en-GB"/>
        </w:rPr>
        <w:t>”</w:t>
      </w:r>
      <w:r w:rsidR="00AA6658" w:rsidRPr="004648FA">
        <w:rPr>
          <w:rStyle w:val="FootnoteReference"/>
          <w:sz w:val="28"/>
          <w:szCs w:val="28"/>
          <w:lang w:val="en-GB"/>
        </w:rPr>
        <w:footnoteReference w:id="99"/>
      </w:r>
      <w:r w:rsidR="008225B8" w:rsidRPr="004648FA">
        <w:rPr>
          <w:sz w:val="28"/>
          <w:szCs w:val="28"/>
          <w:lang w:val="en-GB"/>
        </w:rPr>
        <w:t xml:space="preserve"> of male indigenous inhabitants of </w:t>
      </w:r>
      <w:r w:rsidR="002B33AF" w:rsidRPr="004648FA">
        <w:rPr>
          <w:sz w:val="28"/>
          <w:szCs w:val="28"/>
          <w:lang w:val="en-GB"/>
        </w:rPr>
        <w:t>the New Territories</w:t>
      </w:r>
      <w:r w:rsidR="008225B8" w:rsidRPr="004648FA">
        <w:rPr>
          <w:sz w:val="28"/>
          <w:szCs w:val="28"/>
          <w:lang w:val="en-GB"/>
        </w:rPr>
        <w:t>.</w:t>
      </w:r>
      <w:r w:rsidR="00AA6658" w:rsidRPr="004648FA">
        <w:rPr>
          <w:rStyle w:val="FootnoteReference"/>
          <w:sz w:val="28"/>
          <w:szCs w:val="28"/>
          <w:lang w:val="en-GB"/>
        </w:rPr>
        <w:footnoteReference w:id="100"/>
      </w:r>
      <w:r>
        <w:rPr>
          <w:sz w:val="28"/>
          <w:szCs w:val="28"/>
          <w:lang w:val="en-GB"/>
        </w:rPr>
        <w:t xml:space="preserve"> </w:t>
      </w:r>
      <w:r w:rsidR="008225B8" w:rsidRPr="004648FA">
        <w:rPr>
          <w:sz w:val="28"/>
          <w:szCs w:val="28"/>
          <w:lang w:val="en-GB"/>
        </w:rPr>
        <w:t xml:space="preserve"> After debates and discussions, </w:t>
      </w:r>
      <w:r w:rsidR="0086311A" w:rsidRPr="004648FA">
        <w:rPr>
          <w:sz w:val="28"/>
          <w:szCs w:val="28"/>
          <w:lang w:val="en-GB"/>
        </w:rPr>
        <w:t>BL</w:t>
      </w:r>
      <w:r w:rsidR="002B33AF" w:rsidRPr="004648FA">
        <w:rPr>
          <w:sz w:val="28"/>
          <w:szCs w:val="28"/>
          <w:lang w:val="en-GB"/>
        </w:rPr>
        <w:t>40</w:t>
      </w:r>
      <w:r w:rsidR="008225B8" w:rsidRPr="004648FA">
        <w:rPr>
          <w:sz w:val="28"/>
          <w:szCs w:val="28"/>
          <w:lang w:val="en-GB"/>
        </w:rPr>
        <w:t xml:space="preserve"> was included in the final draft of the </w:t>
      </w:r>
      <w:r w:rsidR="002B33AF" w:rsidRPr="004648FA">
        <w:rPr>
          <w:sz w:val="28"/>
          <w:szCs w:val="28"/>
          <w:lang w:val="en-GB"/>
        </w:rPr>
        <w:t>Basic Law</w:t>
      </w:r>
      <w:r w:rsidR="008225B8" w:rsidRPr="004648FA">
        <w:rPr>
          <w:sz w:val="28"/>
          <w:szCs w:val="28"/>
          <w:lang w:val="en-GB"/>
        </w:rPr>
        <w:t xml:space="preserve"> despite those concerns</w:t>
      </w:r>
      <w:r w:rsidR="0035614A">
        <w:rPr>
          <w:sz w:val="28"/>
          <w:szCs w:val="28"/>
          <w:lang w:val="en-GB"/>
        </w:rPr>
        <w:t>.  As a result</w:t>
      </w:r>
      <w:r w:rsidR="008225B8" w:rsidRPr="004648FA">
        <w:rPr>
          <w:sz w:val="28"/>
          <w:szCs w:val="28"/>
          <w:lang w:val="en-GB"/>
        </w:rPr>
        <w:t xml:space="preserve">, as held by this </w:t>
      </w:r>
      <w:r w:rsidR="00B24E0B">
        <w:rPr>
          <w:sz w:val="28"/>
          <w:szCs w:val="28"/>
          <w:lang w:val="en-GB"/>
        </w:rPr>
        <w:t>c</w:t>
      </w:r>
      <w:r w:rsidR="008225B8" w:rsidRPr="004648FA">
        <w:rPr>
          <w:sz w:val="28"/>
          <w:szCs w:val="28"/>
          <w:lang w:val="en-GB"/>
        </w:rPr>
        <w:t xml:space="preserve">ourt, the </w:t>
      </w:r>
      <w:r w:rsidR="005A1A88">
        <w:rPr>
          <w:sz w:val="28"/>
          <w:szCs w:val="28"/>
          <w:lang w:val="en-GB"/>
        </w:rPr>
        <w:t>“</w:t>
      </w:r>
      <w:r w:rsidR="008225B8" w:rsidRPr="004648FA">
        <w:rPr>
          <w:sz w:val="28"/>
          <w:szCs w:val="28"/>
          <w:lang w:val="en-GB"/>
        </w:rPr>
        <w:t>Ding rights</w:t>
      </w:r>
      <w:r w:rsidR="005A1A88">
        <w:rPr>
          <w:sz w:val="28"/>
          <w:szCs w:val="28"/>
          <w:lang w:val="en-GB"/>
        </w:rPr>
        <w:t>”</w:t>
      </w:r>
      <w:r w:rsidR="008225B8" w:rsidRPr="004648FA">
        <w:rPr>
          <w:sz w:val="28"/>
          <w:szCs w:val="28"/>
          <w:lang w:val="en-GB"/>
        </w:rPr>
        <w:t xml:space="preserve"> are preserved and protected post-</w:t>
      </w:r>
      <w:r w:rsidR="002B33AF" w:rsidRPr="004648FA">
        <w:rPr>
          <w:sz w:val="28"/>
          <w:szCs w:val="28"/>
          <w:lang w:val="en-GB"/>
        </w:rPr>
        <w:t>1997</w:t>
      </w:r>
      <w:r w:rsidR="008225B8" w:rsidRPr="004648FA">
        <w:rPr>
          <w:sz w:val="28"/>
          <w:szCs w:val="28"/>
          <w:lang w:val="en-GB"/>
        </w:rPr>
        <w:t xml:space="preserve"> despite their known i</w:t>
      </w:r>
      <w:r w:rsidR="000E49B5">
        <w:rPr>
          <w:sz w:val="28"/>
          <w:szCs w:val="28"/>
          <w:lang w:val="en-GB"/>
        </w:rPr>
        <w:t>nherently discriminatory nature.</w:t>
      </w:r>
      <w:r w:rsidR="0080048D" w:rsidRPr="004648FA">
        <w:rPr>
          <w:rStyle w:val="FootnoteReference"/>
          <w:sz w:val="28"/>
          <w:szCs w:val="28"/>
          <w:lang w:val="en-GB"/>
        </w:rPr>
        <w:footnoteReference w:id="101"/>
      </w:r>
      <w:r w:rsidR="008225B8" w:rsidRPr="004648FA">
        <w:rPr>
          <w:sz w:val="28"/>
          <w:szCs w:val="28"/>
          <w:lang w:val="en-GB"/>
        </w:rPr>
        <w:t xml:space="preserve"> </w:t>
      </w:r>
      <w:r>
        <w:rPr>
          <w:sz w:val="28"/>
          <w:szCs w:val="28"/>
          <w:lang w:val="en-GB"/>
        </w:rPr>
        <w:t xml:space="preserve"> </w:t>
      </w:r>
      <w:r w:rsidR="008225B8" w:rsidRPr="004648FA">
        <w:rPr>
          <w:sz w:val="28"/>
          <w:szCs w:val="28"/>
          <w:lang w:val="en-GB"/>
        </w:rPr>
        <w:t xml:space="preserve">The drafting </w:t>
      </w:r>
      <w:r w:rsidR="00575FB2" w:rsidRPr="004648FA">
        <w:rPr>
          <w:sz w:val="28"/>
          <w:szCs w:val="28"/>
          <w:lang w:val="en-GB"/>
        </w:rPr>
        <w:t xml:space="preserve">material </w:t>
      </w:r>
      <w:r w:rsidR="008225B8" w:rsidRPr="004648FA">
        <w:rPr>
          <w:sz w:val="28"/>
          <w:szCs w:val="28"/>
          <w:lang w:val="en-GB"/>
        </w:rPr>
        <w:t xml:space="preserve">and background of the </w:t>
      </w:r>
      <w:r w:rsidR="002B33AF" w:rsidRPr="004648FA">
        <w:rPr>
          <w:sz w:val="28"/>
          <w:szCs w:val="28"/>
          <w:lang w:val="en-GB"/>
        </w:rPr>
        <w:t>Basic Law</w:t>
      </w:r>
      <w:r w:rsidR="008225B8" w:rsidRPr="004648FA">
        <w:rPr>
          <w:sz w:val="28"/>
          <w:szCs w:val="28"/>
          <w:lang w:val="en-GB"/>
        </w:rPr>
        <w:t xml:space="preserve"> </w:t>
      </w:r>
      <w:r w:rsidR="00142AF7">
        <w:rPr>
          <w:sz w:val="28"/>
          <w:szCs w:val="28"/>
          <w:lang w:val="en-GB"/>
        </w:rPr>
        <w:t>clearly</w:t>
      </w:r>
      <w:r w:rsidR="008225B8" w:rsidRPr="004648FA">
        <w:rPr>
          <w:sz w:val="28"/>
          <w:szCs w:val="28"/>
          <w:lang w:val="en-GB"/>
        </w:rPr>
        <w:t xml:space="preserve"> demonstrated that </w:t>
      </w:r>
      <w:r w:rsidR="004C5DE3" w:rsidRPr="004648FA">
        <w:rPr>
          <w:sz w:val="28"/>
          <w:szCs w:val="28"/>
          <w:lang w:val="en-GB"/>
        </w:rPr>
        <w:t>its drafters</w:t>
      </w:r>
      <w:r w:rsidR="008225B8" w:rsidRPr="004648FA">
        <w:rPr>
          <w:sz w:val="28"/>
          <w:szCs w:val="28"/>
          <w:lang w:val="en-GB"/>
        </w:rPr>
        <w:t xml:space="preserve"> exceptionally intended to accord favourable differential treatment to </w:t>
      </w:r>
      <w:r w:rsidR="0035614A">
        <w:rPr>
          <w:sz w:val="28"/>
          <w:szCs w:val="28"/>
          <w:lang w:val="en-GB"/>
        </w:rPr>
        <w:t xml:space="preserve">the </w:t>
      </w:r>
      <w:r w:rsidR="00142AF7">
        <w:rPr>
          <w:sz w:val="28"/>
          <w:szCs w:val="28"/>
          <w:lang w:val="en-GB"/>
        </w:rPr>
        <w:t xml:space="preserve">male </w:t>
      </w:r>
      <w:r w:rsidR="008225B8" w:rsidRPr="004648FA">
        <w:rPr>
          <w:sz w:val="28"/>
          <w:szCs w:val="28"/>
          <w:lang w:val="en-GB"/>
        </w:rPr>
        <w:t>indigenous</w:t>
      </w:r>
      <w:r w:rsidR="004C5DE3" w:rsidRPr="004648FA">
        <w:rPr>
          <w:sz w:val="28"/>
          <w:szCs w:val="28"/>
          <w:lang w:val="en-GB"/>
        </w:rPr>
        <w:t xml:space="preserve"> inhabitants</w:t>
      </w:r>
      <w:r w:rsidR="005A1A88">
        <w:rPr>
          <w:sz w:val="28"/>
          <w:szCs w:val="28"/>
          <w:lang w:val="en-GB"/>
        </w:rPr>
        <w:t xml:space="preserve"> of the New Territories</w:t>
      </w:r>
      <w:r w:rsidR="008225B8" w:rsidRPr="004648FA">
        <w:rPr>
          <w:sz w:val="28"/>
          <w:szCs w:val="28"/>
          <w:lang w:val="en-GB"/>
        </w:rPr>
        <w:t>.</w:t>
      </w:r>
      <w:r w:rsidR="0080048D" w:rsidRPr="004648FA">
        <w:rPr>
          <w:rStyle w:val="FootnoteReference"/>
          <w:sz w:val="28"/>
          <w:szCs w:val="28"/>
          <w:lang w:val="en-GB"/>
        </w:rPr>
        <w:footnoteReference w:id="102"/>
      </w:r>
      <w:r w:rsidR="008225B8" w:rsidRPr="004648FA">
        <w:rPr>
          <w:sz w:val="28"/>
          <w:szCs w:val="28"/>
          <w:lang w:val="en-GB"/>
        </w:rPr>
        <w:t xml:space="preserve"> </w:t>
      </w:r>
      <w:r>
        <w:rPr>
          <w:sz w:val="28"/>
          <w:szCs w:val="28"/>
          <w:lang w:val="en-GB"/>
        </w:rPr>
        <w:t xml:space="preserve"> </w:t>
      </w:r>
      <w:r w:rsidR="008225B8" w:rsidRPr="004648FA">
        <w:rPr>
          <w:sz w:val="28"/>
          <w:szCs w:val="28"/>
          <w:lang w:val="en-GB"/>
        </w:rPr>
        <w:t xml:space="preserve">Thus, this </w:t>
      </w:r>
      <w:r w:rsidR="00B24E0B">
        <w:rPr>
          <w:sz w:val="28"/>
          <w:szCs w:val="28"/>
          <w:lang w:val="en-GB"/>
        </w:rPr>
        <w:t>c</w:t>
      </w:r>
      <w:r w:rsidR="008225B8" w:rsidRPr="004648FA">
        <w:rPr>
          <w:sz w:val="28"/>
          <w:szCs w:val="28"/>
          <w:lang w:val="en-GB"/>
        </w:rPr>
        <w:t xml:space="preserve">ourt concluded in </w:t>
      </w:r>
      <w:r w:rsidR="002B33AF" w:rsidRPr="004648FA">
        <w:rPr>
          <w:i/>
          <w:sz w:val="28"/>
          <w:szCs w:val="28"/>
          <w:lang w:val="en-GB"/>
        </w:rPr>
        <w:t xml:space="preserve">Kwok </w:t>
      </w:r>
      <w:proofErr w:type="spellStart"/>
      <w:r w:rsidR="002B33AF" w:rsidRPr="004648FA">
        <w:rPr>
          <w:i/>
          <w:sz w:val="28"/>
          <w:szCs w:val="28"/>
          <w:lang w:val="en-GB"/>
        </w:rPr>
        <w:t>Cheuk</w:t>
      </w:r>
      <w:proofErr w:type="spellEnd"/>
      <w:r w:rsidR="002B33AF" w:rsidRPr="004648FA">
        <w:rPr>
          <w:i/>
          <w:sz w:val="28"/>
          <w:szCs w:val="28"/>
          <w:lang w:val="en-GB"/>
        </w:rPr>
        <w:t xml:space="preserve"> Kin</w:t>
      </w:r>
      <w:r w:rsidR="008225B8" w:rsidRPr="004648FA">
        <w:rPr>
          <w:sz w:val="28"/>
          <w:szCs w:val="28"/>
          <w:lang w:val="en-GB"/>
        </w:rPr>
        <w:t xml:space="preserve"> that </w:t>
      </w:r>
      <w:r w:rsidR="0086311A" w:rsidRPr="004648FA">
        <w:rPr>
          <w:sz w:val="28"/>
          <w:szCs w:val="28"/>
          <w:lang w:val="en-GB"/>
        </w:rPr>
        <w:t>BL40</w:t>
      </w:r>
      <w:r w:rsidR="008225B8" w:rsidRPr="004648FA">
        <w:rPr>
          <w:sz w:val="28"/>
          <w:szCs w:val="28"/>
          <w:lang w:val="en-GB"/>
        </w:rPr>
        <w:t xml:space="preserve"> </w:t>
      </w:r>
      <w:r w:rsidR="008225B8" w:rsidRPr="004648FA">
        <w:rPr>
          <w:sz w:val="28"/>
          <w:szCs w:val="28"/>
          <w:lang w:val="en-GB"/>
        </w:rPr>
        <w:lastRenderedPageBreak/>
        <w:t xml:space="preserve">constitutes </w:t>
      </w:r>
      <w:r w:rsidR="002B334F">
        <w:rPr>
          <w:sz w:val="28"/>
          <w:szCs w:val="28"/>
          <w:lang w:val="en-GB"/>
        </w:rPr>
        <w:t>a</w:t>
      </w:r>
      <w:r w:rsidR="008225B8" w:rsidRPr="004648FA">
        <w:rPr>
          <w:sz w:val="28"/>
          <w:szCs w:val="28"/>
          <w:lang w:val="en-GB"/>
        </w:rPr>
        <w:t xml:space="preserve"> </w:t>
      </w:r>
      <w:proofErr w:type="spellStart"/>
      <w:r w:rsidR="002B33AF" w:rsidRPr="004648FA">
        <w:rPr>
          <w:i/>
          <w:sz w:val="28"/>
          <w:szCs w:val="28"/>
          <w:lang w:val="en-GB"/>
        </w:rPr>
        <w:t>lex</w:t>
      </w:r>
      <w:proofErr w:type="spellEnd"/>
      <w:r w:rsidR="002B33AF" w:rsidRPr="004648FA">
        <w:rPr>
          <w:i/>
          <w:sz w:val="28"/>
          <w:szCs w:val="28"/>
          <w:lang w:val="en-GB"/>
        </w:rPr>
        <w:t xml:space="preserve"> </w:t>
      </w:r>
      <w:proofErr w:type="spellStart"/>
      <w:r w:rsidR="002B33AF" w:rsidRPr="004648FA">
        <w:rPr>
          <w:i/>
          <w:sz w:val="28"/>
          <w:szCs w:val="28"/>
          <w:lang w:val="en-GB"/>
        </w:rPr>
        <w:t>specialis</w:t>
      </w:r>
      <w:proofErr w:type="spellEnd"/>
      <w:r w:rsidR="008225B8" w:rsidRPr="004648FA">
        <w:rPr>
          <w:sz w:val="28"/>
          <w:szCs w:val="28"/>
          <w:lang w:val="en-GB"/>
        </w:rPr>
        <w:t xml:space="preserve"> and overrides the </w:t>
      </w:r>
      <w:r w:rsidR="0031426C">
        <w:rPr>
          <w:sz w:val="28"/>
          <w:szCs w:val="28"/>
          <w:lang w:val="en-GB"/>
        </w:rPr>
        <w:t xml:space="preserve">general </w:t>
      </w:r>
      <w:r w:rsidR="008225B8" w:rsidRPr="004648FA">
        <w:rPr>
          <w:sz w:val="28"/>
          <w:szCs w:val="28"/>
          <w:lang w:val="en-GB"/>
        </w:rPr>
        <w:t xml:space="preserve">equality provisions under </w:t>
      </w:r>
      <w:r w:rsidR="0086311A" w:rsidRPr="004648FA">
        <w:rPr>
          <w:sz w:val="28"/>
          <w:szCs w:val="28"/>
          <w:lang w:val="en-GB"/>
        </w:rPr>
        <w:t>BL25</w:t>
      </w:r>
      <w:r w:rsidR="008225B8" w:rsidRPr="004648FA">
        <w:rPr>
          <w:sz w:val="28"/>
          <w:szCs w:val="28"/>
          <w:lang w:val="en-GB"/>
        </w:rPr>
        <w:t xml:space="preserve"> and </w:t>
      </w:r>
      <w:r w:rsidR="0086311A" w:rsidRPr="004648FA">
        <w:rPr>
          <w:sz w:val="28"/>
          <w:szCs w:val="28"/>
          <w:lang w:val="en-GB"/>
        </w:rPr>
        <w:t>BOR22</w:t>
      </w:r>
      <w:r w:rsidR="008225B8" w:rsidRPr="004648FA">
        <w:rPr>
          <w:sz w:val="28"/>
          <w:szCs w:val="28"/>
          <w:lang w:val="en-GB"/>
        </w:rPr>
        <w:t>.</w:t>
      </w:r>
      <w:r w:rsidR="0080048D" w:rsidRPr="004648FA">
        <w:rPr>
          <w:rStyle w:val="FootnoteReference"/>
          <w:sz w:val="28"/>
          <w:szCs w:val="28"/>
          <w:lang w:val="en-GB"/>
        </w:rPr>
        <w:footnoteReference w:id="103"/>
      </w:r>
    </w:p>
    <w:p w:rsidR="00F710CA" w:rsidRPr="004648FA" w:rsidRDefault="00580EBA"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r w:rsidR="0086311A" w:rsidRPr="004648FA">
        <w:rPr>
          <w:sz w:val="28"/>
          <w:szCs w:val="28"/>
          <w:lang w:val="en-GB"/>
        </w:rPr>
        <w:t>BL36</w:t>
      </w:r>
      <w:r w:rsidR="008225B8" w:rsidRPr="004648FA">
        <w:rPr>
          <w:sz w:val="28"/>
          <w:szCs w:val="28"/>
          <w:lang w:val="en-GB"/>
        </w:rPr>
        <w:t xml:space="preserve">, in contrast, is </w:t>
      </w:r>
      <w:proofErr w:type="gramStart"/>
      <w:r w:rsidR="008225B8" w:rsidRPr="004648FA">
        <w:rPr>
          <w:sz w:val="28"/>
          <w:szCs w:val="28"/>
          <w:lang w:val="en-GB"/>
        </w:rPr>
        <w:t>a far cry</w:t>
      </w:r>
      <w:proofErr w:type="gramEnd"/>
      <w:r w:rsidR="008225B8" w:rsidRPr="004648FA">
        <w:rPr>
          <w:sz w:val="28"/>
          <w:szCs w:val="28"/>
          <w:lang w:val="en-GB"/>
        </w:rPr>
        <w:t xml:space="preserve"> from that situation</w:t>
      </w:r>
      <w:r w:rsidR="007C357E" w:rsidRPr="004648FA">
        <w:rPr>
          <w:sz w:val="28"/>
          <w:szCs w:val="28"/>
          <w:lang w:val="en-GB"/>
        </w:rPr>
        <w:t xml:space="preserve">.  </w:t>
      </w:r>
      <w:r w:rsidR="00142AF7">
        <w:rPr>
          <w:sz w:val="28"/>
          <w:szCs w:val="28"/>
          <w:lang w:val="en-GB"/>
        </w:rPr>
        <w:t xml:space="preserve">Whereas </w:t>
      </w:r>
      <w:r w:rsidR="0086311A" w:rsidRPr="004648FA">
        <w:rPr>
          <w:sz w:val="28"/>
          <w:szCs w:val="28"/>
          <w:lang w:val="en-GB"/>
        </w:rPr>
        <w:t>BL40</w:t>
      </w:r>
      <w:r w:rsidR="008225B8" w:rsidRPr="004648FA">
        <w:rPr>
          <w:sz w:val="28"/>
          <w:szCs w:val="28"/>
          <w:lang w:val="en-GB"/>
        </w:rPr>
        <w:t xml:space="preserve"> </w:t>
      </w:r>
      <w:proofErr w:type="gramStart"/>
      <w:r w:rsidR="00AA03EF">
        <w:rPr>
          <w:sz w:val="28"/>
          <w:szCs w:val="28"/>
          <w:lang w:val="en-GB"/>
        </w:rPr>
        <w:t>has always been known</w:t>
      </w:r>
      <w:proofErr w:type="gramEnd"/>
      <w:r w:rsidR="00AA03EF">
        <w:rPr>
          <w:sz w:val="28"/>
          <w:szCs w:val="28"/>
          <w:lang w:val="en-GB"/>
        </w:rPr>
        <w:t xml:space="preserve"> to be</w:t>
      </w:r>
      <w:r w:rsidR="00907D17">
        <w:rPr>
          <w:sz w:val="28"/>
          <w:szCs w:val="28"/>
          <w:lang w:val="en-GB"/>
        </w:rPr>
        <w:t xml:space="preserve"> </w:t>
      </w:r>
      <w:r w:rsidR="008225B8" w:rsidRPr="004648FA">
        <w:rPr>
          <w:sz w:val="28"/>
          <w:szCs w:val="28"/>
          <w:lang w:val="en-GB"/>
        </w:rPr>
        <w:t xml:space="preserve">inherently discriminatory </w:t>
      </w:r>
      <w:r w:rsidR="005A1A88">
        <w:rPr>
          <w:sz w:val="28"/>
          <w:szCs w:val="28"/>
          <w:lang w:val="en-GB"/>
        </w:rPr>
        <w:t xml:space="preserve">with respect to </w:t>
      </w:r>
      <w:r w:rsidR="00142AF7">
        <w:rPr>
          <w:sz w:val="28"/>
          <w:szCs w:val="28"/>
          <w:lang w:val="en-GB"/>
        </w:rPr>
        <w:t>t</w:t>
      </w:r>
      <w:r w:rsidR="008225B8" w:rsidRPr="004648FA">
        <w:rPr>
          <w:sz w:val="28"/>
          <w:szCs w:val="28"/>
          <w:lang w:val="en-GB"/>
        </w:rPr>
        <w:t xml:space="preserve">he </w:t>
      </w:r>
      <w:r w:rsidR="000427DF" w:rsidRPr="004648FA">
        <w:rPr>
          <w:sz w:val="28"/>
          <w:szCs w:val="28"/>
          <w:lang w:val="en-GB"/>
        </w:rPr>
        <w:t>“</w:t>
      </w:r>
      <w:r w:rsidR="008225B8" w:rsidRPr="004648FA">
        <w:rPr>
          <w:sz w:val="28"/>
          <w:szCs w:val="28"/>
          <w:lang w:val="en-GB"/>
        </w:rPr>
        <w:t>Ding rights</w:t>
      </w:r>
      <w:r w:rsidR="000427DF" w:rsidRPr="004648FA">
        <w:rPr>
          <w:sz w:val="28"/>
          <w:szCs w:val="28"/>
          <w:lang w:val="en-GB"/>
        </w:rPr>
        <w:t>”</w:t>
      </w:r>
      <w:r w:rsidR="008225B8" w:rsidRPr="004648FA">
        <w:rPr>
          <w:sz w:val="28"/>
          <w:szCs w:val="28"/>
          <w:lang w:val="en-GB"/>
        </w:rPr>
        <w:t xml:space="preserve"> preserved thereunder, </w:t>
      </w:r>
      <w:r w:rsidR="00142AF7">
        <w:rPr>
          <w:sz w:val="28"/>
          <w:szCs w:val="28"/>
          <w:lang w:val="en-GB"/>
        </w:rPr>
        <w:t>t</w:t>
      </w:r>
      <w:r w:rsidR="00AA03EF">
        <w:rPr>
          <w:sz w:val="28"/>
          <w:szCs w:val="28"/>
          <w:lang w:val="en-GB"/>
        </w:rPr>
        <w:t xml:space="preserve">his is not the case with </w:t>
      </w:r>
      <w:r w:rsidR="0086311A" w:rsidRPr="004648FA">
        <w:rPr>
          <w:sz w:val="28"/>
          <w:szCs w:val="28"/>
          <w:lang w:val="en-GB"/>
        </w:rPr>
        <w:t>BL</w:t>
      </w:r>
      <w:r w:rsidR="002B33AF" w:rsidRPr="004648FA">
        <w:rPr>
          <w:sz w:val="28"/>
          <w:szCs w:val="28"/>
          <w:lang w:val="en-GB"/>
        </w:rPr>
        <w:t>36</w:t>
      </w:r>
      <w:r w:rsidR="007C357E" w:rsidRPr="004648FA">
        <w:rPr>
          <w:sz w:val="28"/>
          <w:szCs w:val="28"/>
          <w:lang w:val="en-GB"/>
        </w:rPr>
        <w:t xml:space="preserve">.  </w:t>
      </w:r>
      <w:r w:rsidR="008225B8" w:rsidRPr="004648FA">
        <w:rPr>
          <w:sz w:val="28"/>
          <w:szCs w:val="28"/>
          <w:lang w:val="en-GB"/>
        </w:rPr>
        <w:t xml:space="preserve">Nothing in the drafting history of </w:t>
      </w:r>
      <w:r w:rsidR="0086311A" w:rsidRPr="004648FA">
        <w:rPr>
          <w:sz w:val="28"/>
          <w:szCs w:val="28"/>
          <w:lang w:val="en-GB"/>
        </w:rPr>
        <w:t>BL</w:t>
      </w:r>
      <w:r w:rsidR="002B33AF" w:rsidRPr="004648FA">
        <w:rPr>
          <w:sz w:val="28"/>
          <w:szCs w:val="28"/>
          <w:lang w:val="en-GB"/>
        </w:rPr>
        <w:t>36</w:t>
      </w:r>
      <w:r w:rsidR="008225B8" w:rsidRPr="004648FA">
        <w:rPr>
          <w:sz w:val="28"/>
          <w:szCs w:val="28"/>
          <w:lang w:val="en-GB"/>
        </w:rPr>
        <w:t xml:space="preserve">, so far as is made known to </w:t>
      </w:r>
      <w:r w:rsidR="00294C50">
        <w:rPr>
          <w:sz w:val="28"/>
          <w:szCs w:val="28"/>
          <w:lang w:val="en-GB"/>
        </w:rPr>
        <w:t xml:space="preserve">the </w:t>
      </w:r>
      <w:r w:rsidR="00E85A5B">
        <w:rPr>
          <w:sz w:val="28"/>
          <w:szCs w:val="28"/>
          <w:lang w:val="en-GB"/>
        </w:rPr>
        <w:t>c</w:t>
      </w:r>
      <w:r w:rsidR="00294C50">
        <w:rPr>
          <w:sz w:val="28"/>
          <w:szCs w:val="28"/>
          <w:lang w:val="en-GB"/>
        </w:rPr>
        <w:t>ourt</w:t>
      </w:r>
      <w:r w:rsidR="008225B8" w:rsidRPr="004648FA">
        <w:rPr>
          <w:sz w:val="28"/>
          <w:szCs w:val="28"/>
          <w:lang w:val="en-GB"/>
        </w:rPr>
        <w:t xml:space="preserve">, suggests </w:t>
      </w:r>
      <w:r w:rsidR="00AA03EF">
        <w:rPr>
          <w:sz w:val="28"/>
          <w:szCs w:val="28"/>
          <w:lang w:val="en-GB"/>
        </w:rPr>
        <w:t xml:space="preserve">that there was </w:t>
      </w:r>
      <w:r w:rsidR="008225B8" w:rsidRPr="004648FA">
        <w:rPr>
          <w:sz w:val="28"/>
          <w:szCs w:val="28"/>
          <w:lang w:val="en-GB"/>
        </w:rPr>
        <w:t xml:space="preserve">any </w:t>
      </w:r>
      <w:r w:rsidR="00AA03EF">
        <w:rPr>
          <w:sz w:val="28"/>
          <w:szCs w:val="28"/>
          <w:lang w:val="en-GB"/>
        </w:rPr>
        <w:t xml:space="preserve">drafting </w:t>
      </w:r>
      <w:r w:rsidR="008225B8" w:rsidRPr="004648FA">
        <w:rPr>
          <w:sz w:val="28"/>
          <w:szCs w:val="28"/>
          <w:lang w:val="en-GB"/>
        </w:rPr>
        <w:t xml:space="preserve">intention to entrench any social welfare </w:t>
      </w:r>
      <w:r w:rsidR="0035614A">
        <w:rPr>
          <w:sz w:val="28"/>
          <w:szCs w:val="28"/>
          <w:lang w:val="en-GB"/>
        </w:rPr>
        <w:t>entitlements</w:t>
      </w:r>
      <w:r w:rsidR="008225B8" w:rsidRPr="004648FA">
        <w:rPr>
          <w:sz w:val="28"/>
          <w:szCs w:val="28"/>
          <w:lang w:val="en-GB"/>
        </w:rPr>
        <w:t xml:space="preserve"> </w:t>
      </w:r>
      <w:r w:rsidR="00AA03EF">
        <w:rPr>
          <w:sz w:val="28"/>
          <w:szCs w:val="28"/>
          <w:lang w:val="en-GB"/>
        </w:rPr>
        <w:t>that were known or suspected to be discriminatory in nature</w:t>
      </w:r>
      <w:r w:rsidR="008225B8" w:rsidRPr="004648FA">
        <w:rPr>
          <w:sz w:val="28"/>
          <w:szCs w:val="28"/>
          <w:lang w:val="en-GB"/>
        </w:rPr>
        <w:t>.</w:t>
      </w:r>
      <w:r w:rsidR="00AA03EF">
        <w:rPr>
          <w:sz w:val="28"/>
          <w:szCs w:val="28"/>
          <w:lang w:val="en-GB"/>
        </w:rPr>
        <w:t xml:space="preserve">  </w:t>
      </w:r>
      <w:r w:rsidR="00AA03EF" w:rsidRPr="00AA03EF">
        <w:rPr>
          <w:sz w:val="28"/>
          <w:szCs w:val="28"/>
          <w:lang w:val="en-GB"/>
        </w:rPr>
        <w:t xml:space="preserve">In particular, it should be noted that back when the Basic Law was </w:t>
      </w:r>
      <w:r w:rsidR="00142AF7">
        <w:rPr>
          <w:sz w:val="28"/>
          <w:szCs w:val="28"/>
          <w:lang w:val="en-GB"/>
        </w:rPr>
        <w:t xml:space="preserve">drafted in the 1980s or </w:t>
      </w:r>
      <w:r w:rsidR="00AA03EF" w:rsidRPr="00AA03EF">
        <w:rPr>
          <w:sz w:val="28"/>
          <w:szCs w:val="28"/>
          <w:lang w:val="en-GB"/>
        </w:rPr>
        <w:t>promulgated in 1990</w:t>
      </w:r>
      <w:r w:rsidR="00142AF7">
        <w:rPr>
          <w:sz w:val="28"/>
          <w:szCs w:val="28"/>
          <w:lang w:val="en-GB"/>
        </w:rPr>
        <w:t>,</w:t>
      </w:r>
      <w:r w:rsidR="00AA03EF" w:rsidRPr="00AA03EF">
        <w:rPr>
          <w:sz w:val="28"/>
          <w:szCs w:val="28"/>
          <w:lang w:val="en-GB"/>
        </w:rPr>
        <w:t xml:space="preserve"> the question of same-sex </w:t>
      </w:r>
      <w:r w:rsidR="0035614A">
        <w:rPr>
          <w:sz w:val="28"/>
          <w:szCs w:val="28"/>
          <w:lang w:val="en-GB"/>
        </w:rPr>
        <w:t>individuals</w:t>
      </w:r>
      <w:r w:rsidR="00AA03EF" w:rsidRPr="00AA03EF">
        <w:rPr>
          <w:sz w:val="28"/>
          <w:szCs w:val="28"/>
          <w:lang w:val="en-GB"/>
        </w:rPr>
        <w:t xml:space="preserve"> </w:t>
      </w:r>
      <w:r w:rsidR="00142AF7">
        <w:rPr>
          <w:sz w:val="28"/>
          <w:szCs w:val="28"/>
          <w:lang w:val="en-GB"/>
        </w:rPr>
        <w:t xml:space="preserve">getting married </w:t>
      </w:r>
      <w:r w:rsidR="00AA03EF" w:rsidRPr="00AA03EF">
        <w:rPr>
          <w:sz w:val="28"/>
          <w:szCs w:val="28"/>
          <w:lang w:val="en-GB"/>
        </w:rPr>
        <w:t xml:space="preserve">overseas </w:t>
      </w:r>
      <w:r w:rsidR="00142AF7">
        <w:rPr>
          <w:sz w:val="28"/>
          <w:szCs w:val="28"/>
          <w:lang w:val="en-GB"/>
        </w:rPr>
        <w:t xml:space="preserve">or their </w:t>
      </w:r>
      <w:r w:rsidR="00AA03EF" w:rsidRPr="00AA03EF">
        <w:rPr>
          <w:sz w:val="28"/>
          <w:szCs w:val="28"/>
          <w:lang w:val="en-GB"/>
        </w:rPr>
        <w:t xml:space="preserve">applying for PRH units or HOS flats </w:t>
      </w:r>
      <w:r w:rsidR="0035614A">
        <w:rPr>
          <w:sz w:val="28"/>
          <w:szCs w:val="28"/>
          <w:lang w:val="en-GB"/>
        </w:rPr>
        <w:t xml:space="preserve">as couples </w:t>
      </w:r>
      <w:r w:rsidR="00142AF7">
        <w:rPr>
          <w:sz w:val="28"/>
          <w:szCs w:val="28"/>
          <w:lang w:val="en-GB"/>
        </w:rPr>
        <w:t xml:space="preserve">was </w:t>
      </w:r>
      <w:r w:rsidR="00AA03EF" w:rsidRPr="00AA03EF">
        <w:rPr>
          <w:sz w:val="28"/>
          <w:szCs w:val="28"/>
          <w:lang w:val="en-GB"/>
        </w:rPr>
        <w:t xml:space="preserve">simply </w:t>
      </w:r>
      <w:r w:rsidR="00142AF7">
        <w:rPr>
          <w:sz w:val="28"/>
          <w:szCs w:val="28"/>
          <w:lang w:val="en-GB"/>
        </w:rPr>
        <w:t>non-existent</w:t>
      </w:r>
      <w:r w:rsidR="00AA03EF" w:rsidRPr="00AA03EF">
        <w:rPr>
          <w:sz w:val="28"/>
          <w:szCs w:val="28"/>
          <w:lang w:val="en-GB"/>
        </w:rPr>
        <w:t>.  There was the</w:t>
      </w:r>
      <w:r w:rsidR="00635D71">
        <w:rPr>
          <w:sz w:val="28"/>
          <w:szCs w:val="28"/>
          <w:lang w:val="en-GB"/>
        </w:rPr>
        <w:t>n</w:t>
      </w:r>
      <w:r w:rsidR="00AA03EF" w:rsidRPr="00AA03EF">
        <w:rPr>
          <w:sz w:val="28"/>
          <w:szCs w:val="28"/>
          <w:lang w:val="en-GB"/>
        </w:rPr>
        <w:t xml:space="preserve"> no question of </w:t>
      </w:r>
      <w:r w:rsidR="00907D17">
        <w:rPr>
          <w:sz w:val="28"/>
          <w:szCs w:val="28"/>
          <w:lang w:val="en-GB"/>
        </w:rPr>
        <w:t xml:space="preserve">thinking that </w:t>
      </w:r>
      <w:r w:rsidR="00AA03EF">
        <w:rPr>
          <w:sz w:val="28"/>
          <w:szCs w:val="28"/>
          <w:lang w:val="en-GB"/>
        </w:rPr>
        <w:t xml:space="preserve">the </w:t>
      </w:r>
      <w:r w:rsidR="00907D17">
        <w:rPr>
          <w:sz w:val="28"/>
          <w:szCs w:val="28"/>
          <w:lang w:val="en-GB"/>
        </w:rPr>
        <w:t xml:space="preserve">now </w:t>
      </w:r>
      <w:r w:rsidR="00832AFD">
        <w:rPr>
          <w:sz w:val="28"/>
          <w:szCs w:val="28"/>
          <w:lang w:val="en-GB"/>
        </w:rPr>
        <w:t>challenged</w:t>
      </w:r>
      <w:r w:rsidR="00AA03EF">
        <w:rPr>
          <w:sz w:val="28"/>
          <w:szCs w:val="28"/>
          <w:lang w:val="en-GB"/>
        </w:rPr>
        <w:t xml:space="preserve"> </w:t>
      </w:r>
      <w:r w:rsidR="00907D17">
        <w:rPr>
          <w:sz w:val="28"/>
          <w:szCs w:val="28"/>
          <w:lang w:val="en-GB"/>
        </w:rPr>
        <w:t>policies</w:t>
      </w:r>
      <w:r w:rsidR="00AA03EF">
        <w:rPr>
          <w:sz w:val="28"/>
          <w:szCs w:val="28"/>
          <w:lang w:val="en-GB"/>
        </w:rPr>
        <w:t xml:space="preserve"> </w:t>
      </w:r>
      <w:r w:rsidR="00907D17">
        <w:rPr>
          <w:sz w:val="28"/>
          <w:szCs w:val="28"/>
          <w:lang w:val="en-GB"/>
        </w:rPr>
        <w:t xml:space="preserve">might be </w:t>
      </w:r>
      <w:r w:rsidR="00AA03EF">
        <w:rPr>
          <w:sz w:val="28"/>
          <w:szCs w:val="28"/>
          <w:lang w:val="en-GB"/>
        </w:rPr>
        <w:t>discriminatory at all.</w:t>
      </w:r>
      <w:r w:rsidR="00832AFD">
        <w:rPr>
          <w:sz w:val="28"/>
          <w:szCs w:val="28"/>
          <w:lang w:val="en-GB"/>
        </w:rPr>
        <w:t xml:space="preserve">  </w:t>
      </w:r>
      <w:r w:rsidR="007A4006">
        <w:rPr>
          <w:sz w:val="28"/>
          <w:szCs w:val="28"/>
          <w:lang w:val="en-GB"/>
        </w:rPr>
        <w:t xml:space="preserve">It is true that </w:t>
      </w:r>
      <w:r w:rsidR="00AA03EF">
        <w:rPr>
          <w:sz w:val="28"/>
          <w:szCs w:val="28"/>
          <w:lang w:val="en-GB"/>
        </w:rPr>
        <w:t>with the adv</w:t>
      </w:r>
      <w:r w:rsidR="000C3FEC">
        <w:rPr>
          <w:sz w:val="28"/>
          <w:szCs w:val="28"/>
          <w:lang w:val="en-GB"/>
        </w:rPr>
        <w:t>ance</w:t>
      </w:r>
      <w:r w:rsidR="00AA03EF">
        <w:rPr>
          <w:sz w:val="28"/>
          <w:szCs w:val="28"/>
          <w:lang w:val="en-GB"/>
        </w:rPr>
        <w:t xml:space="preserve"> of human rights law and the availability of same-sex marriages in many overseas jurisdictions </w:t>
      </w:r>
      <w:r w:rsidR="00286ED0">
        <w:rPr>
          <w:sz w:val="28"/>
          <w:szCs w:val="28"/>
          <w:lang w:val="en-GB"/>
        </w:rPr>
        <w:t>in recent years</w:t>
      </w:r>
      <w:r w:rsidR="00832AFD">
        <w:rPr>
          <w:sz w:val="28"/>
          <w:szCs w:val="28"/>
          <w:lang w:val="en-GB"/>
        </w:rPr>
        <w:t>,</w:t>
      </w:r>
      <w:r w:rsidR="00AA03EF">
        <w:rPr>
          <w:sz w:val="28"/>
          <w:szCs w:val="28"/>
          <w:lang w:val="en-GB"/>
        </w:rPr>
        <w:t xml:space="preserve"> </w:t>
      </w:r>
      <w:r w:rsidR="007E2793">
        <w:rPr>
          <w:sz w:val="28"/>
          <w:szCs w:val="28"/>
          <w:lang w:val="en-GB"/>
        </w:rPr>
        <w:t xml:space="preserve">doubts </w:t>
      </w:r>
      <w:r w:rsidR="007A4006">
        <w:rPr>
          <w:sz w:val="28"/>
          <w:szCs w:val="28"/>
          <w:lang w:val="en-GB"/>
        </w:rPr>
        <w:t xml:space="preserve">have </w:t>
      </w:r>
      <w:r w:rsidR="007E2793">
        <w:rPr>
          <w:sz w:val="28"/>
          <w:szCs w:val="28"/>
          <w:lang w:val="en-GB"/>
        </w:rPr>
        <w:t>now arise</w:t>
      </w:r>
      <w:r w:rsidR="007A4006">
        <w:rPr>
          <w:sz w:val="28"/>
          <w:szCs w:val="28"/>
          <w:lang w:val="en-GB"/>
        </w:rPr>
        <w:t>n</w:t>
      </w:r>
      <w:r w:rsidR="007E2793">
        <w:rPr>
          <w:sz w:val="28"/>
          <w:szCs w:val="28"/>
          <w:lang w:val="en-GB"/>
        </w:rPr>
        <w:t xml:space="preserve"> regarding</w:t>
      </w:r>
      <w:r w:rsidR="00AA03EF">
        <w:rPr>
          <w:sz w:val="28"/>
          <w:szCs w:val="28"/>
          <w:lang w:val="en-GB"/>
        </w:rPr>
        <w:t xml:space="preserve"> whether the </w:t>
      </w:r>
      <w:r w:rsidR="007A4006">
        <w:rPr>
          <w:sz w:val="28"/>
          <w:szCs w:val="28"/>
          <w:lang w:val="en-GB"/>
        </w:rPr>
        <w:t>subject policies</w:t>
      </w:r>
      <w:r w:rsidR="00AA03EF">
        <w:rPr>
          <w:sz w:val="28"/>
          <w:szCs w:val="28"/>
          <w:lang w:val="en-GB"/>
        </w:rPr>
        <w:t xml:space="preserve"> discriminate </w:t>
      </w:r>
      <w:r w:rsidR="00832AFD">
        <w:rPr>
          <w:sz w:val="28"/>
          <w:szCs w:val="28"/>
          <w:lang w:val="en-GB"/>
        </w:rPr>
        <w:t>against</w:t>
      </w:r>
      <w:r w:rsidR="00AA03EF">
        <w:rPr>
          <w:sz w:val="28"/>
          <w:szCs w:val="28"/>
          <w:lang w:val="en-GB"/>
        </w:rPr>
        <w:t xml:space="preserve"> </w:t>
      </w:r>
      <w:r w:rsidR="00635D71">
        <w:rPr>
          <w:sz w:val="28"/>
          <w:szCs w:val="28"/>
          <w:lang w:val="en-GB"/>
        </w:rPr>
        <w:t>same-sex married couples</w:t>
      </w:r>
      <w:r w:rsidR="007A4006">
        <w:rPr>
          <w:sz w:val="28"/>
          <w:szCs w:val="28"/>
          <w:lang w:val="en-GB"/>
        </w:rPr>
        <w:t>.  However, this fact provides</w:t>
      </w:r>
      <w:r w:rsidR="00AA03EF">
        <w:rPr>
          <w:sz w:val="28"/>
          <w:szCs w:val="28"/>
          <w:lang w:val="en-GB"/>
        </w:rPr>
        <w:t xml:space="preserve"> no </w:t>
      </w:r>
      <w:r w:rsidR="007A4006">
        <w:rPr>
          <w:sz w:val="28"/>
          <w:szCs w:val="28"/>
          <w:lang w:val="en-GB"/>
        </w:rPr>
        <w:t>support</w:t>
      </w:r>
      <w:r w:rsidR="00AA03EF">
        <w:rPr>
          <w:sz w:val="28"/>
          <w:szCs w:val="28"/>
          <w:lang w:val="en-GB"/>
        </w:rPr>
        <w:t xml:space="preserve"> for </w:t>
      </w:r>
      <w:r w:rsidR="00635D71">
        <w:rPr>
          <w:sz w:val="28"/>
          <w:szCs w:val="28"/>
          <w:lang w:val="en-GB"/>
        </w:rPr>
        <w:t>suggesting</w:t>
      </w:r>
      <w:r w:rsidR="00AA03EF">
        <w:rPr>
          <w:sz w:val="28"/>
          <w:szCs w:val="28"/>
          <w:lang w:val="en-GB"/>
        </w:rPr>
        <w:t xml:space="preserve"> that</w:t>
      </w:r>
      <w:r w:rsidR="00832AFD">
        <w:rPr>
          <w:sz w:val="28"/>
          <w:szCs w:val="28"/>
          <w:lang w:val="en-GB"/>
        </w:rPr>
        <w:t xml:space="preserve"> the drafting intention </w:t>
      </w:r>
      <w:r w:rsidR="007A4006">
        <w:rPr>
          <w:sz w:val="28"/>
          <w:szCs w:val="28"/>
          <w:lang w:val="en-GB"/>
        </w:rPr>
        <w:t>of</w:t>
      </w:r>
      <w:r w:rsidR="00832AFD">
        <w:rPr>
          <w:sz w:val="28"/>
          <w:szCs w:val="28"/>
          <w:lang w:val="en-GB"/>
        </w:rPr>
        <w:t xml:space="preserve"> BL36 was to preserve social welfare </w:t>
      </w:r>
      <w:r w:rsidR="00635D71">
        <w:rPr>
          <w:sz w:val="28"/>
          <w:szCs w:val="28"/>
          <w:lang w:val="en-GB"/>
        </w:rPr>
        <w:t xml:space="preserve">entitlements </w:t>
      </w:r>
      <w:r w:rsidR="00832AFD">
        <w:rPr>
          <w:sz w:val="28"/>
          <w:szCs w:val="28"/>
          <w:lang w:val="en-GB"/>
        </w:rPr>
        <w:t xml:space="preserve">even if they were or </w:t>
      </w:r>
      <w:proofErr w:type="gramStart"/>
      <w:r w:rsidR="00832AFD">
        <w:rPr>
          <w:sz w:val="28"/>
          <w:szCs w:val="28"/>
          <w:lang w:val="en-GB"/>
        </w:rPr>
        <w:t>were subsequently found</w:t>
      </w:r>
      <w:proofErr w:type="gramEnd"/>
      <w:r w:rsidR="00832AFD">
        <w:rPr>
          <w:sz w:val="28"/>
          <w:szCs w:val="28"/>
          <w:lang w:val="en-GB"/>
        </w:rPr>
        <w:t xml:space="preserve"> to be discriminatory, despite the equality provisions in </w:t>
      </w:r>
      <w:r w:rsidR="00150ECF">
        <w:rPr>
          <w:sz w:val="28"/>
          <w:szCs w:val="28"/>
          <w:lang w:val="en-GB"/>
        </w:rPr>
        <w:t>BL25 and BOR22</w:t>
      </w:r>
      <w:r w:rsidR="00832AFD">
        <w:rPr>
          <w:sz w:val="28"/>
          <w:szCs w:val="28"/>
          <w:lang w:val="en-GB"/>
        </w:rPr>
        <w:t>.</w:t>
      </w:r>
    </w:p>
    <w:p w:rsidR="00635D71" w:rsidRDefault="00580EBA"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r w:rsidR="008225B8" w:rsidRPr="004648FA">
        <w:rPr>
          <w:sz w:val="28"/>
          <w:szCs w:val="28"/>
          <w:lang w:val="en-GB"/>
        </w:rPr>
        <w:t xml:space="preserve">Rather, </w:t>
      </w:r>
      <w:r w:rsidR="0086311A" w:rsidRPr="004648FA">
        <w:rPr>
          <w:sz w:val="28"/>
          <w:szCs w:val="28"/>
          <w:lang w:val="en-GB"/>
        </w:rPr>
        <w:t>BL</w:t>
      </w:r>
      <w:r w:rsidR="002B33AF" w:rsidRPr="004648FA">
        <w:rPr>
          <w:sz w:val="28"/>
          <w:szCs w:val="28"/>
          <w:lang w:val="en-GB"/>
        </w:rPr>
        <w:t>25</w:t>
      </w:r>
      <w:r w:rsidR="008225B8" w:rsidRPr="004648FA">
        <w:rPr>
          <w:sz w:val="28"/>
          <w:szCs w:val="28"/>
          <w:lang w:val="en-GB"/>
        </w:rPr>
        <w:t xml:space="preserve">, </w:t>
      </w:r>
      <w:r w:rsidR="0086311A" w:rsidRPr="004648FA">
        <w:rPr>
          <w:sz w:val="28"/>
          <w:szCs w:val="28"/>
          <w:lang w:val="en-GB"/>
        </w:rPr>
        <w:t>BL</w:t>
      </w:r>
      <w:r w:rsidR="002B33AF" w:rsidRPr="004648FA">
        <w:rPr>
          <w:sz w:val="28"/>
          <w:szCs w:val="28"/>
          <w:lang w:val="en-GB"/>
        </w:rPr>
        <w:t>36</w:t>
      </w:r>
      <w:r w:rsidR="008225B8" w:rsidRPr="004648FA">
        <w:rPr>
          <w:sz w:val="28"/>
          <w:szCs w:val="28"/>
          <w:lang w:val="en-GB"/>
        </w:rPr>
        <w:t xml:space="preserve">, and </w:t>
      </w:r>
      <w:r w:rsidR="0086311A" w:rsidRPr="004648FA">
        <w:rPr>
          <w:sz w:val="28"/>
          <w:szCs w:val="28"/>
          <w:lang w:val="en-GB"/>
        </w:rPr>
        <w:t>BL</w:t>
      </w:r>
      <w:r w:rsidR="002B33AF" w:rsidRPr="004648FA">
        <w:rPr>
          <w:sz w:val="28"/>
          <w:szCs w:val="28"/>
          <w:lang w:val="en-GB"/>
        </w:rPr>
        <w:t>145</w:t>
      </w:r>
      <w:r w:rsidR="008225B8" w:rsidRPr="004648FA">
        <w:rPr>
          <w:sz w:val="28"/>
          <w:szCs w:val="28"/>
          <w:lang w:val="en-GB"/>
        </w:rPr>
        <w:t xml:space="preserve"> </w:t>
      </w:r>
      <w:r w:rsidR="000E49B5">
        <w:rPr>
          <w:sz w:val="28"/>
          <w:szCs w:val="28"/>
          <w:lang w:val="en-GB"/>
        </w:rPr>
        <w:t xml:space="preserve">(as well as BOR22) </w:t>
      </w:r>
      <w:r w:rsidR="008225B8" w:rsidRPr="004648FA">
        <w:rPr>
          <w:sz w:val="28"/>
          <w:szCs w:val="28"/>
          <w:lang w:val="en-GB"/>
        </w:rPr>
        <w:t xml:space="preserve">can </w:t>
      </w:r>
      <w:r w:rsidR="00832AFD">
        <w:rPr>
          <w:sz w:val="28"/>
          <w:szCs w:val="28"/>
          <w:lang w:val="en-GB"/>
        </w:rPr>
        <w:t xml:space="preserve">and </w:t>
      </w:r>
      <w:proofErr w:type="gramStart"/>
      <w:r w:rsidR="00832AFD">
        <w:rPr>
          <w:sz w:val="28"/>
          <w:szCs w:val="28"/>
          <w:lang w:val="en-GB"/>
        </w:rPr>
        <w:t xml:space="preserve">should </w:t>
      </w:r>
      <w:r w:rsidR="008225B8" w:rsidRPr="004648FA">
        <w:rPr>
          <w:sz w:val="28"/>
          <w:szCs w:val="28"/>
          <w:lang w:val="en-GB"/>
        </w:rPr>
        <w:t>be read</w:t>
      </w:r>
      <w:proofErr w:type="gramEnd"/>
      <w:r w:rsidR="008225B8" w:rsidRPr="004648FA">
        <w:rPr>
          <w:sz w:val="28"/>
          <w:szCs w:val="28"/>
          <w:lang w:val="en-GB"/>
        </w:rPr>
        <w:t xml:space="preserve"> consistently to mean that pre-</w:t>
      </w:r>
      <w:r w:rsidR="00150ECF">
        <w:rPr>
          <w:sz w:val="28"/>
          <w:szCs w:val="28"/>
          <w:lang w:val="en-GB"/>
        </w:rPr>
        <w:t>1997</w:t>
      </w:r>
      <w:r w:rsidR="008225B8" w:rsidRPr="004648FA">
        <w:rPr>
          <w:sz w:val="28"/>
          <w:szCs w:val="28"/>
          <w:lang w:val="en-GB"/>
        </w:rPr>
        <w:t xml:space="preserve"> social welfare </w:t>
      </w:r>
      <w:r w:rsidR="00150ECF">
        <w:rPr>
          <w:sz w:val="28"/>
          <w:szCs w:val="28"/>
          <w:lang w:val="en-GB"/>
        </w:rPr>
        <w:t>benefits and entitlements</w:t>
      </w:r>
      <w:r w:rsidR="008225B8" w:rsidRPr="004648FA">
        <w:rPr>
          <w:sz w:val="28"/>
          <w:szCs w:val="28"/>
          <w:lang w:val="en-GB"/>
        </w:rPr>
        <w:t xml:space="preserve"> are entrenched rights that are subject to improvement and </w:t>
      </w:r>
      <w:r w:rsidR="008225B8" w:rsidRPr="004648FA">
        <w:rPr>
          <w:sz w:val="28"/>
          <w:szCs w:val="28"/>
          <w:lang w:val="en-GB"/>
        </w:rPr>
        <w:lastRenderedPageBreak/>
        <w:t xml:space="preserve">development pursuant to </w:t>
      </w:r>
      <w:r w:rsidR="0086311A" w:rsidRPr="004648FA">
        <w:rPr>
          <w:sz w:val="28"/>
          <w:szCs w:val="28"/>
          <w:lang w:val="en-GB"/>
        </w:rPr>
        <w:t>BL145</w:t>
      </w:r>
      <w:r w:rsidR="008225B8" w:rsidRPr="004648FA">
        <w:rPr>
          <w:sz w:val="28"/>
          <w:szCs w:val="28"/>
          <w:lang w:val="en-GB"/>
        </w:rPr>
        <w:t xml:space="preserve">, as well as </w:t>
      </w:r>
      <w:r w:rsidR="00635D71">
        <w:rPr>
          <w:sz w:val="28"/>
          <w:szCs w:val="28"/>
          <w:lang w:val="en-GB"/>
        </w:rPr>
        <w:t xml:space="preserve">judicial </w:t>
      </w:r>
      <w:r w:rsidR="008225B8" w:rsidRPr="004648FA">
        <w:rPr>
          <w:sz w:val="28"/>
          <w:szCs w:val="28"/>
          <w:lang w:val="en-GB"/>
        </w:rPr>
        <w:t xml:space="preserve">scrutiny under </w:t>
      </w:r>
      <w:r w:rsidR="0086311A" w:rsidRPr="004648FA">
        <w:rPr>
          <w:sz w:val="28"/>
          <w:szCs w:val="28"/>
          <w:lang w:val="en-GB"/>
        </w:rPr>
        <w:t>BL25</w:t>
      </w:r>
      <w:r w:rsidR="008225B8" w:rsidRPr="004648FA">
        <w:rPr>
          <w:sz w:val="28"/>
          <w:szCs w:val="28"/>
          <w:lang w:val="en-GB"/>
        </w:rPr>
        <w:t xml:space="preserve"> and </w:t>
      </w:r>
      <w:r w:rsidR="0086311A" w:rsidRPr="004648FA">
        <w:rPr>
          <w:sz w:val="28"/>
          <w:szCs w:val="28"/>
          <w:lang w:val="en-GB"/>
        </w:rPr>
        <w:t>BOR22</w:t>
      </w:r>
      <w:r w:rsidR="00832AFD">
        <w:rPr>
          <w:sz w:val="28"/>
          <w:szCs w:val="28"/>
          <w:lang w:val="en-GB"/>
        </w:rPr>
        <w:t xml:space="preserve">.  BL36 does not </w:t>
      </w:r>
      <w:r w:rsidR="008C628C">
        <w:rPr>
          <w:sz w:val="28"/>
          <w:szCs w:val="28"/>
          <w:lang w:val="en-GB"/>
        </w:rPr>
        <w:t>insulate</w:t>
      </w:r>
      <w:r w:rsidR="00832AFD">
        <w:rPr>
          <w:sz w:val="28"/>
          <w:szCs w:val="28"/>
          <w:lang w:val="en-GB"/>
        </w:rPr>
        <w:t xml:space="preserve"> pre-existing social welfare rights from the </w:t>
      </w:r>
      <w:r w:rsidR="008C628C">
        <w:rPr>
          <w:sz w:val="28"/>
          <w:szCs w:val="28"/>
          <w:lang w:val="en-GB"/>
        </w:rPr>
        <w:t xml:space="preserve">oversight </w:t>
      </w:r>
      <w:r w:rsidR="00832AFD">
        <w:rPr>
          <w:sz w:val="28"/>
          <w:szCs w:val="28"/>
          <w:lang w:val="en-GB"/>
        </w:rPr>
        <w:t>of the equality provisions.</w:t>
      </w:r>
    </w:p>
    <w:p w:rsidR="008225B8" w:rsidRDefault="000E49B5" w:rsidP="0053491D">
      <w:pPr>
        <w:keepNext/>
        <w:snapToGrid w:val="0"/>
        <w:spacing w:after="360" w:line="360" w:lineRule="auto"/>
        <w:jc w:val="both"/>
        <w:rPr>
          <w:b/>
          <w:i/>
          <w:sz w:val="28"/>
          <w:szCs w:val="28"/>
          <w:lang w:val="en-GB"/>
        </w:rPr>
      </w:pPr>
      <w:r w:rsidRPr="000E49B5">
        <w:rPr>
          <w:b/>
          <w:i/>
          <w:sz w:val="28"/>
          <w:szCs w:val="28"/>
          <w:lang w:val="en-GB"/>
        </w:rPr>
        <w:t xml:space="preserve">Nor does </w:t>
      </w:r>
      <w:r w:rsidR="00F710CA" w:rsidRPr="000E49B5">
        <w:rPr>
          <w:b/>
          <w:i/>
          <w:sz w:val="28"/>
          <w:szCs w:val="28"/>
          <w:lang w:val="en-GB"/>
        </w:rPr>
        <w:t>BL37</w:t>
      </w:r>
    </w:p>
    <w:p w:rsidR="002B33AF" w:rsidRPr="004648FA" w:rsidRDefault="00580EBA"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r w:rsidR="008225B8" w:rsidRPr="004648FA">
        <w:rPr>
          <w:sz w:val="28"/>
          <w:szCs w:val="28"/>
          <w:lang w:val="en-GB"/>
        </w:rPr>
        <w:t xml:space="preserve">To a lesser extent, </w:t>
      </w:r>
      <w:r w:rsidR="0086311A" w:rsidRPr="004648FA">
        <w:rPr>
          <w:sz w:val="28"/>
          <w:szCs w:val="28"/>
          <w:lang w:val="en-GB"/>
        </w:rPr>
        <w:t>BL37</w:t>
      </w:r>
      <w:r w:rsidR="008225B8" w:rsidRPr="004648FA">
        <w:rPr>
          <w:sz w:val="28"/>
          <w:szCs w:val="28"/>
          <w:lang w:val="en-GB"/>
        </w:rPr>
        <w:t xml:space="preserve">, guaranteeing the right to heterosexual marriage in Hong Kong, is similarly relied upon by the HA to contend that the </w:t>
      </w:r>
      <w:r w:rsidR="00137906">
        <w:rPr>
          <w:sz w:val="28"/>
          <w:szCs w:val="28"/>
          <w:lang w:val="en-GB"/>
        </w:rPr>
        <w:t>impugned</w:t>
      </w:r>
      <w:r w:rsidR="008225B8" w:rsidRPr="004648FA">
        <w:rPr>
          <w:sz w:val="28"/>
          <w:szCs w:val="28"/>
          <w:lang w:val="en-GB"/>
        </w:rPr>
        <w:t xml:space="preserve"> policies are immune from the equality provisions because they give effect to </w:t>
      </w:r>
      <w:r w:rsidR="0086311A" w:rsidRPr="004648FA">
        <w:rPr>
          <w:sz w:val="28"/>
          <w:szCs w:val="28"/>
          <w:lang w:val="en-GB"/>
        </w:rPr>
        <w:t>BL37</w:t>
      </w:r>
      <w:r w:rsidR="008225B8" w:rsidRPr="004648FA">
        <w:rPr>
          <w:sz w:val="28"/>
          <w:szCs w:val="28"/>
          <w:lang w:val="en-GB"/>
        </w:rPr>
        <w:t>.</w:t>
      </w:r>
      <w:r w:rsidR="005A1A88">
        <w:rPr>
          <w:rStyle w:val="FootnoteReference"/>
          <w:sz w:val="28"/>
          <w:szCs w:val="28"/>
          <w:lang w:val="en-GB"/>
        </w:rPr>
        <w:footnoteReference w:id="104"/>
      </w:r>
    </w:p>
    <w:p w:rsidR="002B33AF" w:rsidRDefault="00580EBA" w:rsidP="006C4390">
      <w:pPr>
        <w:numPr>
          <w:ilvl w:val="0"/>
          <w:numId w:val="4"/>
        </w:numPr>
        <w:snapToGrid w:val="0"/>
        <w:spacing w:after="360" w:line="360" w:lineRule="auto"/>
        <w:ind w:left="0" w:firstLine="0"/>
        <w:jc w:val="both"/>
        <w:rPr>
          <w:sz w:val="28"/>
          <w:szCs w:val="28"/>
          <w:lang w:val="en-GB"/>
        </w:rPr>
      </w:pPr>
      <w:r>
        <w:rPr>
          <w:sz w:val="28"/>
          <w:szCs w:val="28"/>
          <w:lang w:val="en-GB"/>
        </w:rPr>
        <w:tab/>
      </w:r>
      <w:r w:rsidR="008225B8" w:rsidRPr="004648FA">
        <w:rPr>
          <w:sz w:val="28"/>
          <w:szCs w:val="28"/>
          <w:lang w:val="en-GB"/>
        </w:rPr>
        <w:t xml:space="preserve">This argument </w:t>
      </w:r>
      <w:r w:rsidR="00DF7D58">
        <w:rPr>
          <w:sz w:val="28"/>
          <w:szCs w:val="28"/>
          <w:lang w:val="en-GB"/>
        </w:rPr>
        <w:t>can be disposed of shortly.  BL</w:t>
      </w:r>
      <w:r w:rsidR="0086311A" w:rsidRPr="004648FA">
        <w:rPr>
          <w:sz w:val="28"/>
          <w:szCs w:val="28"/>
          <w:lang w:val="en-GB"/>
        </w:rPr>
        <w:t>37</w:t>
      </w:r>
      <w:r w:rsidR="008225B8" w:rsidRPr="004648FA">
        <w:rPr>
          <w:sz w:val="28"/>
          <w:szCs w:val="28"/>
          <w:lang w:val="en-GB"/>
        </w:rPr>
        <w:t xml:space="preserve">, a </w:t>
      </w:r>
      <w:proofErr w:type="spellStart"/>
      <w:r w:rsidR="002B33AF" w:rsidRPr="004648FA">
        <w:rPr>
          <w:i/>
          <w:sz w:val="28"/>
          <w:szCs w:val="28"/>
          <w:lang w:val="en-GB"/>
        </w:rPr>
        <w:t>lex</w:t>
      </w:r>
      <w:proofErr w:type="spellEnd"/>
      <w:r w:rsidR="002B33AF" w:rsidRPr="004648FA">
        <w:rPr>
          <w:i/>
          <w:sz w:val="28"/>
          <w:szCs w:val="28"/>
          <w:lang w:val="en-GB"/>
        </w:rPr>
        <w:t xml:space="preserve"> </w:t>
      </w:r>
      <w:proofErr w:type="spellStart"/>
      <w:r w:rsidR="002B33AF" w:rsidRPr="004648FA">
        <w:rPr>
          <w:i/>
          <w:sz w:val="28"/>
          <w:szCs w:val="28"/>
          <w:lang w:val="en-GB"/>
        </w:rPr>
        <w:t>specialis</w:t>
      </w:r>
      <w:proofErr w:type="spellEnd"/>
      <w:r w:rsidR="008225B8" w:rsidRPr="004648FA">
        <w:rPr>
          <w:sz w:val="28"/>
          <w:szCs w:val="28"/>
          <w:lang w:val="en-GB"/>
        </w:rPr>
        <w:t xml:space="preserve"> in relation to the right to marriage, is a </w:t>
      </w:r>
      <w:r w:rsidR="002B33AF" w:rsidRPr="004648FA">
        <w:rPr>
          <w:sz w:val="28"/>
          <w:szCs w:val="28"/>
          <w:lang w:val="en-GB"/>
        </w:rPr>
        <w:t>constitutional</w:t>
      </w:r>
      <w:r w:rsidR="008225B8" w:rsidRPr="004648FA">
        <w:rPr>
          <w:sz w:val="28"/>
          <w:szCs w:val="28"/>
          <w:lang w:val="en-GB"/>
        </w:rPr>
        <w:t xml:space="preserve"> guarantee to </w:t>
      </w:r>
      <w:r w:rsidR="00137906">
        <w:rPr>
          <w:sz w:val="28"/>
          <w:szCs w:val="28"/>
          <w:lang w:val="en-GB"/>
        </w:rPr>
        <w:t xml:space="preserve">opposite-sex </w:t>
      </w:r>
      <w:r w:rsidR="008225B8" w:rsidRPr="004648FA">
        <w:rPr>
          <w:sz w:val="28"/>
          <w:szCs w:val="28"/>
          <w:lang w:val="en-GB"/>
        </w:rPr>
        <w:t>couples</w:t>
      </w:r>
      <w:r w:rsidR="00137906">
        <w:rPr>
          <w:sz w:val="28"/>
          <w:szCs w:val="28"/>
          <w:lang w:val="en-GB"/>
        </w:rPr>
        <w:t xml:space="preserve">, </w:t>
      </w:r>
      <w:r w:rsidR="008225B8" w:rsidRPr="004648FA">
        <w:rPr>
          <w:sz w:val="28"/>
          <w:szCs w:val="28"/>
          <w:lang w:val="en-GB"/>
        </w:rPr>
        <w:t>and these couples only</w:t>
      </w:r>
      <w:r w:rsidR="00137906">
        <w:rPr>
          <w:sz w:val="28"/>
          <w:szCs w:val="28"/>
          <w:lang w:val="en-GB"/>
        </w:rPr>
        <w:t>,</w:t>
      </w:r>
      <w:r w:rsidR="008225B8" w:rsidRPr="004648FA">
        <w:rPr>
          <w:sz w:val="28"/>
          <w:szCs w:val="28"/>
          <w:lang w:val="en-GB"/>
        </w:rPr>
        <w:t xml:space="preserve"> to the institution of marriage, and thus the status of marriage.</w:t>
      </w:r>
      <w:r w:rsidR="0018264B" w:rsidRPr="004648FA">
        <w:rPr>
          <w:rStyle w:val="FootnoteReference"/>
          <w:sz w:val="28"/>
          <w:szCs w:val="28"/>
          <w:lang w:val="en-GB"/>
        </w:rPr>
        <w:footnoteReference w:id="105"/>
      </w:r>
      <w:r w:rsidR="008225B8" w:rsidRPr="004648FA">
        <w:rPr>
          <w:sz w:val="28"/>
          <w:szCs w:val="28"/>
          <w:lang w:val="en-GB"/>
        </w:rPr>
        <w:t xml:space="preserve"> </w:t>
      </w:r>
      <w:r w:rsidR="005A1A88">
        <w:rPr>
          <w:sz w:val="28"/>
          <w:szCs w:val="28"/>
          <w:lang w:val="en-GB"/>
        </w:rPr>
        <w:t xml:space="preserve"> </w:t>
      </w:r>
      <w:r w:rsidR="00175E13">
        <w:rPr>
          <w:sz w:val="28"/>
          <w:szCs w:val="28"/>
          <w:lang w:val="en-GB"/>
        </w:rPr>
        <w:t>I</w:t>
      </w:r>
      <w:r w:rsidR="008225B8" w:rsidRPr="004648FA">
        <w:rPr>
          <w:sz w:val="28"/>
          <w:szCs w:val="28"/>
          <w:lang w:val="en-GB"/>
        </w:rPr>
        <w:t xml:space="preserve">t is not concerned with legal rights and obligations that are usually </w:t>
      </w:r>
      <w:r w:rsidR="00DF7D58">
        <w:rPr>
          <w:sz w:val="28"/>
          <w:szCs w:val="28"/>
          <w:lang w:val="en-GB"/>
        </w:rPr>
        <w:t>based</w:t>
      </w:r>
      <w:r w:rsidR="00137906">
        <w:rPr>
          <w:sz w:val="28"/>
          <w:szCs w:val="28"/>
          <w:lang w:val="en-GB"/>
        </w:rPr>
        <w:t xml:space="preserve"> on or associated with</w:t>
      </w:r>
      <w:r w:rsidR="00DF7D58">
        <w:rPr>
          <w:sz w:val="28"/>
          <w:szCs w:val="28"/>
          <w:lang w:val="en-GB"/>
        </w:rPr>
        <w:t xml:space="preserve"> </w:t>
      </w:r>
      <w:r w:rsidR="008225B8" w:rsidRPr="004648FA">
        <w:rPr>
          <w:sz w:val="28"/>
          <w:szCs w:val="28"/>
          <w:lang w:val="en-GB"/>
        </w:rPr>
        <w:t>the status of marriage</w:t>
      </w:r>
      <w:r w:rsidR="00DF7D58">
        <w:rPr>
          <w:sz w:val="28"/>
          <w:szCs w:val="28"/>
          <w:lang w:val="en-GB"/>
        </w:rPr>
        <w:t xml:space="preserve"> as such</w:t>
      </w:r>
      <w:r w:rsidR="008225B8" w:rsidRPr="004648FA">
        <w:rPr>
          <w:sz w:val="28"/>
          <w:szCs w:val="28"/>
          <w:lang w:val="en-GB"/>
        </w:rPr>
        <w:t>.</w:t>
      </w:r>
      <w:r w:rsidR="0018264B" w:rsidRPr="004648FA">
        <w:rPr>
          <w:rStyle w:val="FootnoteReference"/>
          <w:sz w:val="28"/>
          <w:szCs w:val="28"/>
          <w:lang w:val="en-GB"/>
        </w:rPr>
        <w:footnoteReference w:id="106"/>
      </w:r>
      <w:r w:rsidR="008225B8" w:rsidRPr="004648FA">
        <w:rPr>
          <w:sz w:val="28"/>
          <w:szCs w:val="28"/>
          <w:lang w:val="en-GB"/>
        </w:rPr>
        <w:t xml:space="preserve"> </w:t>
      </w:r>
      <w:r w:rsidR="005A1A88">
        <w:rPr>
          <w:sz w:val="28"/>
          <w:szCs w:val="28"/>
          <w:lang w:val="en-GB"/>
        </w:rPr>
        <w:t xml:space="preserve"> </w:t>
      </w:r>
      <w:r w:rsidR="008225B8" w:rsidRPr="004648FA">
        <w:rPr>
          <w:sz w:val="28"/>
          <w:szCs w:val="28"/>
          <w:lang w:val="en-GB"/>
        </w:rPr>
        <w:t xml:space="preserve">Entitlements to apply for </w:t>
      </w:r>
      <w:r w:rsidR="00B7602C" w:rsidRPr="004648FA">
        <w:rPr>
          <w:sz w:val="28"/>
          <w:szCs w:val="28"/>
          <w:lang w:val="en-GB"/>
        </w:rPr>
        <w:t>PRH units</w:t>
      </w:r>
      <w:r w:rsidR="008225B8" w:rsidRPr="004648FA">
        <w:rPr>
          <w:sz w:val="28"/>
          <w:szCs w:val="28"/>
          <w:lang w:val="en-GB"/>
        </w:rPr>
        <w:t xml:space="preserve"> and HOS flats are only some of those rights, but</w:t>
      </w:r>
      <w:r w:rsidR="002A440C">
        <w:rPr>
          <w:sz w:val="28"/>
          <w:szCs w:val="28"/>
          <w:lang w:val="en-GB"/>
        </w:rPr>
        <w:t xml:space="preserve"> they</w:t>
      </w:r>
      <w:r w:rsidR="008225B8" w:rsidRPr="004648FA">
        <w:rPr>
          <w:sz w:val="28"/>
          <w:szCs w:val="28"/>
          <w:lang w:val="en-GB"/>
        </w:rPr>
        <w:t xml:space="preserve"> do not go to the status of marriage</w:t>
      </w:r>
      <w:r w:rsidR="00137906">
        <w:rPr>
          <w:sz w:val="28"/>
          <w:szCs w:val="28"/>
          <w:lang w:val="en-GB"/>
        </w:rPr>
        <w:t xml:space="preserve"> itself</w:t>
      </w:r>
      <w:r w:rsidR="007C357E" w:rsidRPr="004648FA">
        <w:rPr>
          <w:sz w:val="28"/>
          <w:szCs w:val="28"/>
          <w:lang w:val="en-GB"/>
        </w:rPr>
        <w:t xml:space="preserve">.  </w:t>
      </w:r>
      <w:r w:rsidR="00A61D1E" w:rsidRPr="004648FA">
        <w:rPr>
          <w:sz w:val="28"/>
          <w:szCs w:val="28"/>
          <w:lang w:val="en-GB"/>
        </w:rPr>
        <w:t>BL</w:t>
      </w:r>
      <w:r w:rsidR="008225B8" w:rsidRPr="004648FA">
        <w:rPr>
          <w:sz w:val="28"/>
          <w:szCs w:val="28"/>
          <w:lang w:val="en-GB"/>
        </w:rPr>
        <w:t xml:space="preserve">37 therefore does not </w:t>
      </w:r>
      <w:r w:rsidR="00DF7D58">
        <w:rPr>
          <w:sz w:val="28"/>
          <w:szCs w:val="28"/>
          <w:lang w:val="en-GB"/>
        </w:rPr>
        <w:t>remove</w:t>
      </w:r>
      <w:r w:rsidR="008225B8" w:rsidRPr="004648FA">
        <w:rPr>
          <w:sz w:val="28"/>
          <w:szCs w:val="28"/>
          <w:lang w:val="en-GB"/>
        </w:rPr>
        <w:t xml:space="preserve"> the </w:t>
      </w:r>
      <w:r w:rsidR="00137906">
        <w:rPr>
          <w:sz w:val="28"/>
          <w:szCs w:val="28"/>
          <w:lang w:val="en-GB"/>
        </w:rPr>
        <w:t>subject</w:t>
      </w:r>
      <w:r w:rsidR="008225B8" w:rsidRPr="004648FA">
        <w:rPr>
          <w:sz w:val="28"/>
          <w:szCs w:val="28"/>
          <w:lang w:val="en-GB"/>
        </w:rPr>
        <w:t xml:space="preserve"> HA policies from </w:t>
      </w:r>
      <w:r w:rsidR="00DF7D58">
        <w:rPr>
          <w:sz w:val="28"/>
          <w:szCs w:val="28"/>
          <w:lang w:val="en-GB"/>
        </w:rPr>
        <w:t xml:space="preserve">the purview of </w:t>
      </w:r>
      <w:r w:rsidR="008225B8" w:rsidRPr="004648FA">
        <w:rPr>
          <w:sz w:val="28"/>
          <w:szCs w:val="28"/>
          <w:lang w:val="en-GB"/>
        </w:rPr>
        <w:t>the equality provisions.</w:t>
      </w:r>
    </w:p>
    <w:p w:rsidR="008225B8" w:rsidRDefault="000E49B5" w:rsidP="006C4390">
      <w:pPr>
        <w:snapToGrid w:val="0"/>
        <w:spacing w:after="360" w:line="360" w:lineRule="auto"/>
        <w:jc w:val="both"/>
        <w:rPr>
          <w:b/>
          <w:i/>
          <w:sz w:val="28"/>
          <w:szCs w:val="28"/>
          <w:lang w:val="en-GB"/>
        </w:rPr>
      </w:pPr>
      <w:r>
        <w:rPr>
          <w:b/>
          <w:i/>
          <w:sz w:val="28"/>
          <w:szCs w:val="28"/>
          <w:lang w:val="en-GB"/>
        </w:rPr>
        <w:lastRenderedPageBreak/>
        <w:t>Comparability of s</w:t>
      </w:r>
      <w:r w:rsidR="00926118" w:rsidRPr="004648FA">
        <w:rPr>
          <w:b/>
          <w:i/>
          <w:sz w:val="28"/>
          <w:szCs w:val="28"/>
          <w:lang w:val="en-GB"/>
        </w:rPr>
        <w:t xml:space="preserve">ame-sex </w:t>
      </w:r>
      <w:r w:rsidR="0011373D" w:rsidRPr="004648FA">
        <w:rPr>
          <w:b/>
          <w:i/>
          <w:sz w:val="28"/>
          <w:szCs w:val="28"/>
          <w:lang w:val="en-GB"/>
        </w:rPr>
        <w:t>and</w:t>
      </w:r>
      <w:r w:rsidR="00926118" w:rsidRPr="004648FA">
        <w:rPr>
          <w:b/>
          <w:i/>
          <w:sz w:val="28"/>
          <w:szCs w:val="28"/>
          <w:lang w:val="en-GB"/>
        </w:rPr>
        <w:t xml:space="preserve"> opposite-sex</w:t>
      </w:r>
      <w:r w:rsidR="00E23492">
        <w:rPr>
          <w:b/>
          <w:i/>
          <w:sz w:val="28"/>
          <w:szCs w:val="28"/>
          <w:lang w:val="en-GB"/>
        </w:rPr>
        <w:t xml:space="preserve"> married</w:t>
      </w:r>
      <w:r w:rsidR="00926118" w:rsidRPr="004648FA">
        <w:rPr>
          <w:b/>
          <w:i/>
          <w:sz w:val="28"/>
          <w:szCs w:val="28"/>
          <w:lang w:val="en-GB"/>
        </w:rPr>
        <w:t xml:space="preserve"> couples</w:t>
      </w:r>
      <w:r>
        <w:rPr>
          <w:b/>
          <w:i/>
          <w:sz w:val="28"/>
          <w:szCs w:val="28"/>
          <w:lang w:val="en-GB"/>
        </w:rPr>
        <w:t xml:space="preserve"> (Question 3)</w:t>
      </w:r>
      <w:r>
        <w:rPr>
          <w:rStyle w:val="FootnoteReference"/>
          <w:b/>
          <w:i/>
          <w:sz w:val="28"/>
          <w:szCs w:val="28"/>
          <w:lang w:val="en-GB"/>
        </w:rPr>
        <w:footnoteReference w:id="107"/>
      </w:r>
    </w:p>
    <w:p w:rsidR="002B33AF" w:rsidRPr="004648FA" w:rsidRDefault="00F76CE4"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r w:rsidR="00272191">
        <w:rPr>
          <w:sz w:val="28"/>
          <w:szCs w:val="28"/>
          <w:lang w:val="en-GB"/>
        </w:rPr>
        <w:t xml:space="preserve">Accordingly, </w:t>
      </w:r>
      <w:r w:rsidR="006003FC">
        <w:rPr>
          <w:sz w:val="28"/>
          <w:szCs w:val="28"/>
          <w:lang w:val="en-GB"/>
        </w:rPr>
        <w:t>I</w:t>
      </w:r>
      <w:r w:rsidR="003F46C4">
        <w:rPr>
          <w:sz w:val="28"/>
          <w:szCs w:val="28"/>
          <w:lang w:val="en-GB"/>
        </w:rPr>
        <w:t xml:space="preserve"> turn to </w:t>
      </w:r>
      <w:r w:rsidR="008225B8" w:rsidRPr="004648FA">
        <w:rPr>
          <w:sz w:val="28"/>
          <w:szCs w:val="28"/>
          <w:lang w:val="en-GB"/>
        </w:rPr>
        <w:t>the next issue that divides the parties</w:t>
      </w:r>
      <w:r w:rsidR="003F46C4">
        <w:rPr>
          <w:sz w:val="28"/>
          <w:szCs w:val="28"/>
          <w:lang w:val="en-GB"/>
        </w:rPr>
        <w:t xml:space="preserve">, namely </w:t>
      </w:r>
      <w:r w:rsidR="008225B8" w:rsidRPr="004648FA">
        <w:rPr>
          <w:sz w:val="28"/>
          <w:szCs w:val="28"/>
          <w:lang w:val="en-GB"/>
        </w:rPr>
        <w:t>whether same-sex couples who are married overseas are comparable to heterosexual married couples</w:t>
      </w:r>
      <w:r w:rsidR="007C357E" w:rsidRPr="004648FA">
        <w:rPr>
          <w:sz w:val="28"/>
          <w:szCs w:val="28"/>
          <w:lang w:val="en-GB"/>
        </w:rPr>
        <w:t>.</w:t>
      </w:r>
      <w:r w:rsidR="007E294A">
        <w:rPr>
          <w:rStyle w:val="FootnoteReference"/>
          <w:sz w:val="28"/>
          <w:szCs w:val="28"/>
          <w:lang w:val="en-GB"/>
        </w:rPr>
        <w:footnoteReference w:id="108"/>
      </w:r>
      <w:r w:rsidR="007C357E" w:rsidRPr="004648FA">
        <w:rPr>
          <w:sz w:val="28"/>
          <w:szCs w:val="28"/>
          <w:lang w:val="en-GB"/>
        </w:rPr>
        <w:t xml:space="preserve">  </w:t>
      </w:r>
      <w:r w:rsidR="008225B8" w:rsidRPr="004648FA">
        <w:rPr>
          <w:sz w:val="28"/>
          <w:szCs w:val="28"/>
          <w:lang w:val="en-GB"/>
        </w:rPr>
        <w:t xml:space="preserve">The equality provisions </w:t>
      </w:r>
      <w:proofErr w:type="gramStart"/>
      <w:r w:rsidR="008225B8" w:rsidRPr="004648FA">
        <w:rPr>
          <w:sz w:val="28"/>
          <w:szCs w:val="28"/>
          <w:lang w:val="en-GB"/>
        </w:rPr>
        <w:t>are only engaged</w:t>
      </w:r>
      <w:proofErr w:type="gramEnd"/>
      <w:r w:rsidR="008225B8" w:rsidRPr="004648FA">
        <w:rPr>
          <w:sz w:val="28"/>
          <w:szCs w:val="28"/>
          <w:lang w:val="en-GB"/>
        </w:rPr>
        <w:t xml:space="preserve"> if they are so comparable in the context of applications for PRH units and HOS flats.</w:t>
      </w:r>
    </w:p>
    <w:p w:rsidR="002B33AF" w:rsidRPr="004648FA" w:rsidRDefault="00F76CE4" w:rsidP="006C4390">
      <w:pPr>
        <w:numPr>
          <w:ilvl w:val="0"/>
          <w:numId w:val="4"/>
        </w:numPr>
        <w:snapToGrid w:val="0"/>
        <w:spacing w:after="360" w:line="360" w:lineRule="auto"/>
        <w:ind w:left="0" w:firstLine="0"/>
        <w:jc w:val="both"/>
        <w:rPr>
          <w:sz w:val="28"/>
          <w:szCs w:val="28"/>
          <w:lang w:val="en-GB"/>
        </w:rPr>
      </w:pPr>
      <w:r>
        <w:rPr>
          <w:sz w:val="28"/>
          <w:szCs w:val="28"/>
          <w:lang w:val="en-GB"/>
        </w:rPr>
        <w:tab/>
      </w:r>
      <w:r w:rsidR="008225B8" w:rsidRPr="004648FA">
        <w:rPr>
          <w:sz w:val="28"/>
          <w:szCs w:val="28"/>
          <w:lang w:val="en-GB"/>
        </w:rPr>
        <w:t>Comparability is context-dependent.</w:t>
      </w:r>
      <w:r w:rsidR="009F7757" w:rsidRPr="004648FA">
        <w:rPr>
          <w:rStyle w:val="FootnoteReference"/>
          <w:sz w:val="28"/>
          <w:szCs w:val="28"/>
          <w:lang w:val="en-GB"/>
        </w:rPr>
        <w:footnoteReference w:id="109"/>
      </w:r>
      <w:r w:rsidR="008225B8" w:rsidRPr="004648FA">
        <w:rPr>
          <w:sz w:val="28"/>
          <w:szCs w:val="28"/>
          <w:lang w:val="en-GB"/>
        </w:rPr>
        <w:t xml:space="preserve"> Here, one is concerned with the allocation of finite social resources in </w:t>
      </w:r>
      <w:r w:rsidR="007D3BEE">
        <w:rPr>
          <w:sz w:val="28"/>
          <w:szCs w:val="28"/>
          <w:lang w:val="en-GB"/>
        </w:rPr>
        <w:t>the forms of</w:t>
      </w:r>
      <w:r w:rsidR="008225B8" w:rsidRPr="004648FA">
        <w:rPr>
          <w:sz w:val="28"/>
          <w:szCs w:val="28"/>
          <w:lang w:val="en-GB"/>
        </w:rPr>
        <w:t xml:space="preserve"> public housing and subsidised home ownership</w:t>
      </w:r>
      <w:r w:rsidR="007C357E" w:rsidRPr="004648FA">
        <w:rPr>
          <w:sz w:val="28"/>
          <w:szCs w:val="28"/>
          <w:lang w:val="en-GB"/>
        </w:rPr>
        <w:t xml:space="preserve">.  </w:t>
      </w:r>
      <w:r w:rsidR="008225B8" w:rsidRPr="004648FA">
        <w:rPr>
          <w:sz w:val="28"/>
          <w:szCs w:val="28"/>
          <w:lang w:val="en-GB"/>
        </w:rPr>
        <w:t xml:space="preserve">The HA argues that opposite-sex </w:t>
      </w:r>
      <w:r w:rsidR="007D3BEE">
        <w:rPr>
          <w:sz w:val="28"/>
          <w:szCs w:val="28"/>
          <w:lang w:val="en-GB"/>
        </w:rPr>
        <w:t xml:space="preserve">married </w:t>
      </w:r>
      <w:r w:rsidR="008225B8" w:rsidRPr="004648FA">
        <w:rPr>
          <w:sz w:val="28"/>
          <w:szCs w:val="28"/>
          <w:lang w:val="en-GB"/>
        </w:rPr>
        <w:t xml:space="preserve">couples are not true comparators of same-sex </w:t>
      </w:r>
      <w:r w:rsidR="007D3BEE">
        <w:rPr>
          <w:sz w:val="28"/>
          <w:szCs w:val="28"/>
          <w:lang w:val="en-GB"/>
        </w:rPr>
        <w:t>ones</w:t>
      </w:r>
      <w:r w:rsidR="008225B8" w:rsidRPr="004648FA">
        <w:rPr>
          <w:sz w:val="28"/>
          <w:szCs w:val="28"/>
          <w:lang w:val="en-GB"/>
        </w:rPr>
        <w:t xml:space="preserve"> in the present context because only </w:t>
      </w:r>
      <w:r w:rsidR="00272191">
        <w:rPr>
          <w:sz w:val="28"/>
          <w:szCs w:val="28"/>
          <w:lang w:val="en-GB"/>
        </w:rPr>
        <w:t xml:space="preserve">the former </w:t>
      </w:r>
      <w:r w:rsidR="008225B8" w:rsidRPr="004648FA">
        <w:rPr>
          <w:sz w:val="28"/>
          <w:szCs w:val="28"/>
          <w:lang w:val="en-GB"/>
        </w:rPr>
        <w:t>as a category have “reproductive capacities and procreative potential”, and this “general biological disparity is a clear objective difference which is highly relevant if not decisive”.</w:t>
      </w:r>
      <w:r w:rsidR="009F7757" w:rsidRPr="004648FA">
        <w:rPr>
          <w:rStyle w:val="FootnoteReference"/>
          <w:sz w:val="28"/>
          <w:lang w:val="en-GB"/>
        </w:rPr>
        <w:t xml:space="preserve"> </w:t>
      </w:r>
      <w:r w:rsidR="009F7757" w:rsidRPr="004648FA">
        <w:rPr>
          <w:rStyle w:val="FootnoteReference"/>
          <w:sz w:val="28"/>
          <w:lang w:val="en-GB"/>
        </w:rPr>
        <w:footnoteReference w:id="110"/>
      </w:r>
      <w:r>
        <w:rPr>
          <w:sz w:val="28"/>
          <w:lang w:val="en-GB"/>
        </w:rPr>
        <w:t xml:space="preserve"> </w:t>
      </w:r>
      <w:r w:rsidR="008225B8" w:rsidRPr="004648FA">
        <w:rPr>
          <w:sz w:val="28"/>
          <w:szCs w:val="28"/>
          <w:lang w:val="en-GB"/>
        </w:rPr>
        <w:t xml:space="preserve"> The HA </w:t>
      </w:r>
      <w:r w:rsidR="00272191">
        <w:rPr>
          <w:sz w:val="28"/>
          <w:szCs w:val="28"/>
          <w:lang w:val="en-GB"/>
        </w:rPr>
        <w:t>submits that</w:t>
      </w:r>
      <w:r w:rsidR="008225B8" w:rsidRPr="004648FA">
        <w:rPr>
          <w:sz w:val="28"/>
          <w:szCs w:val="28"/>
          <w:lang w:val="en-GB"/>
        </w:rPr>
        <w:t xml:space="preserve"> </w:t>
      </w:r>
      <w:r w:rsidR="00CD0433">
        <w:rPr>
          <w:sz w:val="28"/>
          <w:szCs w:val="28"/>
          <w:lang w:val="en-GB"/>
        </w:rPr>
        <w:t>its</w:t>
      </w:r>
      <w:r w:rsidR="008225B8" w:rsidRPr="004648FA">
        <w:rPr>
          <w:sz w:val="28"/>
          <w:szCs w:val="28"/>
          <w:lang w:val="en-GB"/>
        </w:rPr>
        <w:t xml:space="preserve"> policies </w:t>
      </w:r>
      <w:r w:rsidR="00CD0433">
        <w:rPr>
          <w:sz w:val="28"/>
          <w:szCs w:val="28"/>
          <w:lang w:val="en-GB"/>
        </w:rPr>
        <w:t>seek</w:t>
      </w:r>
      <w:r w:rsidR="008225B8" w:rsidRPr="004648FA">
        <w:rPr>
          <w:sz w:val="28"/>
          <w:szCs w:val="28"/>
          <w:lang w:val="en-GB"/>
        </w:rPr>
        <w:t xml:space="preserve"> to support broad governmental objectives, and in particular that of promoting population gro</w:t>
      </w:r>
      <w:r w:rsidR="00272191">
        <w:rPr>
          <w:sz w:val="28"/>
          <w:szCs w:val="28"/>
          <w:lang w:val="en-GB"/>
        </w:rPr>
        <w:t>wth through natural procreation.</w:t>
      </w:r>
      <w:r w:rsidR="009F7757" w:rsidRPr="004648FA">
        <w:rPr>
          <w:rStyle w:val="FootnoteReference"/>
          <w:sz w:val="28"/>
          <w:lang w:val="en-GB"/>
        </w:rPr>
        <w:footnoteReference w:id="111"/>
      </w:r>
      <w:r w:rsidR="00F14732">
        <w:rPr>
          <w:sz w:val="28"/>
          <w:szCs w:val="28"/>
          <w:lang w:val="en-GB"/>
        </w:rPr>
        <w:t xml:space="preserve">  F</w:t>
      </w:r>
      <w:r w:rsidR="00272191">
        <w:rPr>
          <w:sz w:val="28"/>
          <w:szCs w:val="28"/>
          <w:lang w:val="en-GB"/>
        </w:rPr>
        <w:t>or this reason</w:t>
      </w:r>
      <w:r w:rsidR="00F14732">
        <w:rPr>
          <w:sz w:val="28"/>
          <w:szCs w:val="28"/>
          <w:lang w:val="en-GB"/>
        </w:rPr>
        <w:t>,</w:t>
      </w:r>
      <w:r w:rsidR="00272191">
        <w:rPr>
          <w:sz w:val="28"/>
          <w:szCs w:val="28"/>
          <w:lang w:val="en-GB"/>
        </w:rPr>
        <w:t xml:space="preserve"> procreative potential constitutes a material distinction.  T</w:t>
      </w:r>
      <w:r w:rsidR="008225B8" w:rsidRPr="004648FA">
        <w:rPr>
          <w:sz w:val="28"/>
          <w:szCs w:val="28"/>
          <w:lang w:val="en-GB"/>
        </w:rPr>
        <w:t>he HA also argues that</w:t>
      </w:r>
      <w:r w:rsidR="00F14732">
        <w:rPr>
          <w:sz w:val="28"/>
          <w:szCs w:val="28"/>
          <w:lang w:val="en-GB"/>
        </w:rPr>
        <w:t xml:space="preserve"> as a policy-maker, </w:t>
      </w:r>
      <w:r w:rsidR="008225B8" w:rsidRPr="004648FA">
        <w:rPr>
          <w:sz w:val="28"/>
          <w:szCs w:val="28"/>
          <w:lang w:val="en-GB"/>
        </w:rPr>
        <w:t>it enjoys a margin of discretion in deciding who is and who is not a true comparator.</w:t>
      </w:r>
      <w:r w:rsidR="009F7757" w:rsidRPr="004648FA">
        <w:rPr>
          <w:rStyle w:val="FootnoteReference"/>
          <w:sz w:val="28"/>
          <w:lang w:val="en-GB"/>
        </w:rPr>
        <w:footnoteReference w:id="112"/>
      </w:r>
    </w:p>
    <w:p w:rsidR="002B33AF" w:rsidRDefault="00F76CE4" w:rsidP="006C4390">
      <w:pPr>
        <w:numPr>
          <w:ilvl w:val="0"/>
          <w:numId w:val="4"/>
        </w:numPr>
        <w:snapToGrid w:val="0"/>
        <w:spacing w:after="360" w:line="360" w:lineRule="auto"/>
        <w:ind w:left="0" w:firstLine="0"/>
        <w:jc w:val="both"/>
        <w:rPr>
          <w:sz w:val="28"/>
          <w:szCs w:val="28"/>
          <w:lang w:val="en-GB"/>
        </w:rPr>
      </w:pPr>
      <w:r>
        <w:rPr>
          <w:sz w:val="28"/>
          <w:szCs w:val="28"/>
          <w:lang w:val="en-GB"/>
        </w:rPr>
        <w:lastRenderedPageBreak/>
        <w:tab/>
      </w:r>
      <w:r w:rsidR="00F14732">
        <w:rPr>
          <w:sz w:val="28"/>
          <w:szCs w:val="28"/>
          <w:lang w:val="en-GB"/>
        </w:rPr>
        <w:t>T</w:t>
      </w:r>
      <w:r w:rsidR="00CD0433">
        <w:rPr>
          <w:sz w:val="28"/>
          <w:szCs w:val="28"/>
          <w:lang w:val="en-GB"/>
        </w:rPr>
        <w:t>he</w:t>
      </w:r>
      <w:r w:rsidR="0031426C">
        <w:rPr>
          <w:sz w:val="28"/>
          <w:szCs w:val="28"/>
          <w:lang w:val="en-GB"/>
        </w:rPr>
        <w:t xml:space="preserve"> Court of Appeal</w:t>
      </w:r>
      <w:r w:rsidR="00CD0433">
        <w:rPr>
          <w:sz w:val="28"/>
          <w:szCs w:val="28"/>
          <w:lang w:val="en-GB"/>
        </w:rPr>
        <w:t xml:space="preserve"> </w:t>
      </w:r>
      <w:r w:rsidR="00F14732">
        <w:rPr>
          <w:sz w:val="28"/>
          <w:szCs w:val="28"/>
          <w:lang w:val="en-GB"/>
        </w:rPr>
        <w:t>reject</w:t>
      </w:r>
      <w:r w:rsidR="000362F7">
        <w:rPr>
          <w:sz w:val="28"/>
          <w:szCs w:val="28"/>
          <w:lang w:val="en-GB"/>
        </w:rPr>
        <w:t>ed</w:t>
      </w:r>
      <w:r w:rsidR="00CD0433">
        <w:rPr>
          <w:sz w:val="28"/>
          <w:szCs w:val="28"/>
          <w:lang w:val="en-GB"/>
        </w:rPr>
        <w:t xml:space="preserve"> these arguments.</w:t>
      </w:r>
      <w:r w:rsidR="00D44484">
        <w:rPr>
          <w:rStyle w:val="FootnoteReference"/>
          <w:sz w:val="28"/>
          <w:szCs w:val="28"/>
          <w:lang w:val="en-GB"/>
        </w:rPr>
        <w:footnoteReference w:id="113"/>
      </w:r>
      <w:r w:rsidR="00F14732">
        <w:rPr>
          <w:sz w:val="28"/>
          <w:szCs w:val="28"/>
          <w:lang w:val="en-GB"/>
        </w:rPr>
        <w:t xml:space="preserve">  </w:t>
      </w:r>
      <w:r w:rsidR="000362F7">
        <w:rPr>
          <w:sz w:val="28"/>
          <w:szCs w:val="28"/>
          <w:lang w:val="en-GB"/>
        </w:rPr>
        <w:t xml:space="preserve">So do </w:t>
      </w:r>
      <w:proofErr w:type="gramStart"/>
      <w:r w:rsidR="000362F7">
        <w:rPr>
          <w:sz w:val="28"/>
          <w:szCs w:val="28"/>
          <w:lang w:val="en-GB"/>
        </w:rPr>
        <w:t>I</w:t>
      </w:r>
      <w:proofErr w:type="gramEnd"/>
      <w:r w:rsidR="000362F7">
        <w:rPr>
          <w:sz w:val="28"/>
          <w:szCs w:val="28"/>
          <w:lang w:val="en-GB"/>
        </w:rPr>
        <w:t xml:space="preserve">.  </w:t>
      </w:r>
      <w:r w:rsidR="008225B8" w:rsidRPr="004648FA">
        <w:rPr>
          <w:sz w:val="28"/>
          <w:szCs w:val="28"/>
          <w:lang w:val="en-GB"/>
        </w:rPr>
        <w:t xml:space="preserve">The case law emanating from this </w:t>
      </w:r>
      <w:r w:rsidR="00B24E0B">
        <w:rPr>
          <w:sz w:val="28"/>
          <w:szCs w:val="28"/>
          <w:lang w:val="en-GB"/>
        </w:rPr>
        <w:t>c</w:t>
      </w:r>
      <w:r w:rsidR="008225B8" w:rsidRPr="004648FA">
        <w:rPr>
          <w:sz w:val="28"/>
          <w:szCs w:val="28"/>
          <w:lang w:val="en-GB"/>
        </w:rPr>
        <w:t>ourt has established that in various contexts, same-sex couples who are lawfully married overseas are in an analogous and comparable position to opposite-sex married couples.</w:t>
      </w:r>
      <w:r w:rsidR="00AA1757" w:rsidRPr="004648FA">
        <w:rPr>
          <w:rStyle w:val="FootnoteReference"/>
          <w:sz w:val="28"/>
          <w:szCs w:val="28"/>
          <w:lang w:val="en-GB"/>
        </w:rPr>
        <w:footnoteReference w:id="114"/>
      </w:r>
      <w:r w:rsidR="008225B8" w:rsidRPr="004648FA">
        <w:rPr>
          <w:sz w:val="28"/>
          <w:szCs w:val="28"/>
          <w:lang w:val="en-GB"/>
        </w:rPr>
        <w:t xml:space="preserve"> </w:t>
      </w:r>
      <w:r>
        <w:rPr>
          <w:sz w:val="28"/>
          <w:szCs w:val="28"/>
          <w:lang w:val="en-GB"/>
        </w:rPr>
        <w:t xml:space="preserve"> </w:t>
      </w:r>
      <w:r w:rsidR="00F50603">
        <w:rPr>
          <w:sz w:val="28"/>
          <w:szCs w:val="28"/>
          <w:lang w:val="en-GB"/>
        </w:rPr>
        <w:t>None of the cases involves recognising</w:t>
      </w:r>
      <w:r w:rsidR="008225B8" w:rsidRPr="004648FA">
        <w:rPr>
          <w:sz w:val="28"/>
          <w:szCs w:val="28"/>
          <w:lang w:val="en-GB"/>
        </w:rPr>
        <w:t xml:space="preserve"> the legal status of a foreign same-sex marriage as such.</w:t>
      </w:r>
      <w:r w:rsidR="00813CF5">
        <w:rPr>
          <w:rStyle w:val="FootnoteReference"/>
          <w:sz w:val="28"/>
          <w:szCs w:val="28"/>
          <w:lang w:val="en-GB"/>
        </w:rPr>
        <w:footnoteReference w:id="115"/>
      </w:r>
      <w:r>
        <w:rPr>
          <w:sz w:val="28"/>
          <w:szCs w:val="28"/>
          <w:lang w:val="en-GB"/>
        </w:rPr>
        <w:t xml:space="preserve"> </w:t>
      </w:r>
      <w:r w:rsidR="008225B8" w:rsidRPr="004648FA">
        <w:rPr>
          <w:sz w:val="28"/>
          <w:szCs w:val="28"/>
          <w:lang w:val="en-GB"/>
        </w:rPr>
        <w:t xml:space="preserve"> </w:t>
      </w:r>
      <w:r w:rsidR="008225B8" w:rsidRPr="002B334F">
        <w:rPr>
          <w:sz w:val="28"/>
          <w:szCs w:val="28"/>
          <w:lang w:val="en-GB"/>
        </w:rPr>
        <w:t xml:space="preserve">Rather, the emphasis on a foreign </w:t>
      </w:r>
      <w:r w:rsidR="007C357E" w:rsidRPr="002B334F">
        <w:rPr>
          <w:sz w:val="28"/>
          <w:szCs w:val="28"/>
          <w:lang w:val="en-GB"/>
        </w:rPr>
        <w:t>marriage that is lawful and valid according to the law of th</w:t>
      </w:r>
      <w:r w:rsidR="007C357E" w:rsidRPr="00B4531E">
        <w:rPr>
          <w:sz w:val="28"/>
          <w:szCs w:val="28"/>
          <w:lang w:val="en-GB"/>
        </w:rPr>
        <w:t xml:space="preserve">e place where the marriage </w:t>
      </w:r>
      <w:proofErr w:type="gramStart"/>
      <w:r w:rsidR="007C357E" w:rsidRPr="00B4531E">
        <w:rPr>
          <w:sz w:val="28"/>
          <w:szCs w:val="28"/>
          <w:lang w:val="en-GB"/>
        </w:rPr>
        <w:t>was celebrated</w:t>
      </w:r>
      <w:proofErr w:type="gramEnd"/>
      <w:r w:rsidR="008225B8" w:rsidRPr="00B4531E">
        <w:rPr>
          <w:sz w:val="28"/>
          <w:szCs w:val="28"/>
          <w:lang w:val="en-GB"/>
        </w:rPr>
        <w:t xml:space="preserve"> </w:t>
      </w:r>
      <w:r w:rsidR="00F50603" w:rsidRPr="00B4531E">
        <w:rPr>
          <w:sz w:val="28"/>
          <w:szCs w:val="28"/>
          <w:lang w:val="en-GB"/>
        </w:rPr>
        <w:t>addresses</w:t>
      </w:r>
      <w:r w:rsidR="008225B8" w:rsidRPr="00B4531E">
        <w:rPr>
          <w:sz w:val="28"/>
          <w:szCs w:val="28"/>
          <w:lang w:val="en-GB"/>
        </w:rPr>
        <w:t xml:space="preserve"> </w:t>
      </w:r>
      <w:r w:rsidR="008225B8" w:rsidRPr="0088037B">
        <w:rPr>
          <w:sz w:val="28"/>
          <w:szCs w:val="28"/>
          <w:lang w:val="en-GB"/>
        </w:rPr>
        <w:t xml:space="preserve">the need to demonstrate that the relationship between the same-sex couple is characterised by publicity and exclusivity – essential characteristics </w:t>
      </w:r>
      <w:r w:rsidR="00F415A9" w:rsidRPr="0088037B">
        <w:rPr>
          <w:sz w:val="28"/>
          <w:szCs w:val="28"/>
          <w:lang w:val="en-GB"/>
        </w:rPr>
        <w:t>that</w:t>
      </w:r>
      <w:r w:rsidR="008225B8" w:rsidRPr="0088037B">
        <w:rPr>
          <w:sz w:val="28"/>
          <w:szCs w:val="28"/>
          <w:lang w:val="en-GB"/>
        </w:rPr>
        <w:t xml:space="preserve"> distinguish a heterosexual marriage</w:t>
      </w:r>
      <w:r w:rsidR="008225B8" w:rsidRPr="004648FA">
        <w:rPr>
          <w:sz w:val="28"/>
          <w:szCs w:val="28"/>
          <w:lang w:val="en-GB"/>
        </w:rPr>
        <w:t>.</w:t>
      </w:r>
      <w:r w:rsidR="00813CF5">
        <w:rPr>
          <w:rStyle w:val="FootnoteReference"/>
          <w:sz w:val="28"/>
          <w:szCs w:val="28"/>
          <w:lang w:val="en-GB"/>
        </w:rPr>
        <w:footnoteReference w:id="116"/>
      </w:r>
      <w:r w:rsidR="00F50603">
        <w:rPr>
          <w:sz w:val="28"/>
          <w:szCs w:val="28"/>
          <w:lang w:val="en-GB"/>
        </w:rPr>
        <w:t xml:space="preserve">  The HA argues that unlike the previous cases, </w:t>
      </w:r>
      <w:r w:rsidR="00F50603" w:rsidRPr="00F50603">
        <w:rPr>
          <w:sz w:val="28"/>
          <w:szCs w:val="28"/>
          <w:lang w:val="en-GB"/>
        </w:rPr>
        <w:t xml:space="preserve">public housing </w:t>
      </w:r>
      <w:r w:rsidR="00F50603">
        <w:rPr>
          <w:sz w:val="28"/>
          <w:szCs w:val="28"/>
          <w:lang w:val="en-GB"/>
        </w:rPr>
        <w:t>and</w:t>
      </w:r>
      <w:r w:rsidR="00F50603" w:rsidRPr="00F50603">
        <w:rPr>
          <w:sz w:val="28"/>
          <w:szCs w:val="28"/>
          <w:lang w:val="en-GB"/>
        </w:rPr>
        <w:t xml:space="preserve"> subsidised home ownership</w:t>
      </w:r>
      <w:r w:rsidR="00F50603">
        <w:rPr>
          <w:sz w:val="28"/>
          <w:szCs w:val="28"/>
          <w:lang w:val="en-GB"/>
        </w:rPr>
        <w:t xml:space="preserve"> constitute a different context in which opposite-sex married couples and same-sex ones are not </w:t>
      </w:r>
      <w:r w:rsidR="00913B26">
        <w:rPr>
          <w:sz w:val="28"/>
          <w:szCs w:val="28"/>
          <w:lang w:val="en-GB"/>
        </w:rPr>
        <w:t xml:space="preserve">truly </w:t>
      </w:r>
      <w:r w:rsidR="00F50603">
        <w:rPr>
          <w:sz w:val="28"/>
          <w:szCs w:val="28"/>
          <w:lang w:val="en-GB"/>
        </w:rPr>
        <w:t>comparable.</w:t>
      </w:r>
      <w:r w:rsidR="00F50603" w:rsidRPr="00F50603">
        <w:rPr>
          <w:sz w:val="28"/>
          <w:szCs w:val="28"/>
          <w:lang w:val="en-GB"/>
        </w:rPr>
        <w:t xml:space="preserve">  </w:t>
      </w:r>
    </w:p>
    <w:p w:rsidR="003D30F3" w:rsidRPr="004648FA" w:rsidRDefault="00F76CE4"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r w:rsidR="006003FC">
        <w:rPr>
          <w:sz w:val="28"/>
          <w:szCs w:val="28"/>
          <w:lang w:val="en-GB"/>
        </w:rPr>
        <w:t>I</w:t>
      </w:r>
      <w:r w:rsidR="008225B8" w:rsidRPr="004648FA">
        <w:rPr>
          <w:sz w:val="28"/>
          <w:szCs w:val="28"/>
          <w:lang w:val="en-GB"/>
        </w:rPr>
        <w:t xml:space="preserve"> </w:t>
      </w:r>
      <w:r w:rsidR="00CD0433">
        <w:rPr>
          <w:sz w:val="28"/>
          <w:szCs w:val="28"/>
          <w:lang w:val="en-GB"/>
        </w:rPr>
        <w:t xml:space="preserve">confess </w:t>
      </w:r>
      <w:r w:rsidR="00F50603">
        <w:rPr>
          <w:sz w:val="28"/>
          <w:szCs w:val="28"/>
          <w:lang w:val="en-GB"/>
        </w:rPr>
        <w:t xml:space="preserve">to </w:t>
      </w:r>
      <w:r w:rsidR="00CD0433">
        <w:rPr>
          <w:sz w:val="28"/>
          <w:szCs w:val="28"/>
          <w:lang w:val="en-GB"/>
        </w:rPr>
        <w:t>having</w:t>
      </w:r>
      <w:r w:rsidR="008225B8" w:rsidRPr="004648FA">
        <w:rPr>
          <w:sz w:val="28"/>
          <w:szCs w:val="28"/>
          <w:lang w:val="en-GB"/>
        </w:rPr>
        <w:t xml:space="preserve"> some reservation with the HA’s assertion that its policies are aimed to support the </w:t>
      </w:r>
      <w:r w:rsidR="00341E3C">
        <w:rPr>
          <w:sz w:val="28"/>
          <w:szCs w:val="28"/>
          <w:lang w:val="en-GB"/>
        </w:rPr>
        <w:t>g</w:t>
      </w:r>
      <w:r w:rsidR="008225B8" w:rsidRPr="004648FA">
        <w:rPr>
          <w:sz w:val="28"/>
          <w:szCs w:val="28"/>
          <w:lang w:val="en-GB"/>
        </w:rPr>
        <w:t>overnment’s population growth policy by encouraging procreation, given that</w:t>
      </w:r>
      <w:r w:rsidR="00CD0433">
        <w:rPr>
          <w:sz w:val="28"/>
          <w:szCs w:val="28"/>
          <w:lang w:val="en-GB"/>
        </w:rPr>
        <w:t xml:space="preserve"> </w:t>
      </w:r>
      <w:r w:rsidR="008225B8" w:rsidRPr="004648FA">
        <w:rPr>
          <w:sz w:val="28"/>
          <w:szCs w:val="28"/>
          <w:lang w:val="en-GB"/>
        </w:rPr>
        <w:t>the HA’s primary</w:t>
      </w:r>
      <w:r w:rsidR="00804D54" w:rsidRPr="004648FA">
        <w:rPr>
          <w:sz w:val="28"/>
          <w:szCs w:val="28"/>
          <w:lang w:val="en-GB"/>
        </w:rPr>
        <w:t>,</w:t>
      </w:r>
      <w:r w:rsidR="008225B8" w:rsidRPr="004648FA">
        <w:rPr>
          <w:sz w:val="28"/>
          <w:szCs w:val="28"/>
          <w:lang w:val="en-GB"/>
        </w:rPr>
        <w:t xml:space="preserve"> if not overriding </w:t>
      </w:r>
      <w:r w:rsidR="008225B8" w:rsidRPr="004648FA">
        <w:rPr>
          <w:sz w:val="28"/>
          <w:szCs w:val="28"/>
          <w:lang w:val="en-GB"/>
        </w:rPr>
        <w:lastRenderedPageBreak/>
        <w:t xml:space="preserve">objective is to meet the pressing housing needs of </w:t>
      </w:r>
      <w:r w:rsidR="00913B26">
        <w:rPr>
          <w:sz w:val="28"/>
          <w:szCs w:val="28"/>
          <w:lang w:val="en-GB"/>
        </w:rPr>
        <w:t xml:space="preserve">the lower </w:t>
      </w:r>
      <w:r w:rsidR="0088037B">
        <w:rPr>
          <w:sz w:val="28"/>
          <w:szCs w:val="28"/>
          <w:lang w:val="en-GB"/>
        </w:rPr>
        <w:t xml:space="preserve">income </w:t>
      </w:r>
      <w:r w:rsidR="00913B26">
        <w:rPr>
          <w:sz w:val="28"/>
          <w:szCs w:val="28"/>
          <w:lang w:val="en-GB"/>
        </w:rPr>
        <w:t>strata of society</w:t>
      </w:r>
      <w:r w:rsidR="008225B8" w:rsidRPr="004648FA">
        <w:rPr>
          <w:sz w:val="28"/>
          <w:szCs w:val="28"/>
          <w:lang w:val="en-GB"/>
        </w:rPr>
        <w:t>.</w:t>
      </w:r>
      <w:r w:rsidR="003D30F3" w:rsidRPr="004648FA">
        <w:rPr>
          <w:rStyle w:val="FootnoteReference"/>
          <w:sz w:val="28"/>
          <w:szCs w:val="28"/>
          <w:lang w:val="en-GB"/>
        </w:rPr>
        <w:footnoteReference w:id="117"/>
      </w:r>
      <w:r w:rsidR="008225B8" w:rsidRPr="004648FA">
        <w:rPr>
          <w:sz w:val="28"/>
          <w:szCs w:val="28"/>
          <w:lang w:val="en-GB"/>
        </w:rPr>
        <w:t xml:space="preserve"> </w:t>
      </w:r>
    </w:p>
    <w:p w:rsidR="002B33AF" w:rsidRDefault="00F76CE4"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r w:rsidR="003D30F3" w:rsidRPr="004648FA">
        <w:rPr>
          <w:sz w:val="28"/>
          <w:szCs w:val="28"/>
          <w:lang w:val="en-GB"/>
        </w:rPr>
        <w:t xml:space="preserve">In </w:t>
      </w:r>
      <w:r w:rsidR="008225B8" w:rsidRPr="004648FA">
        <w:rPr>
          <w:sz w:val="28"/>
          <w:szCs w:val="28"/>
          <w:lang w:val="en-GB"/>
        </w:rPr>
        <w:t xml:space="preserve">any event, the mere fact that the </w:t>
      </w:r>
      <w:r w:rsidR="00913B26">
        <w:rPr>
          <w:sz w:val="28"/>
          <w:szCs w:val="28"/>
          <w:lang w:val="en-GB"/>
        </w:rPr>
        <w:t xml:space="preserve">impugned </w:t>
      </w:r>
      <w:r w:rsidR="008225B8" w:rsidRPr="004648FA">
        <w:rPr>
          <w:sz w:val="28"/>
          <w:szCs w:val="28"/>
          <w:lang w:val="en-GB"/>
        </w:rPr>
        <w:t xml:space="preserve">policies </w:t>
      </w:r>
      <w:r w:rsidR="00913B26">
        <w:rPr>
          <w:sz w:val="28"/>
          <w:szCs w:val="28"/>
          <w:lang w:val="en-GB"/>
        </w:rPr>
        <w:t xml:space="preserve">also seek </w:t>
      </w:r>
      <w:r w:rsidR="008225B8" w:rsidRPr="004648FA">
        <w:rPr>
          <w:sz w:val="28"/>
          <w:szCs w:val="28"/>
          <w:lang w:val="en-GB"/>
        </w:rPr>
        <w:t xml:space="preserve">to support the </w:t>
      </w:r>
      <w:r w:rsidR="00341E3C">
        <w:rPr>
          <w:sz w:val="28"/>
          <w:szCs w:val="28"/>
          <w:lang w:val="en-GB"/>
        </w:rPr>
        <w:t>g</w:t>
      </w:r>
      <w:r w:rsidR="008225B8" w:rsidRPr="004648FA">
        <w:rPr>
          <w:sz w:val="28"/>
          <w:szCs w:val="28"/>
          <w:lang w:val="en-GB"/>
        </w:rPr>
        <w:t xml:space="preserve">overnment’s strategic objective to stimulate population growth through increasing housing availability to opposite-sex married couples does not </w:t>
      </w:r>
      <w:proofErr w:type="gramStart"/>
      <w:r w:rsidR="00B9407F">
        <w:rPr>
          <w:sz w:val="28"/>
          <w:szCs w:val="28"/>
          <w:lang w:val="en-GB"/>
        </w:rPr>
        <w:t>impact on</w:t>
      </w:r>
      <w:proofErr w:type="gramEnd"/>
      <w:r w:rsidR="00B9407F">
        <w:rPr>
          <w:sz w:val="28"/>
          <w:szCs w:val="28"/>
          <w:lang w:val="en-GB"/>
        </w:rPr>
        <w:t xml:space="preserve"> </w:t>
      </w:r>
      <w:r w:rsidR="008225B8" w:rsidRPr="004648FA">
        <w:rPr>
          <w:sz w:val="28"/>
          <w:szCs w:val="28"/>
          <w:lang w:val="en-GB"/>
        </w:rPr>
        <w:t xml:space="preserve">the </w:t>
      </w:r>
      <w:r w:rsidR="00B9407F">
        <w:rPr>
          <w:sz w:val="28"/>
          <w:szCs w:val="28"/>
          <w:lang w:val="en-GB"/>
        </w:rPr>
        <w:t>question</w:t>
      </w:r>
      <w:r w:rsidR="008225B8" w:rsidRPr="004648FA">
        <w:rPr>
          <w:sz w:val="28"/>
          <w:szCs w:val="28"/>
          <w:lang w:val="en-GB"/>
        </w:rPr>
        <w:t xml:space="preserve"> of comparability</w:t>
      </w:r>
      <w:r w:rsidR="00F415A9" w:rsidRPr="004648FA">
        <w:rPr>
          <w:sz w:val="28"/>
          <w:szCs w:val="28"/>
          <w:lang w:val="en-GB"/>
        </w:rPr>
        <w:t xml:space="preserve">.  </w:t>
      </w:r>
      <w:r w:rsidR="008225B8" w:rsidRPr="004648FA">
        <w:rPr>
          <w:sz w:val="28"/>
          <w:szCs w:val="28"/>
          <w:lang w:val="en-GB"/>
        </w:rPr>
        <w:t xml:space="preserve">Rather, it is </w:t>
      </w:r>
      <w:r w:rsidR="003F46C4">
        <w:rPr>
          <w:sz w:val="28"/>
          <w:szCs w:val="28"/>
          <w:lang w:val="en-GB"/>
        </w:rPr>
        <w:t>only</w:t>
      </w:r>
      <w:r w:rsidR="008225B8" w:rsidRPr="004648FA">
        <w:rPr>
          <w:sz w:val="28"/>
          <w:szCs w:val="28"/>
          <w:lang w:val="en-GB"/>
        </w:rPr>
        <w:t xml:space="preserve"> a matter </w:t>
      </w:r>
      <w:r w:rsidR="00B9407F">
        <w:rPr>
          <w:sz w:val="28"/>
          <w:szCs w:val="28"/>
          <w:lang w:val="en-GB"/>
        </w:rPr>
        <w:t xml:space="preserve">pertaining </w:t>
      </w:r>
      <w:r w:rsidR="008225B8" w:rsidRPr="004648FA">
        <w:rPr>
          <w:sz w:val="28"/>
          <w:szCs w:val="28"/>
          <w:lang w:val="en-GB"/>
        </w:rPr>
        <w:t xml:space="preserve">to the </w:t>
      </w:r>
      <w:r w:rsidR="00B9407F">
        <w:rPr>
          <w:sz w:val="28"/>
          <w:szCs w:val="28"/>
          <w:lang w:val="en-GB"/>
        </w:rPr>
        <w:t>issue</w:t>
      </w:r>
      <w:r w:rsidR="008225B8" w:rsidRPr="004648FA">
        <w:rPr>
          <w:sz w:val="28"/>
          <w:szCs w:val="28"/>
          <w:lang w:val="en-GB"/>
        </w:rPr>
        <w:t xml:space="preserve"> of justification/proportionality</w:t>
      </w:r>
      <w:r w:rsidR="00F415A9" w:rsidRPr="004648FA">
        <w:rPr>
          <w:sz w:val="28"/>
          <w:szCs w:val="28"/>
          <w:lang w:val="en-GB"/>
        </w:rPr>
        <w:t xml:space="preserve">.  </w:t>
      </w:r>
      <w:r w:rsidR="008225B8" w:rsidRPr="004648FA">
        <w:rPr>
          <w:sz w:val="28"/>
          <w:szCs w:val="28"/>
          <w:lang w:val="en-GB"/>
        </w:rPr>
        <w:t xml:space="preserve">This is </w:t>
      </w:r>
      <w:r w:rsidR="00B9407F">
        <w:rPr>
          <w:sz w:val="28"/>
          <w:szCs w:val="28"/>
          <w:lang w:val="en-GB"/>
        </w:rPr>
        <w:t>plain from the fact that</w:t>
      </w:r>
      <w:r w:rsidR="008225B8" w:rsidRPr="004648FA">
        <w:rPr>
          <w:sz w:val="28"/>
          <w:szCs w:val="28"/>
          <w:lang w:val="en-GB"/>
        </w:rPr>
        <w:t xml:space="preserve"> the HA’s own policies </w:t>
      </w:r>
      <w:r w:rsidR="00F9665E">
        <w:rPr>
          <w:sz w:val="28"/>
          <w:szCs w:val="28"/>
          <w:lang w:val="en-GB"/>
        </w:rPr>
        <w:t xml:space="preserve">on eligibility to apply </w:t>
      </w:r>
      <w:r w:rsidR="008225B8" w:rsidRPr="004648FA">
        <w:rPr>
          <w:sz w:val="28"/>
          <w:szCs w:val="28"/>
          <w:lang w:val="en-GB"/>
        </w:rPr>
        <w:t>do not differentiate among</w:t>
      </w:r>
      <w:r w:rsidR="00B9407F">
        <w:rPr>
          <w:sz w:val="28"/>
          <w:szCs w:val="28"/>
          <w:lang w:val="en-GB"/>
        </w:rPr>
        <w:t>st</w:t>
      </w:r>
      <w:r w:rsidR="008225B8" w:rsidRPr="004648FA">
        <w:rPr>
          <w:sz w:val="28"/>
          <w:szCs w:val="28"/>
          <w:lang w:val="en-GB"/>
        </w:rPr>
        <w:t xml:space="preserve"> heterosexual married couples in terms of whether they have children</w:t>
      </w:r>
      <w:r w:rsidR="00F9665E">
        <w:rPr>
          <w:rStyle w:val="FootnoteReference"/>
          <w:sz w:val="28"/>
          <w:szCs w:val="28"/>
          <w:lang w:val="en-GB"/>
        </w:rPr>
        <w:footnoteReference w:id="118"/>
      </w:r>
      <w:r w:rsidR="008225B8" w:rsidRPr="004648FA">
        <w:rPr>
          <w:sz w:val="28"/>
          <w:szCs w:val="28"/>
          <w:lang w:val="en-GB"/>
        </w:rPr>
        <w:t xml:space="preserve"> or are planning to have children, whether they are past child-bearing age, whether they are unable to have children for medical or other reasons, and so forth</w:t>
      </w:r>
      <w:r w:rsidR="00F415A9" w:rsidRPr="004648FA">
        <w:rPr>
          <w:sz w:val="28"/>
          <w:szCs w:val="28"/>
          <w:lang w:val="en-GB"/>
        </w:rPr>
        <w:t xml:space="preserve">.  </w:t>
      </w:r>
      <w:r w:rsidR="008225B8" w:rsidRPr="004648FA">
        <w:rPr>
          <w:sz w:val="28"/>
          <w:szCs w:val="28"/>
          <w:lang w:val="en-GB"/>
        </w:rPr>
        <w:t xml:space="preserve">The evidence does not reveal how many PRH tenants or HOS households </w:t>
      </w:r>
      <w:r w:rsidR="002B334F">
        <w:rPr>
          <w:sz w:val="28"/>
          <w:szCs w:val="28"/>
          <w:lang w:val="en-GB"/>
        </w:rPr>
        <w:t>have</w:t>
      </w:r>
      <w:r w:rsidR="002B334F" w:rsidRPr="004648FA">
        <w:rPr>
          <w:sz w:val="28"/>
          <w:szCs w:val="28"/>
          <w:lang w:val="en-GB"/>
        </w:rPr>
        <w:t xml:space="preserve"> </w:t>
      </w:r>
      <w:r w:rsidR="008225B8" w:rsidRPr="004648FA">
        <w:rPr>
          <w:sz w:val="28"/>
          <w:szCs w:val="28"/>
          <w:lang w:val="en-GB"/>
        </w:rPr>
        <w:t xml:space="preserve">children or are </w:t>
      </w:r>
      <w:r w:rsidR="002B334F">
        <w:rPr>
          <w:sz w:val="28"/>
          <w:szCs w:val="28"/>
          <w:lang w:val="en-GB"/>
        </w:rPr>
        <w:t xml:space="preserve">in fact </w:t>
      </w:r>
      <w:r w:rsidR="008225B8" w:rsidRPr="004648FA">
        <w:rPr>
          <w:sz w:val="28"/>
          <w:szCs w:val="28"/>
          <w:lang w:val="en-GB"/>
        </w:rPr>
        <w:t>childless</w:t>
      </w:r>
      <w:r w:rsidR="00F415A9" w:rsidRPr="004648FA">
        <w:rPr>
          <w:sz w:val="28"/>
          <w:szCs w:val="28"/>
          <w:lang w:val="en-GB"/>
        </w:rPr>
        <w:t xml:space="preserve">.  </w:t>
      </w:r>
      <w:r w:rsidR="008225B8" w:rsidRPr="004648FA">
        <w:rPr>
          <w:sz w:val="28"/>
          <w:szCs w:val="28"/>
          <w:lang w:val="en-GB"/>
        </w:rPr>
        <w:t xml:space="preserve">At the </w:t>
      </w:r>
      <w:r w:rsidR="008D095A" w:rsidRPr="004648FA">
        <w:rPr>
          <w:sz w:val="28"/>
          <w:szCs w:val="28"/>
          <w:lang w:val="en-GB"/>
        </w:rPr>
        <w:t>very least</w:t>
      </w:r>
      <w:r w:rsidR="008225B8" w:rsidRPr="004648FA">
        <w:rPr>
          <w:sz w:val="28"/>
          <w:szCs w:val="28"/>
          <w:lang w:val="en-GB"/>
        </w:rPr>
        <w:t>, same-sex married couples are comparable to heterosexual married couples who do not have or plan to have children.</w:t>
      </w:r>
    </w:p>
    <w:p w:rsidR="002B33AF" w:rsidRDefault="00F76CE4"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r w:rsidR="008225B8" w:rsidRPr="004648FA">
        <w:rPr>
          <w:sz w:val="28"/>
          <w:szCs w:val="28"/>
          <w:lang w:val="en-GB"/>
        </w:rPr>
        <w:t>Nor does the HA’s argument take into account the fact that same-sex couples may be able to adopt children or have children by artificial means.</w:t>
      </w:r>
    </w:p>
    <w:p w:rsidR="002B33AF" w:rsidRPr="004648FA" w:rsidRDefault="00F76CE4"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r w:rsidR="008225B8" w:rsidRPr="004648FA">
        <w:rPr>
          <w:sz w:val="28"/>
          <w:szCs w:val="28"/>
          <w:lang w:val="en-GB"/>
        </w:rPr>
        <w:t xml:space="preserve">The HA’s </w:t>
      </w:r>
      <w:r w:rsidR="00A167B2">
        <w:rPr>
          <w:sz w:val="28"/>
          <w:szCs w:val="28"/>
          <w:lang w:val="en-GB"/>
        </w:rPr>
        <w:t>suggested distinction based on procreative potential becomes more contrived when it is recalled that</w:t>
      </w:r>
      <w:r w:rsidR="008225B8" w:rsidRPr="004648FA">
        <w:rPr>
          <w:sz w:val="28"/>
          <w:szCs w:val="28"/>
          <w:lang w:val="en-GB"/>
        </w:rPr>
        <w:t xml:space="preserve"> for PRH applications, </w:t>
      </w:r>
      <w:r w:rsidR="008225B8" w:rsidRPr="004648FA">
        <w:rPr>
          <w:sz w:val="28"/>
          <w:szCs w:val="28"/>
          <w:lang w:val="en-GB"/>
        </w:rPr>
        <w:lastRenderedPageBreak/>
        <w:t xml:space="preserve">opposite-sex married couples are included in the same sub-category of “Ordinary Families” </w:t>
      </w:r>
      <w:r w:rsidR="002A440C">
        <w:rPr>
          <w:sz w:val="28"/>
          <w:szCs w:val="28"/>
          <w:lang w:val="en-GB"/>
        </w:rPr>
        <w:t>alongside</w:t>
      </w:r>
      <w:r w:rsidR="008225B8" w:rsidRPr="004648FA">
        <w:rPr>
          <w:sz w:val="28"/>
          <w:szCs w:val="28"/>
          <w:lang w:val="en-GB"/>
        </w:rPr>
        <w:t xml:space="preserve"> parent</w:t>
      </w:r>
      <w:r w:rsidR="002B334F">
        <w:rPr>
          <w:sz w:val="28"/>
          <w:szCs w:val="28"/>
          <w:lang w:val="en-GB"/>
        </w:rPr>
        <w:t>s</w:t>
      </w:r>
      <w:r w:rsidR="008225B8" w:rsidRPr="004648FA">
        <w:rPr>
          <w:sz w:val="28"/>
          <w:szCs w:val="28"/>
          <w:lang w:val="en-GB"/>
        </w:rPr>
        <w:t xml:space="preserve"> and child</w:t>
      </w:r>
      <w:r w:rsidR="002B334F">
        <w:rPr>
          <w:sz w:val="28"/>
          <w:szCs w:val="28"/>
          <w:lang w:val="en-GB"/>
        </w:rPr>
        <w:t>ren</w:t>
      </w:r>
      <w:r w:rsidR="008225B8" w:rsidRPr="004648FA">
        <w:rPr>
          <w:sz w:val="28"/>
          <w:szCs w:val="28"/>
          <w:lang w:val="en-GB"/>
        </w:rPr>
        <w:t>, grandparent</w:t>
      </w:r>
      <w:r w:rsidR="002B334F">
        <w:rPr>
          <w:sz w:val="28"/>
          <w:szCs w:val="28"/>
          <w:lang w:val="en-GB"/>
        </w:rPr>
        <w:t>s</w:t>
      </w:r>
      <w:r w:rsidR="008225B8" w:rsidRPr="004648FA">
        <w:rPr>
          <w:sz w:val="28"/>
          <w:szCs w:val="28"/>
          <w:lang w:val="en-GB"/>
        </w:rPr>
        <w:t xml:space="preserve"> and child</w:t>
      </w:r>
      <w:r w:rsidR="002B334F">
        <w:rPr>
          <w:sz w:val="28"/>
          <w:szCs w:val="28"/>
          <w:lang w:val="en-GB"/>
        </w:rPr>
        <w:t>ren</w:t>
      </w:r>
      <w:r w:rsidR="008225B8" w:rsidRPr="004648FA">
        <w:rPr>
          <w:sz w:val="28"/>
          <w:szCs w:val="28"/>
          <w:lang w:val="en-GB"/>
        </w:rPr>
        <w:t>, and single siblings</w:t>
      </w:r>
      <w:r w:rsidR="00F415A9" w:rsidRPr="004648FA">
        <w:rPr>
          <w:sz w:val="28"/>
          <w:szCs w:val="28"/>
          <w:lang w:val="en-GB"/>
        </w:rPr>
        <w:t xml:space="preserve">.  </w:t>
      </w:r>
      <w:r w:rsidR="00A167B2">
        <w:rPr>
          <w:sz w:val="28"/>
          <w:szCs w:val="28"/>
          <w:lang w:val="en-GB"/>
        </w:rPr>
        <w:t xml:space="preserve">Procreative potential is relevant to none </w:t>
      </w:r>
      <w:r w:rsidR="008225B8" w:rsidRPr="004648FA">
        <w:rPr>
          <w:sz w:val="28"/>
          <w:szCs w:val="28"/>
          <w:lang w:val="en-GB"/>
        </w:rPr>
        <w:t>of these other eligible familial relationships</w:t>
      </w:r>
      <w:r w:rsidR="00F415A9" w:rsidRPr="004648FA">
        <w:rPr>
          <w:sz w:val="28"/>
          <w:szCs w:val="28"/>
          <w:lang w:val="en-GB"/>
        </w:rPr>
        <w:t xml:space="preserve">.  </w:t>
      </w:r>
      <w:r w:rsidR="008225B8" w:rsidRPr="004648FA">
        <w:rPr>
          <w:sz w:val="28"/>
          <w:szCs w:val="28"/>
          <w:lang w:val="en-GB"/>
        </w:rPr>
        <w:t>Yet all of them join the same queue as opposite-sex married couples</w:t>
      </w:r>
      <w:r w:rsidR="00F415A9" w:rsidRPr="004648FA">
        <w:rPr>
          <w:sz w:val="28"/>
          <w:szCs w:val="28"/>
          <w:lang w:val="en-GB"/>
        </w:rPr>
        <w:t xml:space="preserve">.  </w:t>
      </w:r>
      <w:r w:rsidR="008225B8" w:rsidRPr="004648FA">
        <w:rPr>
          <w:sz w:val="28"/>
          <w:szCs w:val="28"/>
          <w:lang w:val="en-GB"/>
        </w:rPr>
        <w:t>The only common thread to these different relationships is a close familial relationship that is in need of housing assistance</w:t>
      </w:r>
      <w:r w:rsidR="00F415A9" w:rsidRPr="004648FA">
        <w:rPr>
          <w:sz w:val="28"/>
          <w:szCs w:val="28"/>
          <w:lang w:val="en-GB"/>
        </w:rPr>
        <w:t xml:space="preserve">.  </w:t>
      </w:r>
      <w:r w:rsidR="002B33AF" w:rsidRPr="004648FA">
        <w:rPr>
          <w:sz w:val="28"/>
          <w:szCs w:val="28"/>
          <w:lang w:val="en-GB"/>
        </w:rPr>
        <w:t>A</w:t>
      </w:r>
      <w:r w:rsidR="008225B8" w:rsidRPr="004648FA">
        <w:rPr>
          <w:sz w:val="28"/>
          <w:szCs w:val="28"/>
          <w:lang w:val="en-GB"/>
        </w:rPr>
        <w:t xml:space="preserve"> same-sex married relationship </w:t>
      </w:r>
      <w:r w:rsidR="00FF1F7D">
        <w:rPr>
          <w:sz w:val="28"/>
          <w:szCs w:val="28"/>
          <w:lang w:val="en-GB"/>
        </w:rPr>
        <w:t>with housing need</w:t>
      </w:r>
      <w:r w:rsidR="002A440C">
        <w:rPr>
          <w:sz w:val="28"/>
          <w:szCs w:val="28"/>
          <w:lang w:val="en-GB"/>
        </w:rPr>
        <w:t>s</w:t>
      </w:r>
      <w:r w:rsidR="00FF1F7D">
        <w:rPr>
          <w:sz w:val="28"/>
          <w:szCs w:val="28"/>
          <w:lang w:val="en-GB"/>
        </w:rPr>
        <w:t xml:space="preserve"> </w:t>
      </w:r>
      <w:r w:rsidR="008225B8" w:rsidRPr="004648FA">
        <w:rPr>
          <w:sz w:val="28"/>
          <w:szCs w:val="28"/>
          <w:lang w:val="en-GB"/>
        </w:rPr>
        <w:t>fits easily into that description.</w:t>
      </w:r>
    </w:p>
    <w:p w:rsidR="002B33AF" w:rsidRPr="004648FA" w:rsidRDefault="00F76CE4"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r w:rsidR="002B33AF" w:rsidRPr="004648FA">
        <w:rPr>
          <w:sz w:val="28"/>
          <w:szCs w:val="28"/>
          <w:lang w:val="en-GB"/>
        </w:rPr>
        <w:t>A</w:t>
      </w:r>
      <w:r w:rsidR="008225B8" w:rsidRPr="004648FA">
        <w:rPr>
          <w:sz w:val="28"/>
          <w:szCs w:val="28"/>
          <w:lang w:val="en-GB"/>
        </w:rPr>
        <w:t xml:space="preserve"> similar observation </w:t>
      </w:r>
      <w:proofErr w:type="gramStart"/>
      <w:r w:rsidR="00C1077A">
        <w:rPr>
          <w:sz w:val="28"/>
          <w:szCs w:val="28"/>
          <w:lang w:val="en-GB"/>
        </w:rPr>
        <w:t>may</w:t>
      </w:r>
      <w:r w:rsidR="008225B8" w:rsidRPr="004648FA">
        <w:rPr>
          <w:sz w:val="28"/>
          <w:szCs w:val="28"/>
          <w:lang w:val="en-GB"/>
        </w:rPr>
        <w:t xml:space="preserve"> be made</w:t>
      </w:r>
      <w:proofErr w:type="gramEnd"/>
      <w:r w:rsidR="008225B8" w:rsidRPr="004648FA">
        <w:rPr>
          <w:sz w:val="28"/>
          <w:szCs w:val="28"/>
          <w:lang w:val="en-GB"/>
        </w:rPr>
        <w:t xml:space="preserve"> in relation to </w:t>
      </w:r>
      <w:r w:rsidR="00614AC9">
        <w:rPr>
          <w:sz w:val="28"/>
          <w:szCs w:val="28"/>
          <w:lang w:val="en-GB"/>
        </w:rPr>
        <w:t>the HOS</w:t>
      </w:r>
      <w:r w:rsidR="008225B8" w:rsidRPr="004648FA">
        <w:rPr>
          <w:sz w:val="28"/>
          <w:szCs w:val="28"/>
          <w:lang w:val="en-GB"/>
        </w:rPr>
        <w:t>.</w:t>
      </w:r>
    </w:p>
    <w:p w:rsidR="008225B8" w:rsidRPr="004648FA" w:rsidRDefault="00F76CE4"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r w:rsidR="008225B8" w:rsidRPr="004648FA">
        <w:rPr>
          <w:sz w:val="28"/>
          <w:szCs w:val="28"/>
          <w:lang w:val="en-GB"/>
        </w:rPr>
        <w:t>In any event, as th</w:t>
      </w:r>
      <w:r w:rsidR="00FE3B65">
        <w:rPr>
          <w:sz w:val="28"/>
          <w:szCs w:val="28"/>
          <w:lang w:val="en-GB"/>
        </w:rPr>
        <w:t>is cou</w:t>
      </w:r>
      <w:r w:rsidR="009D6731">
        <w:rPr>
          <w:sz w:val="28"/>
          <w:szCs w:val="28"/>
          <w:lang w:val="en-GB"/>
        </w:rPr>
        <w:t>r</w:t>
      </w:r>
      <w:r w:rsidR="00FE3B65">
        <w:rPr>
          <w:sz w:val="28"/>
          <w:szCs w:val="28"/>
          <w:lang w:val="en-GB"/>
        </w:rPr>
        <w:t xml:space="preserve">t has </w:t>
      </w:r>
      <w:r w:rsidR="009D6731">
        <w:rPr>
          <w:sz w:val="28"/>
          <w:szCs w:val="28"/>
          <w:lang w:val="en-GB"/>
        </w:rPr>
        <w:t>observed</w:t>
      </w:r>
      <w:r w:rsidR="008225B8" w:rsidRPr="004648FA">
        <w:rPr>
          <w:sz w:val="28"/>
          <w:szCs w:val="28"/>
          <w:lang w:val="en-GB"/>
        </w:rPr>
        <w:t xml:space="preserve">, </w:t>
      </w:r>
      <w:r w:rsidR="00FE3B65">
        <w:rPr>
          <w:sz w:val="28"/>
          <w:szCs w:val="28"/>
          <w:lang w:val="en-GB"/>
        </w:rPr>
        <w:t>the notion whether the comparators are analogous or relevantly similar is elastic both linguistically and conceptually.</w:t>
      </w:r>
      <w:r w:rsidR="009A7EE2">
        <w:rPr>
          <w:rStyle w:val="FootnoteReference"/>
          <w:sz w:val="28"/>
          <w:szCs w:val="28"/>
          <w:lang w:val="en-GB"/>
        </w:rPr>
        <w:footnoteReference w:id="119"/>
      </w:r>
      <w:r w:rsidR="009D6731">
        <w:rPr>
          <w:sz w:val="28"/>
          <w:szCs w:val="28"/>
          <w:lang w:val="en-GB"/>
        </w:rPr>
        <w:t xml:space="preserve">  This </w:t>
      </w:r>
      <w:proofErr w:type="gramStart"/>
      <w:r w:rsidR="009D6731">
        <w:rPr>
          <w:sz w:val="28"/>
          <w:szCs w:val="28"/>
          <w:lang w:val="en-GB"/>
        </w:rPr>
        <w:t>is reflected</w:t>
      </w:r>
      <w:proofErr w:type="gramEnd"/>
      <w:r w:rsidR="009D6731">
        <w:rPr>
          <w:sz w:val="28"/>
          <w:szCs w:val="28"/>
          <w:lang w:val="en-GB"/>
        </w:rPr>
        <w:t xml:space="preserve"> in the court’s approach.</w:t>
      </w:r>
      <w:r w:rsidR="009A7EE2">
        <w:rPr>
          <w:sz w:val="28"/>
          <w:szCs w:val="28"/>
          <w:lang w:val="en-GB"/>
        </w:rPr>
        <w:t xml:space="preserve">  </w:t>
      </w:r>
      <w:r w:rsidR="008225B8" w:rsidRPr="004648FA">
        <w:rPr>
          <w:sz w:val="28"/>
          <w:szCs w:val="28"/>
          <w:lang w:val="en-GB"/>
        </w:rPr>
        <w:t xml:space="preserve"> As Lord Nicholls </w:t>
      </w:r>
      <w:r w:rsidR="009D6731">
        <w:rPr>
          <w:sz w:val="28"/>
          <w:szCs w:val="28"/>
          <w:lang w:val="en-GB"/>
        </w:rPr>
        <w:t>explained</w:t>
      </w:r>
      <w:r w:rsidR="008225B8" w:rsidRPr="004648FA">
        <w:rPr>
          <w:sz w:val="28"/>
          <w:szCs w:val="28"/>
          <w:lang w:val="en-GB"/>
        </w:rPr>
        <w:t xml:space="preserve"> in </w:t>
      </w:r>
      <w:r w:rsidR="008225B8" w:rsidRPr="004648FA">
        <w:rPr>
          <w:i/>
          <w:sz w:val="28"/>
          <w:szCs w:val="28"/>
          <w:lang w:val="en-GB"/>
        </w:rPr>
        <w:t>R (Carson) v Secretary of State for Work and Pensions</w:t>
      </w:r>
      <w:r w:rsidR="008225B8" w:rsidRPr="004648FA">
        <w:rPr>
          <w:sz w:val="28"/>
          <w:szCs w:val="28"/>
          <w:lang w:val="en-GB"/>
        </w:rPr>
        <w:t>:</w:t>
      </w:r>
      <w:r w:rsidR="008D095A" w:rsidRPr="004648FA">
        <w:rPr>
          <w:rStyle w:val="FootnoteReference"/>
          <w:sz w:val="28"/>
          <w:szCs w:val="28"/>
          <w:lang w:val="en-GB"/>
        </w:rPr>
        <w:footnoteReference w:id="120"/>
      </w:r>
    </w:p>
    <w:p w:rsidR="008225B8" w:rsidRPr="004648FA" w:rsidRDefault="008225B8" w:rsidP="006C4390">
      <w:pPr>
        <w:snapToGrid w:val="0"/>
        <w:spacing w:after="480" w:line="240" w:lineRule="auto"/>
        <w:ind w:left="720"/>
        <w:jc w:val="both"/>
        <w:rPr>
          <w:szCs w:val="24"/>
          <w:lang w:val="en-GB"/>
        </w:rPr>
      </w:pPr>
      <w:r w:rsidRPr="004648FA">
        <w:rPr>
          <w:szCs w:val="24"/>
          <w:lang w:val="en-GB"/>
        </w:rPr>
        <w:t>“… the essential question for the court is whether the alleged discrimination, that is, the difference in treatment of which complaint is made, can withstand scrutiny</w:t>
      </w:r>
      <w:r w:rsidR="00F415A9" w:rsidRPr="004648FA">
        <w:rPr>
          <w:szCs w:val="24"/>
          <w:lang w:val="en-GB"/>
        </w:rPr>
        <w:t xml:space="preserve">.  </w:t>
      </w:r>
      <w:r w:rsidRPr="004648FA">
        <w:rPr>
          <w:szCs w:val="24"/>
          <w:lang w:val="en-GB"/>
        </w:rPr>
        <w:t>Sometimes the answer to this question will be plain</w:t>
      </w:r>
      <w:r w:rsidR="00F415A9" w:rsidRPr="004648FA">
        <w:rPr>
          <w:szCs w:val="24"/>
          <w:lang w:val="en-GB"/>
        </w:rPr>
        <w:t xml:space="preserve">.  </w:t>
      </w:r>
      <w:r w:rsidRPr="004648FA">
        <w:rPr>
          <w:szCs w:val="24"/>
          <w:lang w:val="en-GB"/>
        </w:rPr>
        <w:t xml:space="preserve">There may be such an obvious, relevant difference between the claimant and those with whom he seeks to compare himself that their situations </w:t>
      </w:r>
      <w:proofErr w:type="gramStart"/>
      <w:r w:rsidRPr="004648FA">
        <w:rPr>
          <w:szCs w:val="24"/>
          <w:lang w:val="en-GB"/>
        </w:rPr>
        <w:t>cannot be regarded</w:t>
      </w:r>
      <w:proofErr w:type="gramEnd"/>
      <w:r w:rsidRPr="004648FA">
        <w:rPr>
          <w:szCs w:val="24"/>
          <w:lang w:val="en-GB"/>
        </w:rPr>
        <w:t xml:space="preserve"> as analogous</w:t>
      </w:r>
      <w:r w:rsidR="00F415A9" w:rsidRPr="004648FA">
        <w:rPr>
          <w:szCs w:val="24"/>
          <w:lang w:val="en-GB"/>
        </w:rPr>
        <w:t xml:space="preserve">.  </w:t>
      </w:r>
      <w:r w:rsidRPr="004648FA">
        <w:rPr>
          <w:szCs w:val="24"/>
          <w:lang w:val="en-GB"/>
        </w:rPr>
        <w:t>Sometimes, where the position is not so clear, a different approach is called for</w:t>
      </w:r>
      <w:r w:rsidR="00F415A9" w:rsidRPr="004648FA">
        <w:rPr>
          <w:szCs w:val="24"/>
          <w:lang w:val="en-GB"/>
        </w:rPr>
        <w:t xml:space="preserve">.  </w:t>
      </w:r>
      <w:r w:rsidRPr="004648FA">
        <w:rPr>
          <w:szCs w:val="24"/>
          <w:lang w:val="en-GB"/>
        </w:rPr>
        <w:t>Then the court’s scrutiny may best be directed at considering whether the differentiation has a legitimate aim and whether the means chosen to achieve the aim is appropriate and not disproportionate in its adverse impact.”</w:t>
      </w:r>
    </w:p>
    <w:p w:rsidR="008225B8" w:rsidRPr="004648FA" w:rsidRDefault="00F76CE4" w:rsidP="006C4390">
      <w:pPr>
        <w:numPr>
          <w:ilvl w:val="0"/>
          <w:numId w:val="4"/>
        </w:numPr>
        <w:snapToGrid w:val="0"/>
        <w:spacing w:after="360" w:line="360" w:lineRule="auto"/>
        <w:ind w:left="0" w:firstLine="0"/>
        <w:jc w:val="both"/>
        <w:rPr>
          <w:sz w:val="28"/>
          <w:szCs w:val="28"/>
          <w:lang w:val="en-GB"/>
        </w:rPr>
      </w:pPr>
      <w:r>
        <w:rPr>
          <w:sz w:val="28"/>
          <w:szCs w:val="28"/>
          <w:lang w:val="en-GB"/>
        </w:rPr>
        <w:lastRenderedPageBreak/>
        <w:tab/>
      </w:r>
      <w:r w:rsidR="006003FC">
        <w:rPr>
          <w:sz w:val="28"/>
          <w:szCs w:val="28"/>
          <w:lang w:val="en-GB"/>
        </w:rPr>
        <w:t>I</w:t>
      </w:r>
      <w:r w:rsidR="008225B8" w:rsidRPr="004648FA">
        <w:rPr>
          <w:sz w:val="28"/>
          <w:szCs w:val="28"/>
          <w:lang w:val="en-GB"/>
        </w:rPr>
        <w:t xml:space="preserve"> do not accept the HA’s argument that when it comes to identifying the true comparator, the H</w:t>
      </w:r>
      <w:r w:rsidR="00614AC9">
        <w:rPr>
          <w:sz w:val="28"/>
          <w:szCs w:val="28"/>
          <w:lang w:val="en-GB"/>
        </w:rPr>
        <w:t>A as the policy-maker</w:t>
      </w:r>
      <w:r w:rsidR="008225B8" w:rsidRPr="004648FA">
        <w:rPr>
          <w:sz w:val="28"/>
          <w:szCs w:val="28"/>
          <w:lang w:val="en-GB"/>
        </w:rPr>
        <w:t xml:space="preserve"> is entitled to a margin of discretion</w:t>
      </w:r>
      <w:r w:rsidR="00F415A9" w:rsidRPr="004648FA">
        <w:rPr>
          <w:sz w:val="28"/>
          <w:szCs w:val="28"/>
          <w:lang w:val="en-GB"/>
        </w:rPr>
        <w:t xml:space="preserve">.  </w:t>
      </w:r>
      <w:r w:rsidR="006003FC">
        <w:rPr>
          <w:sz w:val="28"/>
          <w:szCs w:val="28"/>
          <w:lang w:val="en-GB"/>
        </w:rPr>
        <w:t>I</w:t>
      </w:r>
      <w:r w:rsidR="008225B8" w:rsidRPr="004648FA">
        <w:rPr>
          <w:sz w:val="28"/>
          <w:szCs w:val="28"/>
          <w:lang w:val="en-GB"/>
        </w:rPr>
        <w:t xml:space="preserve"> have no difficulty in accepting that in appropriate circumstances, a margin of discretion </w:t>
      </w:r>
      <w:proofErr w:type="gramStart"/>
      <w:r w:rsidR="008225B8" w:rsidRPr="004648FA">
        <w:rPr>
          <w:sz w:val="28"/>
          <w:szCs w:val="28"/>
          <w:lang w:val="en-GB"/>
        </w:rPr>
        <w:t>should be accorded</w:t>
      </w:r>
      <w:proofErr w:type="gramEnd"/>
      <w:r w:rsidR="008225B8" w:rsidRPr="004648FA">
        <w:rPr>
          <w:sz w:val="28"/>
          <w:szCs w:val="28"/>
          <w:lang w:val="en-GB"/>
        </w:rPr>
        <w:t xml:space="preserve"> to the rule/policy-maker</w:t>
      </w:r>
      <w:r w:rsidR="00F415A9" w:rsidRPr="004648FA">
        <w:rPr>
          <w:sz w:val="28"/>
          <w:szCs w:val="28"/>
          <w:lang w:val="en-GB"/>
        </w:rPr>
        <w:t xml:space="preserve">.  </w:t>
      </w:r>
      <w:r w:rsidR="008225B8" w:rsidRPr="004648FA">
        <w:rPr>
          <w:sz w:val="28"/>
          <w:szCs w:val="28"/>
          <w:lang w:val="en-GB"/>
        </w:rPr>
        <w:t>This is particularly so when it comes to Stage 3 of the proportionality analysis.</w:t>
      </w:r>
      <w:r w:rsidR="00A314BE" w:rsidRPr="004648FA">
        <w:rPr>
          <w:rStyle w:val="FootnoteReference"/>
          <w:sz w:val="28"/>
          <w:szCs w:val="28"/>
          <w:lang w:val="en-GB"/>
        </w:rPr>
        <w:footnoteReference w:id="121"/>
      </w:r>
      <w:r w:rsidR="00FF1F7D">
        <w:rPr>
          <w:sz w:val="28"/>
          <w:szCs w:val="28"/>
          <w:lang w:val="en-GB"/>
        </w:rPr>
        <w:t xml:space="preserve">  </w:t>
      </w:r>
      <w:r w:rsidR="008225B8" w:rsidRPr="004648FA">
        <w:rPr>
          <w:sz w:val="28"/>
          <w:szCs w:val="28"/>
          <w:lang w:val="en-GB"/>
        </w:rPr>
        <w:t>However, whe</w:t>
      </w:r>
      <w:r w:rsidR="00614AC9">
        <w:rPr>
          <w:sz w:val="28"/>
          <w:szCs w:val="28"/>
          <w:lang w:val="en-GB"/>
        </w:rPr>
        <w:t xml:space="preserve">re, as here, </w:t>
      </w:r>
      <w:r w:rsidR="008225B8" w:rsidRPr="004648FA">
        <w:rPr>
          <w:sz w:val="28"/>
          <w:szCs w:val="28"/>
          <w:lang w:val="en-GB"/>
        </w:rPr>
        <w:t>the question is to identify the true comp</w:t>
      </w:r>
      <w:r w:rsidR="00614AC9">
        <w:rPr>
          <w:sz w:val="28"/>
          <w:szCs w:val="28"/>
          <w:lang w:val="en-GB"/>
        </w:rPr>
        <w:t>arator in a discrimination case</w:t>
      </w:r>
      <w:r w:rsidR="008225B8" w:rsidRPr="004648FA">
        <w:rPr>
          <w:sz w:val="28"/>
          <w:szCs w:val="28"/>
          <w:lang w:val="en-GB"/>
        </w:rPr>
        <w:t>, there is no room for according any margin of discretion to the rule/policy-maker</w:t>
      </w:r>
      <w:r w:rsidR="00472D3B">
        <w:rPr>
          <w:sz w:val="28"/>
          <w:szCs w:val="28"/>
          <w:lang w:val="en-GB"/>
        </w:rPr>
        <w:t>.  Comparability is partly a matter of values and partly a question of rationality.</w:t>
      </w:r>
      <w:r w:rsidR="00472D3B">
        <w:rPr>
          <w:rStyle w:val="FootnoteReference"/>
          <w:sz w:val="28"/>
          <w:szCs w:val="28"/>
          <w:lang w:val="en-GB"/>
        </w:rPr>
        <w:footnoteReference w:id="122"/>
      </w:r>
      <w:r w:rsidR="00472D3B">
        <w:rPr>
          <w:sz w:val="28"/>
          <w:szCs w:val="28"/>
          <w:lang w:val="en-GB"/>
        </w:rPr>
        <w:t xml:space="preserve">  It is a legal question for the court to decide.  </w:t>
      </w:r>
      <w:r w:rsidR="008225B8" w:rsidRPr="004648FA">
        <w:rPr>
          <w:sz w:val="28"/>
          <w:szCs w:val="28"/>
          <w:lang w:val="en-GB"/>
        </w:rPr>
        <w:t>The HA has not been able to cite any relevant authority in support of its contention.</w:t>
      </w:r>
      <w:r w:rsidR="00A314BE" w:rsidRPr="004648FA">
        <w:rPr>
          <w:rStyle w:val="FootnoteReference"/>
          <w:sz w:val="28"/>
          <w:szCs w:val="28"/>
          <w:lang w:val="en-GB"/>
        </w:rPr>
        <w:footnoteReference w:id="123"/>
      </w:r>
      <w:r w:rsidR="008225B8" w:rsidRPr="004648FA">
        <w:rPr>
          <w:sz w:val="28"/>
          <w:szCs w:val="28"/>
          <w:lang w:val="en-GB"/>
        </w:rPr>
        <w:t xml:space="preserve">  </w:t>
      </w:r>
    </w:p>
    <w:p w:rsidR="00C83F94" w:rsidRDefault="005F6F2A" w:rsidP="0053491D">
      <w:pPr>
        <w:keepNext/>
        <w:snapToGrid w:val="0"/>
        <w:spacing w:after="360" w:line="360" w:lineRule="auto"/>
        <w:jc w:val="both"/>
        <w:rPr>
          <w:b/>
          <w:i/>
          <w:sz w:val="28"/>
          <w:szCs w:val="28"/>
          <w:lang w:val="en-GB"/>
        </w:rPr>
      </w:pPr>
      <w:r>
        <w:rPr>
          <w:b/>
          <w:i/>
          <w:sz w:val="28"/>
          <w:szCs w:val="28"/>
          <w:lang w:val="en-GB"/>
        </w:rPr>
        <w:t>Justification under the p</w:t>
      </w:r>
      <w:r w:rsidR="000A5480">
        <w:rPr>
          <w:b/>
          <w:i/>
          <w:sz w:val="28"/>
          <w:szCs w:val="28"/>
          <w:lang w:val="en-GB"/>
        </w:rPr>
        <w:t>roportionality analysis</w:t>
      </w:r>
    </w:p>
    <w:p w:rsidR="002B33AF" w:rsidRPr="004648FA" w:rsidRDefault="00F76CE4"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r w:rsidR="008225B8" w:rsidRPr="004648FA">
        <w:rPr>
          <w:sz w:val="28"/>
          <w:szCs w:val="28"/>
          <w:lang w:val="en-GB"/>
        </w:rPr>
        <w:t>Once the issue of the true comparator is resolved in favour of same-sex couples who are lawfully married overseas, the differen</w:t>
      </w:r>
      <w:r w:rsidR="008528E7">
        <w:rPr>
          <w:sz w:val="28"/>
          <w:szCs w:val="28"/>
          <w:lang w:val="en-GB"/>
        </w:rPr>
        <w:t>ces in</w:t>
      </w:r>
      <w:r w:rsidR="00971D7B">
        <w:rPr>
          <w:sz w:val="28"/>
          <w:szCs w:val="28"/>
          <w:lang w:val="en-GB"/>
        </w:rPr>
        <w:t xml:space="preserve"> </w:t>
      </w:r>
      <w:r w:rsidR="008225B8" w:rsidRPr="004648FA">
        <w:rPr>
          <w:sz w:val="28"/>
          <w:szCs w:val="28"/>
          <w:lang w:val="en-GB"/>
        </w:rPr>
        <w:t xml:space="preserve">treatment that they experience under the </w:t>
      </w:r>
      <w:r w:rsidR="00FF1F7D">
        <w:rPr>
          <w:sz w:val="28"/>
          <w:szCs w:val="28"/>
          <w:lang w:val="en-GB"/>
        </w:rPr>
        <w:t>impugned</w:t>
      </w:r>
      <w:r w:rsidR="008225B8" w:rsidRPr="004648FA">
        <w:rPr>
          <w:sz w:val="28"/>
          <w:szCs w:val="28"/>
          <w:lang w:val="en-GB"/>
        </w:rPr>
        <w:t xml:space="preserve"> HA policies cannot be disputed, and </w:t>
      </w:r>
      <w:r w:rsidR="001A0C60">
        <w:rPr>
          <w:sz w:val="28"/>
          <w:szCs w:val="28"/>
          <w:lang w:val="en-GB"/>
        </w:rPr>
        <w:t>are</w:t>
      </w:r>
      <w:r w:rsidR="008225B8" w:rsidRPr="004648FA">
        <w:rPr>
          <w:sz w:val="28"/>
          <w:szCs w:val="28"/>
          <w:lang w:val="en-GB"/>
        </w:rPr>
        <w:t xml:space="preserve"> not disputed by the HA</w:t>
      </w:r>
      <w:r w:rsidR="00F415A9" w:rsidRPr="004648FA">
        <w:rPr>
          <w:sz w:val="28"/>
          <w:szCs w:val="28"/>
          <w:lang w:val="en-GB"/>
        </w:rPr>
        <w:t xml:space="preserve">.  </w:t>
      </w:r>
      <w:r w:rsidR="008225B8" w:rsidRPr="004648FA">
        <w:rPr>
          <w:sz w:val="28"/>
          <w:szCs w:val="28"/>
          <w:lang w:val="en-GB"/>
        </w:rPr>
        <w:t xml:space="preserve">The question thus becomes one of </w:t>
      </w:r>
      <w:proofErr w:type="gramStart"/>
      <w:r w:rsidR="008225B8" w:rsidRPr="004648FA">
        <w:rPr>
          <w:sz w:val="28"/>
          <w:szCs w:val="28"/>
          <w:lang w:val="en-GB"/>
        </w:rPr>
        <w:t xml:space="preserve">justification, or whether the </w:t>
      </w:r>
      <w:r w:rsidR="00971D7B">
        <w:rPr>
          <w:sz w:val="28"/>
          <w:szCs w:val="28"/>
          <w:lang w:val="en-GB"/>
        </w:rPr>
        <w:t>policies</w:t>
      </w:r>
      <w:r w:rsidR="008225B8" w:rsidRPr="004648FA">
        <w:rPr>
          <w:sz w:val="28"/>
          <w:szCs w:val="28"/>
          <w:lang w:val="en-GB"/>
        </w:rPr>
        <w:t xml:space="preserve"> can satisfy the proportionality analysis</w:t>
      </w:r>
      <w:proofErr w:type="gramEnd"/>
      <w:r w:rsidR="008225B8" w:rsidRPr="004648FA">
        <w:rPr>
          <w:sz w:val="28"/>
          <w:szCs w:val="28"/>
          <w:lang w:val="en-GB"/>
        </w:rPr>
        <w:t>.</w:t>
      </w:r>
    </w:p>
    <w:p w:rsidR="00071DF4" w:rsidRPr="00D44484" w:rsidRDefault="009E2AE4" w:rsidP="0053491D">
      <w:pPr>
        <w:keepNext/>
        <w:snapToGrid w:val="0"/>
        <w:spacing w:after="360" w:line="360" w:lineRule="auto"/>
        <w:jc w:val="both"/>
        <w:rPr>
          <w:i/>
          <w:sz w:val="28"/>
          <w:szCs w:val="28"/>
          <w:lang w:val="en-GB"/>
        </w:rPr>
      </w:pPr>
      <w:r>
        <w:rPr>
          <w:i/>
          <w:sz w:val="28"/>
          <w:szCs w:val="28"/>
          <w:lang w:val="en-GB"/>
        </w:rPr>
        <w:br w:type="page"/>
      </w:r>
      <w:r w:rsidR="00071DF4" w:rsidRPr="00D44484">
        <w:rPr>
          <w:i/>
          <w:sz w:val="28"/>
          <w:szCs w:val="28"/>
          <w:lang w:val="en-GB"/>
        </w:rPr>
        <w:lastRenderedPageBreak/>
        <w:t>Stage 1: Family Aim</w:t>
      </w:r>
      <w:r w:rsidR="005F6F2A" w:rsidRPr="00D44484">
        <w:rPr>
          <w:i/>
          <w:sz w:val="28"/>
          <w:szCs w:val="28"/>
          <w:lang w:val="en-GB"/>
        </w:rPr>
        <w:t xml:space="preserve"> as </w:t>
      </w:r>
      <w:r w:rsidR="007F26EF">
        <w:rPr>
          <w:i/>
          <w:sz w:val="28"/>
          <w:szCs w:val="28"/>
          <w:lang w:val="en-GB"/>
        </w:rPr>
        <w:t>l</w:t>
      </w:r>
      <w:r w:rsidR="005F6F2A" w:rsidRPr="00D44484">
        <w:rPr>
          <w:i/>
          <w:sz w:val="28"/>
          <w:szCs w:val="28"/>
          <w:lang w:val="en-GB"/>
        </w:rPr>
        <w:t>egitimate aim</w:t>
      </w:r>
    </w:p>
    <w:p w:rsidR="001F7221" w:rsidRDefault="00F76CE4"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r w:rsidR="008225B8" w:rsidRPr="004648FA">
        <w:rPr>
          <w:sz w:val="28"/>
          <w:szCs w:val="28"/>
          <w:lang w:val="en-GB"/>
        </w:rPr>
        <w:t xml:space="preserve">At Stage 1 of the proportionality analysis, </w:t>
      </w:r>
      <w:r w:rsidR="000968EC" w:rsidRPr="004648FA">
        <w:rPr>
          <w:sz w:val="28"/>
          <w:szCs w:val="28"/>
          <w:lang w:val="en-GB"/>
        </w:rPr>
        <w:t xml:space="preserve">the </w:t>
      </w:r>
      <w:r w:rsidR="008225B8" w:rsidRPr="004648FA">
        <w:rPr>
          <w:sz w:val="28"/>
          <w:szCs w:val="28"/>
          <w:lang w:val="en-GB"/>
        </w:rPr>
        <w:t>HA relies</w:t>
      </w:r>
      <w:r w:rsidR="007825F5" w:rsidRPr="004648FA">
        <w:rPr>
          <w:sz w:val="28"/>
          <w:szCs w:val="28"/>
          <w:lang w:val="en-GB"/>
        </w:rPr>
        <w:t xml:space="preserve"> on</w:t>
      </w:r>
      <w:r w:rsidR="008225B8" w:rsidRPr="004648FA">
        <w:rPr>
          <w:sz w:val="28"/>
          <w:szCs w:val="28"/>
          <w:lang w:val="en-GB"/>
        </w:rPr>
        <w:t xml:space="preserve"> </w:t>
      </w:r>
      <w:r w:rsidR="007825F5" w:rsidRPr="004648FA">
        <w:rPr>
          <w:sz w:val="28"/>
          <w:szCs w:val="28"/>
          <w:lang w:val="en-GB"/>
        </w:rPr>
        <w:t>what it says to be the</w:t>
      </w:r>
      <w:r w:rsidR="008225B8" w:rsidRPr="004648FA">
        <w:rPr>
          <w:sz w:val="28"/>
          <w:szCs w:val="28"/>
          <w:lang w:val="en-GB"/>
        </w:rPr>
        <w:t xml:space="preserve"> “chief aim</w:t>
      </w:r>
      <w:r w:rsidR="007825F5" w:rsidRPr="004648FA">
        <w:rPr>
          <w:sz w:val="28"/>
          <w:szCs w:val="28"/>
          <w:lang w:val="en-GB"/>
        </w:rPr>
        <w:t xml:space="preserve"> </w:t>
      </w:r>
      <w:r w:rsidR="008225B8" w:rsidRPr="004648FA">
        <w:rPr>
          <w:sz w:val="28"/>
          <w:szCs w:val="28"/>
          <w:lang w:val="en-GB"/>
        </w:rPr>
        <w:t xml:space="preserve">… to support traditional </w:t>
      </w:r>
      <w:r w:rsidR="00934BDB">
        <w:rPr>
          <w:sz w:val="28"/>
          <w:szCs w:val="28"/>
          <w:lang w:val="en-GB"/>
        </w:rPr>
        <w:t>families</w:t>
      </w:r>
      <w:r w:rsidR="00934BDB" w:rsidRPr="004648FA">
        <w:rPr>
          <w:sz w:val="28"/>
          <w:szCs w:val="28"/>
          <w:lang w:val="en-GB"/>
        </w:rPr>
        <w:t xml:space="preserve"> </w:t>
      </w:r>
      <w:r w:rsidR="008225B8" w:rsidRPr="004648FA">
        <w:rPr>
          <w:sz w:val="28"/>
          <w:szCs w:val="28"/>
          <w:lang w:val="en-GB"/>
        </w:rPr>
        <w:t>founded on opposite-sex marriages” (</w:t>
      </w:r>
      <w:r w:rsidR="007825F5" w:rsidRPr="004648FA">
        <w:rPr>
          <w:sz w:val="28"/>
          <w:szCs w:val="28"/>
          <w:lang w:val="en-GB"/>
        </w:rPr>
        <w:t>“</w:t>
      </w:r>
      <w:r w:rsidR="008225B8" w:rsidRPr="004648FA">
        <w:rPr>
          <w:sz w:val="28"/>
          <w:szCs w:val="28"/>
          <w:lang w:val="en-GB"/>
        </w:rPr>
        <w:t>Family Aim</w:t>
      </w:r>
      <w:r w:rsidR="007825F5" w:rsidRPr="004648FA">
        <w:rPr>
          <w:sz w:val="28"/>
          <w:szCs w:val="28"/>
          <w:lang w:val="en-GB"/>
        </w:rPr>
        <w:t>”</w:t>
      </w:r>
      <w:r w:rsidR="008225B8" w:rsidRPr="004648FA">
        <w:rPr>
          <w:sz w:val="28"/>
          <w:szCs w:val="28"/>
          <w:lang w:val="en-GB"/>
        </w:rPr>
        <w:t xml:space="preserve">) as the legitimate aim </w:t>
      </w:r>
      <w:r w:rsidR="007F26EF">
        <w:rPr>
          <w:sz w:val="28"/>
          <w:szCs w:val="28"/>
          <w:lang w:val="en-GB"/>
        </w:rPr>
        <w:t>underpinning</w:t>
      </w:r>
      <w:r w:rsidR="008225B8" w:rsidRPr="004648FA">
        <w:rPr>
          <w:sz w:val="28"/>
          <w:szCs w:val="28"/>
          <w:lang w:val="en-GB"/>
        </w:rPr>
        <w:t xml:space="preserve"> the challenged PRH and HOS policies.</w:t>
      </w:r>
      <w:r w:rsidR="00071DF4" w:rsidRPr="004648FA">
        <w:rPr>
          <w:rStyle w:val="FootnoteReference"/>
          <w:sz w:val="28"/>
          <w:lang w:val="en-GB"/>
        </w:rPr>
        <w:footnoteReference w:id="124"/>
      </w:r>
      <w:r w:rsidR="008225B8" w:rsidRPr="004648FA">
        <w:rPr>
          <w:sz w:val="28"/>
          <w:szCs w:val="28"/>
          <w:lang w:val="en-GB"/>
        </w:rPr>
        <w:t xml:space="preserve"> </w:t>
      </w:r>
    </w:p>
    <w:p w:rsidR="008225B8" w:rsidRPr="004648FA" w:rsidRDefault="00F76CE4"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proofErr w:type="gramStart"/>
      <w:r w:rsidR="008225B8" w:rsidRPr="004648FA">
        <w:rPr>
          <w:sz w:val="28"/>
          <w:szCs w:val="28"/>
          <w:lang w:val="en-GB"/>
        </w:rPr>
        <w:t>The Family Aim is said to have three connected aspects: (1) to support existing traditional families constituted by opposite-sex married couples (in and of themselves); (2) to support existing traditional families constituted by opposite-sex married couples along with their existing children; and (3) to support the institution of traditional family for the benefit of (a) opposite-sex unmarried couples whose marriage plan</w:t>
      </w:r>
      <w:r w:rsidR="00C3116E">
        <w:rPr>
          <w:sz w:val="28"/>
          <w:szCs w:val="28"/>
          <w:lang w:val="en-GB"/>
        </w:rPr>
        <w:t>s</w:t>
      </w:r>
      <w:r w:rsidR="008225B8" w:rsidRPr="004648FA">
        <w:rPr>
          <w:sz w:val="28"/>
          <w:szCs w:val="28"/>
          <w:lang w:val="en-GB"/>
        </w:rPr>
        <w:t xml:space="preserve"> may be influenced by housing availability, and (b) opposite-sex married couples whose procreative plan</w:t>
      </w:r>
      <w:r w:rsidR="00C3116E">
        <w:rPr>
          <w:sz w:val="28"/>
          <w:szCs w:val="28"/>
          <w:lang w:val="en-GB"/>
        </w:rPr>
        <w:t>s</w:t>
      </w:r>
      <w:r w:rsidR="008225B8" w:rsidRPr="004648FA">
        <w:rPr>
          <w:sz w:val="28"/>
          <w:szCs w:val="28"/>
          <w:lang w:val="en-GB"/>
        </w:rPr>
        <w:t xml:space="preserve"> may </w:t>
      </w:r>
      <w:r w:rsidR="007F26EF">
        <w:rPr>
          <w:sz w:val="28"/>
          <w:szCs w:val="28"/>
          <w:lang w:val="en-GB"/>
        </w:rPr>
        <w:t xml:space="preserve">similarly be </w:t>
      </w:r>
      <w:r w:rsidR="008225B8" w:rsidRPr="004648FA">
        <w:rPr>
          <w:sz w:val="28"/>
          <w:szCs w:val="28"/>
          <w:lang w:val="en-GB"/>
        </w:rPr>
        <w:t>influenced.</w:t>
      </w:r>
      <w:r w:rsidR="00071DF4" w:rsidRPr="004648FA">
        <w:rPr>
          <w:rStyle w:val="FootnoteReference"/>
          <w:sz w:val="28"/>
          <w:lang w:val="en-GB"/>
        </w:rPr>
        <w:t xml:space="preserve"> </w:t>
      </w:r>
      <w:r w:rsidR="00071DF4" w:rsidRPr="004648FA">
        <w:rPr>
          <w:rStyle w:val="FootnoteReference"/>
          <w:sz w:val="28"/>
          <w:lang w:val="en-GB"/>
        </w:rPr>
        <w:footnoteReference w:id="125"/>
      </w:r>
      <w:proofErr w:type="gramEnd"/>
      <w:r w:rsidR="008225B8" w:rsidRPr="004648FA">
        <w:rPr>
          <w:sz w:val="28"/>
          <w:szCs w:val="28"/>
          <w:lang w:val="en-GB"/>
        </w:rPr>
        <w:t xml:space="preserve">  </w:t>
      </w:r>
    </w:p>
    <w:p w:rsidR="002B33AF" w:rsidRPr="004648FA" w:rsidRDefault="00F76CE4" w:rsidP="0053491D">
      <w:pPr>
        <w:keepNext/>
        <w:numPr>
          <w:ilvl w:val="0"/>
          <w:numId w:val="4"/>
        </w:numPr>
        <w:snapToGrid w:val="0"/>
        <w:spacing w:after="360" w:line="360" w:lineRule="auto"/>
        <w:ind w:left="0" w:firstLine="0"/>
        <w:jc w:val="both"/>
        <w:rPr>
          <w:sz w:val="28"/>
          <w:szCs w:val="28"/>
          <w:lang w:val="en-GB"/>
        </w:rPr>
      </w:pPr>
      <w:r>
        <w:rPr>
          <w:sz w:val="28"/>
          <w:szCs w:val="28"/>
          <w:lang w:val="en-GB"/>
        </w:rPr>
        <w:tab/>
      </w:r>
      <w:r w:rsidR="008225B8" w:rsidRPr="004648FA">
        <w:rPr>
          <w:sz w:val="28"/>
          <w:szCs w:val="28"/>
          <w:lang w:val="en-GB"/>
        </w:rPr>
        <w:t>There is no dispute that the Family Aim is a legitimate aim as such,</w:t>
      </w:r>
      <w:r w:rsidR="00332085" w:rsidRPr="004648FA">
        <w:rPr>
          <w:rStyle w:val="FootnoteReference"/>
          <w:sz w:val="28"/>
          <w:szCs w:val="28"/>
          <w:lang w:val="en-GB"/>
        </w:rPr>
        <w:footnoteReference w:id="126"/>
      </w:r>
      <w:r w:rsidR="008225B8" w:rsidRPr="004648FA">
        <w:rPr>
          <w:sz w:val="28"/>
          <w:szCs w:val="28"/>
          <w:lang w:val="en-GB"/>
        </w:rPr>
        <w:t xml:space="preserve"> although </w:t>
      </w:r>
      <w:r w:rsidR="006003FC">
        <w:rPr>
          <w:sz w:val="28"/>
          <w:szCs w:val="28"/>
          <w:lang w:val="en-GB"/>
        </w:rPr>
        <w:t>I</w:t>
      </w:r>
      <w:r w:rsidR="008225B8" w:rsidRPr="004648FA">
        <w:rPr>
          <w:sz w:val="28"/>
          <w:szCs w:val="28"/>
          <w:lang w:val="en-GB"/>
        </w:rPr>
        <w:t xml:space="preserve"> repeat </w:t>
      </w:r>
      <w:r w:rsidR="006003FC">
        <w:rPr>
          <w:sz w:val="28"/>
          <w:szCs w:val="28"/>
          <w:lang w:val="en-GB"/>
        </w:rPr>
        <w:t>my earlier</w:t>
      </w:r>
      <w:r w:rsidR="008225B8" w:rsidRPr="004648FA">
        <w:rPr>
          <w:sz w:val="28"/>
          <w:szCs w:val="28"/>
          <w:lang w:val="en-GB"/>
        </w:rPr>
        <w:t xml:space="preserve"> reservation regarding the HA’s primary objective to meet the housing needs of </w:t>
      </w:r>
      <w:r w:rsidR="007F26EF">
        <w:rPr>
          <w:sz w:val="28"/>
          <w:szCs w:val="28"/>
          <w:lang w:val="en-GB"/>
        </w:rPr>
        <w:t>the underprivileged class</w:t>
      </w:r>
      <w:r w:rsidR="008225B8" w:rsidRPr="004648FA">
        <w:rPr>
          <w:sz w:val="28"/>
          <w:szCs w:val="28"/>
          <w:lang w:val="en-GB"/>
        </w:rPr>
        <w:t>.</w:t>
      </w:r>
      <w:r w:rsidR="00D44484">
        <w:rPr>
          <w:rStyle w:val="FootnoteReference"/>
          <w:sz w:val="28"/>
          <w:szCs w:val="28"/>
          <w:lang w:val="en-GB"/>
        </w:rPr>
        <w:footnoteReference w:id="127"/>
      </w:r>
    </w:p>
    <w:p w:rsidR="008225B8" w:rsidRPr="00D44484" w:rsidRDefault="009E2AE4" w:rsidP="0053491D">
      <w:pPr>
        <w:keepNext/>
        <w:snapToGrid w:val="0"/>
        <w:spacing w:after="360" w:line="360" w:lineRule="auto"/>
        <w:jc w:val="both"/>
        <w:rPr>
          <w:i/>
          <w:sz w:val="28"/>
          <w:szCs w:val="28"/>
          <w:lang w:val="en-GB"/>
        </w:rPr>
      </w:pPr>
      <w:r>
        <w:rPr>
          <w:i/>
          <w:sz w:val="28"/>
          <w:szCs w:val="28"/>
          <w:lang w:val="en-GB"/>
        </w:rPr>
        <w:br w:type="page"/>
      </w:r>
      <w:r w:rsidR="008F6226" w:rsidRPr="00D44484">
        <w:rPr>
          <w:i/>
          <w:sz w:val="28"/>
          <w:szCs w:val="28"/>
          <w:lang w:val="en-GB"/>
        </w:rPr>
        <w:lastRenderedPageBreak/>
        <w:t xml:space="preserve">Stage 2: </w:t>
      </w:r>
      <w:r w:rsidR="008C273E" w:rsidRPr="00D44484">
        <w:rPr>
          <w:i/>
          <w:sz w:val="28"/>
          <w:szCs w:val="28"/>
          <w:lang w:val="en-GB"/>
        </w:rPr>
        <w:t xml:space="preserve">Whether the </w:t>
      </w:r>
      <w:r w:rsidR="008F6226" w:rsidRPr="00D44484">
        <w:rPr>
          <w:i/>
          <w:sz w:val="28"/>
          <w:szCs w:val="28"/>
          <w:lang w:val="en-GB"/>
        </w:rPr>
        <w:t xml:space="preserve">PRH and HOS policies </w:t>
      </w:r>
      <w:proofErr w:type="gramStart"/>
      <w:r w:rsidR="008C273E" w:rsidRPr="00D44484">
        <w:rPr>
          <w:i/>
          <w:sz w:val="28"/>
          <w:szCs w:val="28"/>
          <w:lang w:val="en-GB"/>
        </w:rPr>
        <w:t xml:space="preserve">are </w:t>
      </w:r>
      <w:r w:rsidR="008F6226" w:rsidRPr="00D44484">
        <w:rPr>
          <w:i/>
          <w:sz w:val="28"/>
          <w:szCs w:val="28"/>
          <w:lang w:val="en-GB"/>
        </w:rPr>
        <w:t>rationally connected</w:t>
      </w:r>
      <w:proofErr w:type="gramEnd"/>
      <w:r w:rsidR="008F6226" w:rsidRPr="00D44484">
        <w:rPr>
          <w:i/>
          <w:sz w:val="28"/>
          <w:szCs w:val="28"/>
          <w:lang w:val="en-GB"/>
        </w:rPr>
        <w:t xml:space="preserve"> to </w:t>
      </w:r>
      <w:r w:rsidR="005F6F2A" w:rsidRPr="00D44484">
        <w:rPr>
          <w:i/>
          <w:sz w:val="28"/>
          <w:szCs w:val="28"/>
          <w:lang w:val="en-GB"/>
        </w:rPr>
        <w:t xml:space="preserve">the </w:t>
      </w:r>
      <w:r w:rsidR="008F6226" w:rsidRPr="00D44484">
        <w:rPr>
          <w:i/>
          <w:sz w:val="28"/>
          <w:szCs w:val="28"/>
          <w:lang w:val="en-GB"/>
        </w:rPr>
        <w:t>Family Aim</w:t>
      </w:r>
      <w:r w:rsidR="008C273E" w:rsidRPr="00D44484">
        <w:rPr>
          <w:i/>
          <w:sz w:val="28"/>
          <w:szCs w:val="28"/>
          <w:lang w:val="en-GB"/>
        </w:rPr>
        <w:t xml:space="preserve"> (Question 4)</w:t>
      </w:r>
      <w:r w:rsidR="008C273E" w:rsidRPr="00D44484">
        <w:rPr>
          <w:rStyle w:val="FootnoteReference"/>
          <w:i/>
          <w:sz w:val="28"/>
          <w:szCs w:val="28"/>
          <w:lang w:val="en-GB"/>
        </w:rPr>
        <w:footnoteReference w:id="128"/>
      </w:r>
    </w:p>
    <w:p w:rsidR="00E32992" w:rsidRDefault="008225B8" w:rsidP="00934EAB">
      <w:pPr>
        <w:keepNext/>
        <w:numPr>
          <w:ilvl w:val="0"/>
          <w:numId w:val="4"/>
        </w:numPr>
        <w:tabs>
          <w:tab w:val="left" w:pos="1440"/>
        </w:tabs>
        <w:snapToGrid w:val="0"/>
        <w:spacing w:after="360" w:line="360" w:lineRule="auto"/>
        <w:ind w:left="0" w:firstLine="0"/>
        <w:jc w:val="both"/>
        <w:rPr>
          <w:sz w:val="28"/>
          <w:szCs w:val="28"/>
          <w:lang w:val="en-GB"/>
        </w:rPr>
      </w:pPr>
      <w:r w:rsidRPr="00E32992">
        <w:rPr>
          <w:sz w:val="28"/>
          <w:szCs w:val="28"/>
          <w:lang w:val="en-GB"/>
        </w:rPr>
        <w:t>As for the rational connection between the Family Aim and the challenged policies (</w:t>
      </w:r>
      <w:r w:rsidR="00322853">
        <w:rPr>
          <w:sz w:val="28"/>
          <w:szCs w:val="28"/>
          <w:lang w:val="en-GB"/>
        </w:rPr>
        <w:t>i.e.</w:t>
      </w:r>
      <w:r w:rsidRPr="00E32992">
        <w:rPr>
          <w:sz w:val="28"/>
          <w:szCs w:val="28"/>
          <w:lang w:val="en-GB"/>
        </w:rPr>
        <w:t xml:space="preserve"> Stage 2 of the proportionality analysis), the courts below have accepted that the PRH policy is rationally connected to the Family Aim,</w:t>
      </w:r>
      <w:r w:rsidR="00FC4570" w:rsidRPr="004648FA">
        <w:rPr>
          <w:rStyle w:val="FootnoteReference"/>
          <w:sz w:val="28"/>
          <w:lang w:val="en-GB"/>
        </w:rPr>
        <w:footnoteReference w:id="129"/>
      </w:r>
      <w:r w:rsidRPr="00E32992">
        <w:rPr>
          <w:sz w:val="28"/>
          <w:szCs w:val="28"/>
          <w:lang w:val="en-GB"/>
        </w:rPr>
        <w:t xml:space="preserve"> whereas the </w:t>
      </w:r>
      <w:r w:rsidR="00D43DE0">
        <w:rPr>
          <w:sz w:val="28"/>
          <w:szCs w:val="28"/>
          <w:lang w:val="en-GB"/>
        </w:rPr>
        <w:t>impugned</w:t>
      </w:r>
      <w:r w:rsidRPr="00E32992">
        <w:rPr>
          <w:sz w:val="28"/>
          <w:szCs w:val="28"/>
          <w:lang w:val="en-GB"/>
        </w:rPr>
        <w:t xml:space="preserve"> HOS polic</w:t>
      </w:r>
      <w:r w:rsidR="00EE5643">
        <w:rPr>
          <w:sz w:val="28"/>
          <w:szCs w:val="28"/>
          <w:lang w:val="en-GB"/>
        </w:rPr>
        <w:t>ies are</w:t>
      </w:r>
      <w:r w:rsidRPr="00E32992">
        <w:rPr>
          <w:sz w:val="28"/>
          <w:szCs w:val="28"/>
          <w:lang w:val="en-GB"/>
        </w:rPr>
        <w:t xml:space="preserve"> not.</w:t>
      </w:r>
      <w:r w:rsidR="00FC4570" w:rsidRPr="004648FA">
        <w:rPr>
          <w:rStyle w:val="FootnoteReference"/>
          <w:sz w:val="28"/>
          <w:lang w:val="en-GB"/>
        </w:rPr>
        <w:footnoteReference w:id="130"/>
      </w:r>
      <w:r w:rsidRPr="00E32992">
        <w:rPr>
          <w:sz w:val="28"/>
          <w:szCs w:val="28"/>
          <w:lang w:val="en-GB"/>
        </w:rPr>
        <w:t xml:space="preserve"> Both conclusions </w:t>
      </w:r>
      <w:proofErr w:type="gramStart"/>
      <w:r w:rsidRPr="00E32992">
        <w:rPr>
          <w:sz w:val="28"/>
          <w:szCs w:val="28"/>
          <w:lang w:val="en-GB"/>
        </w:rPr>
        <w:t>are respectively disputed</w:t>
      </w:r>
      <w:proofErr w:type="gramEnd"/>
      <w:r w:rsidRPr="00E32992">
        <w:rPr>
          <w:sz w:val="28"/>
          <w:szCs w:val="28"/>
          <w:lang w:val="en-GB"/>
        </w:rPr>
        <w:t xml:space="preserve"> before us.</w:t>
      </w:r>
      <w:r w:rsidR="00804D54" w:rsidRPr="004648FA">
        <w:rPr>
          <w:rStyle w:val="FootnoteReference"/>
          <w:sz w:val="28"/>
          <w:szCs w:val="28"/>
          <w:lang w:val="en-GB"/>
        </w:rPr>
        <w:footnoteReference w:id="131"/>
      </w:r>
    </w:p>
    <w:p w:rsidR="008225B8" w:rsidRPr="00BD7F0A" w:rsidRDefault="00E32992" w:rsidP="000563D0">
      <w:pPr>
        <w:keepNext/>
        <w:snapToGrid w:val="0"/>
        <w:spacing w:after="360" w:line="360" w:lineRule="auto"/>
        <w:jc w:val="both"/>
        <w:rPr>
          <w:sz w:val="28"/>
          <w:szCs w:val="28"/>
          <w:lang w:val="en-GB"/>
        </w:rPr>
      </w:pPr>
      <w:r w:rsidRPr="00BD7F0A">
        <w:rPr>
          <w:sz w:val="28"/>
          <w:szCs w:val="28"/>
          <w:lang w:val="en-GB"/>
        </w:rPr>
        <w:t>59.</w:t>
      </w:r>
      <w:r w:rsidRPr="00BD7F0A">
        <w:rPr>
          <w:sz w:val="28"/>
          <w:szCs w:val="28"/>
          <w:lang w:val="en-GB"/>
        </w:rPr>
        <w:tab/>
      </w:r>
      <w:r w:rsidR="00F76CE4" w:rsidRPr="00BD7F0A">
        <w:rPr>
          <w:sz w:val="28"/>
          <w:szCs w:val="28"/>
          <w:lang w:val="en-GB"/>
        </w:rPr>
        <w:tab/>
      </w:r>
      <w:r w:rsidR="008225B8" w:rsidRPr="00BD7F0A">
        <w:rPr>
          <w:sz w:val="28"/>
          <w:szCs w:val="28"/>
          <w:lang w:val="en-GB"/>
        </w:rPr>
        <w:t xml:space="preserve">As regards the PRH policy and its rational connection to the Family Aim, the main </w:t>
      </w:r>
      <w:r w:rsidR="0029628C" w:rsidRPr="00BD7F0A">
        <w:rPr>
          <w:sz w:val="28"/>
          <w:szCs w:val="28"/>
          <w:lang w:val="en-GB"/>
        </w:rPr>
        <w:t>argument</w:t>
      </w:r>
      <w:r w:rsidR="008225B8" w:rsidRPr="00BD7F0A">
        <w:rPr>
          <w:sz w:val="28"/>
          <w:szCs w:val="28"/>
          <w:lang w:val="en-GB"/>
        </w:rPr>
        <w:t xml:space="preserve"> raised for Mr </w:t>
      </w:r>
      <w:proofErr w:type="spellStart"/>
      <w:r w:rsidR="008225B8" w:rsidRPr="00BD7F0A">
        <w:rPr>
          <w:sz w:val="28"/>
          <w:szCs w:val="28"/>
          <w:lang w:val="en-GB"/>
        </w:rPr>
        <w:t>Infinger</w:t>
      </w:r>
      <w:proofErr w:type="spellEnd"/>
      <w:r w:rsidR="008225B8" w:rsidRPr="00BD7F0A">
        <w:rPr>
          <w:sz w:val="28"/>
          <w:szCs w:val="28"/>
          <w:lang w:val="en-GB"/>
        </w:rPr>
        <w:t xml:space="preserve"> is </w:t>
      </w:r>
      <w:r w:rsidR="00234B49" w:rsidRPr="00BD7F0A">
        <w:rPr>
          <w:sz w:val="28"/>
          <w:szCs w:val="28"/>
          <w:lang w:val="en-GB"/>
        </w:rPr>
        <w:t>one on the lack of evidence.</w:t>
      </w:r>
      <w:r w:rsidR="00BD7F0A">
        <w:rPr>
          <w:rStyle w:val="FootnoteReference"/>
          <w:sz w:val="28"/>
          <w:szCs w:val="28"/>
          <w:lang w:val="en-GB"/>
        </w:rPr>
        <w:footnoteReference w:id="132"/>
      </w:r>
      <w:r w:rsidR="00234B49" w:rsidRPr="00BD7F0A">
        <w:rPr>
          <w:sz w:val="28"/>
          <w:szCs w:val="28"/>
          <w:lang w:val="en-GB"/>
        </w:rPr>
        <w:t xml:space="preserve">  Apart from its repeated claim of a zero-sum situation,</w:t>
      </w:r>
      <w:r w:rsidR="0029628C">
        <w:rPr>
          <w:rStyle w:val="FootnoteReference"/>
          <w:sz w:val="28"/>
          <w:szCs w:val="28"/>
          <w:lang w:val="en-GB"/>
        </w:rPr>
        <w:footnoteReference w:id="133"/>
      </w:r>
      <w:r w:rsidR="0029628C" w:rsidRPr="00BD7F0A">
        <w:rPr>
          <w:sz w:val="28"/>
          <w:szCs w:val="28"/>
          <w:lang w:val="en-GB"/>
        </w:rPr>
        <w:t xml:space="preserve"> it is argued,</w:t>
      </w:r>
      <w:r w:rsidR="00234B49" w:rsidRPr="00BD7F0A">
        <w:rPr>
          <w:sz w:val="28"/>
          <w:szCs w:val="28"/>
          <w:lang w:val="en-GB"/>
        </w:rPr>
        <w:t xml:space="preserve"> t</w:t>
      </w:r>
      <w:r w:rsidR="008225B8" w:rsidRPr="00BD7F0A">
        <w:rPr>
          <w:sz w:val="28"/>
          <w:szCs w:val="28"/>
          <w:lang w:val="en-GB"/>
        </w:rPr>
        <w:t>he</w:t>
      </w:r>
      <w:r w:rsidR="00234B49" w:rsidRPr="00BD7F0A">
        <w:rPr>
          <w:sz w:val="28"/>
          <w:szCs w:val="28"/>
          <w:lang w:val="en-GB"/>
        </w:rPr>
        <w:t xml:space="preserve"> HA has not adduced any evidence to d</w:t>
      </w:r>
      <w:r w:rsidR="008225B8" w:rsidRPr="00BD7F0A">
        <w:rPr>
          <w:sz w:val="28"/>
          <w:szCs w:val="28"/>
          <w:lang w:val="en-GB"/>
        </w:rPr>
        <w:t>emonstrate how its</w:t>
      </w:r>
      <w:r w:rsidR="00234B49" w:rsidRPr="00BD7F0A">
        <w:rPr>
          <w:sz w:val="28"/>
          <w:szCs w:val="28"/>
          <w:lang w:val="en-GB"/>
        </w:rPr>
        <w:t xml:space="preserve"> exclusionary policies </w:t>
      </w:r>
      <w:r w:rsidR="005F6F2A" w:rsidRPr="00BD7F0A">
        <w:rPr>
          <w:sz w:val="28"/>
          <w:szCs w:val="28"/>
          <w:lang w:val="en-GB"/>
        </w:rPr>
        <w:t xml:space="preserve">would </w:t>
      </w:r>
      <w:r w:rsidR="0029628C" w:rsidRPr="00BD7F0A">
        <w:rPr>
          <w:sz w:val="28"/>
          <w:szCs w:val="28"/>
          <w:lang w:val="en-GB"/>
        </w:rPr>
        <w:t>improve</w:t>
      </w:r>
      <w:r w:rsidR="008225B8" w:rsidRPr="00BD7F0A">
        <w:rPr>
          <w:sz w:val="28"/>
          <w:szCs w:val="28"/>
          <w:lang w:val="en-GB"/>
        </w:rPr>
        <w:t xml:space="preserve"> the actual allocation of units in the real world and thus </w:t>
      </w:r>
      <w:r w:rsidR="005048B9">
        <w:rPr>
          <w:sz w:val="28"/>
          <w:szCs w:val="28"/>
          <w:lang w:val="en-GB"/>
        </w:rPr>
        <w:t>support</w:t>
      </w:r>
      <w:r w:rsidR="008225B8" w:rsidRPr="00BD7F0A">
        <w:rPr>
          <w:sz w:val="28"/>
          <w:szCs w:val="28"/>
          <w:lang w:val="en-GB"/>
        </w:rPr>
        <w:t xml:space="preserve"> the Family Aim.</w:t>
      </w:r>
      <w:r w:rsidR="00F51B5C" w:rsidRPr="004648FA">
        <w:rPr>
          <w:rStyle w:val="FootnoteReference"/>
          <w:sz w:val="28"/>
          <w:szCs w:val="28"/>
          <w:lang w:val="en-GB"/>
        </w:rPr>
        <w:footnoteReference w:id="134"/>
      </w:r>
      <w:r w:rsidR="008225B8" w:rsidRPr="00BD7F0A">
        <w:rPr>
          <w:sz w:val="28"/>
          <w:szCs w:val="28"/>
          <w:lang w:val="en-GB"/>
        </w:rPr>
        <w:t xml:space="preserve">  </w:t>
      </w:r>
    </w:p>
    <w:p w:rsidR="002B33AF" w:rsidRPr="004648FA" w:rsidRDefault="00A53668" w:rsidP="000563D0">
      <w:pPr>
        <w:keepNext/>
        <w:numPr>
          <w:ilvl w:val="0"/>
          <w:numId w:val="7"/>
        </w:numPr>
        <w:snapToGrid w:val="0"/>
        <w:spacing w:after="360" w:line="360" w:lineRule="auto"/>
        <w:ind w:left="0" w:hanging="11"/>
        <w:jc w:val="both"/>
        <w:rPr>
          <w:sz w:val="28"/>
          <w:szCs w:val="28"/>
          <w:lang w:val="en-GB"/>
        </w:rPr>
      </w:pPr>
      <w:r>
        <w:rPr>
          <w:sz w:val="28"/>
          <w:szCs w:val="28"/>
          <w:lang w:val="en-GB"/>
        </w:rPr>
        <w:tab/>
      </w:r>
      <w:r w:rsidR="008225B8" w:rsidRPr="004648FA">
        <w:rPr>
          <w:sz w:val="28"/>
          <w:szCs w:val="28"/>
          <w:lang w:val="en-GB"/>
        </w:rPr>
        <w:t xml:space="preserve">The HA essentially counters that whether there is a rational connection is a question that can be decided by simple logic and common </w:t>
      </w:r>
      <w:r w:rsidR="008225B8" w:rsidRPr="004648FA">
        <w:rPr>
          <w:sz w:val="28"/>
          <w:szCs w:val="28"/>
          <w:lang w:val="en-GB"/>
        </w:rPr>
        <w:lastRenderedPageBreak/>
        <w:t>sense</w:t>
      </w:r>
      <w:r w:rsidR="00F415A9" w:rsidRPr="004648FA">
        <w:rPr>
          <w:sz w:val="28"/>
          <w:szCs w:val="28"/>
          <w:lang w:val="en-GB"/>
        </w:rPr>
        <w:t>.</w:t>
      </w:r>
      <w:r w:rsidR="00BD7F0A">
        <w:rPr>
          <w:rStyle w:val="FootnoteReference"/>
          <w:sz w:val="28"/>
          <w:szCs w:val="28"/>
          <w:lang w:val="en-GB"/>
        </w:rPr>
        <w:footnoteReference w:id="135"/>
      </w:r>
      <w:r w:rsidR="00F415A9" w:rsidRPr="004648FA">
        <w:rPr>
          <w:sz w:val="28"/>
          <w:szCs w:val="28"/>
          <w:lang w:val="en-GB"/>
        </w:rPr>
        <w:t xml:space="preserve">  </w:t>
      </w:r>
      <w:r w:rsidR="008225B8" w:rsidRPr="004648FA">
        <w:rPr>
          <w:sz w:val="28"/>
          <w:szCs w:val="28"/>
          <w:lang w:val="en-GB"/>
        </w:rPr>
        <w:t xml:space="preserve">Given that the supply of PRH units is </w:t>
      </w:r>
      <w:r w:rsidR="0029628C">
        <w:rPr>
          <w:sz w:val="28"/>
          <w:szCs w:val="28"/>
          <w:lang w:val="en-GB"/>
        </w:rPr>
        <w:t xml:space="preserve">exceedingly </w:t>
      </w:r>
      <w:r w:rsidR="008225B8" w:rsidRPr="004648FA">
        <w:rPr>
          <w:sz w:val="28"/>
          <w:szCs w:val="28"/>
          <w:lang w:val="en-GB"/>
        </w:rPr>
        <w:t xml:space="preserve">limited, it must follow that </w:t>
      </w:r>
      <w:proofErr w:type="gramStart"/>
      <w:r w:rsidR="008225B8" w:rsidRPr="004648FA">
        <w:rPr>
          <w:sz w:val="28"/>
          <w:szCs w:val="28"/>
          <w:lang w:val="en-GB"/>
        </w:rPr>
        <w:t>the Family Aim is furthered by only allowing opposite-sex couples to apply</w:t>
      </w:r>
      <w:proofErr w:type="gramEnd"/>
      <w:r w:rsidR="00F415A9" w:rsidRPr="004648FA">
        <w:rPr>
          <w:sz w:val="28"/>
          <w:szCs w:val="28"/>
          <w:lang w:val="en-GB"/>
        </w:rPr>
        <w:t xml:space="preserve">.  </w:t>
      </w:r>
      <w:r w:rsidR="008225B8" w:rsidRPr="004648FA">
        <w:rPr>
          <w:sz w:val="28"/>
          <w:szCs w:val="28"/>
          <w:lang w:val="en-GB"/>
        </w:rPr>
        <w:t>Evidence is not required to prove this self-evident proposition.</w:t>
      </w:r>
      <w:r w:rsidR="00BD7F0A">
        <w:rPr>
          <w:rStyle w:val="FootnoteReference"/>
          <w:sz w:val="28"/>
          <w:szCs w:val="28"/>
          <w:lang w:val="en-GB"/>
        </w:rPr>
        <w:footnoteReference w:id="136"/>
      </w:r>
    </w:p>
    <w:p w:rsidR="00D44484" w:rsidRDefault="00A53668" w:rsidP="000563D0">
      <w:pPr>
        <w:keepNext/>
        <w:numPr>
          <w:ilvl w:val="0"/>
          <w:numId w:val="7"/>
        </w:numPr>
        <w:snapToGrid w:val="0"/>
        <w:spacing w:after="360" w:line="360" w:lineRule="auto"/>
        <w:ind w:left="0" w:firstLine="0"/>
        <w:jc w:val="both"/>
        <w:rPr>
          <w:sz w:val="28"/>
          <w:szCs w:val="28"/>
          <w:lang w:val="en-GB"/>
        </w:rPr>
      </w:pPr>
      <w:r>
        <w:rPr>
          <w:sz w:val="28"/>
          <w:szCs w:val="28"/>
          <w:lang w:val="en-GB"/>
        </w:rPr>
        <w:tab/>
      </w:r>
      <w:r w:rsidR="00B04E47">
        <w:rPr>
          <w:sz w:val="28"/>
          <w:szCs w:val="28"/>
          <w:lang w:val="en-GB"/>
        </w:rPr>
        <w:t>The question of rational connection is context</w:t>
      </w:r>
      <w:r w:rsidR="00776578">
        <w:rPr>
          <w:sz w:val="28"/>
          <w:szCs w:val="28"/>
          <w:lang w:val="en-GB"/>
        </w:rPr>
        <w:t>-dependent.</w:t>
      </w:r>
      <w:r w:rsidR="00BD7F0A">
        <w:rPr>
          <w:rStyle w:val="FootnoteReference"/>
          <w:sz w:val="28"/>
          <w:szCs w:val="28"/>
          <w:lang w:val="en-GB"/>
        </w:rPr>
        <w:footnoteReference w:id="137"/>
      </w:r>
      <w:r w:rsidR="00776578">
        <w:rPr>
          <w:sz w:val="28"/>
          <w:szCs w:val="28"/>
          <w:lang w:val="en-GB"/>
        </w:rPr>
        <w:t xml:space="preserve">  Whilst there has to be a causal relation between the </w:t>
      </w:r>
      <w:r w:rsidR="00003976">
        <w:rPr>
          <w:sz w:val="28"/>
          <w:szCs w:val="28"/>
          <w:lang w:val="en-GB"/>
        </w:rPr>
        <w:t>legitimate</w:t>
      </w:r>
      <w:r w:rsidR="00776578">
        <w:rPr>
          <w:sz w:val="28"/>
          <w:szCs w:val="28"/>
          <w:lang w:val="en-GB"/>
        </w:rPr>
        <w:t xml:space="preserve"> aim and the impugned measure in the sense that the implementation of the measure “can reasonably be expected to contribute towards the achievement of the [aim]”,</w:t>
      </w:r>
      <w:r w:rsidR="00003976">
        <w:rPr>
          <w:rStyle w:val="FootnoteReference"/>
          <w:sz w:val="28"/>
          <w:szCs w:val="28"/>
          <w:lang w:val="en-GB"/>
        </w:rPr>
        <w:footnoteReference w:id="138"/>
      </w:r>
      <w:r w:rsidR="00776578">
        <w:rPr>
          <w:sz w:val="28"/>
          <w:szCs w:val="28"/>
          <w:lang w:val="en-GB"/>
        </w:rPr>
        <w:t xml:space="preserve"> </w:t>
      </w:r>
      <w:r w:rsidR="008225B8" w:rsidRPr="004648FA">
        <w:rPr>
          <w:sz w:val="28"/>
          <w:szCs w:val="28"/>
          <w:lang w:val="en-GB"/>
        </w:rPr>
        <w:t>the threshold for establishing a rational connection</w:t>
      </w:r>
      <w:r w:rsidR="00D338E4" w:rsidRPr="004648FA">
        <w:rPr>
          <w:sz w:val="28"/>
          <w:szCs w:val="28"/>
          <w:lang w:val="en-GB"/>
        </w:rPr>
        <w:t xml:space="preserve">, as compared to </w:t>
      </w:r>
      <w:r w:rsidR="00D44484">
        <w:rPr>
          <w:sz w:val="28"/>
          <w:szCs w:val="28"/>
          <w:lang w:val="en-GB"/>
        </w:rPr>
        <w:t xml:space="preserve">the </w:t>
      </w:r>
      <w:r w:rsidR="00D43DE0">
        <w:rPr>
          <w:sz w:val="28"/>
          <w:szCs w:val="28"/>
          <w:lang w:val="en-GB"/>
        </w:rPr>
        <w:t xml:space="preserve">standard of review often employed </w:t>
      </w:r>
      <w:r w:rsidR="00D44484">
        <w:rPr>
          <w:sz w:val="28"/>
          <w:szCs w:val="28"/>
          <w:lang w:val="en-GB"/>
        </w:rPr>
        <w:t xml:space="preserve">under </w:t>
      </w:r>
      <w:r w:rsidR="00D338E4" w:rsidRPr="004648FA">
        <w:rPr>
          <w:sz w:val="28"/>
          <w:szCs w:val="28"/>
          <w:lang w:val="en-GB"/>
        </w:rPr>
        <w:t>Stage 3</w:t>
      </w:r>
      <w:r w:rsidR="00D43DE0">
        <w:rPr>
          <w:sz w:val="28"/>
          <w:szCs w:val="28"/>
          <w:lang w:val="en-GB"/>
        </w:rPr>
        <w:t>,</w:t>
      </w:r>
      <w:r w:rsidR="008225B8" w:rsidRPr="004648FA">
        <w:rPr>
          <w:sz w:val="28"/>
          <w:szCs w:val="28"/>
          <w:lang w:val="en-GB"/>
        </w:rPr>
        <w:t xml:space="preserve"> is relatively low</w:t>
      </w:r>
      <w:r w:rsidR="00776578">
        <w:rPr>
          <w:sz w:val="28"/>
          <w:szCs w:val="28"/>
          <w:lang w:val="en-GB"/>
        </w:rPr>
        <w:t xml:space="preserve">.  Depending on the facts, it may be satisfied merely </w:t>
      </w:r>
      <w:r w:rsidR="00F415A9">
        <w:rPr>
          <w:sz w:val="28"/>
          <w:szCs w:val="28"/>
          <w:lang w:val="en-GB"/>
        </w:rPr>
        <w:t>based on</w:t>
      </w:r>
      <w:r w:rsidR="00776578">
        <w:rPr>
          <w:sz w:val="28"/>
          <w:szCs w:val="28"/>
          <w:lang w:val="en-GB"/>
        </w:rPr>
        <w:t xml:space="preserve"> </w:t>
      </w:r>
      <w:r w:rsidR="002C0E9A">
        <w:rPr>
          <w:sz w:val="28"/>
          <w:szCs w:val="28"/>
          <w:lang w:val="en-GB"/>
        </w:rPr>
        <w:t>“</w:t>
      </w:r>
      <w:r w:rsidR="00776578">
        <w:rPr>
          <w:sz w:val="28"/>
          <w:szCs w:val="28"/>
          <w:lang w:val="en-GB"/>
        </w:rPr>
        <w:t>reason or logic”,</w:t>
      </w:r>
      <w:r w:rsidR="002C0E9A">
        <w:rPr>
          <w:sz w:val="28"/>
          <w:szCs w:val="28"/>
          <w:lang w:val="en-GB"/>
        </w:rPr>
        <w:t xml:space="preserve"> or “common sense”, </w:t>
      </w:r>
      <w:r w:rsidR="00776578">
        <w:rPr>
          <w:sz w:val="28"/>
          <w:szCs w:val="28"/>
          <w:lang w:val="en-GB"/>
        </w:rPr>
        <w:t>without further proof.</w:t>
      </w:r>
      <w:r w:rsidR="00003976">
        <w:rPr>
          <w:rStyle w:val="FootnoteReference"/>
          <w:sz w:val="28"/>
          <w:szCs w:val="28"/>
          <w:lang w:val="en-GB"/>
        </w:rPr>
        <w:footnoteReference w:id="139"/>
      </w:r>
      <w:r w:rsidR="00776578">
        <w:rPr>
          <w:sz w:val="28"/>
          <w:szCs w:val="28"/>
          <w:lang w:val="en-GB"/>
        </w:rPr>
        <w:t xml:space="preserve">  Moreover, the court has </w:t>
      </w:r>
      <w:r w:rsidR="002C0E9A">
        <w:rPr>
          <w:sz w:val="28"/>
          <w:szCs w:val="28"/>
          <w:lang w:val="en-GB"/>
        </w:rPr>
        <w:t>t</w:t>
      </w:r>
      <w:r w:rsidR="00776578">
        <w:rPr>
          <w:sz w:val="28"/>
          <w:szCs w:val="28"/>
          <w:lang w:val="en-GB"/>
        </w:rPr>
        <w:t>o “allow room for the exercise of judgment</w:t>
      </w:r>
      <w:r w:rsidR="002C0E9A">
        <w:rPr>
          <w:sz w:val="28"/>
          <w:szCs w:val="28"/>
          <w:lang w:val="en-GB"/>
        </w:rPr>
        <w:t>”</w:t>
      </w:r>
      <w:r w:rsidR="00776578">
        <w:rPr>
          <w:sz w:val="28"/>
          <w:szCs w:val="28"/>
          <w:lang w:val="en-GB"/>
        </w:rPr>
        <w:t xml:space="preserve"> by the </w:t>
      </w:r>
      <w:r w:rsidR="00D44484">
        <w:rPr>
          <w:sz w:val="28"/>
          <w:szCs w:val="28"/>
          <w:lang w:val="en-GB"/>
        </w:rPr>
        <w:t>executive or the l</w:t>
      </w:r>
      <w:r w:rsidR="00776578">
        <w:rPr>
          <w:sz w:val="28"/>
          <w:szCs w:val="28"/>
          <w:lang w:val="en-GB"/>
        </w:rPr>
        <w:t xml:space="preserve">egislature where the </w:t>
      </w:r>
      <w:r w:rsidR="00D43DE0">
        <w:rPr>
          <w:sz w:val="28"/>
          <w:szCs w:val="28"/>
          <w:lang w:val="en-GB"/>
        </w:rPr>
        <w:t>challenged</w:t>
      </w:r>
      <w:r w:rsidR="00776578">
        <w:rPr>
          <w:sz w:val="28"/>
          <w:szCs w:val="28"/>
          <w:lang w:val="en-GB"/>
        </w:rPr>
        <w:t xml:space="preserve"> measure is based on an evaluation of complex facts, or </w:t>
      </w:r>
      <w:r w:rsidR="002C0E9A">
        <w:rPr>
          <w:sz w:val="28"/>
          <w:szCs w:val="28"/>
          <w:lang w:val="en-GB"/>
        </w:rPr>
        <w:t>considerations</w:t>
      </w:r>
      <w:r w:rsidR="00776578">
        <w:rPr>
          <w:sz w:val="28"/>
          <w:szCs w:val="28"/>
          <w:lang w:val="en-GB"/>
        </w:rPr>
        <w:t xml:space="preserve"> </w:t>
      </w:r>
      <w:r w:rsidR="00003976">
        <w:rPr>
          <w:sz w:val="28"/>
          <w:szCs w:val="28"/>
          <w:lang w:val="en-GB"/>
        </w:rPr>
        <w:t>which are contestable or may be</w:t>
      </w:r>
      <w:r w:rsidR="00977867">
        <w:rPr>
          <w:sz w:val="28"/>
          <w:szCs w:val="28"/>
          <w:lang w:val="en-GB"/>
        </w:rPr>
        <w:t xml:space="preserve"> cont</w:t>
      </w:r>
      <w:r w:rsidR="00003976">
        <w:rPr>
          <w:sz w:val="28"/>
          <w:szCs w:val="28"/>
          <w:lang w:val="en-GB"/>
        </w:rPr>
        <w:t>roversial.</w:t>
      </w:r>
      <w:r w:rsidR="00B71F3B">
        <w:rPr>
          <w:rStyle w:val="FootnoteReference"/>
          <w:sz w:val="28"/>
          <w:szCs w:val="28"/>
          <w:lang w:val="en-GB"/>
        </w:rPr>
        <w:footnoteReference w:id="140"/>
      </w:r>
      <w:r w:rsidR="00003976">
        <w:rPr>
          <w:sz w:val="28"/>
          <w:szCs w:val="28"/>
          <w:lang w:val="en-GB"/>
        </w:rPr>
        <w:t xml:space="preserve">  </w:t>
      </w:r>
      <w:r w:rsidR="002C0E9A">
        <w:rPr>
          <w:sz w:val="28"/>
          <w:szCs w:val="28"/>
          <w:lang w:val="en-GB"/>
        </w:rPr>
        <w:lastRenderedPageBreak/>
        <w:t>Considerations</w:t>
      </w:r>
      <w:r w:rsidR="00003976">
        <w:rPr>
          <w:sz w:val="28"/>
          <w:szCs w:val="28"/>
          <w:lang w:val="en-GB"/>
        </w:rPr>
        <w:t xml:space="preserve"> of economic or social policy, or national security</w:t>
      </w:r>
      <w:r w:rsidR="0029628C">
        <w:rPr>
          <w:sz w:val="28"/>
          <w:szCs w:val="28"/>
          <w:lang w:val="en-GB"/>
        </w:rPr>
        <w:t xml:space="preserve">, </w:t>
      </w:r>
      <w:proofErr w:type="gramStart"/>
      <w:r w:rsidR="0029628C">
        <w:rPr>
          <w:sz w:val="28"/>
          <w:szCs w:val="28"/>
          <w:lang w:val="en-GB"/>
        </w:rPr>
        <w:t>have been said</w:t>
      </w:r>
      <w:proofErr w:type="gramEnd"/>
      <w:r w:rsidR="0029628C">
        <w:rPr>
          <w:sz w:val="28"/>
          <w:szCs w:val="28"/>
          <w:lang w:val="en-GB"/>
        </w:rPr>
        <w:t xml:space="preserve"> to </w:t>
      </w:r>
      <w:r w:rsidR="00003976">
        <w:rPr>
          <w:sz w:val="28"/>
          <w:szCs w:val="28"/>
          <w:lang w:val="en-GB"/>
        </w:rPr>
        <w:t xml:space="preserve">fall within this </w:t>
      </w:r>
      <w:r w:rsidR="002C0E9A">
        <w:rPr>
          <w:sz w:val="28"/>
          <w:szCs w:val="28"/>
          <w:lang w:val="en-GB"/>
        </w:rPr>
        <w:t xml:space="preserve">latter </w:t>
      </w:r>
      <w:r w:rsidR="00003976">
        <w:rPr>
          <w:sz w:val="28"/>
          <w:szCs w:val="28"/>
          <w:lang w:val="en-GB"/>
        </w:rPr>
        <w:t>category.</w:t>
      </w:r>
      <w:r w:rsidR="002C0E9A">
        <w:rPr>
          <w:rStyle w:val="FootnoteReference"/>
          <w:sz w:val="28"/>
          <w:szCs w:val="28"/>
          <w:lang w:val="en-GB"/>
        </w:rPr>
        <w:footnoteReference w:id="141"/>
      </w:r>
      <w:r w:rsidR="00003976">
        <w:rPr>
          <w:sz w:val="28"/>
          <w:szCs w:val="28"/>
          <w:lang w:val="en-GB"/>
        </w:rPr>
        <w:t xml:space="preserve">  </w:t>
      </w:r>
    </w:p>
    <w:p w:rsidR="002B33AF" w:rsidRPr="004648FA" w:rsidRDefault="00D44484" w:rsidP="000563D0">
      <w:pPr>
        <w:keepNext/>
        <w:numPr>
          <w:ilvl w:val="0"/>
          <w:numId w:val="7"/>
        </w:numPr>
        <w:snapToGrid w:val="0"/>
        <w:spacing w:after="360" w:line="360" w:lineRule="auto"/>
        <w:ind w:left="0" w:firstLine="0"/>
        <w:jc w:val="both"/>
        <w:rPr>
          <w:sz w:val="28"/>
          <w:szCs w:val="28"/>
          <w:lang w:val="en-GB"/>
        </w:rPr>
      </w:pPr>
      <w:r>
        <w:rPr>
          <w:sz w:val="28"/>
          <w:szCs w:val="28"/>
          <w:lang w:val="en-GB"/>
        </w:rPr>
        <w:tab/>
      </w:r>
      <w:r w:rsidR="002C0E9A">
        <w:rPr>
          <w:sz w:val="28"/>
          <w:szCs w:val="28"/>
          <w:lang w:val="en-GB"/>
        </w:rPr>
        <w:t>In the present case, w</w:t>
      </w:r>
      <w:r w:rsidR="008225B8" w:rsidRPr="004648FA">
        <w:rPr>
          <w:sz w:val="28"/>
          <w:szCs w:val="28"/>
          <w:lang w:val="en-GB"/>
        </w:rPr>
        <w:t xml:space="preserve">hile </w:t>
      </w:r>
      <w:r w:rsidR="006003FC">
        <w:rPr>
          <w:sz w:val="28"/>
          <w:szCs w:val="28"/>
          <w:lang w:val="en-GB"/>
        </w:rPr>
        <w:t>I</w:t>
      </w:r>
      <w:r w:rsidR="008225B8" w:rsidRPr="004648FA">
        <w:rPr>
          <w:sz w:val="28"/>
          <w:szCs w:val="28"/>
          <w:lang w:val="en-GB"/>
        </w:rPr>
        <w:t xml:space="preserve"> do not accept the </w:t>
      </w:r>
      <w:r w:rsidR="002C0E9A">
        <w:rPr>
          <w:sz w:val="28"/>
          <w:szCs w:val="28"/>
          <w:lang w:val="en-GB"/>
        </w:rPr>
        <w:t xml:space="preserve">HA’s </w:t>
      </w:r>
      <w:r w:rsidR="008225B8" w:rsidRPr="004648FA">
        <w:rPr>
          <w:sz w:val="28"/>
          <w:szCs w:val="28"/>
          <w:lang w:val="en-GB"/>
        </w:rPr>
        <w:t xml:space="preserve">zero-sum submission as an </w:t>
      </w:r>
      <w:r w:rsidR="00DD7D2F">
        <w:rPr>
          <w:sz w:val="28"/>
          <w:szCs w:val="28"/>
          <w:lang w:val="en-GB"/>
        </w:rPr>
        <w:t>accurate</w:t>
      </w:r>
      <w:r w:rsidR="008225B8" w:rsidRPr="004648FA">
        <w:rPr>
          <w:sz w:val="28"/>
          <w:szCs w:val="28"/>
          <w:lang w:val="en-GB"/>
        </w:rPr>
        <w:t xml:space="preserve"> description of the true position,</w:t>
      </w:r>
      <w:r w:rsidR="0029628C">
        <w:rPr>
          <w:rStyle w:val="FootnoteReference"/>
          <w:sz w:val="28"/>
          <w:szCs w:val="28"/>
          <w:lang w:val="en-GB"/>
        </w:rPr>
        <w:footnoteReference w:id="142"/>
      </w:r>
      <w:r w:rsidR="008225B8" w:rsidRPr="004648FA">
        <w:rPr>
          <w:sz w:val="28"/>
          <w:szCs w:val="28"/>
          <w:lang w:val="en-GB"/>
        </w:rPr>
        <w:t xml:space="preserve"> </w:t>
      </w:r>
      <w:r w:rsidR="006003FC">
        <w:rPr>
          <w:sz w:val="28"/>
          <w:szCs w:val="28"/>
          <w:lang w:val="en-GB"/>
        </w:rPr>
        <w:t>I am</w:t>
      </w:r>
      <w:r w:rsidR="008225B8" w:rsidRPr="004648FA">
        <w:rPr>
          <w:sz w:val="28"/>
          <w:szCs w:val="28"/>
          <w:lang w:val="en-GB"/>
        </w:rPr>
        <w:t xml:space="preserve"> prepared to accept that there is a rational connection between promoting the Family Aim and </w:t>
      </w:r>
      <w:r w:rsidR="00F415A9" w:rsidRPr="004648FA">
        <w:rPr>
          <w:sz w:val="28"/>
          <w:szCs w:val="28"/>
          <w:lang w:val="en-GB"/>
        </w:rPr>
        <w:t>favouring</w:t>
      </w:r>
      <w:r w:rsidR="008225B8" w:rsidRPr="004648FA">
        <w:rPr>
          <w:sz w:val="28"/>
          <w:szCs w:val="28"/>
          <w:lang w:val="en-GB"/>
        </w:rPr>
        <w:t xml:space="preserve"> opposite-sex couples in </w:t>
      </w:r>
      <w:r w:rsidR="00D43DE0">
        <w:rPr>
          <w:sz w:val="28"/>
          <w:szCs w:val="28"/>
          <w:lang w:val="en-GB"/>
        </w:rPr>
        <w:t>the</w:t>
      </w:r>
      <w:r w:rsidR="008225B8" w:rsidRPr="004648FA">
        <w:rPr>
          <w:sz w:val="28"/>
          <w:szCs w:val="28"/>
          <w:lang w:val="en-GB"/>
        </w:rPr>
        <w:t xml:space="preserve"> application for PRH units</w:t>
      </w:r>
      <w:r w:rsidR="00F415A9" w:rsidRPr="004648FA">
        <w:rPr>
          <w:sz w:val="28"/>
          <w:szCs w:val="28"/>
          <w:lang w:val="en-GB"/>
        </w:rPr>
        <w:t xml:space="preserve">.  </w:t>
      </w:r>
      <w:r w:rsidR="008225B8" w:rsidRPr="004648FA">
        <w:rPr>
          <w:sz w:val="28"/>
          <w:szCs w:val="28"/>
          <w:lang w:val="en-GB"/>
        </w:rPr>
        <w:t>Whether this differential treatment can be justified under Stages 3 and 4 of the proportionality analysis is an entirely different matter.</w:t>
      </w:r>
    </w:p>
    <w:p w:rsidR="002B33AF" w:rsidRPr="004648FA" w:rsidRDefault="00A53668" w:rsidP="000563D0">
      <w:pPr>
        <w:keepNext/>
        <w:numPr>
          <w:ilvl w:val="0"/>
          <w:numId w:val="7"/>
        </w:numPr>
        <w:snapToGrid w:val="0"/>
        <w:spacing w:after="360" w:line="360" w:lineRule="auto"/>
        <w:ind w:left="0" w:firstLine="0"/>
        <w:jc w:val="both"/>
        <w:rPr>
          <w:sz w:val="28"/>
          <w:szCs w:val="28"/>
          <w:lang w:val="en-GB"/>
        </w:rPr>
      </w:pPr>
      <w:r>
        <w:rPr>
          <w:sz w:val="28"/>
          <w:szCs w:val="28"/>
          <w:lang w:val="en-GB"/>
        </w:rPr>
        <w:tab/>
      </w:r>
      <w:proofErr w:type="gramStart"/>
      <w:r w:rsidR="008225B8" w:rsidRPr="004648FA">
        <w:rPr>
          <w:sz w:val="28"/>
          <w:szCs w:val="28"/>
          <w:lang w:val="en-GB"/>
        </w:rPr>
        <w:t>As for the rational connection between the Family Aim and the HOS polic</w:t>
      </w:r>
      <w:r w:rsidR="003C177F">
        <w:rPr>
          <w:sz w:val="28"/>
          <w:szCs w:val="28"/>
          <w:lang w:val="en-GB"/>
        </w:rPr>
        <w:t>ies</w:t>
      </w:r>
      <w:r w:rsidR="008225B8" w:rsidRPr="004648FA">
        <w:rPr>
          <w:sz w:val="28"/>
          <w:szCs w:val="28"/>
          <w:lang w:val="en-GB"/>
        </w:rPr>
        <w:t xml:space="preserve"> on the addition of </w:t>
      </w:r>
      <w:r w:rsidR="00D43DE0">
        <w:rPr>
          <w:sz w:val="28"/>
          <w:szCs w:val="28"/>
          <w:lang w:val="en-GB"/>
        </w:rPr>
        <w:t xml:space="preserve">occupants and </w:t>
      </w:r>
      <w:r w:rsidR="008225B8" w:rsidRPr="004648FA">
        <w:rPr>
          <w:sz w:val="28"/>
          <w:szCs w:val="28"/>
          <w:lang w:val="en-GB"/>
        </w:rPr>
        <w:t xml:space="preserve">transfer of </w:t>
      </w:r>
      <w:r w:rsidR="00D44484">
        <w:rPr>
          <w:sz w:val="28"/>
          <w:szCs w:val="28"/>
          <w:lang w:val="en-GB"/>
        </w:rPr>
        <w:t>ownership</w:t>
      </w:r>
      <w:r w:rsidR="008225B8" w:rsidRPr="004648FA">
        <w:rPr>
          <w:sz w:val="28"/>
          <w:szCs w:val="28"/>
          <w:lang w:val="en-GB"/>
        </w:rPr>
        <w:t xml:space="preserve">, it should be noted that since the original applicant (Mr Ng) </w:t>
      </w:r>
      <w:r w:rsidR="00DD7D2F">
        <w:rPr>
          <w:sz w:val="28"/>
          <w:szCs w:val="28"/>
          <w:lang w:val="en-GB"/>
        </w:rPr>
        <w:t>in</w:t>
      </w:r>
      <w:r w:rsidR="008225B8" w:rsidRPr="004648FA">
        <w:rPr>
          <w:sz w:val="28"/>
          <w:szCs w:val="28"/>
          <w:lang w:val="en-GB"/>
        </w:rPr>
        <w:t xml:space="preserve"> the HOS proceedings had already purchased an HOS </w:t>
      </w:r>
      <w:r w:rsidR="00D43DE0">
        <w:rPr>
          <w:sz w:val="28"/>
          <w:szCs w:val="28"/>
          <w:lang w:val="en-GB"/>
        </w:rPr>
        <w:t>flat</w:t>
      </w:r>
      <w:r w:rsidR="008225B8" w:rsidRPr="004648FA">
        <w:rPr>
          <w:sz w:val="28"/>
          <w:szCs w:val="28"/>
          <w:lang w:val="en-GB"/>
        </w:rPr>
        <w:t xml:space="preserve"> in his own name, his and Mr Li’s challenge does not </w:t>
      </w:r>
      <w:r w:rsidR="00DD7D2F">
        <w:rPr>
          <w:sz w:val="28"/>
          <w:szCs w:val="28"/>
          <w:lang w:val="en-GB"/>
        </w:rPr>
        <w:t xml:space="preserve">directly </w:t>
      </w:r>
      <w:r w:rsidR="008225B8" w:rsidRPr="004648FA">
        <w:rPr>
          <w:sz w:val="28"/>
          <w:szCs w:val="28"/>
          <w:lang w:val="en-GB"/>
        </w:rPr>
        <w:t>involve the HOS policy to exclude same-sex married couples from purchasing HOS flats.</w:t>
      </w:r>
      <w:r w:rsidR="00517936" w:rsidRPr="004648FA">
        <w:rPr>
          <w:rStyle w:val="FootnoteReference"/>
          <w:sz w:val="28"/>
          <w:szCs w:val="28"/>
          <w:lang w:val="en-GB"/>
        </w:rPr>
        <w:footnoteReference w:id="143"/>
      </w:r>
      <w:proofErr w:type="gramEnd"/>
    </w:p>
    <w:p w:rsidR="00833975" w:rsidRDefault="00A53668" w:rsidP="000563D0">
      <w:pPr>
        <w:keepNext/>
        <w:numPr>
          <w:ilvl w:val="0"/>
          <w:numId w:val="7"/>
        </w:numPr>
        <w:snapToGrid w:val="0"/>
        <w:spacing w:after="360" w:line="360" w:lineRule="auto"/>
        <w:ind w:left="0" w:firstLine="0"/>
        <w:jc w:val="both"/>
        <w:rPr>
          <w:sz w:val="28"/>
          <w:szCs w:val="28"/>
          <w:lang w:val="en-GB"/>
        </w:rPr>
      </w:pPr>
      <w:r w:rsidRPr="00833975">
        <w:rPr>
          <w:sz w:val="28"/>
          <w:szCs w:val="28"/>
          <w:lang w:val="en-GB"/>
        </w:rPr>
        <w:tab/>
      </w:r>
      <w:r w:rsidR="008225B8" w:rsidRPr="00833975">
        <w:rPr>
          <w:sz w:val="28"/>
          <w:szCs w:val="28"/>
          <w:lang w:val="en-GB"/>
        </w:rPr>
        <w:t>The HA argues that the challenged HOS polic</w:t>
      </w:r>
      <w:r w:rsidR="003C177F">
        <w:rPr>
          <w:sz w:val="28"/>
          <w:szCs w:val="28"/>
          <w:lang w:val="en-GB"/>
        </w:rPr>
        <w:t>ies</w:t>
      </w:r>
      <w:r w:rsidR="008225B8" w:rsidRPr="00833975">
        <w:rPr>
          <w:sz w:val="28"/>
          <w:szCs w:val="28"/>
          <w:lang w:val="en-GB"/>
        </w:rPr>
        <w:t xml:space="preserve"> “could deter same-sex couples from initially purchasing HOS units and impact upon the number of available HOS units in the market” for opposite-sex couples, thereby advancing the Family Aim.</w:t>
      </w:r>
      <w:r w:rsidR="00517936" w:rsidRPr="004648FA">
        <w:rPr>
          <w:rStyle w:val="FootnoteReference"/>
          <w:sz w:val="28"/>
          <w:lang w:val="en-GB"/>
        </w:rPr>
        <w:footnoteReference w:id="144"/>
      </w:r>
      <w:r w:rsidR="008225B8" w:rsidRPr="00833975">
        <w:rPr>
          <w:sz w:val="28"/>
          <w:szCs w:val="28"/>
          <w:lang w:val="en-GB"/>
        </w:rPr>
        <w:t xml:space="preserve"> </w:t>
      </w:r>
      <w:r w:rsidR="00B71F3B">
        <w:rPr>
          <w:sz w:val="28"/>
          <w:szCs w:val="28"/>
          <w:lang w:val="en-GB"/>
        </w:rPr>
        <w:t xml:space="preserve"> </w:t>
      </w:r>
      <w:r w:rsidR="008225B8" w:rsidRPr="00833975">
        <w:rPr>
          <w:sz w:val="28"/>
          <w:szCs w:val="28"/>
          <w:lang w:val="en-GB"/>
        </w:rPr>
        <w:t xml:space="preserve">The Court of Appeal as well as </w:t>
      </w:r>
      <w:r w:rsidR="002B33AF" w:rsidRPr="00833975">
        <w:rPr>
          <w:sz w:val="28"/>
          <w:szCs w:val="28"/>
          <w:lang w:val="en-GB"/>
        </w:rPr>
        <w:t>Chow JA</w:t>
      </w:r>
      <w:r w:rsidR="008225B8" w:rsidRPr="00833975">
        <w:rPr>
          <w:sz w:val="28"/>
          <w:szCs w:val="28"/>
          <w:lang w:val="en-GB"/>
        </w:rPr>
        <w:t xml:space="preserve"> have both rejected this argument on the basis that</w:t>
      </w:r>
      <w:r w:rsidR="00B71F3B">
        <w:rPr>
          <w:sz w:val="28"/>
          <w:szCs w:val="28"/>
          <w:lang w:val="en-GB"/>
        </w:rPr>
        <w:t>,</w:t>
      </w:r>
      <w:r w:rsidR="008225B8" w:rsidRPr="00833975">
        <w:rPr>
          <w:sz w:val="28"/>
          <w:szCs w:val="28"/>
          <w:lang w:val="en-GB"/>
        </w:rPr>
        <w:t xml:space="preserve"> in the absence of </w:t>
      </w:r>
      <w:r w:rsidR="008225B8" w:rsidRPr="00833975">
        <w:rPr>
          <w:sz w:val="28"/>
          <w:szCs w:val="28"/>
          <w:lang w:val="en-GB"/>
        </w:rPr>
        <w:lastRenderedPageBreak/>
        <w:t xml:space="preserve">empirical evidence, the </w:t>
      </w:r>
      <w:r w:rsidR="00060C46" w:rsidRPr="00833975">
        <w:rPr>
          <w:sz w:val="28"/>
          <w:szCs w:val="28"/>
          <w:lang w:val="en-GB"/>
        </w:rPr>
        <w:t xml:space="preserve">rational </w:t>
      </w:r>
      <w:r w:rsidR="008225B8" w:rsidRPr="00833975">
        <w:rPr>
          <w:sz w:val="28"/>
          <w:szCs w:val="28"/>
          <w:lang w:val="en-GB"/>
        </w:rPr>
        <w:t>connection between the challenged HOS polic</w:t>
      </w:r>
      <w:r w:rsidR="003C177F">
        <w:rPr>
          <w:sz w:val="28"/>
          <w:szCs w:val="28"/>
          <w:lang w:val="en-GB"/>
        </w:rPr>
        <w:t>ies</w:t>
      </w:r>
      <w:r w:rsidR="008225B8" w:rsidRPr="00833975">
        <w:rPr>
          <w:sz w:val="28"/>
          <w:szCs w:val="28"/>
          <w:lang w:val="en-GB"/>
        </w:rPr>
        <w:t xml:space="preserve"> and the promotion of the Family Aim is tenuous to the extreme.</w:t>
      </w:r>
      <w:r w:rsidR="00F55F37" w:rsidRPr="004648FA">
        <w:rPr>
          <w:rStyle w:val="FootnoteReference"/>
          <w:sz w:val="28"/>
          <w:szCs w:val="28"/>
          <w:lang w:val="en-GB"/>
        </w:rPr>
        <w:footnoteReference w:id="145"/>
      </w:r>
      <w:r w:rsidR="00B71F3B">
        <w:rPr>
          <w:sz w:val="28"/>
          <w:szCs w:val="28"/>
          <w:lang w:val="en-GB"/>
        </w:rPr>
        <w:t xml:space="preserve"> </w:t>
      </w:r>
      <w:r w:rsidR="008225B8" w:rsidRPr="00833975">
        <w:rPr>
          <w:sz w:val="28"/>
          <w:szCs w:val="28"/>
          <w:lang w:val="en-GB"/>
        </w:rPr>
        <w:t xml:space="preserve"> The suggested impact is simply “</w:t>
      </w:r>
      <w:r w:rsidR="008225B8" w:rsidRPr="00D44484">
        <w:rPr>
          <w:i/>
          <w:sz w:val="28"/>
          <w:szCs w:val="28"/>
          <w:lang w:val="en-GB"/>
        </w:rPr>
        <w:t xml:space="preserve">de </w:t>
      </w:r>
      <w:proofErr w:type="spellStart"/>
      <w:r w:rsidR="008225B8" w:rsidRPr="00D44484">
        <w:rPr>
          <w:i/>
          <w:sz w:val="28"/>
          <w:szCs w:val="28"/>
          <w:lang w:val="en-GB"/>
        </w:rPr>
        <w:t>minimis</w:t>
      </w:r>
      <w:proofErr w:type="spellEnd"/>
      <w:r w:rsidR="008225B8" w:rsidRPr="00833975">
        <w:rPr>
          <w:sz w:val="28"/>
          <w:szCs w:val="28"/>
          <w:lang w:val="en-GB"/>
        </w:rPr>
        <w:t>”</w:t>
      </w:r>
      <w:r w:rsidR="002B33AF" w:rsidRPr="00833975">
        <w:rPr>
          <w:sz w:val="28"/>
          <w:szCs w:val="28"/>
          <w:lang w:val="en-GB"/>
        </w:rPr>
        <w:t>.</w:t>
      </w:r>
      <w:r w:rsidR="00F55F37" w:rsidRPr="004648FA">
        <w:rPr>
          <w:rStyle w:val="FootnoteReference"/>
          <w:sz w:val="28"/>
          <w:szCs w:val="28"/>
          <w:lang w:val="en-GB"/>
        </w:rPr>
        <w:footnoteReference w:id="146"/>
      </w:r>
    </w:p>
    <w:p w:rsidR="002B33AF" w:rsidRPr="004648FA" w:rsidRDefault="00A53668" w:rsidP="000563D0">
      <w:pPr>
        <w:keepNext/>
        <w:numPr>
          <w:ilvl w:val="0"/>
          <w:numId w:val="7"/>
        </w:numPr>
        <w:snapToGrid w:val="0"/>
        <w:spacing w:after="360" w:line="360" w:lineRule="auto"/>
        <w:ind w:left="0" w:firstLine="0"/>
        <w:jc w:val="both"/>
        <w:rPr>
          <w:sz w:val="28"/>
          <w:szCs w:val="28"/>
          <w:lang w:val="en-GB"/>
        </w:rPr>
      </w:pPr>
      <w:r>
        <w:rPr>
          <w:sz w:val="28"/>
          <w:szCs w:val="28"/>
          <w:lang w:val="en-GB"/>
        </w:rPr>
        <w:tab/>
      </w:r>
      <w:proofErr w:type="gramStart"/>
      <w:r w:rsidR="008225B8" w:rsidRPr="004648FA">
        <w:rPr>
          <w:sz w:val="28"/>
          <w:szCs w:val="28"/>
          <w:lang w:val="en-GB"/>
        </w:rPr>
        <w:t xml:space="preserve">The HA </w:t>
      </w:r>
      <w:r w:rsidR="002C0E9A">
        <w:rPr>
          <w:sz w:val="28"/>
          <w:szCs w:val="28"/>
          <w:lang w:val="en-GB"/>
        </w:rPr>
        <w:t xml:space="preserve">again </w:t>
      </w:r>
      <w:r w:rsidR="008225B8" w:rsidRPr="004648FA">
        <w:rPr>
          <w:sz w:val="28"/>
          <w:szCs w:val="28"/>
          <w:lang w:val="en-GB"/>
        </w:rPr>
        <w:t xml:space="preserve">argues before us that in </w:t>
      </w:r>
      <w:r w:rsidR="002B33AF" w:rsidRPr="004648FA">
        <w:rPr>
          <w:sz w:val="28"/>
          <w:szCs w:val="28"/>
          <w:lang w:val="en-GB"/>
        </w:rPr>
        <w:t>constitutional</w:t>
      </w:r>
      <w:r w:rsidR="008225B8" w:rsidRPr="004648FA">
        <w:rPr>
          <w:sz w:val="28"/>
          <w:szCs w:val="28"/>
          <w:lang w:val="en-GB"/>
        </w:rPr>
        <w:t xml:space="preserve"> review, </w:t>
      </w:r>
      <w:r w:rsidR="005048B9">
        <w:rPr>
          <w:sz w:val="28"/>
          <w:szCs w:val="28"/>
          <w:lang w:val="en-GB"/>
        </w:rPr>
        <w:t xml:space="preserve">establishing a </w:t>
      </w:r>
      <w:r w:rsidR="008225B8" w:rsidRPr="004648FA">
        <w:rPr>
          <w:sz w:val="28"/>
          <w:szCs w:val="28"/>
          <w:lang w:val="en-GB"/>
        </w:rPr>
        <w:t xml:space="preserve">rational connection “requires nothing more than showing that the legitimate goal … </w:t>
      </w:r>
      <w:r w:rsidR="00581A44">
        <w:rPr>
          <w:sz w:val="28"/>
          <w:szCs w:val="28"/>
          <w:lang w:val="en-GB"/>
        </w:rPr>
        <w:t>[</w:t>
      </w:r>
      <w:r w:rsidR="008225B8" w:rsidRPr="004648FA">
        <w:rPr>
          <w:sz w:val="28"/>
          <w:szCs w:val="28"/>
          <w:lang w:val="en-GB"/>
        </w:rPr>
        <w:t>is</w:t>
      </w:r>
      <w:r w:rsidR="00581A44">
        <w:rPr>
          <w:sz w:val="28"/>
          <w:szCs w:val="28"/>
          <w:lang w:val="en-GB"/>
        </w:rPr>
        <w:t>]</w:t>
      </w:r>
      <w:r w:rsidR="008225B8" w:rsidRPr="004648FA">
        <w:rPr>
          <w:sz w:val="28"/>
          <w:szCs w:val="28"/>
          <w:lang w:val="en-GB"/>
        </w:rPr>
        <w:t xml:space="preserve"> logically furthered by the means government has chosen to adopt”</w:t>
      </w:r>
      <w:r w:rsidR="00965F03" w:rsidRPr="004648FA">
        <w:rPr>
          <w:sz w:val="28"/>
          <w:szCs w:val="28"/>
          <w:lang w:val="en-GB"/>
        </w:rPr>
        <w:t>,</w:t>
      </w:r>
      <w:r w:rsidR="008225B8" w:rsidRPr="004648FA">
        <w:rPr>
          <w:sz w:val="28"/>
          <w:szCs w:val="28"/>
          <w:lang w:val="en-GB"/>
        </w:rPr>
        <w:t xml:space="preserve"> as where a measure can “reasonably be expected to contribute towards the achievement of that objective”</w:t>
      </w:r>
      <w:r w:rsidR="00965F03" w:rsidRPr="004648FA">
        <w:rPr>
          <w:sz w:val="28"/>
          <w:szCs w:val="28"/>
          <w:lang w:val="en-GB"/>
        </w:rPr>
        <w:t>,</w:t>
      </w:r>
      <w:r w:rsidR="008225B8" w:rsidRPr="004648FA">
        <w:rPr>
          <w:sz w:val="28"/>
          <w:szCs w:val="28"/>
          <w:lang w:val="en-GB"/>
        </w:rPr>
        <w:t xml:space="preserve"> without “insisting on [evidential] proof of a relationship between the infringing measure and the legislative objective”</w:t>
      </w:r>
      <w:r w:rsidR="00DA5BFC" w:rsidRPr="004648FA">
        <w:rPr>
          <w:sz w:val="28"/>
          <w:szCs w:val="28"/>
          <w:lang w:val="en-GB"/>
        </w:rPr>
        <w:t>.</w:t>
      </w:r>
      <w:r w:rsidR="00F55F37" w:rsidRPr="004648FA">
        <w:rPr>
          <w:rStyle w:val="FootnoteReference"/>
          <w:sz w:val="28"/>
          <w:lang w:val="en-GB"/>
        </w:rPr>
        <w:footnoteReference w:id="147"/>
      </w:r>
      <w:proofErr w:type="gramEnd"/>
      <w:r w:rsidR="008225B8" w:rsidRPr="004648FA">
        <w:rPr>
          <w:sz w:val="28"/>
          <w:szCs w:val="28"/>
          <w:lang w:val="en-GB"/>
        </w:rPr>
        <w:t xml:space="preserve"> </w:t>
      </w:r>
      <w:r w:rsidR="00B71F3B">
        <w:rPr>
          <w:sz w:val="28"/>
          <w:szCs w:val="28"/>
          <w:lang w:val="en-GB"/>
        </w:rPr>
        <w:t xml:space="preserve"> </w:t>
      </w:r>
      <w:r w:rsidR="00747D99" w:rsidRPr="004648FA">
        <w:rPr>
          <w:sz w:val="28"/>
          <w:szCs w:val="28"/>
          <w:lang w:val="en-GB"/>
        </w:rPr>
        <w:t xml:space="preserve">The </w:t>
      </w:r>
      <w:r w:rsidR="008225B8" w:rsidRPr="004648FA">
        <w:rPr>
          <w:sz w:val="28"/>
          <w:szCs w:val="28"/>
          <w:lang w:val="en-GB"/>
        </w:rPr>
        <w:t>HA contends that “as a matter of logic and common sense”</w:t>
      </w:r>
      <w:r w:rsidR="00965F03" w:rsidRPr="004648FA">
        <w:rPr>
          <w:sz w:val="28"/>
          <w:szCs w:val="28"/>
          <w:lang w:val="en-GB"/>
        </w:rPr>
        <w:t>,</w:t>
      </w:r>
      <w:r w:rsidR="008225B8" w:rsidRPr="004648FA">
        <w:rPr>
          <w:sz w:val="28"/>
          <w:szCs w:val="28"/>
          <w:lang w:val="en-GB"/>
        </w:rPr>
        <w:t xml:space="preserve"> the HOS polic</w:t>
      </w:r>
      <w:r w:rsidR="003C177F">
        <w:rPr>
          <w:sz w:val="28"/>
          <w:szCs w:val="28"/>
          <w:lang w:val="en-GB"/>
        </w:rPr>
        <w:t>ies</w:t>
      </w:r>
      <w:r w:rsidR="008225B8" w:rsidRPr="004648FA">
        <w:rPr>
          <w:sz w:val="28"/>
          <w:szCs w:val="28"/>
          <w:lang w:val="en-GB"/>
        </w:rPr>
        <w:t xml:space="preserve"> increase the supply of HOS </w:t>
      </w:r>
      <w:r w:rsidR="00511FE9">
        <w:rPr>
          <w:sz w:val="28"/>
          <w:szCs w:val="28"/>
          <w:lang w:val="en-GB"/>
        </w:rPr>
        <w:t>flats</w:t>
      </w:r>
      <w:r w:rsidR="008225B8" w:rsidRPr="004648FA">
        <w:rPr>
          <w:sz w:val="28"/>
          <w:szCs w:val="28"/>
          <w:lang w:val="en-GB"/>
        </w:rPr>
        <w:t xml:space="preserve"> to opposite-sex couples and thus support the Family Aim.</w:t>
      </w:r>
      <w:r w:rsidR="00F55F37" w:rsidRPr="004648FA">
        <w:rPr>
          <w:rStyle w:val="FootnoteReference"/>
          <w:sz w:val="28"/>
          <w:szCs w:val="28"/>
          <w:lang w:val="en-GB"/>
        </w:rPr>
        <w:footnoteReference w:id="148"/>
      </w:r>
    </w:p>
    <w:p w:rsidR="00400EAB" w:rsidRPr="004648FA" w:rsidRDefault="00A53668" w:rsidP="000563D0">
      <w:pPr>
        <w:keepNext/>
        <w:numPr>
          <w:ilvl w:val="0"/>
          <w:numId w:val="7"/>
        </w:numPr>
        <w:snapToGrid w:val="0"/>
        <w:spacing w:after="360" w:line="360" w:lineRule="auto"/>
        <w:ind w:left="0" w:firstLine="0"/>
        <w:jc w:val="both"/>
        <w:rPr>
          <w:sz w:val="28"/>
          <w:szCs w:val="28"/>
          <w:lang w:val="en-GB"/>
        </w:rPr>
      </w:pPr>
      <w:r>
        <w:rPr>
          <w:sz w:val="28"/>
          <w:szCs w:val="28"/>
          <w:lang w:val="en-GB"/>
        </w:rPr>
        <w:tab/>
      </w:r>
      <w:r w:rsidR="008225B8" w:rsidRPr="004648FA">
        <w:rPr>
          <w:sz w:val="28"/>
          <w:szCs w:val="28"/>
          <w:lang w:val="en-GB"/>
        </w:rPr>
        <w:t xml:space="preserve">The </w:t>
      </w:r>
      <w:r w:rsidR="00866D59">
        <w:rPr>
          <w:sz w:val="28"/>
          <w:szCs w:val="28"/>
          <w:lang w:val="en-GB"/>
        </w:rPr>
        <w:t>impugned</w:t>
      </w:r>
      <w:r w:rsidR="008225B8" w:rsidRPr="004648FA">
        <w:rPr>
          <w:sz w:val="28"/>
          <w:szCs w:val="28"/>
          <w:lang w:val="en-GB"/>
        </w:rPr>
        <w:t xml:space="preserve"> </w:t>
      </w:r>
      <w:r w:rsidR="003C177F" w:rsidRPr="004648FA">
        <w:rPr>
          <w:sz w:val="28"/>
          <w:szCs w:val="28"/>
          <w:lang w:val="en-GB"/>
        </w:rPr>
        <w:t>polic</w:t>
      </w:r>
      <w:r w:rsidR="003C177F">
        <w:rPr>
          <w:sz w:val="28"/>
          <w:szCs w:val="28"/>
          <w:lang w:val="en-GB"/>
        </w:rPr>
        <w:t xml:space="preserve">ies </w:t>
      </w:r>
      <w:r w:rsidR="00DF206C">
        <w:rPr>
          <w:sz w:val="28"/>
          <w:szCs w:val="28"/>
          <w:lang w:val="en-GB"/>
        </w:rPr>
        <w:t>on addition of occupants and transfer of ownership</w:t>
      </w:r>
      <w:r w:rsidR="003C177F">
        <w:rPr>
          <w:sz w:val="28"/>
          <w:szCs w:val="28"/>
          <w:lang w:val="en-GB"/>
        </w:rPr>
        <w:t xml:space="preserve"> are, in fact, </w:t>
      </w:r>
      <w:r w:rsidR="003A0F6E">
        <w:rPr>
          <w:sz w:val="28"/>
          <w:szCs w:val="28"/>
          <w:lang w:val="en-GB"/>
        </w:rPr>
        <w:t>integral component</w:t>
      </w:r>
      <w:r w:rsidR="003C177F">
        <w:rPr>
          <w:sz w:val="28"/>
          <w:szCs w:val="28"/>
          <w:lang w:val="en-GB"/>
        </w:rPr>
        <w:t>s</w:t>
      </w:r>
      <w:r w:rsidR="003A0F6E">
        <w:rPr>
          <w:sz w:val="28"/>
          <w:szCs w:val="28"/>
          <w:lang w:val="en-GB"/>
        </w:rPr>
        <w:t xml:space="preserve"> of a broader, </w:t>
      </w:r>
      <w:r w:rsidR="00C75D4F">
        <w:rPr>
          <w:sz w:val="28"/>
          <w:szCs w:val="28"/>
          <w:lang w:val="en-GB"/>
        </w:rPr>
        <w:t>overarching</w:t>
      </w:r>
      <w:r w:rsidR="00DF206C">
        <w:rPr>
          <w:sz w:val="28"/>
          <w:szCs w:val="28"/>
          <w:lang w:val="en-GB"/>
        </w:rPr>
        <w:t xml:space="preserve"> </w:t>
      </w:r>
      <w:r w:rsidR="008225B8" w:rsidRPr="004648FA">
        <w:rPr>
          <w:sz w:val="28"/>
          <w:szCs w:val="28"/>
          <w:lang w:val="en-GB"/>
        </w:rPr>
        <w:t xml:space="preserve">HOS policy </w:t>
      </w:r>
      <w:r w:rsidR="00866D59">
        <w:rPr>
          <w:sz w:val="28"/>
          <w:szCs w:val="28"/>
          <w:lang w:val="en-GB"/>
        </w:rPr>
        <w:t xml:space="preserve">under which </w:t>
      </w:r>
      <w:r w:rsidR="008225B8" w:rsidRPr="004648FA">
        <w:rPr>
          <w:sz w:val="28"/>
          <w:szCs w:val="28"/>
          <w:lang w:val="en-GB"/>
        </w:rPr>
        <w:t xml:space="preserve">same-sex couples </w:t>
      </w:r>
      <w:r w:rsidR="0068038B">
        <w:rPr>
          <w:sz w:val="28"/>
          <w:szCs w:val="28"/>
          <w:lang w:val="en-GB"/>
        </w:rPr>
        <w:t xml:space="preserve">are disentitled </w:t>
      </w:r>
      <w:r w:rsidR="008225B8" w:rsidRPr="004648FA">
        <w:rPr>
          <w:sz w:val="28"/>
          <w:szCs w:val="28"/>
          <w:lang w:val="en-GB"/>
        </w:rPr>
        <w:t>from purchasing</w:t>
      </w:r>
      <w:r w:rsidR="00866D59">
        <w:rPr>
          <w:sz w:val="28"/>
          <w:szCs w:val="28"/>
          <w:lang w:val="en-GB"/>
        </w:rPr>
        <w:t>/owning</w:t>
      </w:r>
      <w:r w:rsidR="008225B8" w:rsidRPr="004648FA">
        <w:rPr>
          <w:sz w:val="28"/>
          <w:szCs w:val="28"/>
          <w:lang w:val="en-GB"/>
        </w:rPr>
        <w:t xml:space="preserve"> </w:t>
      </w:r>
      <w:r w:rsidR="00C75D4F">
        <w:rPr>
          <w:sz w:val="28"/>
          <w:szCs w:val="28"/>
          <w:lang w:val="en-GB"/>
        </w:rPr>
        <w:t xml:space="preserve">or occupying </w:t>
      </w:r>
      <w:r w:rsidR="008225B8" w:rsidRPr="004648FA">
        <w:rPr>
          <w:sz w:val="28"/>
          <w:szCs w:val="28"/>
          <w:lang w:val="en-GB"/>
        </w:rPr>
        <w:t>HOS flats as couples</w:t>
      </w:r>
      <w:r w:rsidR="00F415A9" w:rsidRPr="004648FA">
        <w:rPr>
          <w:sz w:val="28"/>
          <w:szCs w:val="28"/>
          <w:lang w:val="en-GB"/>
        </w:rPr>
        <w:t>.</w:t>
      </w:r>
      <w:r w:rsidR="00DF206C">
        <w:rPr>
          <w:rStyle w:val="FootnoteReference"/>
          <w:sz w:val="28"/>
          <w:szCs w:val="28"/>
          <w:lang w:val="en-GB"/>
        </w:rPr>
        <w:footnoteReference w:id="149"/>
      </w:r>
      <w:r w:rsidR="00F415A9" w:rsidRPr="004648FA">
        <w:rPr>
          <w:sz w:val="28"/>
          <w:szCs w:val="28"/>
          <w:lang w:val="en-GB"/>
        </w:rPr>
        <w:t xml:space="preserve">  </w:t>
      </w:r>
      <w:r w:rsidR="0068038B">
        <w:rPr>
          <w:sz w:val="28"/>
          <w:szCs w:val="28"/>
          <w:lang w:val="en-GB"/>
        </w:rPr>
        <w:t xml:space="preserve">Accordingly, </w:t>
      </w:r>
      <w:r w:rsidR="008225B8" w:rsidRPr="004648FA">
        <w:rPr>
          <w:sz w:val="28"/>
          <w:szCs w:val="28"/>
          <w:lang w:val="en-GB"/>
        </w:rPr>
        <w:t xml:space="preserve">to </w:t>
      </w:r>
      <w:r w:rsidR="0068038B">
        <w:rPr>
          <w:sz w:val="28"/>
          <w:szCs w:val="28"/>
          <w:lang w:val="en-GB"/>
        </w:rPr>
        <w:t>evaluate</w:t>
      </w:r>
      <w:r w:rsidR="008225B8" w:rsidRPr="004648FA">
        <w:rPr>
          <w:sz w:val="28"/>
          <w:szCs w:val="28"/>
          <w:lang w:val="en-GB"/>
        </w:rPr>
        <w:t xml:space="preserve"> the rational </w:t>
      </w:r>
      <w:r w:rsidR="008225B8" w:rsidRPr="004648FA">
        <w:rPr>
          <w:sz w:val="28"/>
          <w:szCs w:val="28"/>
          <w:lang w:val="en-GB"/>
        </w:rPr>
        <w:lastRenderedPageBreak/>
        <w:t>connection of the challenged polic</w:t>
      </w:r>
      <w:r w:rsidR="003C177F">
        <w:rPr>
          <w:sz w:val="28"/>
          <w:szCs w:val="28"/>
          <w:lang w:val="en-GB"/>
        </w:rPr>
        <w:t>ies</w:t>
      </w:r>
      <w:r w:rsidR="008225B8" w:rsidRPr="004648FA">
        <w:rPr>
          <w:sz w:val="28"/>
          <w:szCs w:val="28"/>
          <w:lang w:val="en-GB"/>
        </w:rPr>
        <w:t xml:space="preserve"> to the promotion of the Family Aim in isolation</w:t>
      </w:r>
      <w:r w:rsidR="0068038B">
        <w:rPr>
          <w:sz w:val="28"/>
          <w:szCs w:val="28"/>
          <w:lang w:val="en-GB"/>
        </w:rPr>
        <w:t xml:space="preserve"> wo</w:t>
      </w:r>
      <w:r w:rsidR="00C75D4F">
        <w:rPr>
          <w:sz w:val="28"/>
          <w:szCs w:val="28"/>
          <w:lang w:val="en-GB"/>
        </w:rPr>
        <w:t>u</w:t>
      </w:r>
      <w:r w:rsidR="0068038B">
        <w:rPr>
          <w:sz w:val="28"/>
          <w:szCs w:val="28"/>
          <w:lang w:val="en-GB"/>
        </w:rPr>
        <w:t>ld be to adopt a</w:t>
      </w:r>
      <w:r w:rsidR="00FF17CE">
        <w:rPr>
          <w:sz w:val="28"/>
          <w:szCs w:val="28"/>
          <w:lang w:val="en-GB"/>
        </w:rPr>
        <w:t xml:space="preserve"> myopic </w:t>
      </w:r>
      <w:r w:rsidR="0068038B">
        <w:rPr>
          <w:sz w:val="28"/>
          <w:szCs w:val="28"/>
          <w:lang w:val="en-GB"/>
        </w:rPr>
        <w:t xml:space="preserve">and </w:t>
      </w:r>
      <w:r w:rsidR="00FF17CE">
        <w:rPr>
          <w:sz w:val="28"/>
          <w:szCs w:val="28"/>
          <w:lang w:val="en-GB"/>
        </w:rPr>
        <w:t xml:space="preserve">unduly </w:t>
      </w:r>
      <w:r w:rsidR="0068038B">
        <w:rPr>
          <w:sz w:val="28"/>
          <w:szCs w:val="28"/>
          <w:lang w:val="en-GB"/>
        </w:rPr>
        <w:t>constrained perspective</w:t>
      </w:r>
      <w:r w:rsidR="008225B8" w:rsidRPr="004648FA">
        <w:rPr>
          <w:sz w:val="28"/>
          <w:szCs w:val="28"/>
          <w:lang w:val="en-GB"/>
        </w:rPr>
        <w:t xml:space="preserve">. </w:t>
      </w:r>
    </w:p>
    <w:p w:rsidR="00D060A0" w:rsidRDefault="00A53668" w:rsidP="000563D0">
      <w:pPr>
        <w:keepNext/>
        <w:numPr>
          <w:ilvl w:val="0"/>
          <w:numId w:val="7"/>
        </w:numPr>
        <w:snapToGrid w:val="0"/>
        <w:spacing w:after="360" w:line="360" w:lineRule="auto"/>
        <w:ind w:left="0" w:firstLine="0"/>
        <w:jc w:val="both"/>
        <w:rPr>
          <w:sz w:val="28"/>
          <w:szCs w:val="28"/>
          <w:lang w:val="en-GB"/>
        </w:rPr>
      </w:pPr>
      <w:r>
        <w:rPr>
          <w:sz w:val="28"/>
          <w:szCs w:val="28"/>
          <w:lang w:val="en-GB"/>
        </w:rPr>
        <w:tab/>
      </w:r>
      <w:r w:rsidR="006003FC">
        <w:rPr>
          <w:sz w:val="28"/>
          <w:szCs w:val="28"/>
          <w:lang w:val="en-GB"/>
        </w:rPr>
        <w:t>I am</w:t>
      </w:r>
      <w:r w:rsidR="0068038B">
        <w:rPr>
          <w:sz w:val="28"/>
          <w:szCs w:val="28"/>
          <w:lang w:val="en-GB"/>
        </w:rPr>
        <w:t xml:space="preserve"> prepared to accept that, amongst other things, the HA’s overall HOS policy is aimed at supporting the Family Aim and is rationally connected to it.  </w:t>
      </w:r>
      <w:proofErr w:type="gramStart"/>
      <w:r w:rsidR="0068038B">
        <w:rPr>
          <w:sz w:val="28"/>
          <w:szCs w:val="28"/>
          <w:lang w:val="en-GB"/>
        </w:rPr>
        <w:t>And</w:t>
      </w:r>
      <w:proofErr w:type="gramEnd"/>
      <w:r w:rsidR="0068038B">
        <w:rPr>
          <w:sz w:val="28"/>
          <w:szCs w:val="28"/>
          <w:lang w:val="en-GB"/>
        </w:rPr>
        <w:t xml:space="preserve"> once </w:t>
      </w:r>
      <w:r w:rsidR="00866D59" w:rsidRPr="00866D59">
        <w:rPr>
          <w:sz w:val="28"/>
          <w:szCs w:val="28"/>
          <w:lang w:val="en-GB"/>
        </w:rPr>
        <w:t>the challenged policies on addition of occupants and transfer of ownership</w:t>
      </w:r>
      <w:r w:rsidR="00866D59">
        <w:rPr>
          <w:sz w:val="28"/>
          <w:szCs w:val="28"/>
          <w:lang w:val="en-GB"/>
        </w:rPr>
        <w:t xml:space="preserve"> are </w:t>
      </w:r>
      <w:r w:rsidR="00114122">
        <w:rPr>
          <w:sz w:val="28"/>
          <w:szCs w:val="28"/>
          <w:lang w:val="en-GB"/>
        </w:rPr>
        <w:t xml:space="preserve">viewed, as they should be, </w:t>
      </w:r>
      <w:r w:rsidR="00866D59">
        <w:rPr>
          <w:sz w:val="28"/>
          <w:szCs w:val="28"/>
          <w:lang w:val="en-GB"/>
        </w:rPr>
        <w:t>as part and parcel of the overall policy</w:t>
      </w:r>
      <w:r w:rsidR="000B2DEB">
        <w:rPr>
          <w:sz w:val="28"/>
          <w:szCs w:val="28"/>
          <w:lang w:val="en-GB"/>
        </w:rPr>
        <w:t xml:space="preserve">, and the entirety of the framework is considered holistically, </w:t>
      </w:r>
      <w:r w:rsidR="00531DE7">
        <w:rPr>
          <w:sz w:val="28"/>
          <w:szCs w:val="28"/>
          <w:lang w:val="en-GB"/>
        </w:rPr>
        <w:t xml:space="preserve">it becomes plain </w:t>
      </w:r>
      <w:r w:rsidR="008225B8" w:rsidRPr="004648FA">
        <w:rPr>
          <w:sz w:val="28"/>
          <w:szCs w:val="28"/>
          <w:lang w:val="en-GB"/>
        </w:rPr>
        <w:t xml:space="preserve">that there </w:t>
      </w:r>
      <w:r w:rsidR="00531DE7">
        <w:rPr>
          <w:sz w:val="28"/>
          <w:szCs w:val="28"/>
          <w:lang w:val="en-GB"/>
        </w:rPr>
        <w:t xml:space="preserve">exists </w:t>
      </w:r>
      <w:r w:rsidR="008225B8" w:rsidRPr="004648FA">
        <w:rPr>
          <w:sz w:val="28"/>
          <w:szCs w:val="28"/>
          <w:lang w:val="en-GB"/>
        </w:rPr>
        <w:t xml:space="preserve">a rational connection between </w:t>
      </w:r>
      <w:r w:rsidR="00866D59">
        <w:rPr>
          <w:sz w:val="28"/>
          <w:szCs w:val="28"/>
          <w:lang w:val="en-GB"/>
        </w:rPr>
        <w:t xml:space="preserve">the impugned policies and </w:t>
      </w:r>
      <w:r w:rsidR="008225B8" w:rsidRPr="004648FA">
        <w:rPr>
          <w:sz w:val="28"/>
          <w:szCs w:val="28"/>
          <w:lang w:val="en-GB"/>
        </w:rPr>
        <w:t>the Family Aim</w:t>
      </w:r>
      <w:r w:rsidR="00F415A9" w:rsidRPr="004648FA">
        <w:rPr>
          <w:sz w:val="28"/>
          <w:szCs w:val="28"/>
          <w:lang w:val="en-GB"/>
        </w:rPr>
        <w:t xml:space="preserve">.  </w:t>
      </w:r>
      <w:r w:rsidR="008225B8" w:rsidRPr="004648FA">
        <w:rPr>
          <w:sz w:val="28"/>
          <w:szCs w:val="28"/>
          <w:lang w:val="en-GB"/>
        </w:rPr>
        <w:t xml:space="preserve">Whether </w:t>
      </w:r>
      <w:r w:rsidR="00866D59">
        <w:rPr>
          <w:sz w:val="28"/>
          <w:szCs w:val="28"/>
          <w:lang w:val="en-GB"/>
        </w:rPr>
        <w:t>they</w:t>
      </w:r>
      <w:r w:rsidR="008225B8" w:rsidRPr="004648FA">
        <w:rPr>
          <w:sz w:val="28"/>
          <w:szCs w:val="28"/>
          <w:lang w:val="en-GB"/>
        </w:rPr>
        <w:t xml:space="preserve"> can </w:t>
      </w:r>
      <w:r w:rsidR="00DC6261">
        <w:rPr>
          <w:sz w:val="28"/>
          <w:szCs w:val="28"/>
          <w:lang w:val="en-GB"/>
        </w:rPr>
        <w:t>withstand scrutiny</w:t>
      </w:r>
      <w:r w:rsidR="008225B8" w:rsidRPr="004648FA">
        <w:rPr>
          <w:sz w:val="28"/>
          <w:szCs w:val="28"/>
          <w:lang w:val="en-GB"/>
        </w:rPr>
        <w:t xml:space="preserve"> under Stages 3 and 4 of the proportionality </w:t>
      </w:r>
      <w:r w:rsidR="007E509D" w:rsidRPr="007E509D">
        <w:rPr>
          <w:sz w:val="28"/>
          <w:szCs w:val="28"/>
          <w:lang w:val="en-GB"/>
        </w:rPr>
        <w:t xml:space="preserve">analysis </w:t>
      </w:r>
      <w:r w:rsidR="008225B8" w:rsidRPr="004648FA">
        <w:rPr>
          <w:sz w:val="28"/>
          <w:szCs w:val="28"/>
          <w:lang w:val="en-GB"/>
        </w:rPr>
        <w:t xml:space="preserve">is, </w:t>
      </w:r>
      <w:r w:rsidR="00DF206C">
        <w:rPr>
          <w:sz w:val="28"/>
          <w:szCs w:val="28"/>
          <w:lang w:val="en-GB"/>
        </w:rPr>
        <w:t>again</w:t>
      </w:r>
      <w:r w:rsidR="008225B8" w:rsidRPr="004648FA">
        <w:rPr>
          <w:sz w:val="28"/>
          <w:szCs w:val="28"/>
          <w:lang w:val="en-GB"/>
        </w:rPr>
        <w:t>, quite a different matter.</w:t>
      </w:r>
      <w:r w:rsidR="00F65A8B" w:rsidRPr="004648FA">
        <w:rPr>
          <w:sz w:val="28"/>
          <w:szCs w:val="28"/>
          <w:lang w:val="en-GB"/>
        </w:rPr>
        <w:t xml:space="preserve"> </w:t>
      </w:r>
    </w:p>
    <w:p w:rsidR="008225B8" w:rsidRPr="00DF206C" w:rsidRDefault="003114ED" w:rsidP="0053491D">
      <w:pPr>
        <w:keepNext/>
        <w:snapToGrid w:val="0"/>
        <w:spacing w:after="360" w:line="360" w:lineRule="auto"/>
        <w:jc w:val="both"/>
        <w:rPr>
          <w:i/>
          <w:sz w:val="28"/>
          <w:szCs w:val="28"/>
          <w:lang w:val="en-GB"/>
        </w:rPr>
      </w:pPr>
      <w:r w:rsidRPr="00DF206C">
        <w:rPr>
          <w:i/>
          <w:sz w:val="28"/>
          <w:szCs w:val="28"/>
          <w:lang w:val="en-GB"/>
        </w:rPr>
        <w:t xml:space="preserve">Stages 3 and 4: </w:t>
      </w:r>
      <w:r w:rsidR="00195494" w:rsidRPr="00DF206C">
        <w:rPr>
          <w:i/>
          <w:sz w:val="28"/>
          <w:szCs w:val="28"/>
          <w:lang w:val="en-GB"/>
        </w:rPr>
        <w:t xml:space="preserve">Whether the </w:t>
      </w:r>
      <w:r w:rsidRPr="00DF206C">
        <w:rPr>
          <w:i/>
          <w:sz w:val="28"/>
          <w:szCs w:val="28"/>
          <w:lang w:val="en-GB"/>
        </w:rPr>
        <w:t xml:space="preserve">PRH and HOS policies </w:t>
      </w:r>
      <w:r w:rsidR="00195494" w:rsidRPr="00DF206C">
        <w:rPr>
          <w:i/>
          <w:sz w:val="28"/>
          <w:szCs w:val="28"/>
          <w:lang w:val="en-GB"/>
        </w:rPr>
        <w:t xml:space="preserve">are </w:t>
      </w:r>
      <w:r w:rsidRPr="00DF206C">
        <w:rPr>
          <w:i/>
          <w:sz w:val="28"/>
          <w:szCs w:val="28"/>
          <w:lang w:val="en-GB"/>
        </w:rPr>
        <w:t xml:space="preserve">disproportionate </w:t>
      </w:r>
      <w:r w:rsidR="00195494" w:rsidRPr="00DF206C">
        <w:rPr>
          <w:i/>
          <w:sz w:val="28"/>
          <w:szCs w:val="28"/>
          <w:lang w:val="en-GB"/>
        </w:rPr>
        <w:t>and/or fail to strike a reasonable balance</w:t>
      </w:r>
      <w:r w:rsidR="00331297" w:rsidRPr="00DF206C">
        <w:rPr>
          <w:i/>
          <w:sz w:val="28"/>
          <w:szCs w:val="28"/>
          <w:lang w:val="en-GB"/>
        </w:rPr>
        <w:t xml:space="preserve"> (Question 6)</w:t>
      </w:r>
      <w:r w:rsidR="00331297" w:rsidRPr="00DF206C">
        <w:rPr>
          <w:rStyle w:val="FootnoteReference"/>
          <w:i/>
          <w:sz w:val="28"/>
          <w:szCs w:val="28"/>
          <w:lang w:val="en-GB"/>
        </w:rPr>
        <w:footnoteReference w:id="150"/>
      </w:r>
    </w:p>
    <w:p w:rsidR="002B33AF" w:rsidRPr="004648FA" w:rsidRDefault="00A53668" w:rsidP="00FC1055">
      <w:pPr>
        <w:keepNext/>
        <w:numPr>
          <w:ilvl w:val="0"/>
          <w:numId w:val="7"/>
        </w:numPr>
        <w:snapToGrid w:val="0"/>
        <w:spacing w:after="360" w:line="360" w:lineRule="auto"/>
        <w:ind w:left="0" w:firstLine="0"/>
        <w:jc w:val="both"/>
        <w:rPr>
          <w:sz w:val="28"/>
          <w:szCs w:val="28"/>
          <w:lang w:val="en-GB"/>
        </w:rPr>
      </w:pPr>
      <w:r>
        <w:rPr>
          <w:sz w:val="28"/>
          <w:szCs w:val="28"/>
          <w:lang w:val="en-GB"/>
        </w:rPr>
        <w:tab/>
      </w:r>
      <w:r w:rsidR="00400EAB" w:rsidRPr="004648FA">
        <w:rPr>
          <w:sz w:val="28"/>
          <w:szCs w:val="28"/>
          <w:lang w:val="en-GB"/>
        </w:rPr>
        <w:t>Stages 3 and 4</w:t>
      </w:r>
      <w:r w:rsidR="008225B8" w:rsidRPr="004648FA">
        <w:rPr>
          <w:sz w:val="28"/>
          <w:szCs w:val="28"/>
          <w:lang w:val="en-GB"/>
        </w:rPr>
        <w:t xml:space="preserve"> of the proportionality analysis </w:t>
      </w:r>
      <w:proofErr w:type="gramStart"/>
      <w:r w:rsidR="008225B8" w:rsidRPr="004648FA">
        <w:rPr>
          <w:sz w:val="28"/>
          <w:szCs w:val="28"/>
          <w:lang w:val="en-GB"/>
        </w:rPr>
        <w:t>can be taken</w:t>
      </w:r>
      <w:proofErr w:type="gramEnd"/>
      <w:r w:rsidR="008225B8" w:rsidRPr="004648FA">
        <w:rPr>
          <w:sz w:val="28"/>
          <w:szCs w:val="28"/>
          <w:lang w:val="en-GB"/>
        </w:rPr>
        <w:t xml:space="preserve"> together</w:t>
      </w:r>
      <w:r w:rsidR="00F415A9" w:rsidRPr="004648FA">
        <w:rPr>
          <w:sz w:val="28"/>
          <w:szCs w:val="28"/>
          <w:lang w:val="en-GB"/>
        </w:rPr>
        <w:t xml:space="preserve">.  </w:t>
      </w:r>
      <w:r w:rsidR="008225B8" w:rsidRPr="004648FA">
        <w:rPr>
          <w:sz w:val="28"/>
          <w:szCs w:val="28"/>
          <w:lang w:val="en-GB"/>
        </w:rPr>
        <w:t>On the question of the intensity of the review, since the differential treatment is based on a suspect gro</w:t>
      </w:r>
      <w:r w:rsidR="002B33AF" w:rsidRPr="004648FA">
        <w:rPr>
          <w:sz w:val="28"/>
          <w:szCs w:val="28"/>
          <w:lang w:val="en-GB"/>
        </w:rPr>
        <w:t xml:space="preserve">und </w:t>
      </w:r>
      <w:r w:rsidR="00BD7F0A">
        <w:rPr>
          <w:sz w:val="28"/>
          <w:szCs w:val="28"/>
          <w:lang w:val="en-GB"/>
        </w:rPr>
        <w:t>(</w:t>
      </w:r>
      <w:r w:rsidR="00322853">
        <w:rPr>
          <w:sz w:val="28"/>
          <w:szCs w:val="28"/>
          <w:lang w:val="en-GB"/>
        </w:rPr>
        <w:t>i.e.</w:t>
      </w:r>
      <w:r w:rsidR="002B33AF" w:rsidRPr="004648FA">
        <w:rPr>
          <w:sz w:val="28"/>
          <w:szCs w:val="28"/>
          <w:lang w:val="en-GB"/>
        </w:rPr>
        <w:t xml:space="preserve"> sexual orientation</w:t>
      </w:r>
      <w:r w:rsidR="00BD7F0A">
        <w:rPr>
          <w:sz w:val="28"/>
          <w:szCs w:val="28"/>
          <w:lang w:val="en-GB"/>
        </w:rPr>
        <w:t>)</w:t>
      </w:r>
      <w:r w:rsidR="002B33AF" w:rsidRPr="004648FA">
        <w:rPr>
          <w:sz w:val="28"/>
          <w:szCs w:val="28"/>
          <w:lang w:val="en-GB"/>
        </w:rPr>
        <w:t xml:space="preserve"> </w:t>
      </w:r>
      <w:r w:rsidR="008225B8" w:rsidRPr="004648FA">
        <w:rPr>
          <w:i/>
          <w:sz w:val="28"/>
          <w:szCs w:val="28"/>
          <w:lang w:val="en-GB"/>
        </w:rPr>
        <w:t>prima facie</w:t>
      </w:r>
      <w:r w:rsidR="008225B8" w:rsidRPr="004648FA">
        <w:rPr>
          <w:sz w:val="28"/>
          <w:szCs w:val="28"/>
          <w:lang w:val="en-GB"/>
        </w:rPr>
        <w:t xml:space="preserve"> this calls for an intensive scrutiny of the policies challenged, nearing the top end of the continuous spectrum of the standard of review.</w:t>
      </w:r>
      <w:r w:rsidR="00400EAB" w:rsidRPr="004648FA">
        <w:rPr>
          <w:rStyle w:val="FootnoteReference"/>
          <w:sz w:val="28"/>
          <w:szCs w:val="28"/>
          <w:lang w:val="en-GB"/>
        </w:rPr>
        <w:footnoteReference w:id="151"/>
      </w:r>
      <w:r w:rsidR="008225B8" w:rsidRPr="004648FA">
        <w:rPr>
          <w:sz w:val="28"/>
          <w:szCs w:val="28"/>
          <w:lang w:val="en-GB"/>
        </w:rPr>
        <w:t xml:space="preserve"> </w:t>
      </w:r>
      <w:r w:rsidR="00833753">
        <w:rPr>
          <w:sz w:val="28"/>
          <w:szCs w:val="28"/>
          <w:lang w:val="en-GB"/>
        </w:rPr>
        <w:t xml:space="preserve"> </w:t>
      </w:r>
      <w:r w:rsidR="00547ED7">
        <w:rPr>
          <w:sz w:val="28"/>
          <w:szCs w:val="28"/>
          <w:lang w:val="en-GB"/>
        </w:rPr>
        <w:t xml:space="preserve">However, sufficient regard </w:t>
      </w:r>
      <w:proofErr w:type="gramStart"/>
      <w:r w:rsidR="00547ED7">
        <w:rPr>
          <w:sz w:val="28"/>
          <w:szCs w:val="28"/>
          <w:lang w:val="en-GB"/>
        </w:rPr>
        <w:t>must be had</w:t>
      </w:r>
      <w:proofErr w:type="gramEnd"/>
      <w:r w:rsidR="00547ED7">
        <w:rPr>
          <w:sz w:val="28"/>
          <w:szCs w:val="28"/>
          <w:lang w:val="en-GB"/>
        </w:rPr>
        <w:t xml:space="preserve"> to the fact that </w:t>
      </w:r>
      <w:r w:rsidR="008225B8" w:rsidRPr="004648FA">
        <w:rPr>
          <w:sz w:val="28"/>
          <w:szCs w:val="28"/>
          <w:lang w:val="en-GB"/>
        </w:rPr>
        <w:t xml:space="preserve">the </w:t>
      </w:r>
      <w:r w:rsidR="00114122">
        <w:rPr>
          <w:sz w:val="28"/>
          <w:szCs w:val="28"/>
          <w:lang w:val="en-GB"/>
        </w:rPr>
        <w:t>impugned measures con</w:t>
      </w:r>
      <w:r w:rsidR="008225B8" w:rsidRPr="004648FA">
        <w:rPr>
          <w:sz w:val="28"/>
          <w:szCs w:val="28"/>
          <w:lang w:val="en-GB"/>
        </w:rPr>
        <w:t xml:space="preserve">cern </w:t>
      </w:r>
      <w:r w:rsidR="00547ED7">
        <w:rPr>
          <w:sz w:val="28"/>
          <w:szCs w:val="28"/>
          <w:lang w:val="en-GB"/>
        </w:rPr>
        <w:t xml:space="preserve">the allocation of </w:t>
      </w:r>
      <w:r w:rsidR="008225B8" w:rsidRPr="004648FA">
        <w:rPr>
          <w:sz w:val="28"/>
          <w:szCs w:val="28"/>
          <w:lang w:val="en-GB"/>
        </w:rPr>
        <w:t xml:space="preserve">limited </w:t>
      </w:r>
      <w:r w:rsidR="00833753">
        <w:rPr>
          <w:sz w:val="28"/>
          <w:szCs w:val="28"/>
          <w:lang w:val="en-GB"/>
        </w:rPr>
        <w:t>societal</w:t>
      </w:r>
      <w:r w:rsidR="00833753" w:rsidRPr="004648FA">
        <w:rPr>
          <w:sz w:val="28"/>
          <w:szCs w:val="28"/>
          <w:lang w:val="en-GB"/>
        </w:rPr>
        <w:t xml:space="preserve"> </w:t>
      </w:r>
      <w:r w:rsidR="008225B8" w:rsidRPr="004648FA">
        <w:rPr>
          <w:sz w:val="28"/>
          <w:szCs w:val="28"/>
          <w:lang w:val="en-GB"/>
        </w:rPr>
        <w:t>resources in the form of housing</w:t>
      </w:r>
      <w:r w:rsidR="00547ED7">
        <w:rPr>
          <w:sz w:val="28"/>
          <w:szCs w:val="28"/>
          <w:lang w:val="en-GB"/>
        </w:rPr>
        <w:t xml:space="preserve"> and the pursuit of governmental social policies on supporting traditional families and </w:t>
      </w:r>
      <w:r w:rsidR="00547ED7">
        <w:rPr>
          <w:sz w:val="28"/>
          <w:szCs w:val="28"/>
          <w:lang w:val="en-GB"/>
        </w:rPr>
        <w:lastRenderedPageBreak/>
        <w:t>population growth.</w:t>
      </w:r>
      <w:r w:rsidR="00BD7F0A">
        <w:rPr>
          <w:rStyle w:val="FootnoteReference"/>
          <w:sz w:val="28"/>
          <w:szCs w:val="28"/>
          <w:lang w:val="en-GB"/>
        </w:rPr>
        <w:footnoteReference w:id="152"/>
      </w:r>
      <w:r w:rsidR="00547ED7">
        <w:rPr>
          <w:sz w:val="28"/>
          <w:szCs w:val="28"/>
          <w:lang w:val="en-GB"/>
        </w:rPr>
        <w:t xml:space="preserve">  These are matters in relation to </w:t>
      </w:r>
      <w:r w:rsidR="008225B8" w:rsidRPr="004648FA">
        <w:rPr>
          <w:sz w:val="28"/>
          <w:szCs w:val="28"/>
          <w:lang w:val="en-GB"/>
        </w:rPr>
        <w:t xml:space="preserve">which the HA should, subject to </w:t>
      </w:r>
      <w:r w:rsidR="00CD3423">
        <w:rPr>
          <w:sz w:val="28"/>
          <w:szCs w:val="28"/>
          <w:lang w:val="en-GB"/>
        </w:rPr>
        <w:t>my</w:t>
      </w:r>
      <w:r w:rsidR="008225B8" w:rsidRPr="004648FA">
        <w:rPr>
          <w:sz w:val="28"/>
          <w:szCs w:val="28"/>
          <w:lang w:val="en-GB"/>
        </w:rPr>
        <w:t xml:space="preserve"> observation</w:t>
      </w:r>
      <w:r w:rsidR="003D6492">
        <w:rPr>
          <w:sz w:val="28"/>
          <w:szCs w:val="28"/>
          <w:lang w:val="en-GB"/>
        </w:rPr>
        <w:t>s</w:t>
      </w:r>
      <w:r w:rsidR="008225B8" w:rsidRPr="004648FA">
        <w:rPr>
          <w:sz w:val="28"/>
          <w:szCs w:val="28"/>
          <w:lang w:val="en-GB"/>
        </w:rPr>
        <w:t xml:space="preserve"> below, enjoy an appropriate margin of discretion.</w:t>
      </w:r>
      <w:r w:rsidR="003843AD" w:rsidRPr="004648FA">
        <w:rPr>
          <w:rStyle w:val="FootnoteReference"/>
          <w:sz w:val="28"/>
          <w:szCs w:val="28"/>
          <w:lang w:val="en-GB"/>
        </w:rPr>
        <w:footnoteReference w:id="153"/>
      </w:r>
      <w:r w:rsidR="008544AB">
        <w:rPr>
          <w:sz w:val="28"/>
          <w:szCs w:val="28"/>
          <w:lang w:val="en-GB"/>
        </w:rPr>
        <w:t xml:space="preserve">  </w:t>
      </w:r>
      <w:r w:rsidR="008225B8" w:rsidRPr="004648FA">
        <w:rPr>
          <w:sz w:val="28"/>
          <w:szCs w:val="28"/>
          <w:lang w:val="en-GB"/>
        </w:rPr>
        <w:t xml:space="preserve">Bearing these considerations in mind, </w:t>
      </w:r>
      <w:r w:rsidR="006003FC">
        <w:rPr>
          <w:sz w:val="28"/>
          <w:szCs w:val="28"/>
          <w:lang w:val="en-GB"/>
        </w:rPr>
        <w:t>I</w:t>
      </w:r>
      <w:r w:rsidR="008225B8" w:rsidRPr="004648FA">
        <w:rPr>
          <w:sz w:val="28"/>
          <w:szCs w:val="28"/>
          <w:lang w:val="en-GB"/>
        </w:rPr>
        <w:t xml:space="preserve"> approach Stages 3 and 4 of the proportionality analysis.</w:t>
      </w:r>
    </w:p>
    <w:p w:rsidR="002B33AF" w:rsidRDefault="00A53668" w:rsidP="00FC1055">
      <w:pPr>
        <w:keepNext/>
        <w:numPr>
          <w:ilvl w:val="0"/>
          <w:numId w:val="7"/>
        </w:numPr>
        <w:snapToGrid w:val="0"/>
        <w:spacing w:after="360" w:line="360" w:lineRule="auto"/>
        <w:ind w:left="0" w:firstLine="0"/>
        <w:jc w:val="both"/>
        <w:rPr>
          <w:sz w:val="28"/>
          <w:szCs w:val="28"/>
          <w:lang w:val="en-GB"/>
        </w:rPr>
      </w:pPr>
      <w:r>
        <w:rPr>
          <w:sz w:val="28"/>
          <w:szCs w:val="28"/>
          <w:lang w:val="en-GB"/>
        </w:rPr>
        <w:tab/>
      </w:r>
      <w:r w:rsidR="008225B8" w:rsidRPr="004648FA">
        <w:rPr>
          <w:sz w:val="28"/>
          <w:szCs w:val="28"/>
          <w:lang w:val="en-GB"/>
        </w:rPr>
        <w:t xml:space="preserve">The Court of Appeal, in affirming the decisions below, came to the firm conclusion that the </w:t>
      </w:r>
      <w:r w:rsidR="00547ED7">
        <w:rPr>
          <w:sz w:val="28"/>
          <w:szCs w:val="28"/>
          <w:lang w:val="en-GB"/>
        </w:rPr>
        <w:t>disputed</w:t>
      </w:r>
      <w:r w:rsidR="008225B8" w:rsidRPr="004648FA">
        <w:rPr>
          <w:sz w:val="28"/>
          <w:szCs w:val="28"/>
          <w:lang w:val="en-GB"/>
        </w:rPr>
        <w:t xml:space="preserve"> policies were disproportionate.</w:t>
      </w:r>
      <w:r w:rsidR="0041658F" w:rsidRPr="004648FA">
        <w:rPr>
          <w:rStyle w:val="FootnoteReference"/>
          <w:sz w:val="28"/>
          <w:szCs w:val="28"/>
          <w:lang w:val="en-GB"/>
        </w:rPr>
        <w:footnoteReference w:id="154"/>
      </w:r>
      <w:r w:rsidR="008225B8" w:rsidRPr="004648FA">
        <w:rPr>
          <w:sz w:val="28"/>
          <w:szCs w:val="28"/>
          <w:lang w:val="en-GB"/>
        </w:rPr>
        <w:t xml:space="preserve"> </w:t>
      </w:r>
      <w:r w:rsidR="00833753">
        <w:rPr>
          <w:sz w:val="28"/>
          <w:szCs w:val="28"/>
          <w:lang w:val="en-GB"/>
        </w:rPr>
        <w:t xml:space="preserve"> </w:t>
      </w:r>
      <w:r w:rsidR="008225B8" w:rsidRPr="004648FA">
        <w:rPr>
          <w:sz w:val="28"/>
          <w:szCs w:val="28"/>
          <w:lang w:val="en-GB"/>
        </w:rPr>
        <w:t xml:space="preserve">This was </w:t>
      </w:r>
      <w:r w:rsidR="00C32BBF">
        <w:rPr>
          <w:sz w:val="28"/>
          <w:szCs w:val="28"/>
          <w:lang w:val="en-GB"/>
        </w:rPr>
        <w:t>especially</w:t>
      </w:r>
      <w:r w:rsidR="008225B8" w:rsidRPr="004648FA">
        <w:rPr>
          <w:sz w:val="28"/>
          <w:szCs w:val="28"/>
          <w:lang w:val="en-GB"/>
        </w:rPr>
        <w:t xml:space="preserve"> so when there was no empirical evidence </w:t>
      </w:r>
      <w:r w:rsidR="00EE7C54">
        <w:rPr>
          <w:sz w:val="28"/>
          <w:szCs w:val="28"/>
          <w:lang w:val="en-GB"/>
        </w:rPr>
        <w:t xml:space="preserve">from </w:t>
      </w:r>
      <w:r w:rsidR="008225B8" w:rsidRPr="004648FA">
        <w:rPr>
          <w:sz w:val="28"/>
          <w:szCs w:val="28"/>
          <w:lang w:val="en-GB"/>
        </w:rPr>
        <w:t xml:space="preserve">the HA to quantify the supposed impact on opposite-sex </w:t>
      </w:r>
      <w:r w:rsidR="00BC4402">
        <w:rPr>
          <w:sz w:val="28"/>
          <w:szCs w:val="28"/>
          <w:lang w:val="en-GB"/>
        </w:rPr>
        <w:t>individuals</w:t>
      </w:r>
      <w:r w:rsidR="008225B8" w:rsidRPr="004648FA">
        <w:rPr>
          <w:sz w:val="28"/>
          <w:szCs w:val="28"/>
          <w:lang w:val="en-GB"/>
        </w:rPr>
        <w:t xml:space="preserve"> regarding their </w:t>
      </w:r>
      <w:r w:rsidR="00DF206C">
        <w:rPr>
          <w:sz w:val="28"/>
          <w:szCs w:val="28"/>
          <w:lang w:val="en-GB"/>
        </w:rPr>
        <w:t>plans or inclinations</w:t>
      </w:r>
      <w:r w:rsidR="008225B8" w:rsidRPr="004648FA">
        <w:rPr>
          <w:sz w:val="28"/>
          <w:szCs w:val="28"/>
          <w:lang w:val="en-GB"/>
        </w:rPr>
        <w:t xml:space="preserve"> to get married</w:t>
      </w:r>
      <w:r w:rsidR="00BC4402">
        <w:rPr>
          <w:sz w:val="28"/>
          <w:szCs w:val="28"/>
          <w:lang w:val="en-GB"/>
        </w:rPr>
        <w:t xml:space="preserve"> </w:t>
      </w:r>
      <w:r w:rsidR="008225B8" w:rsidRPr="004648FA">
        <w:rPr>
          <w:sz w:val="28"/>
          <w:szCs w:val="28"/>
          <w:lang w:val="en-GB"/>
        </w:rPr>
        <w:t xml:space="preserve">and/or </w:t>
      </w:r>
      <w:r w:rsidR="00BC4402">
        <w:rPr>
          <w:sz w:val="28"/>
          <w:szCs w:val="28"/>
          <w:lang w:val="en-GB"/>
        </w:rPr>
        <w:t xml:space="preserve">on married couples </w:t>
      </w:r>
      <w:r w:rsidR="008225B8" w:rsidRPr="004648FA">
        <w:rPr>
          <w:sz w:val="28"/>
          <w:szCs w:val="28"/>
          <w:lang w:val="en-GB"/>
        </w:rPr>
        <w:t xml:space="preserve">to have children, if the </w:t>
      </w:r>
      <w:r w:rsidR="00547ED7">
        <w:rPr>
          <w:sz w:val="28"/>
          <w:szCs w:val="28"/>
          <w:lang w:val="en-GB"/>
        </w:rPr>
        <w:t>HA’s</w:t>
      </w:r>
      <w:r w:rsidR="008225B8" w:rsidRPr="004648FA">
        <w:rPr>
          <w:sz w:val="28"/>
          <w:szCs w:val="28"/>
          <w:lang w:val="en-GB"/>
        </w:rPr>
        <w:t xml:space="preserve"> policies were to be relaxed to admit the applications of same-sex married couples.</w:t>
      </w:r>
      <w:r w:rsidR="00C57830" w:rsidRPr="004648FA">
        <w:rPr>
          <w:rStyle w:val="FootnoteReference"/>
          <w:sz w:val="28"/>
          <w:szCs w:val="28"/>
          <w:lang w:val="en-GB"/>
        </w:rPr>
        <w:footnoteReference w:id="155"/>
      </w:r>
    </w:p>
    <w:p w:rsidR="002B33AF" w:rsidRPr="004648FA" w:rsidRDefault="004B0A8F" w:rsidP="00FC1055">
      <w:pPr>
        <w:keepNext/>
        <w:numPr>
          <w:ilvl w:val="0"/>
          <w:numId w:val="7"/>
        </w:numPr>
        <w:snapToGrid w:val="0"/>
        <w:spacing w:after="360" w:line="360" w:lineRule="auto"/>
        <w:ind w:left="0" w:firstLine="0"/>
        <w:jc w:val="both"/>
        <w:rPr>
          <w:sz w:val="28"/>
          <w:szCs w:val="28"/>
          <w:lang w:val="en-GB"/>
        </w:rPr>
      </w:pPr>
      <w:r>
        <w:rPr>
          <w:sz w:val="28"/>
          <w:szCs w:val="28"/>
          <w:lang w:val="en-GB"/>
        </w:rPr>
        <w:tab/>
      </w:r>
      <w:r w:rsidR="008225B8" w:rsidRPr="004648FA">
        <w:rPr>
          <w:sz w:val="28"/>
          <w:szCs w:val="28"/>
          <w:lang w:val="en-GB"/>
        </w:rPr>
        <w:t>The HA strongly critici</w:t>
      </w:r>
      <w:r w:rsidR="008D0D81" w:rsidRPr="004648FA">
        <w:rPr>
          <w:sz w:val="28"/>
          <w:szCs w:val="28"/>
          <w:lang w:val="en-GB"/>
        </w:rPr>
        <w:t>s</w:t>
      </w:r>
      <w:r w:rsidR="008225B8" w:rsidRPr="004648FA">
        <w:rPr>
          <w:sz w:val="28"/>
          <w:szCs w:val="28"/>
          <w:lang w:val="en-GB"/>
        </w:rPr>
        <w:t xml:space="preserve">es the Court of Appeal </w:t>
      </w:r>
      <w:r w:rsidR="00DF206C">
        <w:rPr>
          <w:sz w:val="28"/>
          <w:szCs w:val="28"/>
          <w:lang w:val="en-GB"/>
        </w:rPr>
        <w:t>for</w:t>
      </w:r>
      <w:r w:rsidR="008225B8" w:rsidRPr="004648FA">
        <w:rPr>
          <w:sz w:val="28"/>
          <w:szCs w:val="28"/>
          <w:lang w:val="en-GB"/>
        </w:rPr>
        <w:t xml:space="preserve"> its insistence on receiving empirical evidence.</w:t>
      </w:r>
      <w:r w:rsidR="000B600E" w:rsidRPr="004648FA">
        <w:rPr>
          <w:rStyle w:val="FootnoteReference"/>
          <w:sz w:val="28"/>
          <w:szCs w:val="28"/>
          <w:lang w:val="en-GB"/>
        </w:rPr>
        <w:footnoteReference w:id="156"/>
      </w:r>
      <w:r w:rsidR="008225B8" w:rsidRPr="004648FA">
        <w:rPr>
          <w:sz w:val="28"/>
          <w:szCs w:val="28"/>
          <w:lang w:val="en-GB"/>
        </w:rPr>
        <w:t xml:space="preserve"> </w:t>
      </w:r>
      <w:r w:rsidR="00833753">
        <w:rPr>
          <w:sz w:val="28"/>
          <w:szCs w:val="28"/>
          <w:lang w:val="en-GB"/>
        </w:rPr>
        <w:t xml:space="preserve"> </w:t>
      </w:r>
      <w:r w:rsidR="008225B8" w:rsidRPr="004648FA">
        <w:rPr>
          <w:sz w:val="28"/>
          <w:szCs w:val="28"/>
          <w:lang w:val="en-GB"/>
        </w:rPr>
        <w:t xml:space="preserve">It contends that the </w:t>
      </w:r>
      <w:r w:rsidR="008544AB">
        <w:rPr>
          <w:sz w:val="28"/>
          <w:szCs w:val="28"/>
          <w:lang w:val="en-GB"/>
        </w:rPr>
        <w:t>co</w:t>
      </w:r>
      <w:r w:rsidR="008225B8" w:rsidRPr="004648FA">
        <w:rPr>
          <w:sz w:val="28"/>
          <w:szCs w:val="28"/>
          <w:lang w:val="en-GB"/>
        </w:rPr>
        <w:t xml:space="preserve">urt has failed to give proper weight to the fact that whenever a PRH </w:t>
      </w:r>
      <w:r w:rsidR="008D0D81" w:rsidRPr="004648FA">
        <w:rPr>
          <w:sz w:val="28"/>
          <w:szCs w:val="28"/>
          <w:lang w:val="en-GB"/>
        </w:rPr>
        <w:t xml:space="preserve">unit </w:t>
      </w:r>
      <w:r w:rsidR="008225B8" w:rsidRPr="004648FA">
        <w:rPr>
          <w:sz w:val="28"/>
          <w:szCs w:val="28"/>
          <w:lang w:val="en-GB"/>
        </w:rPr>
        <w:t xml:space="preserve">or </w:t>
      </w:r>
      <w:r w:rsidR="00FC390B">
        <w:rPr>
          <w:sz w:val="28"/>
          <w:szCs w:val="28"/>
          <w:lang w:val="en-GB"/>
        </w:rPr>
        <w:t xml:space="preserve">an </w:t>
      </w:r>
      <w:r w:rsidR="008225B8" w:rsidRPr="004648FA">
        <w:rPr>
          <w:sz w:val="28"/>
          <w:szCs w:val="28"/>
          <w:lang w:val="en-GB"/>
        </w:rPr>
        <w:t xml:space="preserve">HOS </w:t>
      </w:r>
      <w:r w:rsidR="008D0D81" w:rsidRPr="004648FA">
        <w:rPr>
          <w:sz w:val="28"/>
          <w:szCs w:val="28"/>
          <w:lang w:val="en-GB"/>
        </w:rPr>
        <w:t xml:space="preserve">flat </w:t>
      </w:r>
      <w:r w:rsidR="008225B8" w:rsidRPr="004648FA">
        <w:rPr>
          <w:sz w:val="28"/>
          <w:szCs w:val="28"/>
          <w:lang w:val="en-GB"/>
        </w:rPr>
        <w:t xml:space="preserve">becomes available and </w:t>
      </w:r>
      <w:proofErr w:type="gramStart"/>
      <w:r w:rsidR="008225B8" w:rsidRPr="004648FA">
        <w:rPr>
          <w:sz w:val="28"/>
          <w:szCs w:val="28"/>
          <w:lang w:val="en-GB"/>
        </w:rPr>
        <w:t>is allocated</w:t>
      </w:r>
      <w:proofErr w:type="gramEnd"/>
      <w:r w:rsidR="008225B8" w:rsidRPr="004648FA">
        <w:rPr>
          <w:sz w:val="28"/>
          <w:szCs w:val="28"/>
          <w:lang w:val="en-GB"/>
        </w:rPr>
        <w:t xml:space="preserve"> to a same-sex married couple, at least one eligible traditional family will be unable to enjoy that unit for the duration of its occupancy.</w:t>
      </w:r>
      <w:r w:rsidR="001E3A1B" w:rsidRPr="004648FA">
        <w:rPr>
          <w:rStyle w:val="FootnoteReference"/>
          <w:sz w:val="28"/>
          <w:szCs w:val="28"/>
          <w:lang w:val="en-GB"/>
        </w:rPr>
        <w:footnoteReference w:id="157"/>
      </w:r>
      <w:r w:rsidR="008225B8" w:rsidRPr="004648FA">
        <w:rPr>
          <w:sz w:val="28"/>
          <w:szCs w:val="28"/>
          <w:lang w:val="en-GB"/>
        </w:rPr>
        <w:t xml:space="preserve"> </w:t>
      </w:r>
      <w:r w:rsidR="00833753">
        <w:rPr>
          <w:sz w:val="28"/>
          <w:szCs w:val="28"/>
          <w:lang w:val="en-GB"/>
        </w:rPr>
        <w:t xml:space="preserve"> </w:t>
      </w:r>
      <w:r w:rsidR="008225B8" w:rsidRPr="004648FA">
        <w:rPr>
          <w:sz w:val="28"/>
          <w:szCs w:val="28"/>
          <w:lang w:val="en-GB"/>
        </w:rPr>
        <w:t xml:space="preserve">The HA also relies on the impact of any </w:t>
      </w:r>
      <w:r w:rsidR="00BE47E0">
        <w:rPr>
          <w:sz w:val="28"/>
          <w:szCs w:val="28"/>
          <w:lang w:val="en-GB"/>
        </w:rPr>
        <w:t>relaxation of</w:t>
      </w:r>
      <w:r w:rsidR="008225B8" w:rsidRPr="004648FA">
        <w:rPr>
          <w:sz w:val="28"/>
          <w:szCs w:val="28"/>
          <w:lang w:val="en-GB"/>
        </w:rPr>
        <w:t xml:space="preserve"> the </w:t>
      </w:r>
      <w:r w:rsidR="008225B8" w:rsidRPr="004648FA">
        <w:rPr>
          <w:sz w:val="28"/>
          <w:szCs w:val="28"/>
          <w:lang w:val="en-GB"/>
        </w:rPr>
        <w:lastRenderedPageBreak/>
        <w:t xml:space="preserve">challenged policies on opposite-sex couples’ rights under </w:t>
      </w:r>
      <w:r w:rsidR="009B072C" w:rsidRPr="004648FA">
        <w:rPr>
          <w:sz w:val="28"/>
          <w:szCs w:val="28"/>
          <w:lang w:val="en-GB"/>
        </w:rPr>
        <w:t>BL36</w:t>
      </w:r>
      <w:r w:rsidR="008225B8" w:rsidRPr="004648FA">
        <w:rPr>
          <w:sz w:val="28"/>
          <w:szCs w:val="28"/>
          <w:lang w:val="en-GB"/>
        </w:rPr>
        <w:t>.</w:t>
      </w:r>
      <w:r w:rsidR="001E3A1B" w:rsidRPr="004648FA">
        <w:rPr>
          <w:rStyle w:val="FootnoteReference"/>
          <w:sz w:val="28"/>
          <w:szCs w:val="28"/>
          <w:lang w:val="en-GB"/>
        </w:rPr>
        <w:footnoteReference w:id="158"/>
      </w:r>
      <w:r w:rsidR="008225B8" w:rsidRPr="004648FA">
        <w:rPr>
          <w:sz w:val="28"/>
          <w:szCs w:val="28"/>
          <w:lang w:val="en-GB"/>
        </w:rPr>
        <w:t xml:space="preserve"> </w:t>
      </w:r>
      <w:r w:rsidR="003D6492">
        <w:rPr>
          <w:sz w:val="28"/>
          <w:szCs w:val="28"/>
          <w:lang w:val="en-GB"/>
        </w:rPr>
        <w:t xml:space="preserve"> </w:t>
      </w:r>
      <w:r w:rsidR="008225B8" w:rsidRPr="004648FA">
        <w:rPr>
          <w:sz w:val="28"/>
          <w:szCs w:val="28"/>
          <w:lang w:val="en-GB"/>
        </w:rPr>
        <w:t xml:space="preserve">Finally, in relation to the </w:t>
      </w:r>
      <w:r w:rsidR="00BE47E0">
        <w:rPr>
          <w:sz w:val="28"/>
          <w:szCs w:val="28"/>
          <w:lang w:val="en-GB"/>
        </w:rPr>
        <w:t>impugned</w:t>
      </w:r>
      <w:r w:rsidR="008225B8" w:rsidRPr="004648FA">
        <w:rPr>
          <w:sz w:val="28"/>
          <w:szCs w:val="28"/>
          <w:lang w:val="en-GB"/>
        </w:rPr>
        <w:t xml:space="preserve"> HOS polic</w:t>
      </w:r>
      <w:r w:rsidR="003C177F">
        <w:rPr>
          <w:sz w:val="28"/>
          <w:szCs w:val="28"/>
          <w:lang w:val="en-GB"/>
        </w:rPr>
        <w:t>ies</w:t>
      </w:r>
      <w:r w:rsidR="008225B8" w:rsidRPr="004648FA">
        <w:rPr>
          <w:sz w:val="28"/>
          <w:szCs w:val="28"/>
          <w:lang w:val="en-GB"/>
        </w:rPr>
        <w:t xml:space="preserve">, the Court of Appeal, it is contended, has failed to take into account considerations </w:t>
      </w:r>
      <w:r w:rsidR="008D0D81" w:rsidRPr="004648FA">
        <w:rPr>
          <w:sz w:val="28"/>
          <w:szCs w:val="28"/>
          <w:lang w:val="en-GB"/>
        </w:rPr>
        <w:t xml:space="preserve">of overall coherence </w:t>
      </w:r>
      <w:r w:rsidR="008544AB">
        <w:rPr>
          <w:sz w:val="28"/>
          <w:szCs w:val="28"/>
          <w:lang w:val="en-GB"/>
        </w:rPr>
        <w:t xml:space="preserve">in that those </w:t>
      </w:r>
      <w:r w:rsidR="008225B8" w:rsidRPr="004648FA">
        <w:rPr>
          <w:sz w:val="28"/>
          <w:szCs w:val="28"/>
          <w:lang w:val="en-GB"/>
        </w:rPr>
        <w:t>polic</w:t>
      </w:r>
      <w:r w:rsidR="003C177F">
        <w:rPr>
          <w:sz w:val="28"/>
          <w:szCs w:val="28"/>
          <w:lang w:val="en-GB"/>
        </w:rPr>
        <w:t>ies</w:t>
      </w:r>
      <w:r w:rsidR="008225B8" w:rsidRPr="004648FA">
        <w:rPr>
          <w:sz w:val="28"/>
          <w:szCs w:val="28"/>
          <w:lang w:val="en-GB"/>
        </w:rPr>
        <w:t xml:space="preserve"> </w:t>
      </w:r>
      <w:r w:rsidR="00BE47E0">
        <w:rPr>
          <w:sz w:val="28"/>
          <w:szCs w:val="28"/>
          <w:lang w:val="en-GB"/>
        </w:rPr>
        <w:t>are integral parts</w:t>
      </w:r>
      <w:r w:rsidR="008225B8" w:rsidRPr="004648FA">
        <w:rPr>
          <w:sz w:val="28"/>
          <w:szCs w:val="28"/>
          <w:lang w:val="en-GB"/>
        </w:rPr>
        <w:t xml:space="preserve"> of the </w:t>
      </w:r>
      <w:r w:rsidR="00BE47E0">
        <w:rPr>
          <w:sz w:val="28"/>
          <w:szCs w:val="28"/>
          <w:lang w:val="en-GB"/>
        </w:rPr>
        <w:t>overall</w:t>
      </w:r>
      <w:r w:rsidR="008225B8" w:rsidRPr="004648FA">
        <w:rPr>
          <w:sz w:val="28"/>
          <w:szCs w:val="28"/>
          <w:lang w:val="en-GB"/>
        </w:rPr>
        <w:t xml:space="preserve"> HOS policy </w:t>
      </w:r>
      <w:r w:rsidR="00BE47E0">
        <w:rPr>
          <w:sz w:val="28"/>
          <w:szCs w:val="28"/>
          <w:lang w:val="en-GB"/>
        </w:rPr>
        <w:t xml:space="preserve">under which </w:t>
      </w:r>
      <w:r w:rsidR="008225B8" w:rsidRPr="004648FA">
        <w:rPr>
          <w:sz w:val="28"/>
          <w:szCs w:val="28"/>
          <w:lang w:val="en-GB"/>
        </w:rPr>
        <w:t xml:space="preserve">same-sex couples </w:t>
      </w:r>
      <w:r w:rsidR="00BE47E0">
        <w:rPr>
          <w:sz w:val="28"/>
          <w:szCs w:val="28"/>
          <w:lang w:val="en-GB"/>
        </w:rPr>
        <w:t>are excluded from purchasing</w:t>
      </w:r>
      <w:r w:rsidR="00833753">
        <w:rPr>
          <w:sz w:val="28"/>
          <w:szCs w:val="28"/>
          <w:lang w:val="en-GB"/>
        </w:rPr>
        <w:t xml:space="preserve">, </w:t>
      </w:r>
      <w:r w:rsidR="00BE47E0">
        <w:rPr>
          <w:sz w:val="28"/>
          <w:szCs w:val="28"/>
          <w:lang w:val="en-GB"/>
        </w:rPr>
        <w:t xml:space="preserve">owning or occupying </w:t>
      </w:r>
      <w:r w:rsidR="008225B8" w:rsidRPr="004648FA">
        <w:rPr>
          <w:sz w:val="28"/>
          <w:szCs w:val="28"/>
          <w:lang w:val="en-GB"/>
        </w:rPr>
        <w:t>HOS flats</w:t>
      </w:r>
      <w:r w:rsidR="00BE47E0">
        <w:rPr>
          <w:sz w:val="28"/>
          <w:szCs w:val="28"/>
          <w:lang w:val="en-GB"/>
        </w:rPr>
        <w:t xml:space="preserve"> as couples</w:t>
      </w:r>
      <w:r w:rsidR="008225B8" w:rsidRPr="004648FA">
        <w:rPr>
          <w:sz w:val="28"/>
          <w:szCs w:val="28"/>
          <w:lang w:val="en-GB"/>
        </w:rPr>
        <w:t>.</w:t>
      </w:r>
      <w:r w:rsidR="00E919EA" w:rsidRPr="004648FA">
        <w:rPr>
          <w:rStyle w:val="FootnoteReference"/>
          <w:sz w:val="28"/>
          <w:lang w:val="en-GB"/>
        </w:rPr>
        <w:footnoteReference w:id="159"/>
      </w:r>
    </w:p>
    <w:p w:rsidR="006752C9" w:rsidRDefault="004B0A8F" w:rsidP="00FC1055">
      <w:pPr>
        <w:keepNext/>
        <w:numPr>
          <w:ilvl w:val="0"/>
          <w:numId w:val="7"/>
        </w:numPr>
        <w:snapToGrid w:val="0"/>
        <w:spacing w:after="360" w:line="360" w:lineRule="auto"/>
        <w:ind w:left="0" w:firstLine="0"/>
        <w:jc w:val="both"/>
        <w:rPr>
          <w:sz w:val="28"/>
          <w:szCs w:val="28"/>
          <w:lang w:val="en-GB"/>
        </w:rPr>
      </w:pPr>
      <w:r>
        <w:rPr>
          <w:sz w:val="28"/>
          <w:szCs w:val="28"/>
          <w:lang w:val="en-GB"/>
        </w:rPr>
        <w:tab/>
      </w:r>
      <w:r w:rsidR="006003FC">
        <w:rPr>
          <w:sz w:val="28"/>
          <w:szCs w:val="28"/>
          <w:lang w:val="en-GB"/>
        </w:rPr>
        <w:t xml:space="preserve">I </w:t>
      </w:r>
      <w:proofErr w:type="gramStart"/>
      <w:r w:rsidR="006003FC">
        <w:rPr>
          <w:sz w:val="28"/>
          <w:szCs w:val="28"/>
          <w:lang w:val="en-GB"/>
        </w:rPr>
        <w:t>am</w:t>
      </w:r>
      <w:r w:rsidR="008225B8" w:rsidRPr="004648FA">
        <w:rPr>
          <w:sz w:val="28"/>
          <w:szCs w:val="28"/>
          <w:lang w:val="en-GB"/>
        </w:rPr>
        <w:t xml:space="preserve"> not persuaded</w:t>
      </w:r>
      <w:proofErr w:type="gramEnd"/>
      <w:r w:rsidR="008225B8" w:rsidRPr="004648FA">
        <w:rPr>
          <w:sz w:val="28"/>
          <w:szCs w:val="28"/>
          <w:lang w:val="en-GB"/>
        </w:rPr>
        <w:t xml:space="preserve"> by these arguments</w:t>
      </w:r>
      <w:r w:rsidR="00F415A9" w:rsidRPr="004648FA">
        <w:rPr>
          <w:sz w:val="28"/>
          <w:szCs w:val="28"/>
          <w:lang w:val="en-GB"/>
        </w:rPr>
        <w:t xml:space="preserve">.  </w:t>
      </w:r>
      <w:r w:rsidR="006003FC">
        <w:rPr>
          <w:sz w:val="28"/>
          <w:szCs w:val="28"/>
          <w:lang w:val="en-GB"/>
        </w:rPr>
        <w:t>I</w:t>
      </w:r>
      <w:r w:rsidR="008225B8" w:rsidRPr="004648FA">
        <w:rPr>
          <w:sz w:val="28"/>
          <w:szCs w:val="28"/>
          <w:lang w:val="en-GB"/>
        </w:rPr>
        <w:t xml:space="preserve"> have no difficulty in accepting that the proportionality test does not always require positive justificatory evidence in every case, and the cour</w:t>
      </w:r>
      <w:r w:rsidR="00D03383">
        <w:rPr>
          <w:sz w:val="28"/>
          <w:szCs w:val="28"/>
          <w:lang w:val="en-GB"/>
        </w:rPr>
        <w:t>t must bear in mind the “realities</w:t>
      </w:r>
      <w:r w:rsidR="008225B8" w:rsidRPr="004648FA">
        <w:rPr>
          <w:sz w:val="28"/>
          <w:szCs w:val="28"/>
          <w:lang w:val="en-GB"/>
        </w:rPr>
        <w:t>” of the case in question.</w:t>
      </w:r>
      <w:r w:rsidR="006752C9" w:rsidRPr="004648FA">
        <w:rPr>
          <w:rStyle w:val="FootnoteReference"/>
          <w:sz w:val="28"/>
          <w:szCs w:val="28"/>
          <w:lang w:val="en-GB"/>
        </w:rPr>
        <w:footnoteReference w:id="160"/>
      </w:r>
      <w:r w:rsidR="008225B8" w:rsidRPr="004648FA">
        <w:rPr>
          <w:sz w:val="28"/>
          <w:szCs w:val="28"/>
          <w:lang w:val="en-GB"/>
        </w:rPr>
        <w:t xml:space="preserve"> </w:t>
      </w:r>
      <w:r>
        <w:rPr>
          <w:sz w:val="28"/>
          <w:szCs w:val="28"/>
          <w:lang w:val="en-GB"/>
        </w:rPr>
        <w:t xml:space="preserve"> </w:t>
      </w:r>
      <w:r w:rsidR="008225B8" w:rsidRPr="004648FA">
        <w:rPr>
          <w:sz w:val="28"/>
          <w:szCs w:val="28"/>
          <w:lang w:val="en-GB"/>
        </w:rPr>
        <w:t xml:space="preserve">Whether, and the extent to which, evidence is required in a </w:t>
      </w:r>
      <w:r w:rsidR="00EE7C54">
        <w:rPr>
          <w:sz w:val="28"/>
          <w:szCs w:val="28"/>
          <w:lang w:val="en-GB"/>
        </w:rPr>
        <w:t>given</w:t>
      </w:r>
      <w:r w:rsidR="008225B8" w:rsidRPr="004648FA">
        <w:rPr>
          <w:sz w:val="28"/>
          <w:szCs w:val="28"/>
          <w:lang w:val="en-GB"/>
        </w:rPr>
        <w:t xml:space="preserve"> case to support a justification must depend on</w:t>
      </w:r>
      <w:r w:rsidR="005C2760">
        <w:rPr>
          <w:sz w:val="28"/>
          <w:szCs w:val="28"/>
          <w:lang w:val="en-GB"/>
        </w:rPr>
        <w:t xml:space="preserve"> the facts and the context, and </w:t>
      </w:r>
      <w:r w:rsidR="008544AB">
        <w:rPr>
          <w:sz w:val="28"/>
          <w:szCs w:val="28"/>
          <w:lang w:val="en-GB"/>
        </w:rPr>
        <w:t>especially</w:t>
      </w:r>
      <w:r w:rsidR="005C2760">
        <w:rPr>
          <w:sz w:val="28"/>
          <w:szCs w:val="28"/>
          <w:lang w:val="en-GB"/>
        </w:rPr>
        <w:t>, on t</w:t>
      </w:r>
      <w:r w:rsidR="008225B8" w:rsidRPr="004648FA">
        <w:rPr>
          <w:sz w:val="28"/>
          <w:szCs w:val="28"/>
          <w:lang w:val="en-GB"/>
        </w:rPr>
        <w:t>he nature of the justification itself.</w:t>
      </w:r>
      <w:r w:rsidR="006752C9" w:rsidRPr="004648FA">
        <w:rPr>
          <w:rStyle w:val="FootnoteReference"/>
          <w:sz w:val="28"/>
          <w:lang w:val="en-GB"/>
        </w:rPr>
        <w:footnoteReference w:id="161"/>
      </w:r>
    </w:p>
    <w:p w:rsidR="002B33AF" w:rsidRPr="00EE5D9E" w:rsidRDefault="00AD2EA6" w:rsidP="00EE5D9E">
      <w:pPr>
        <w:keepNext/>
        <w:numPr>
          <w:ilvl w:val="0"/>
          <w:numId w:val="7"/>
        </w:numPr>
        <w:tabs>
          <w:tab w:val="left" w:pos="0"/>
        </w:tabs>
        <w:snapToGrid w:val="0"/>
        <w:spacing w:after="360" w:line="360" w:lineRule="auto"/>
        <w:ind w:left="0" w:firstLine="0"/>
        <w:jc w:val="both"/>
        <w:rPr>
          <w:sz w:val="28"/>
          <w:szCs w:val="28"/>
          <w:lang w:val="en-GB"/>
        </w:rPr>
      </w:pPr>
      <w:r w:rsidRPr="00792EF9">
        <w:rPr>
          <w:sz w:val="28"/>
          <w:szCs w:val="28"/>
          <w:lang w:val="en-GB"/>
        </w:rPr>
        <w:tab/>
      </w:r>
      <w:r w:rsidR="00DF180D" w:rsidRPr="00792EF9">
        <w:rPr>
          <w:sz w:val="28"/>
          <w:szCs w:val="28"/>
          <w:lang w:val="en-GB"/>
        </w:rPr>
        <w:t>I</w:t>
      </w:r>
      <w:r w:rsidR="00DF180D" w:rsidRPr="00EE5D9E">
        <w:rPr>
          <w:sz w:val="28"/>
          <w:szCs w:val="28"/>
          <w:lang w:val="en-GB"/>
        </w:rPr>
        <w:t xml:space="preserve">n </w:t>
      </w:r>
      <w:proofErr w:type="gramStart"/>
      <w:r w:rsidR="00DF180D" w:rsidRPr="00EE5D9E">
        <w:rPr>
          <w:sz w:val="28"/>
          <w:szCs w:val="28"/>
          <w:lang w:val="en-GB"/>
        </w:rPr>
        <w:t>particular</w:t>
      </w:r>
      <w:proofErr w:type="gramEnd"/>
      <w:r w:rsidR="00DF180D" w:rsidRPr="00EE5D9E">
        <w:rPr>
          <w:sz w:val="28"/>
          <w:szCs w:val="28"/>
          <w:lang w:val="en-GB"/>
        </w:rPr>
        <w:t xml:space="preserve"> cases, reliance on common sense, logic or intuition may be appropriate</w:t>
      </w:r>
      <w:r w:rsidR="002E0692" w:rsidRPr="00EE5D9E">
        <w:rPr>
          <w:sz w:val="28"/>
          <w:szCs w:val="28"/>
          <w:lang w:val="en-GB"/>
        </w:rPr>
        <w:t>,</w:t>
      </w:r>
      <w:r w:rsidR="00DF180D">
        <w:rPr>
          <w:rStyle w:val="FootnoteReference"/>
          <w:sz w:val="28"/>
          <w:szCs w:val="28"/>
          <w:lang w:val="en-GB"/>
        </w:rPr>
        <w:footnoteReference w:id="162"/>
      </w:r>
      <w:r w:rsidR="00DF180D" w:rsidRPr="00EE5D9E">
        <w:rPr>
          <w:sz w:val="28"/>
          <w:szCs w:val="28"/>
          <w:lang w:val="en-GB"/>
        </w:rPr>
        <w:t xml:space="preserve"> </w:t>
      </w:r>
      <w:r w:rsidR="002E0692" w:rsidRPr="00EE5D9E">
        <w:rPr>
          <w:sz w:val="28"/>
          <w:szCs w:val="28"/>
          <w:lang w:val="en-GB"/>
        </w:rPr>
        <w:t xml:space="preserve">and indeed </w:t>
      </w:r>
      <w:r w:rsidR="00430DF6" w:rsidRPr="00EE5D9E">
        <w:rPr>
          <w:sz w:val="28"/>
          <w:szCs w:val="28"/>
          <w:lang w:val="en-GB"/>
        </w:rPr>
        <w:t xml:space="preserve">cases exist </w:t>
      </w:r>
      <w:r w:rsidR="00DC27A9" w:rsidRPr="00EE5D9E">
        <w:rPr>
          <w:sz w:val="28"/>
          <w:szCs w:val="28"/>
          <w:lang w:val="en-GB"/>
        </w:rPr>
        <w:t xml:space="preserve">where these are the only matters that </w:t>
      </w:r>
      <w:r w:rsidR="00430DF6" w:rsidRPr="00EE5D9E">
        <w:rPr>
          <w:sz w:val="28"/>
          <w:szCs w:val="28"/>
          <w:lang w:val="en-GB"/>
        </w:rPr>
        <w:t xml:space="preserve">may properly be relied on by the court for the </w:t>
      </w:r>
      <w:r w:rsidR="00DC27A9" w:rsidRPr="00EE5D9E">
        <w:rPr>
          <w:sz w:val="28"/>
          <w:szCs w:val="28"/>
          <w:lang w:val="en-GB"/>
        </w:rPr>
        <w:t xml:space="preserve">evaluation </w:t>
      </w:r>
      <w:r w:rsidR="00430DF6" w:rsidRPr="00EE5D9E">
        <w:rPr>
          <w:sz w:val="28"/>
          <w:szCs w:val="28"/>
          <w:lang w:val="en-GB"/>
        </w:rPr>
        <w:t>of a justification</w:t>
      </w:r>
      <w:r w:rsidR="00DC27A9" w:rsidRPr="00EE5D9E">
        <w:rPr>
          <w:sz w:val="28"/>
          <w:szCs w:val="28"/>
          <w:lang w:val="en-GB"/>
        </w:rPr>
        <w:t xml:space="preserve">.  </w:t>
      </w:r>
      <w:r w:rsidR="00430DF6" w:rsidRPr="00EE5D9E">
        <w:rPr>
          <w:sz w:val="28"/>
          <w:szCs w:val="28"/>
          <w:lang w:val="en-GB"/>
        </w:rPr>
        <w:t>For</w:t>
      </w:r>
      <w:r w:rsidR="00DC27A9" w:rsidRPr="00EE5D9E">
        <w:rPr>
          <w:sz w:val="28"/>
          <w:szCs w:val="28"/>
          <w:lang w:val="en-GB"/>
        </w:rPr>
        <w:t xml:space="preserve"> </w:t>
      </w:r>
      <w:r w:rsidR="002E0692" w:rsidRPr="00EE5D9E">
        <w:rPr>
          <w:sz w:val="28"/>
          <w:szCs w:val="28"/>
          <w:lang w:val="en-GB"/>
        </w:rPr>
        <w:t xml:space="preserve">there are </w:t>
      </w:r>
      <w:r w:rsidR="00DC27A9" w:rsidRPr="00EE5D9E">
        <w:rPr>
          <w:sz w:val="28"/>
          <w:szCs w:val="28"/>
          <w:lang w:val="en-GB"/>
        </w:rPr>
        <w:t>“predictive and other judgmental assessments</w:t>
      </w:r>
      <w:r w:rsidR="002E0692" w:rsidRPr="00EE5D9E">
        <w:rPr>
          <w:sz w:val="28"/>
          <w:szCs w:val="28"/>
          <w:lang w:val="en-GB"/>
        </w:rPr>
        <w:t xml:space="preserve">” of a kind “whose </w:t>
      </w:r>
      <w:r w:rsidR="002E0692" w:rsidRPr="00EE5D9E">
        <w:rPr>
          <w:sz w:val="28"/>
          <w:szCs w:val="28"/>
          <w:lang w:val="en-GB"/>
        </w:rPr>
        <w:lastRenderedPageBreak/>
        <w:t>rationality can be assessed but whose correctness cannot in the nature of things be tested empirically”.</w:t>
      </w:r>
      <w:r w:rsidR="002E0692">
        <w:rPr>
          <w:rStyle w:val="FootnoteReference"/>
          <w:sz w:val="28"/>
          <w:szCs w:val="28"/>
          <w:lang w:val="en-GB"/>
        </w:rPr>
        <w:footnoteReference w:id="163"/>
      </w:r>
      <w:r w:rsidR="002E0692" w:rsidRPr="00EE5D9E">
        <w:rPr>
          <w:sz w:val="28"/>
          <w:szCs w:val="28"/>
          <w:lang w:val="en-GB"/>
        </w:rPr>
        <w:t xml:space="preserve">  </w:t>
      </w:r>
      <w:r w:rsidR="00EE7C54" w:rsidRPr="00EE5D9E">
        <w:rPr>
          <w:sz w:val="28"/>
          <w:szCs w:val="28"/>
          <w:lang w:val="en-GB"/>
        </w:rPr>
        <w:t>J</w:t>
      </w:r>
      <w:r w:rsidR="005C2760" w:rsidRPr="00EE5D9E">
        <w:rPr>
          <w:sz w:val="28"/>
          <w:szCs w:val="28"/>
          <w:lang w:val="en-GB"/>
        </w:rPr>
        <w:t xml:space="preserve">ustifications </w:t>
      </w:r>
      <w:r w:rsidR="00DF180D" w:rsidRPr="00EE5D9E">
        <w:rPr>
          <w:sz w:val="28"/>
          <w:szCs w:val="28"/>
          <w:lang w:val="en-GB"/>
        </w:rPr>
        <w:t>grounded</w:t>
      </w:r>
      <w:r w:rsidR="005C2760" w:rsidRPr="00EE5D9E">
        <w:rPr>
          <w:sz w:val="28"/>
          <w:szCs w:val="28"/>
          <w:lang w:val="en-GB"/>
        </w:rPr>
        <w:t xml:space="preserve"> in moral or political considerations may not </w:t>
      </w:r>
      <w:r w:rsidR="00EE7C54" w:rsidRPr="00EE5D9E">
        <w:rPr>
          <w:sz w:val="28"/>
          <w:szCs w:val="28"/>
          <w:lang w:val="en-GB"/>
        </w:rPr>
        <w:t xml:space="preserve">easily </w:t>
      </w:r>
      <w:r w:rsidR="005C2760" w:rsidRPr="00EE5D9E">
        <w:rPr>
          <w:sz w:val="28"/>
          <w:szCs w:val="28"/>
          <w:lang w:val="en-GB"/>
        </w:rPr>
        <w:t>lend themselves to evidentiary support.</w:t>
      </w:r>
      <w:r w:rsidR="001D0951">
        <w:rPr>
          <w:rStyle w:val="FootnoteReference"/>
          <w:sz w:val="28"/>
          <w:szCs w:val="28"/>
          <w:lang w:val="en-GB"/>
        </w:rPr>
        <w:footnoteReference w:id="164"/>
      </w:r>
      <w:r w:rsidR="00FC1055">
        <w:rPr>
          <w:sz w:val="28"/>
          <w:szCs w:val="28"/>
          <w:lang w:val="en-GB"/>
        </w:rPr>
        <w:t xml:space="preserve"> </w:t>
      </w:r>
      <w:r w:rsidR="005C2760" w:rsidRPr="00EE5D9E">
        <w:rPr>
          <w:sz w:val="28"/>
          <w:szCs w:val="28"/>
          <w:lang w:val="en-GB"/>
        </w:rPr>
        <w:t xml:space="preserve"> </w:t>
      </w:r>
      <w:r w:rsidR="008225B8" w:rsidRPr="00EE5D9E">
        <w:rPr>
          <w:sz w:val="28"/>
          <w:szCs w:val="28"/>
          <w:lang w:val="en-GB"/>
        </w:rPr>
        <w:t>Where firm factual conclusions are “elusive”</w:t>
      </w:r>
      <w:r w:rsidR="00965F03" w:rsidRPr="00EE5D9E">
        <w:rPr>
          <w:sz w:val="28"/>
          <w:szCs w:val="28"/>
          <w:lang w:val="en-GB"/>
        </w:rPr>
        <w:t>,</w:t>
      </w:r>
      <w:r w:rsidR="0052566D" w:rsidRPr="00EE5D9E">
        <w:rPr>
          <w:sz w:val="28"/>
          <w:szCs w:val="28"/>
          <w:lang w:val="en-GB"/>
        </w:rPr>
        <w:t xml:space="preserve"> </w:t>
      </w:r>
      <w:r w:rsidR="008225B8" w:rsidRPr="00EE5D9E">
        <w:rPr>
          <w:sz w:val="28"/>
          <w:szCs w:val="28"/>
          <w:lang w:val="en-GB"/>
        </w:rPr>
        <w:t xml:space="preserve">where evidence is </w:t>
      </w:r>
      <w:r w:rsidR="001D0951" w:rsidRPr="00EE5D9E">
        <w:rPr>
          <w:sz w:val="28"/>
          <w:szCs w:val="28"/>
          <w:lang w:val="en-GB"/>
        </w:rPr>
        <w:t>“</w:t>
      </w:r>
      <w:r w:rsidR="008225B8" w:rsidRPr="00EE5D9E">
        <w:rPr>
          <w:sz w:val="28"/>
          <w:szCs w:val="28"/>
          <w:lang w:val="en-GB"/>
        </w:rPr>
        <w:t>inconclusive or slight</w:t>
      </w:r>
      <w:r w:rsidR="001D0951" w:rsidRPr="00EE5D9E">
        <w:rPr>
          <w:sz w:val="28"/>
          <w:szCs w:val="28"/>
          <w:lang w:val="en-GB"/>
        </w:rPr>
        <w:t>”</w:t>
      </w:r>
      <w:r w:rsidR="008225B8" w:rsidRPr="00EE5D9E">
        <w:rPr>
          <w:sz w:val="28"/>
          <w:szCs w:val="28"/>
          <w:lang w:val="en-GB"/>
        </w:rPr>
        <w:t>,</w:t>
      </w:r>
      <w:r w:rsidR="0052566D" w:rsidRPr="00EE5D9E">
        <w:rPr>
          <w:sz w:val="28"/>
          <w:szCs w:val="28"/>
          <w:lang w:val="en-GB"/>
        </w:rPr>
        <w:t xml:space="preserve"> or where the truth is “inherently unknowable”,</w:t>
      </w:r>
      <w:r w:rsidR="008225B8" w:rsidRPr="00EE5D9E">
        <w:rPr>
          <w:sz w:val="28"/>
          <w:szCs w:val="28"/>
          <w:lang w:val="en-GB"/>
        </w:rPr>
        <w:t xml:space="preserve"> the court may be </w:t>
      </w:r>
      <w:r w:rsidR="001D0951" w:rsidRPr="00EE5D9E">
        <w:rPr>
          <w:sz w:val="28"/>
          <w:szCs w:val="28"/>
          <w:lang w:val="en-GB"/>
        </w:rPr>
        <w:t>more prepared t</w:t>
      </w:r>
      <w:r w:rsidR="008225B8" w:rsidRPr="00EE5D9E">
        <w:rPr>
          <w:sz w:val="28"/>
          <w:szCs w:val="28"/>
          <w:lang w:val="en-GB"/>
        </w:rPr>
        <w:t xml:space="preserve">o </w:t>
      </w:r>
      <w:r w:rsidR="00AD14D7" w:rsidRPr="00EE5D9E">
        <w:rPr>
          <w:sz w:val="28"/>
          <w:szCs w:val="28"/>
          <w:lang w:val="en-GB"/>
        </w:rPr>
        <w:t>accept an instinctive judgment by the executive or legislature about what the relevant facts are likely to be</w:t>
      </w:r>
      <w:r w:rsidR="00430DF6" w:rsidRPr="00EE5D9E">
        <w:rPr>
          <w:sz w:val="28"/>
          <w:szCs w:val="28"/>
          <w:lang w:val="en-GB"/>
        </w:rPr>
        <w:t>,</w:t>
      </w:r>
      <w:r w:rsidR="00AD14D7" w:rsidRPr="00EE5D9E">
        <w:rPr>
          <w:sz w:val="28"/>
          <w:szCs w:val="28"/>
          <w:lang w:val="en-GB"/>
        </w:rPr>
        <w:t xml:space="preserve"> </w:t>
      </w:r>
      <w:r w:rsidR="001D0951" w:rsidRPr="00EE5D9E">
        <w:rPr>
          <w:sz w:val="28"/>
          <w:szCs w:val="28"/>
          <w:lang w:val="en-GB"/>
        </w:rPr>
        <w:t xml:space="preserve">without insisting on definite, concrete </w:t>
      </w:r>
      <w:r w:rsidR="008225B8" w:rsidRPr="00EE5D9E">
        <w:rPr>
          <w:sz w:val="28"/>
          <w:szCs w:val="28"/>
          <w:lang w:val="en-GB"/>
        </w:rPr>
        <w:t>proof</w:t>
      </w:r>
      <w:r w:rsidR="00AD14D7" w:rsidRPr="00EE5D9E">
        <w:rPr>
          <w:sz w:val="28"/>
          <w:szCs w:val="28"/>
          <w:lang w:val="en-GB"/>
        </w:rPr>
        <w:t xml:space="preserve"> when examining a justification</w:t>
      </w:r>
      <w:r w:rsidR="008225B8" w:rsidRPr="00EE5D9E">
        <w:rPr>
          <w:sz w:val="28"/>
          <w:szCs w:val="28"/>
          <w:lang w:val="en-GB"/>
        </w:rPr>
        <w:t>.</w:t>
      </w:r>
      <w:r w:rsidR="00256985" w:rsidRPr="00EE5D9E">
        <w:rPr>
          <w:rStyle w:val="FootnoteReference"/>
          <w:sz w:val="28"/>
          <w:szCs w:val="28"/>
          <w:lang w:val="en-GB"/>
        </w:rPr>
        <w:t xml:space="preserve"> </w:t>
      </w:r>
      <w:r w:rsidR="00256985" w:rsidRPr="004648FA">
        <w:rPr>
          <w:rStyle w:val="FootnoteReference"/>
          <w:sz w:val="28"/>
          <w:szCs w:val="28"/>
          <w:lang w:val="en-GB"/>
        </w:rPr>
        <w:footnoteReference w:id="165"/>
      </w:r>
      <w:r w:rsidR="008225B8" w:rsidRPr="00EE5D9E">
        <w:rPr>
          <w:sz w:val="28"/>
          <w:szCs w:val="28"/>
          <w:lang w:val="en-GB"/>
        </w:rPr>
        <w:t xml:space="preserve"> </w:t>
      </w:r>
      <w:r w:rsidR="00DF206C" w:rsidRPr="00EE5D9E">
        <w:rPr>
          <w:sz w:val="28"/>
          <w:szCs w:val="28"/>
          <w:lang w:val="en-GB"/>
        </w:rPr>
        <w:t xml:space="preserve"> </w:t>
      </w:r>
      <w:r w:rsidR="00DF180D" w:rsidRPr="00EE5D9E">
        <w:rPr>
          <w:sz w:val="28"/>
          <w:szCs w:val="28"/>
          <w:lang w:val="en-GB"/>
        </w:rPr>
        <w:t xml:space="preserve">By contrast, </w:t>
      </w:r>
      <w:r w:rsidR="0052566D" w:rsidRPr="00EE5D9E">
        <w:rPr>
          <w:sz w:val="28"/>
          <w:szCs w:val="28"/>
          <w:lang w:val="en-GB"/>
        </w:rPr>
        <w:t xml:space="preserve">justifications of an </w:t>
      </w:r>
      <w:r w:rsidR="00DF180D" w:rsidRPr="00EE5D9E">
        <w:rPr>
          <w:sz w:val="28"/>
          <w:szCs w:val="28"/>
          <w:lang w:val="en-GB"/>
        </w:rPr>
        <w:t xml:space="preserve">economic or social </w:t>
      </w:r>
      <w:r w:rsidR="0052566D" w:rsidRPr="00EE5D9E">
        <w:rPr>
          <w:sz w:val="28"/>
          <w:szCs w:val="28"/>
          <w:lang w:val="en-GB"/>
        </w:rPr>
        <w:t>nature would typically require evidential substantiation</w:t>
      </w:r>
      <w:r w:rsidR="00DF180D" w:rsidRPr="00EE5D9E">
        <w:rPr>
          <w:sz w:val="28"/>
          <w:szCs w:val="28"/>
          <w:lang w:val="en-GB"/>
        </w:rPr>
        <w:t>.</w:t>
      </w:r>
      <w:r w:rsidR="0052566D" w:rsidRPr="00EE5D9E">
        <w:rPr>
          <w:sz w:val="28"/>
          <w:szCs w:val="28"/>
          <w:lang w:val="en-GB"/>
        </w:rPr>
        <w:t xml:space="preserve">  </w:t>
      </w:r>
      <w:r w:rsidR="008225B8" w:rsidRPr="00EE5D9E">
        <w:rPr>
          <w:sz w:val="28"/>
          <w:szCs w:val="28"/>
          <w:lang w:val="en-GB"/>
        </w:rPr>
        <w:t xml:space="preserve">As explained in </w:t>
      </w:r>
      <w:r w:rsidR="00EC76CC" w:rsidRPr="00EE5D9E">
        <w:rPr>
          <w:i/>
          <w:sz w:val="28"/>
          <w:szCs w:val="28"/>
          <w:lang w:val="en-GB"/>
        </w:rPr>
        <w:t xml:space="preserve">R </w:t>
      </w:r>
      <w:r w:rsidR="008225B8" w:rsidRPr="00EE5D9E">
        <w:rPr>
          <w:i/>
          <w:sz w:val="28"/>
          <w:szCs w:val="28"/>
          <w:lang w:val="en-GB"/>
        </w:rPr>
        <w:t>(</w:t>
      </w:r>
      <w:proofErr w:type="spellStart"/>
      <w:r w:rsidR="008225B8" w:rsidRPr="00EE5D9E">
        <w:rPr>
          <w:i/>
          <w:sz w:val="28"/>
          <w:szCs w:val="28"/>
          <w:lang w:val="en-GB"/>
        </w:rPr>
        <w:t>Lumsdon</w:t>
      </w:r>
      <w:proofErr w:type="spellEnd"/>
      <w:r w:rsidR="008225B8" w:rsidRPr="00EE5D9E">
        <w:rPr>
          <w:i/>
          <w:sz w:val="28"/>
          <w:szCs w:val="28"/>
          <w:lang w:val="en-GB"/>
        </w:rPr>
        <w:t>)</w:t>
      </w:r>
      <w:r w:rsidR="00D87498" w:rsidRPr="00EE5D9E">
        <w:rPr>
          <w:sz w:val="28"/>
          <w:szCs w:val="28"/>
          <w:lang w:val="en-GB"/>
        </w:rPr>
        <w:t>:</w:t>
      </w:r>
      <w:r w:rsidR="00D87498" w:rsidRPr="00EE5D9E">
        <w:rPr>
          <w:rStyle w:val="FootnoteReference"/>
          <w:szCs w:val="24"/>
          <w:lang w:val="en-GB"/>
        </w:rPr>
        <w:t xml:space="preserve"> </w:t>
      </w:r>
      <w:r w:rsidR="00D87498" w:rsidRPr="00883B7E">
        <w:rPr>
          <w:rStyle w:val="FootnoteReference"/>
          <w:sz w:val="28"/>
          <w:szCs w:val="28"/>
          <w:lang w:val="en-GB"/>
        </w:rPr>
        <w:footnoteReference w:id="166"/>
      </w:r>
    </w:p>
    <w:p w:rsidR="00766DCE" w:rsidRPr="004648FA" w:rsidRDefault="00766DCE" w:rsidP="00325E90">
      <w:pPr>
        <w:keepNext/>
        <w:snapToGrid w:val="0"/>
        <w:spacing w:after="480" w:line="240" w:lineRule="auto"/>
        <w:ind w:left="720"/>
        <w:jc w:val="both"/>
        <w:rPr>
          <w:szCs w:val="24"/>
          <w:lang w:val="en-GB"/>
        </w:rPr>
      </w:pPr>
      <w:r w:rsidRPr="004648FA">
        <w:rPr>
          <w:szCs w:val="24"/>
          <w:lang w:val="en-GB"/>
        </w:rPr>
        <w:t>“The justification for the restriction tends to be examined in detail, although much may depend on the nature of the justification, and the extent to which it requires evidence to support it</w:t>
      </w:r>
      <w:r w:rsidR="00F415A9" w:rsidRPr="004648FA">
        <w:rPr>
          <w:szCs w:val="24"/>
          <w:lang w:val="en-GB"/>
        </w:rPr>
        <w:t xml:space="preserve">.  </w:t>
      </w:r>
      <w:r w:rsidRPr="004648FA">
        <w:rPr>
          <w:szCs w:val="24"/>
          <w:lang w:val="en-GB"/>
        </w:rPr>
        <w:t xml:space="preserve">For example, justifications based on moral or political considerations may not be capable of </w:t>
      </w:r>
      <w:proofErr w:type="gramStart"/>
      <w:r w:rsidRPr="004648FA">
        <w:rPr>
          <w:szCs w:val="24"/>
          <w:lang w:val="en-GB"/>
        </w:rPr>
        <w:t>being established</w:t>
      </w:r>
      <w:proofErr w:type="gramEnd"/>
      <w:r w:rsidRPr="004648FA">
        <w:rPr>
          <w:szCs w:val="24"/>
          <w:lang w:val="en-GB"/>
        </w:rPr>
        <w:t xml:space="preserve"> by evidence</w:t>
      </w:r>
      <w:r w:rsidR="00F415A9" w:rsidRPr="004648FA">
        <w:rPr>
          <w:szCs w:val="24"/>
          <w:lang w:val="en-GB"/>
        </w:rPr>
        <w:t xml:space="preserve">.  </w:t>
      </w:r>
      <w:r w:rsidRPr="004648FA">
        <w:rPr>
          <w:szCs w:val="24"/>
          <w:lang w:val="en-GB"/>
        </w:rPr>
        <w:t>The same may be true of justifications based on intuitive common sense</w:t>
      </w:r>
      <w:r w:rsidR="00F415A9" w:rsidRPr="004648FA">
        <w:rPr>
          <w:szCs w:val="24"/>
          <w:lang w:val="en-GB"/>
        </w:rPr>
        <w:t xml:space="preserve">.  </w:t>
      </w:r>
      <w:r w:rsidRPr="004648FA">
        <w:rPr>
          <w:szCs w:val="24"/>
          <w:lang w:val="en-GB"/>
        </w:rPr>
        <w:t>An economic or social justification, on the other hand, may well be expected to be supported by evidence.”</w:t>
      </w:r>
    </w:p>
    <w:p w:rsidR="00047807" w:rsidRDefault="00E76895" w:rsidP="00775883">
      <w:pPr>
        <w:keepNext/>
        <w:numPr>
          <w:ilvl w:val="0"/>
          <w:numId w:val="7"/>
        </w:numPr>
        <w:snapToGrid w:val="0"/>
        <w:spacing w:after="440" w:line="360" w:lineRule="auto"/>
        <w:ind w:left="0" w:firstLine="0"/>
        <w:jc w:val="both"/>
        <w:rPr>
          <w:sz w:val="28"/>
          <w:szCs w:val="28"/>
          <w:lang w:val="en-GB"/>
        </w:rPr>
      </w:pPr>
      <w:r w:rsidRPr="006E23B8">
        <w:rPr>
          <w:sz w:val="28"/>
          <w:szCs w:val="28"/>
          <w:lang w:val="en-GB"/>
        </w:rPr>
        <w:tab/>
      </w:r>
      <w:r w:rsidR="00831AAE" w:rsidRPr="006E23B8">
        <w:rPr>
          <w:sz w:val="28"/>
          <w:szCs w:val="28"/>
          <w:lang w:val="en-GB"/>
        </w:rPr>
        <w:t>The justification put forward for the impugned measures in these appeals is the Family Aim.  T</w:t>
      </w:r>
      <w:r w:rsidR="00430DF6" w:rsidRPr="006E23B8">
        <w:rPr>
          <w:sz w:val="28"/>
          <w:szCs w:val="28"/>
          <w:lang w:val="en-GB"/>
        </w:rPr>
        <w:t xml:space="preserve">he </w:t>
      </w:r>
      <w:r w:rsidR="00EE7C54" w:rsidRPr="006E23B8">
        <w:rPr>
          <w:sz w:val="28"/>
          <w:szCs w:val="28"/>
          <w:lang w:val="en-GB"/>
        </w:rPr>
        <w:t>exclusionary</w:t>
      </w:r>
      <w:r w:rsidR="00430DF6" w:rsidRPr="006E23B8">
        <w:rPr>
          <w:sz w:val="28"/>
          <w:szCs w:val="28"/>
          <w:lang w:val="en-GB"/>
        </w:rPr>
        <w:t xml:space="preserve"> policies </w:t>
      </w:r>
      <w:r w:rsidR="00831AAE" w:rsidRPr="006E23B8">
        <w:rPr>
          <w:sz w:val="28"/>
          <w:szCs w:val="28"/>
          <w:lang w:val="en-GB"/>
        </w:rPr>
        <w:t xml:space="preserve">are said to benefit opposite-sex married couples by </w:t>
      </w:r>
      <w:r w:rsidR="0032783B" w:rsidRPr="006E23B8">
        <w:rPr>
          <w:sz w:val="28"/>
          <w:szCs w:val="28"/>
          <w:lang w:val="en-GB"/>
        </w:rPr>
        <w:t xml:space="preserve">increasing the supply of </w:t>
      </w:r>
      <w:r w:rsidR="00EE7C54" w:rsidRPr="006E23B8">
        <w:rPr>
          <w:sz w:val="28"/>
          <w:szCs w:val="28"/>
          <w:lang w:val="en-GB"/>
        </w:rPr>
        <w:t>PRH</w:t>
      </w:r>
      <w:r w:rsidR="0032783B" w:rsidRPr="006E23B8">
        <w:rPr>
          <w:sz w:val="28"/>
          <w:szCs w:val="28"/>
          <w:lang w:val="en-GB"/>
        </w:rPr>
        <w:t xml:space="preserve"> units and </w:t>
      </w:r>
      <w:r w:rsidR="00EE7C54" w:rsidRPr="006E23B8">
        <w:rPr>
          <w:sz w:val="28"/>
          <w:szCs w:val="28"/>
          <w:lang w:val="en-GB"/>
        </w:rPr>
        <w:t xml:space="preserve">HOS </w:t>
      </w:r>
      <w:r w:rsidR="0032783B" w:rsidRPr="006E23B8">
        <w:rPr>
          <w:sz w:val="28"/>
          <w:szCs w:val="28"/>
          <w:lang w:val="en-GB"/>
        </w:rPr>
        <w:lastRenderedPageBreak/>
        <w:t xml:space="preserve">flats to </w:t>
      </w:r>
      <w:r w:rsidR="00831AAE" w:rsidRPr="006E23B8">
        <w:rPr>
          <w:sz w:val="28"/>
          <w:szCs w:val="28"/>
          <w:lang w:val="en-GB"/>
        </w:rPr>
        <w:t>them</w:t>
      </w:r>
      <w:r w:rsidR="0032783B" w:rsidRPr="006E23B8">
        <w:rPr>
          <w:sz w:val="28"/>
          <w:szCs w:val="28"/>
          <w:lang w:val="en-GB"/>
        </w:rPr>
        <w:t>, thereby supporting existing traditional families (</w:t>
      </w:r>
      <w:r w:rsidR="00833753">
        <w:rPr>
          <w:sz w:val="28"/>
          <w:szCs w:val="28"/>
          <w:lang w:val="en-GB"/>
        </w:rPr>
        <w:t xml:space="preserve">both </w:t>
      </w:r>
      <w:r w:rsidR="0032783B" w:rsidRPr="006E23B8">
        <w:rPr>
          <w:sz w:val="28"/>
          <w:szCs w:val="28"/>
          <w:lang w:val="en-GB"/>
        </w:rPr>
        <w:t xml:space="preserve">with </w:t>
      </w:r>
      <w:r w:rsidR="00831AAE" w:rsidRPr="006E23B8">
        <w:rPr>
          <w:sz w:val="28"/>
          <w:szCs w:val="28"/>
          <w:lang w:val="en-GB"/>
        </w:rPr>
        <w:t xml:space="preserve">and </w:t>
      </w:r>
      <w:r w:rsidR="0032783B" w:rsidRPr="006E23B8">
        <w:rPr>
          <w:sz w:val="28"/>
          <w:szCs w:val="28"/>
          <w:lang w:val="en-GB"/>
        </w:rPr>
        <w:t xml:space="preserve">without children) as well as the institution of traditional family by encouraging heterosexual </w:t>
      </w:r>
      <w:r w:rsidR="00831AAE" w:rsidRPr="006E23B8">
        <w:rPr>
          <w:sz w:val="28"/>
          <w:szCs w:val="28"/>
          <w:lang w:val="en-GB"/>
        </w:rPr>
        <w:t>individuals</w:t>
      </w:r>
      <w:r w:rsidR="0032783B" w:rsidRPr="006E23B8">
        <w:rPr>
          <w:sz w:val="28"/>
          <w:szCs w:val="28"/>
          <w:lang w:val="en-GB"/>
        </w:rPr>
        <w:t xml:space="preserve"> to get married and/or married couple</w:t>
      </w:r>
      <w:r w:rsidR="00831AAE" w:rsidRPr="006E23B8">
        <w:rPr>
          <w:sz w:val="28"/>
          <w:szCs w:val="28"/>
          <w:lang w:val="en-GB"/>
        </w:rPr>
        <w:t>s</w:t>
      </w:r>
      <w:r w:rsidR="0032783B" w:rsidRPr="006E23B8">
        <w:rPr>
          <w:sz w:val="28"/>
          <w:szCs w:val="28"/>
          <w:lang w:val="en-GB"/>
        </w:rPr>
        <w:t xml:space="preserve"> to have children.</w:t>
      </w:r>
      <w:r w:rsidR="00831AAE" w:rsidRPr="006E23B8">
        <w:rPr>
          <w:sz w:val="28"/>
          <w:szCs w:val="28"/>
          <w:lang w:val="en-GB"/>
        </w:rPr>
        <w:t xml:space="preserve">  </w:t>
      </w:r>
      <w:r w:rsidR="0032783B" w:rsidRPr="006E23B8">
        <w:rPr>
          <w:sz w:val="28"/>
          <w:szCs w:val="28"/>
          <w:lang w:val="en-GB"/>
        </w:rPr>
        <w:t>Critica</w:t>
      </w:r>
      <w:r w:rsidR="008E39A6" w:rsidRPr="006E23B8">
        <w:rPr>
          <w:sz w:val="28"/>
          <w:szCs w:val="28"/>
          <w:lang w:val="en-GB"/>
        </w:rPr>
        <w:t xml:space="preserve">l to this justification are </w:t>
      </w:r>
      <w:r w:rsidR="00831AAE" w:rsidRPr="006E23B8">
        <w:rPr>
          <w:sz w:val="28"/>
          <w:szCs w:val="28"/>
          <w:lang w:val="en-GB"/>
        </w:rPr>
        <w:t xml:space="preserve">therefore </w:t>
      </w:r>
      <w:r w:rsidR="008E39A6" w:rsidRPr="006E23B8">
        <w:rPr>
          <w:sz w:val="28"/>
          <w:szCs w:val="28"/>
          <w:lang w:val="en-GB"/>
        </w:rPr>
        <w:t xml:space="preserve">matters such as the estimated </w:t>
      </w:r>
      <w:r w:rsidR="0032783B" w:rsidRPr="006E23B8">
        <w:rPr>
          <w:sz w:val="28"/>
          <w:szCs w:val="28"/>
          <w:lang w:val="en-GB"/>
        </w:rPr>
        <w:t xml:space="preserve">increase </w:t>
      </w:r>
      <w:r w:rsidR="00F2534A">
        <w:rPr>
          <w:sz w:val="28"/>
          <w:szCs w:val="28"/>
          <w:lang w:val="en-GB"/>
        </w:rPr>
        <w:t>in</w:t>
      </w:r>
      <w:r w:rsidR="0032783B" w:rsidRPr="006E23B8">
        <w:rPr>
          <w:sz w:val="28"/>
          <w:szCs w:val="28"/>
          <w:lang w:val="en-GB"/>
        </w:rPr>
        <w:t xml:space="preserve"> supply of PRH units and HOS flats</w:t>
      </w:r>
      <w:r w:rsidR="008E39A6" w:rsidRPr="006E23B8">
        <w:rPr>
          <w:sz w:val="28"/>
          <w:szCs w:val="28"/>
          <w:lang w:val="en-GB"/>
        </w:rPr>
        <w:t xml:space="preserve"> by </w:t>
      </w:r>
      <w:r w:rsidR="00F2534A">
        <w:rPr>
          <w:sz w:val="28"/>
          <w:szCs w:val="28"/>
          <w:lang w:val="en-GB"/>
        </w:rPr>
        <w:t xml:space="preserve">pursuing </w:t>
      </w:r>
      <w:r w:rsidR="008E39A6" w:rsidRPr="006E23B8">
        <w:rPr>
          <w:sz w:val="28"/>
          <w:szCs w:val="28"/>
          <w:lang w:val="en-GB"/>
        </w:rPr>
        <w:t>the exclusionary polices and the likely impact on opposite-sex couples (married and unmarried) if the policies are relaxed in favour of same-sex married couples</w:t>
      </w:r>
      <w:r w:rsidR="004823D0">
        <w:rPr>
          <w:sz w:val="28"/>
          <w:szCs w:val="28"/>
          <w:lang w:val="en-GB"/>
        </w:rPr>
        <w:t xml:space="preserve">.  </w:t>
      </w:r>
      <w:proofErr w:type="gramStart"/>
      <w:r w:rsidR="004823D0">
        <w:rPr>
          <w:sz w:val="28"/>
          <w:szCs w:val="28"/>
          <w:lang w:val="en-GB"/>
        </w:rPr>
        <w:t xml:space="preserve">These </w:t>
      </w:r>
      <w:r w:rsidR="00324B1B">
        <w:rPr>
          <w:sz w:val="28"/>
          <w:szCs w:val="28"/>
          <w:lang w:val="en-GB"/>
        </w:rPr>
        <w:t xml:space="preserve">are </w:t>
      </w:r>
      <w:r w:rsidR="008E39A6" w:rsidRPr="006E23B8">
        <w:rPr>
          <w:sz w:val="28"/>
          <w:szCs w:val="28"/>
          <w:lang w:val="en-GB"/>
        </w:rPr>
        <w:t xml:space="preserve">matters on </w:t>
      </w:r>
      <w:r w:rsidR="0032783B" w:rsidRPr="006E23B8">
        <w:rPr>
          <w:sz w:val="28"/>
          <w:szCs w:val="28"/>
          <w:lang w:val="en-GB"/>
        </w:rPr>
        <w:t>which empirical evidence is naturally expected</w:t>
      </w:r>
      <w:proofErr w:type="gramEnd"/>
      <w:r w:rsidR="0032783B" w:rsidRPr="006E23B8">
        <w:rPr>
          <w:sz w:val="28"/>
          <w:szCs w:val="28"/>
          <w:lang w:val="en-GB"/>
        </w:rPr>
        <w:t xml:space="preserve">.  </w:t>
      </w:r>
    </w:p>
    <w:p w:rsidR="006E23B8" w:rsidRDefault="0032783B" w:rsidP="00775883">
      <w:pPr>
        <w:keepNext/>
        <w:numPr>
          <w:ilvl w:val="0"/>
          <w:numId w:val="7"/>
        </w:numPr>
        <w:tabs>
          <w:tab w:val="left" w:pos="1440"/>
        </w:tabs>
        <w:snapToGrid w:val="0"/>
        <w:spacing w:after="440" w:line="360" w:lineRule="auto"/>
        <w:ind w:left="0" w:firstLine="0"/>
        <w:jc w:val="both"/>
        <w:rPr>
          <w:sz w:val="28"/>
          <w:szCs w:val="28"/>
          <w:lang w:val="en-GB"/>
        </w:rPr>
      </w:pPr>
      <w:r w:rsidRPr="006E23B8">
        <w:rPr>
          <w:sz w:val="28"/>
          <w:szCs w:val="28"/>
          <w:lang w:val="en-GB"/>
        </w:rPr>
        <w:t xml:space="preserve">Yet </w:t>
      </w:r>
      <w:r w:rsidR="008225B8" w:rsidRPr="006E23B8">
        <w:rPr>
          <w:sz w:val="28"/>
          <w:szCs w:val="28"/>
          <w:lang w:val="en-GB"/>
        </w:rPr>
        <w:t xml:space="preserve">the HA has not </w:t>
      </w:r>
      <w:r w:rsidRPr="006E23B8">
        <w:rPr>
          <w:sz w:val="28"/>
          <w:szCs w:val="28"/>
          <w:lang w:val="en-GB"/>
        </w:rPr>
        <w:t xml:space="preserve">adduced </w:t>
      </w:r>
      <w:r w:rsidR="008225B8" w:rsidRPr="006E23B8">
        <w:rPr>
          <w:sz w:val="28"/>
          <w:szCs w:val="28"/>
          <w:lang w:val="en-GB"/>
        </w:rPr>
        <w:t xml:space="preserve">any evidence at all concerning the likely </w:t>
      </w:r>
      <w:r w:rsidR="008E39A6" w:rsidRPr="006E23B8">
        <w:rPr>
          <w:sz w:val="28"/>
          <w:szCs w:val="28"/>
          <w:lang w:val="en-GB"/>
        </w:rPr>
        <w:t>effect</w:t>
      </w:r>
      <w:r w:rsidR="008225B8" w:rsidRPr="006E23B8">
        <w:rPr>
          <w:sz w:val="28"/>
          <w:szCs w:val="28"/>
          <w:lang w:val="en-GB"/>
        </w:rPr>
        <w:t xml:space="preserve"> on </w:t>
      </w:r>
      <w:r w:rsidR="008E39A6" w:rsidRPr="006E23B8">
        <w:rPr>
          <w:sz w:val="28"/>
          <w:szCs w:val="28"/>
          <w:lang w:val="en-GB"/>
        </w:rPr>
        <w:t xml:space="preserve">supply and its </w:t>
      </w:r>
      <w:r w:rsidR="00DA53D0">
        <w:rPr>
          <w:sz w:val="28"/>
          <w:szCs w:val="28"/>
          <w:lang w:val="en-GB"/>
        </w:rPr>
        <w:t xml:space="preserve">potential </w:t>
      </w:r>
      <w:r w:rsidR="008E39A6" w:rsidRPr="006E23B8">
        <w:rPr>
          <w:sz w:val="28"/>
          <w:szCs w:val="28"/>
          <w:lang w:val="en-GB"/>
        </w:rPr>
        <w:t xml:space="preserve">impact on opposite-sex couples </w:t>
      </w:r>
      <w:r w:rsidR="008225B8" w:rsidRPr="006E23B8">
        <w:rPr>
          <w:sz w:val="28"/>
          <w:szCs w:val="28"/>
          <w:lang w:val="en-GB"/>
        </w:rPr>
        <w:t>if the challenged policies are relaxed</w:t>
      </w:r>
      <w:r w:rsidR="00F415A9" w:rsidRPr="006E23B8">
        <w:rPr>
          <w:sz w:val="28"/>
          <w:szCs w:val="28"/>
          <w:lang w:val="en-GB"/>
        </w:rPr>
        <w:t xml:space="preserve">.  </w:t>
      </w:r>
      <w:r w:rsidR="006E23B8" w:rsidRPr="006E23B8">
        <w:rPr>
          <w:sz w:val="28"/>
          <w:szCs w:val="28"/>
          <w:lang w:val="en-GB"/>
        </w:rPr>
        <w:t xml:space="preserve">Here, the </w:t>
      </w:r>
      <w:r w:rsidR="00BD7965">
        <w:rPr>
          <w:sz w:val="28"/>
          <w:szCs w:val="28"/>
          <w:lang w:val="en-GB"/>
        </w:rPr>
        <w:t xml:space="preserve">point </w:t>
      </w:r>
      <w:r w:rsidR="00575FB2">
        <w:rPr>
          <w:sz w:val="28"/>
          <w:szCs w:val="28"/>
          <w:lang w:val="en-GB"/>
        </w:rPr>
        <w:t xml:space="preserve">taken </w:t>
      </w:r>
      <w:r w:rsidR="00BD7965">
        <w:rPr>
          <w:sz w:val="28"/>
          <w:szCs w:val="28"/>
          <w:lang w:val="en-GB"/>
        </w:rPr>
        <w:t xml:space="preserve">against the HA is </w:t>
      </w:r>
      <w:r w:rsidR="006E23B8" w:rsidRPr="006E23B8">
        <w:rPr>
          <w:sz w:val="28"/>
          <w:szCs w:val="28"/>
          <w:lang w:val="en-GB"/>
        </w:rPr>
        <w:t xml:space="preserve">not one </w:t>
      </w:r>
      <w:r w:rsidR="00BD7965">
        <w:rPr>
          <w:sz w:val="28"/>
          <w:szCs w:val="28"/>
          <w:lang w:val="en-GB"/>
        </w:rPr>
        <w:t>about</w:t>
      </w:r>
      <w:r w:rsidR="006E23B8" w:rsidRPr="006E23B8">
        <w:rPr>
          <w:sz w:val="28"/>
          <w:szCs w:val="28"/>
          <w:lang w:val="en-GB"/>
        </w:rPr>
        <w:t xml:space="preserve"> the quality of </w:t>
      </w:r>
      <w:r w:rsidR="00BD7965">
        <w:rPr>
          <w:sz w:val="28"/>
          <w:szCs w:val="28"/>
          <w:lang w:val="en-GB"/>
        </w:rPr>
        <w:t xml:space="preserve">empirical </w:t>
      </w:r>
      <w:r w:rsidR="006E23B8" w:rsidRPr="006E23B8">
        <w:rPr>
          <w:sz w:val="28"/>
          <w:szCs w:val="28"/>
          <w:lang w:val="en-GB"/>
        </w:rPr>
        <w:t>evidence adduced in support of the justification</w:t>
      </w:r>
      <w:r w:rsidR="004823D0">
        <w:rPr>
          <w:sz w:val="28"/>
          <w:szCs w:val="28"/>
          <w:lang w:val="en-GB"/>
        </w:rPr>
        <w:t>.  N</w:t>
      </w:r>
      <w:r w:rsidR="00A3693F">
        <w:rPr>
          <w:sz w:val="28"/>
          <w:szCs w:val="28"/>
          <w:lang w:val="en-GB"/>
        </w:rPr>
        <w:t>either</w:t>
      </w:r>
      <w:r w:rsidR="004823D0">
        <w:rPr>
          <w:sz w:val="28"/>
          <w:szCs w:val="28"/>
          <w:lang w:val="en-GB"/>
        </w:rPr>
        <w:t xml:space="preserve"> does it concern</w:t>
      </w:r>
      <w:r w:rsidR="00BD7965">
        <w:rPr>
          <w:sz w:val="28"/>
          <w:szCs w:val="28"/>
          <w:lang w:val="en-GB"/>
        </w:rPr>
        <w:t xml:space="preserve"> t</w:t>
      </w:r>
      <w:r w:rsidR="006E23B8" w:rsidRPr="006E23B8">
        <w:rPr>
          <w:sz w:val="28"/>
          <w:szCs w:val="28"/>
          <w:lang w:val="en-GB"/>
        </w:rPr>
        <w:t>he appropria</w:t>
      </w:r>
      <w:r w:rsidR="004823D0">
        <w:rPr>
          <w:sz w:val="28"/>
          <w:szCs w:val="28"/>
          <w:lang w:val="en-GB"/>
        </w:rPr>
        <w:t>te weight the c</w:t>
      </w:r>
      <w:r w:rsidR="006E23B8" w:rsidRPr="006E23B8">
        <w:rPr>
          <w:sz w:val="28"/>
          <w:szCs w:val="28"/>
          <w:lang w:val="en-GB"/>
        </w:rPr>
        <w:t xml:space="preserve">ourt should </w:t>
      </w:r>
      <w:r w:rsidR="00BD7965">
        <w:rPr>
          <w:sz w:val="28"/>
          <w:szCs w:val="28"/>
          <w:lang w:val="en-GB"/>
        </w:rPr>
        <w:t>accord</w:t>
      </w:r>
      <w:r w:rsidR="006E23B8" w:rsidRPr="006E23B8">
        <w:rPr>
          <w:sz w:val="28"/>
          <w:szCs w:val="28"/>
          <w:lang w:val="en-GB"/>
        </w:rPr>
        <w:t xml:space="preserve"> to the HA’s assessment if such evidence were forthcoming</w:t>
      </w:r>
      <w:r w:rsidR="006E23B8">
        <w:rPr>
          <w:sz w:val="28"/>
          <w:szCs w:val="28"/>
          <w:lang w:val="en-GB"/>
        </w:rPr>
        <w:t xml:space="preserve"> – especially </w:t>
      </w:r>
      <w:r w:rsidR="006E23B8" w:rsidRPr="006E23B8">
        <w:rPr>
          <w:sz w:val="28"/>
          <w:szCs w:val="28"/>
          <w:lang w:val="en-GB"/>
        </w:rPr>
        <w:t>since such material would likely involve statistics, estimates, projections</w:t>
      </w:r>
      <w:r w:rsidR="006E23B8">
        <w:rPr>
          <w:sz w:val="28"/>
          <w:szCs w:val="28"/>
          <w:lang w:val="en-GB"/>
        </w:rPr>
        <w:t xml:space="preserve"> and predictions</w:t>
      </w:r>
      <w:r w:rsidR="006E23B8" w:rsidRPr="006E23B8">
        <w:rPr>
          <w:sz w:val="28"/>
          <w:szCs w:val="28"/>
          <w:lang w:val="en-GB"/>
        </w:rPr>
        <w:t xml:space="preserve">, which inherently carry a </w:t>
      </w:r>
      <w:r w:rsidR="004823D0">
        <w:rPr>
          <w:sz w:val="28"/>
          <w:szCs w:val="28"/>
          <w:lang w:val="en-GB"/>
        </w:rPr>
        <w:t xml:space="preserve">certain </w:t>
      </w:r>
      <w:r w:rsidR="006E23B8" w:rsidRPr="006E23B8">
        <w:rPr>
          <w:sz w:val="28"/>
          <w:szCs w:val="28"/>
          <w:lang w:val="en-GB"/>
        </w:rPr>
        <w:t>degree of subjectivity and predictive judgment.</w:t>
      </w:r>
      <w:r w:rsidR="006E23B8">
        <w:rPr>
          <w:sz w:val="28"/>
          <w:szCs w:val="28"/>
          <w:lang w:val="en-GB"/>
        </w:rPr>
        <w:t xml:space="preserve">  </w:t>
      </w:r>
      <w:r w:rsidR="00BD7965">
        <w:rPr>
          <w:sz w:val="28"/>
          <w:szCs w:val="28"/>
          <w:lang w:val="en-GB"/>
        </w:rPr>
        <w:t xml:space="preserve">The </w:t>
      </w:r>
      <w:r w:rsidR="00575FB2">
        <w:rPr>
          <w:sz w:val="28"/>
          <w:szCs w:val="28"/>
          <w:lang w:val="en-GB"/>
        </w:rPr>
        <w:t xml:space="preserve">criticism of the HA’s case </w:t>
      </w:r>
      <w:r w:rsidR="00BD7965">
        <w:rPr>
          <w:sz w:val="28"/>
          <w:szCs w:val="28"/>
          <w:lang w:val="en-GB"/>
        </w:rPr>
        <w:t>is a much more fundamental one</w:t>
      </w:r>
      <w:r w:rsidR="00B24E0B">
        <w:rPr>
          <w:sz w:val="28"/>
          <w:szCs w:val="28"/>
          <w:lang w:val="en-GB"/>
        </w:rPr>
        <w:t xml:space="preserve"> – there is no evidence at all to back the HA’s assertions.</w:t>
      </w:r>
    </w:p>
    <w:p w:rsidR="002B33AF" w:rsidRPr="004648FA" w:rsidRDefault="00E76895" w:rsidP="00FC1055">
      <w:pPr>
        <w:keepNext/>
        <w:numPr>
          <w:ilvl w:val="0"/>
          <w:numId w:val="7"/>
        </w:numPr>
        <w:snapToGrid w:val="0"/>
        <w:spacing w:after="360" w:line="360" w:lineRule="auto"/>
        <w:ind w:left="0" w:firstLine="0"/>
        <w:jc w:val="both"/>
        <w:rPr>
          <w:sz w:val="28"/>
          <w:szCs w:val="28"/>
          <w:lang w:val="en-GB"/>
        </w:rPr>
      </w:pPr>
      <w:r>
        <w:rPr>
          <w:sz w:val="28"/>
          <w:szCs w:val="28"/>
          <w:lang w:val="en-GB"/>
        </w:rPr>
        <w:tab/>
      </w:r>
      <w:r w:rsidR="00B24E0B">
        <w:rPr>
          <w:sz w:val="28"/>
          <w:szCs w:val="28"/>
          <w:lang w:val="en-GB"/>
        </w:rPr>
        <w:t>This is not a case</w:t>
      </w:r>
      <w:r w:rsidR="008225B8" w:rsidRPr="004648FA">
        <w:rPr>
          <w:sz w:val="28"/>
          <w:szCs w:val="28"/>
          <w:lang w:val="en-GB"/>
        </w:rPr>
        <w:t xml:space="preserve"> where </w:t>
      </w:r>
      <w:r w:rsidR="00B24E0B">
        <w:rPr>
          <w:sz w:val="28"/>
          <w:szCs w:val="28"/>
          <w:lang w:val="en-GB"/>
        </w:rPr>
        <w:t xml:space="preserve">it </w:t>
      </w:r>
      <w:proofErr w:type="gramStart"/>
      <w:r w:rsidR="00B24E0B">
        <w:rPr>
          <w:sz w:val="28"/>
          <w:szCs w:val="28"/>
          <w:lang w:val="en-GB"/>
        </w:rPr>
        <w:t>is suggested</w:t>
      </w:r>
      <w:proofErr w:type="gramEnd"/>
      <w:r w:rsidR="00F4089F">
        <w:rPr>
          <w:sz w:val="28"/>
          <w:szCs w:val="28"/>
          <w:lang w:val="en-GB"/>
        </w:rPr>
        <w:t xml:space="preserve"> </w:t>
      </w:r>
      <w:r w:rsidR="008225B8" w:rsidRPr="004648FA">
        <w:rPr>
          <w:sz w:val="28"/>
          <w:szCs w:val="28"/>
          <w:lang w:val="en-GB"/>
        </w:rPr>
        <w:t>that it is difficult or impossible to carry out any meaningful study on the subject matter or to collect information and figures</w:t>
      </w:r>
      <w:r w:rsidR="00C56C8D">
        <w:rPr>
          <w:sz w:val="28"/>
          <w:szCs w:val="28"/>
          <w:lang w:val="en-GB"/>
        </w:rPr>
        <w:t>.</w:t>
      </w:r>
      <w:r w:rsidR="00C56C8D">
        <w:rPr>
          <w:rStyle w:val="FootnoteReference"/>
          <w:sz w:val="28"/>
          <w:szCs w:val="28"/>
          <w:lang w:val="en-GB"/>
        </w:rPr>
        <w:footnoteReference w:id="167"/>
      </w:r>
      <w:r w:rsidR="001C17F8" w:rsidRPr="004648FA">
        <w:rPr>
          <w:sz w:val="28"/>
          <w:szCs w:val="28"/>
          <w:lang w:val="en-GB"/>
        </w:rPr>
        <w:t xml:space="preserve"> </w:t>
      </w:r>
      <w:r w:rsidR="003D6492">
        <w:rPr>
          <w:sz w:val="28"/>
          <w:szCs w:val="28"/>
          <w:lang w:val="en-GB"/>
        </w:rPr>
        <w:t xml:space="preserve"> </w:t>
      </w:r>
      <w:r w:rsidR="008225B8" w:rsidRPr="004648FA">
        <w:rPr>
          <w:sz w:val="28"/>
          <w:szCs w:val="28"/>
          <w:lang w:val="en-GB"/>
        </w:rPr>
        <w:t xml:space="preserve">The </w:t>
      </w:r>
      <w:r w:rsidR="00B24E0B">
        <w:rPr>
          <w:sz w:val="28"/>
          <w:szCs w:val="28"/>
          <w:lang w:val="en-GB"/>
        </w:rPr>
        <w:t>c</w:t>
      </w:r>
      <w:r w:rsidR="00C955E9" w:rsidRPr="004648FA">
        <w:rPr>
          <w:sz w:val="28"/>
          <w:szCs w:val="28"/>
          <w:lang w:val="en-GB"/>
        </w:rPr>
        <w:t xml:space="preserve">ourt </w:t>
      </w:r>
      <w:proofErr w:type="gramStart"/>
      <w:r w:rsidR="00A3693F">
        <w:rPr>
          <w:sz w:val="28"/>
          <w:szCs w:val="28"/>
          <w:lang w:val="en-GB"/>
        </w:rPr>
        <w:t>has not been</w:t>
      </w:r>
      <w:r w:rsidR="008225B8" w:rsidRPr="004648FA">
        <w:rPr>
          <w:sz w:val="28"/>
          <w:szCs w:val="28"/>
          <w:lang w:val="en-GB"/>
        </w:rPr>
        <w:t xml:space="preserve"> told</w:t>
      </w:r>
      <w:proofErr w:type="gramEnd"/>
      <w:r w:rsidR="008225B8" w:rsidRPr="004648FA">
        <w:rPr>
          <w:sz w:val="28"/>
          <w:szCs w:val="28"/>
          <w:lang w:val="en-GB"/>
        </w:rPr>
        <w:t xml:space="preserve"> why no such study </w:t>
      </w:r>
      <w:r w:rsidR="00F61303">
        <w:rPr>
          <w:sz w:val="28"/>
          <w:szCs w:val="28"/>
          <w:lang w:val="en-GB"/>
        </w:rPr>
        <w:t>was</w:t>
      </w:r>
      <w:r w:rsidR="008225B8" w:rsidRPr="004648FA">
        <w:rPr>
          <w:sz w:val="28"/>
          <w:szCs w:val="28"/>
          <w:lang w:val="en-GB"/>
        </w:rPr>
        <w:t xml:space="preserve"> conducted or figures collected, or how unhelpful </w:t>
      </w:r>
      <w:r w:rsidR="009154E0">
        <w:rPr>
          <w:sz w:val="28"/>
          <w:szCs w:val="28"/>
          <w:lang w:val="en-GB"/>
        </w:rPr>
        <w:t>they w</w:t>
      </w:r>
      <w:r w:rsidR="008225B8" w:rsidRPr="004648FA">
        <w:rPr>
          <w:sz w:val="28"/>
          <w:szCs w:val="28"/>
          <w:lang w:val="en-GB"/>
        </w:rPr>
        <w:t>ould be</w:t>
      </w:r>
      <w:r w:rsidR="00F415A9" w:rsidRPr="004648FA">
        <w:rPr>
          <w:sz w:val="28"/>
          <w:szCs w:val="28"/>
          <w:lang w:val="en-GB"/>
        </w:rPr>
        <w:t xml:space="preserve">.  </w:t>
      </w:r>
      <w:r w:rsidR="008225B8" w:rsidRPr="004648FA">
        <w:rPr>
          <w:sz w:val="28"/>
          <w:szCs w:val="28"/>
          <w:lang w:val="en-GB"/>
        </w:rPr>
        <w:lastRenderedPageBreak/>
        <w:t xml:space="preserve">What has been repeatedly urged upon the courts, including this </w:t>
      </w:r>
      <w:r w:rsidR="00B24E0B">
        <w:rPr>
          <w:sz w:val="28"/>
          <w:szCs w:val="28"/>
          <w:lang w:val="en-GB"/>
        </w:rPr>
        <w:t>c</w:t>
      </w:r>
      <w:r w:rsidR="008225B8" w:rsidRPr="004648FA">
        <w:rPr>
          <w:sz w:val="28"/>
          <w:szCs w:val="28"/>
          <w:lang w:val="en-GB"/>
        </w:rPr>
        <w:t>ourt, is that one PRH unit or HOS flat made available to a same-sex couple would mean one less unit or flat available to an opposite-sex couple</w:t>
      </w:r>
      <w:r w:rsidR="00F415A9" w:rsidRPr="004648FA">
        <w:rPr>
          <w:sz w:val="28"/>
          <w:szCs w:val="28"/>
          <w:lang w:val="en-GB"/>
        </w:rPr>
        <w:t xml:space="preserve">.  </w:t>
      </w:r>
      <w:r w:rsidR="006003FC">
        <w:rPr>
          <w:sz w:val="28"/>
          <w:szCs w:val="28"/>
          <w:lang w:val="en-GB"/>
        </w:rPr>
        <w:t>I</w:t>
      </w:r>
      <w:r w:rsidR="008225B8" w:rsidRPr="004648FA">
        <w:rPr>
          <w:sz w:val="28"/>
          <w:szCs w:val="28"/>
          <w:lang w:val="en-GB"/>
        </w:rPr>
        <w:t xml:space="preserve"> do not think this is sufficient to </w:t>
      </w:r>
      <w:r w:rsidR="00201DEF" w:rsidRPr="004648FA">
        <w:rPr>
          <w:sz w:val="28"/>
          <w:szCs w:val="28"/>
          <w:lang w:val="en-GB"/>
        </w:rPr>
        <w:t xml:space="preserve">support </w:t>
      </w:r>
      <w:r w:rsidR="008225B8" w:rsidRPr="004648FA">
        <w:rPr>
          <w:sz w:val="28"/>
          <w:szCs w:val="28"/>
          <w:lang w:val="en-GB"/>
        </w:rPr>
        <w:t>the justification claimed.</w:t>
      </w:r>
    </w:p>
    <w:p w:rsidR="002B33AF" w:rsidRDefault="00E76895" w:rsidP="00FC1055">
      <w:pPr>
        <w:keepNext/>
        <w:numPr>
          <w:ilvl w:val="0"/>
          <w:numId w:val="7"/>
        </w:numPr>
        <w:snapToGrid w:val="0"/>
        <w:spacing w:after="360" w:line="360" w:lineRule="auto"/>
        <w:ind w:left="0" w:firstLine="0"/>
        <w:jc w:val="both"/>
        <w:rPr>
          <w:sz w:val="28"/>
          <w:szCs w:val="28"/>
          <w:lang w:val="en-GB"/>
        </w:rPr>
      </w:pPr>
      <w:r>
        <w:rPr>
          <w:sz w:val="28"/>
          <w:szCs w:val="28"/>
          <w:lang w:val="en-GB"/>
        </w:rPr>
        <w:tab/>
      </w:r>
      <w:r w:rsidR="008225B8" w:rsidRPr="004648FA">
        <w:rPr>
          <w:sz w:val="28"/>
          <w:szCs w:val="28"/>
          <w:lang w:val="en-GB"/>
        </w:rPr>
        <w:t xml:space="preserve">When a measure as absolute as the total </w:t>
      </w:r>
      <w:r w:rsidR="00C75D4F">
        <w:rPr>
          <w:sz w:val="28"/>
          <w:szCs w:val="28"/>
          <w:lang w:val="en-GB"/>
        </w:rPr>
        <w:t xml:space="preserve">exclusion </w:t>
      </w:r>
      <w:r w:rsidR="008225B8" w:rsidRPr="004648FA">
        <w:rPr>
          <w:sz w:val="28"/>
          <w:szCs w:val="28"/>
          <w:lang w:val="en-GB"/>
        </w:rPr>
        <w:t xml:space="preserve">of same-sex married couples </w:t>
      </w:r>
      <w:proofErr w:type="gramStart"/>
      <w:r w:rsidR="008225B8" w:rsidRPr="004648FA">
        <w:rPr>
          <w:sz w:val="28"/>
          <w:szCs w:val="28"/>
          <w:lang w:val="en-GB"/>
        </w:rPr>
        <w:t xml:space="preserve">is </w:t>
      </w:r>
      <w:r w:rsidR="002A4A20">
        <w:rPr>
          <w:sz w:val="28"/>
          <w:szCs w:val="28"/>
          <w:lang w:val="en-GB"/>
        </w:rPr>
        <w:t>invoked</w:t>
      </w:r>
      <w:proofErr w:type="gramEnd"/>
      <w:r w:rsidR="008225B8" w:rsidRPr="004648FA">
        <w:rPr>
          <w:sz w:val="28"/>
          <w:szCs w:val="28"/>
          <w:lang w:val="en-GB"/>
        </w:rPr>
        <w:t xml:space="preserve"> for the claimed objective of </w:t>
      </w:r>
      <w:r w:rsidR="002A4A20">
        <w:rPr>
          <w:sz w:val="28"/>
          <w:szCs w:val="28"/>
          <w:lang w:val="en-GB"/>
        </w:rPr>
        <w:t xml:space="preserve">supporting </w:t>
      </w:r>
      <w:r w:rsidR="008225B8" w:rsidRPr="004648FA">
        <w:rPr>
          <w:sz w:val="28"/>
          <w:szCs w:val="28"/>
          <w:lang w:val="en-GB"/>
        </w:rPr>
        <w:t xml:space="preserve">the Family Aim, </w:t>
      </w:r>
      <w:r w:rsidR="002A4A20">
        <w:rPr>
          <w:sz w:val="28"/>
          <w:szCs w:val="28"/>
          <w:lang w:val="en-GB"/>
        </w:rPr>
        <w:t xml:space="preserve">it is only </w:t>
      </w:r>
      <w:r w:rsidR="008225B8" w:rsidRPr="004648FA">
        <w:rPr>
          <w:sz w:val="28"/>
          <w:szCs w:val="28"/>
          <w:lang w:val="en-GB"/>
        </w:rPr>
        <w:t xml:space="preserve">natural to ask how that </w:t>
      </w:r>
      <w:r w:rsidR="002A4A20">
        <w:rPr>
          <w:sz w:val="28"/>
          <w:szCs w:val="28"/>
          <w:lang w:val="en-GB"/>
        </w:rPr>
        <w:t xml:space="preserve">complete restriction is said to be actually contributing to </w:t>
      </w:r>
      <w:r w:rsidR="00DF206C">
        <w:rPr>
          <w:sz w:val="28"/>
          <w:szCs w:val="28"/>
          <w:lang w:val="en-GB"/>
        </w:rPr>
        <w:t>the objective</w:t>
      </w:r>
      <w:r w:rsidR="00F415A9" w:rsidRPr="004648FA">
        <w:rPr>
          <w:sz w:val="28"/>
          <w:szCs w:val="28"/>
          <w:lang w:val="en-GB"/>
        </w:rPr>
        <w:t xml:space="preserve">.  </w:t>
      </w:r>
      <w:r w:rsidR="009154E0">
        <w:rPr>
          <w:sz w:val="28"/>
          <w:szCs w:val="28"/>
          <w:lang w:val="en-GB"/>
        </w:rPr>
        <w:t xml:space="preserve">As </w:t>
      </w:r>
      <w:r w:rsidR="00A3693F">
        <w:rPr>
          <w:sz w:val="28"/>
          <w:szCs w:val="28"/>
          <w:lang w:val="en-GB"/>
        </w:rPr>
        <w:t>explained</w:t>
      </w:r>
      <w:r w:rsidR="009154E0">
        <w:rPr>
          <w:sz w:val="28"/>
          <w:szCs w:val="28"/>
          <w:lang w:val="en-GB"/>
        </w:rPr>
        <w:t>, t</w:t>
      </w:r>
      <w:r w:rsidR="008225B8" w:rsidRPr="004648FA">
        <w:rPr>
          <w:sz w:val="28"/>
          <w:szCs w:val="28"/>
          <w:lang w:val="en-GB"/>
        </w:rPr>
        <w:t xml:space="preserve">he answer to this question </w:t>
      </w:r>
      <w:proofErr w:type="gramStart"/>
      <w:r w:rsidR="008225B8" w:rsidRPr="004648FA">
        <w:rPr>
          <w:sz w:val="28"/>
          <w:szCs w:val="28"/>
          <w:lang w:val="en-GB"/>
        </w:rPr>
        <w:t>must</w:t>
      </w:r>
      <w:r w:rsidR="00C56C8D">
        <w:rPr>
          <w:sz w:val="28"/>
          <w:szCs w:val="28"/>
          <w:lang w:val="en-GB"/>
        </w:rPr>
        <w:t>, to a significant extent, depend</w:t>
      </w:r>
      <w:proofErr w:type="gramEnd"/>
      <w:r w:rsidR="00C56C8D">
        <w:rPr>
          <w:sz w:val="28"/>
          <w:szCs w:val="28"/>
          <w:lang w:val="en-GB"/>
        </w:rPr>
        <w:t xml:space="preserve"> </w:t>
      </w:r>
      <w:r w:rsidR="008225B8" w:rsidRPr="004648FA">
        <w:rPr>
          <w:sz w:val="28"/>
          <w:szCs w:val="28"/>
          <w:lang w:val="en-GB"/>
        </w:rPr>
        <w:t xml:space="preserve">on </w:t>
      </w:r>
      <w:r w:rsidR="002A4A20">
        <w:rPr>
          <w:sz w:val="28"/>
          <w:szCs w:val="28"/>
          <w:lang w:val="en-GB"/>
        </w:rPr>
        <w:t>the estimated number of</w:t>
      </w:r>
      <w:r w:rsidR="008225B8" w:rsidRPr="004648FA">
        <w:rPr>
          <w:sz w:val="28"/>
          <w:szCs w:val="28"/>
          <w:lang w:val="en-GB"/>
        </w:rPr>
        <w:t xml:space="preserve"> same-sex couples </w:t>
      </w:r>
      <w:r w:rsidR="002A4A20">
        <w:rPr>
          <w:sz w:val="28"/>
          <w:szCs w:val="28"/>
          <w:lang w:val="en-GB"/>
        </w:rPr>
        <w:t xml:space="preserve">that </w:t>
      </w:r>
      <w:r w:rsidR="008225B8" w:rsidRPr="004648FA">
        <w:rPr>
          <w:sz w:val="28"/>
          <w:szCs w:val="28"/>
          <w:lang w:val="en-GB"/>
        </w:rPr>
        <w:t>are poten</w:t>
      </w:r>
      <w:r w:rsidR="002A4A20">
        <w:rPr>
          <w:sz w:val="28"/>
          <w:szCs w:val="28"/>
          <w:lang w:val="en-GB"/>
        </w:rPr>
        <w:t>tially involved, and therefore how many</w:t>
      </w:r>
      <w:r w:rsidR="008225B8" w:rsidRPr="004648FA">
        <w:rPr>
          <w:sz w:val="28"/>
          <w:szCs w:val="28"/>
          <w:lang w:val="en-GB"/>
        </w:rPr>
        <w:t xml:space="preserve"> PRH units or HOS flats may</w:t>
      </w:r>
      <w:r w:rsidR="002A4A20">
        <w:rPr>
          <w:sz w:val="28"/>
          <w:szCs w:val="28"/>
          <w:lang w:val="en-GB"/>
        </w:rPr>
        <w:t xml:space="preserve"> have to </w:t>
      </w:r>
      <w:r w:rsidR="008225B8" w:rsidRPr="004648FA">
        <w:rPr>
          <w:sz w:val="28"/>
          <w:szCs w:val="28"/>
          <w:lang w:val="en-GB"/>
        </w:rPr>
        <w:t xml:space="preserve">be made available to these couples, if the challenged policies are to be changed, </w:t>
      </w:r>
      <w:r w:rsidR="00BD7965">
        <w:rPr>
          <w:sz w:val="28"/>
          <w:szCs w:val="28"/>
          <w:lang w:val="en-GB"/>
        </w:rPr>
        <w:t>at the expense</w:t>
      </w:r>
      <w:r w:rsidR="008225B8" w:rsidRPr="004648FA">
        <w:rPr>
          <w:sz w:val="28"/>
          <w:szCs w:val="28"/>
          <w:lang w:val="en-GB"/>
        </w:rPr>
        <w:t xml:space="preserve"> of opposite-sex couples</w:t>
      </w:r>
      <w:r w:rsidR="00F415A9" w:rsidRPr="004648FA">
        <w:rPr>
          <w:sz w:val="28"/>
          <w:szCs w:val="28"/>
          <w:lang w:val="en-GB"/>
        </w:rPr>
        <w:t xml:space="preserve">.  </w:t>
      </w:r>
      <w:r w:rsidR="008225B8" w:rsidRPr="004648FA">
        <w:rPr>
          <w:sz w:val="28"/>
          <w:szCs w:val="28"/>
          <w:lang w:val="en-GB"/>
        </w:rPr>
        <w:t xml:space="preserve">The possible impact on opposite-sex couples must differ quite substantially, depending on whether one is potentially concerned with </w:t>
      </w:r>
      <w:r w:rsidR="00C56C8D">
        <w:rPr>
          <w:sz w:val="28"/>
          <w:szCs w:val="28"/>
          <w:lang w:val="en-GB"/>
        </w:rPr>
        <w:t xml:space="preserve">a few </w:t>
      </w:r>
      <w:r w:rsidR="008225B8" w:rsidRPr="004648FA">
        <w:rPr>
          <w:sz w:val="28"/>
          <w:szCs w:val="28"/>
          <w:lang w:val="en-GB"/>
        </w:rPr>
        <w:t>hundred</w:t>
      </w:r>
      <w:r w:rsidR="00C56C8D">
        <w:rPr>
          <w:sz w:val="28"/>
          <w:szCs w:val="28"/>
          <w:lang w:val="en-GB"/>
        </w:rPr>
        <w:t xml:space="preserve"> </w:t>
      </w:r>
      <w:r w:rsidR="008225B8" w:rsidRPr="004648FA">
        <w:rPr>
          <w:sz w:val="28"/>
          <w:szCs w:val="28"/>
          <w:lang w:val="en-GB"/>
        </w:rPr>
        <w:t>same-sex married couples only or with, say, tens of thousands of same-sex married couples.</w:t>
      </w:r>
    </w:p>
    <w:p w:rsidR="002B33AF" w:rsidRPr="004648FA" w:rsidRDefault="00AD2EA6" w:rsidP="00686189">
      <w:pPr>
        <w:numPr>
          <w:ilvl w:val="0"/>
          <w:numId w:val="7"/>
        </w:numPr>
        <w:snapToGrid w:val="0"/>
        <w:spacing w:after="360" w:line="360" w:lineRule="auto"/>
        <w:ind w:left="0" w:firstLine="0"/>
        <w:jc w:val="both"/>
        <w:rPr>
          <w:sz w:val="28"/>
          <w:szCs w:val="28"/>
          <w:lang w:val="en-GB"/>
        </w:rPr>
      </w:pPr>
      <w:r>
        <w:rPr>
          <w:sz w:val="28"/>
          <w:szCs w:val="28"/>
          <w:lang w:val="en-GB"/>
        </w:rPr>
        <w:tab/>
      </w:r>
      <w:r w:rsidR="00463B60">
        <w:rPr>
          <w:sz w:val="28"/>
          <w:szCs w:val="28"/>
          <w:lang w:val="en-GB"/>
        </w:rPr>
        <w:t>But not only that.  T</w:t>
      </w:r>
      <w:r w:rsidR="008225B8" w:rsidRPr="004648FA">
        <w:rPr>
          <w:sz w:val="28"/>
          <w:szCs w:val="28"/>
          <w:lang w:val="en-GB"/>
        </w:rPr>
        <w:t xml:space="preserve">he </w:t>
      </w:r>
      <w:r w:rsidR="00463B60">
        <w:rPr>
          <w:sz w:val="28"/>
          <w:szCs w:val="28"/>
          <w:lang w:val="en-GB"/>
        </w:rPr>
        <w:t>position</w:t>
      </w:r>
      <w:r w:rsidR="008225B8" w:rsidRPr="004648FA">
        <w:rPr>
          <w:sz w:val="28"/>
          <w:szCs w:val="28"/>
          <w:lang w:val="en-GB"/>
        </w:rPr>
        <w:t xml:space="preserve"> </w:t>
      </w:r>
      <w:proofErr w:type="gramStart"/>
      <w:r w:rsidR="008225B8" w:rsidRPr="004648FA">
        <w:rPr>
          <w:sz w:val="28"/>
          <w:szCs w:val="28"/>
          <w:lang w:val="en-GB"/>
        </w:rPr>
        <w:t xml:space="preserve">is </w:t>
      </w:r>
      <w:r w:rsidR="00463B60">
        <w:rPr>
          <w:sz w:val="28"/>
          <w:szCs w:val="28"/>
          <w:lang w:val="en-GB"/>
        </w:rPr>
        <w:t xml:space="preserve">further </w:t>
      </w:r>
      <w:r w:rsidR="008225B8" w:rsidRPr="004648FA">
        <w:rPr>
          <w:sz w:val="28"/>
          <w:szCs w:val="28"/>
          <w:lang w:val="en-GB"/>
        </w:rPr>
        <w:t>complicated</w:t>
      </w:r>
      <w:proofErr w:type="gramEnd"/>
      <w:r w:rsidR="008225B8" w:rsidRPr="004648FA">
        <w:rPr>
          <w:sz w:val="28"/>
          <w:szCs w:val="28"/>
          <w:lang w:val="en-GB"/>
        </w:rPr>
        <w:t xml:space="preserve"> by the fact that there are other relationships that also join the same queue as opposite-sex married couples</w:t>
      </w:r>
      <w:r w:rsidR="00F415A9" w:rsidRPr="004648FA">
        <w:rPr>
          <w:sz w:val="28"/>
          <w:szCs w:val="28"/>
          <w:lang w:val="en-GB"/>
        </w:rPr>
        <w:t xml:space="preserve">.  </w:t>
      </w:r>
      <w:r w:rsidR="008225B8" w:rsidRPr="004648FA">
        <w:rPr>
          <w:sz w:val="28"/>
          <w:szCs w:val="28"/>
          <w:lang w:val="en-GB"/>
        </w:rPr>
        <w:t xml:space="preserve">There is no evidence before the </w:t>
      </w:r>
      <w:r w:rsidR="00E85A5B">
        <w:rPr>
          <w:sz w:val="28"/>
          <w:szCs w:val="28"/>
          <w:lang w:val="en-GB"/>
        </w:rPr>
        <w:t>c</w:t>
      </w:r>
      <w:r w:rsidR="008225B8" w:rsidRPr="004648FA">
        <w:rPr>
          <w:sz w:val="28"/>
          <w:szCs w:val="28"/>
          <w:lang w:val="en-GB"/>
        </w:rPr>
        <w:t xml:space="preserve">ourt on what the proportions of the different </w:t>
      </w:r>
      <w:r w:rsidR="00A3693F">
        <w:rPr>
          <w:sz w:val="28"/>
          <w:szCs w:val="28"/>
          <w:lang w:val="en-GB"/>
        </w:rPr>
        <w:t>types</w:t>
      </w:r>
      <w:r w:rsidR="008225B8" w:rsidRPr="004648FA">
        <w:rPr>
          <w:sz w:val="28"/>
          <w:szCs w:val="28"/>
          <w:lang w:val="en-GB"/>
        </w:rPr>
        <w:t xml:space="preserve"> of applicants under the “Ordinary Families” sub-category are, and therefore how the allocation of PRH units to same-sex married couples may </w:t>
      </w:r>
      <w:r w:rsidR="00F415A9" w:rsidRPr="004648FA">
        <w:rPr>
          <w:sz w:val="28"/>
          <w:szCs w:val="28"/>
          <w:lang w:val="en-GB"/>
        </w:rPr>
        <w:t>affect</w:t>
      </w:r>
      <w:r w:rsidR="008225B8" w:rsidRPr="004648FA">
        <w:rPr>
          <w:sz w:val="28"/>
          <w:szCs w:val="28"/>
          <w:lang w:val="en-GB"/>
        </w:rPr>
        <w:t xml:space="preserve"> these different </w:t>
      </w:r>
      <w:r w:rsidR="00A3693F">
        <w:rPr>
          <w:sz w:val="28"/>
          <w:szCs w:val="28"/>
          <w:lang w:val="en-GB"/>
        </w:rPr>
        <w:t>types</w:t>
      </w:r>
      <w:r w:rsidR="008225B8" w:rsidRPr="004648FA">
        <w:rPr>
          <w:sz w:val="28"/>
          <w:szCs w:val="28"/>
          <w:lang w:val="en-GB"/>
        </w:rPr>
        <w:t xml:space="preserve"> of applicants in terms of their waiting time</w:t>
      </w:r>
      <w:r w:rsidR="009154E0">
        <w:rPr>
          <w:sz w:val="28"/>
          <w:szCs w:val="28"/>
          <w:lang w:val="en-GB"/>
        </w:rPr>
        <w:t>s</w:t>
      </w:r>
      <w:r w:rsidR="00F415A9" w:rsidRPr="004648FA">
        <w:rPr>
          <w:sz w:val="28"/>
          <w:szCs w:val="28"/>
          <w:lang w:val="en-GB"/>
        </w:rPr>
        <w:t xml:space="preserve">.  </w:t>
      </w:r>
      <w:r w:rsidR="00A3693F">
        <w:rPr>
          <w:sz w:val="28"/>
          <w:szCs w:val="28"/>
          <w:lang w:val="en-GB"/>
        </w:rPr>
        <w:t xml:space="preserve">Presumably, the impact on the </w:t>
      </w:r>
      <w:r w:rsidR="00324B1B">
        <w:rPr>
          <w:sz w:val="28"/>
          <w:szCs w:val="28"/>
          <w:lang w:val="en-GB"/>
        </w:rPr>
        <w:t>availability</w:t>
      </w:r>
      <w:r w:rsidR="00A3693F">
        <w:rPr>
          <w:sz w:val="28"/>
          <w:szCs w:val="28"/>
          <w:lang w:val="en-GB"/>
        </w:rPr>
        <w:t xml:space="preserve"> of units would be borne and shared amongst them, and thus the </w:t>
      </w:r>
      <w:r w:rsidR="002D31E9">
        <w:rPr>
          <w:sz w:val="28"/>
          <w:szCs w:val="28"/>
          <w:lang w:val="en-GB"/>
        </w:rPr>
        <w:t>effect</w:t>
      </w:r>
      <w:r w:rsidR="00A3693F">
        <w:rPr>
          <w:sz w:val="28"/>
          <w:szCs w:val="28"/>
          <w:lang w:val="en-GB"/>
        </w:rPr>
        <w:t xml:space="preserve"> on opposite-sex couples</w:t>
      </w:r>
      <w:r w:rsidR="002D31E9">
        <w:rPr>
          <w:sz w:val="28"/>
          <w:szCs w:val="28"/>
          <w:lang w:val="en-GB"/>
        </w:rPr>
        <w:t>’ AWT</w:t>
      </w:r>
      <w:r w:rsidR="00833753">
        <w:rPr>
          <w:sz w:val="28"/>
          <w:szCs w:val="28"/>
          <w:lang w:val="en-GB"/>
        </w:rPr>
        <w:t xml:space="preserve">, as but one group </w:t>
      </w:r>
      <w:r w:rsidR="00DA53D0">
        <w:rPr>
          <w:sz w:val="28"/>
          <w:szCs w:val="28"/>
          <w:lang w:val="en-GB"/>
        </w:rPr>
        <w:t xml:space="preserve">amongst </w:t>
      </w:r>
      <w:proofErr w:type="gramStart"/>
      <w:r w:rsidR="00DA53D0">
        <w:rPr>
          <w:sz w:val="28"/>
          <w:szCs w:val="28"/>
          <w:lang w:val="en-GB"/>
        </w:rPr>
        <w:t>many</w:t>
      </w:r>
      <w:r w:rsidR="00833753">
        <w:rPr>
          <w:sz w:val="28"/>
          <w:szCs w:val="28"/>
          <w:lang w:val="en-GB"/>
        </w:rPr>
        <w:t>,</w:t>
      </w:r>
      <w:proofErr w:type="gramEnd"/>
      <w:r w:rsidR="00A3693F">
        <w:rPr>
          <w:sz w:val="28"/>
          <w:szCs w:val="28"/>
          <w:lang w:val="en-GB"/>
        </w:rPr>
        <w:t xml:space="preserve"> would be lessened.  </w:t>
      </w:r>
      <w:r w:rsidR="008225B8" w:rsidRPr="004648FA">
        <w:rPr>
          <w:sz w:val="28"/>
          <w:szCs w:val="28"/>
          <w:lang w:val="en-GB"/>
        </w:rPr>
        <w:t xml:space="preserve">The same observation </w:t>
      </w:r>
      <w:proofErr w:type="gramStart"/>
      <w:r w:rsidR="008225B8" w:rsidRPr="004648FA">
        <w:rPr>
          <w:sz w:val="28"/>
          <w:szCs w:val="28"/>
          <w:lang w:val="en-GB"/>
        </w:rPr>
        <w:t>may be made</w:t>
      </w:r>
      <w:proofErr w:type="gramEnd"/>
      <w:r w:rsidR="008225B8" w:rsidRPr="004648FA">
        <w:rPr>
          <w:sz w:val="28"/>
          <w:szCs w:val="28"/>
          <w:lang w:val="en-GB"/>
        </w:rPr>
        <w:t xml:space="preserve"> in relation to HOS flats.</w:t>
      </w:r>
    </w:p>
    <w:p w:rsidR="008225B8" w:rsidRPr="004648FA" w:rsidRDefault="00AD2EA6" w:rsidP="00686189">
      <w:pPr>
        <w:numPr>
          <w:ilvl w:val="0"/>
          <w:numId w:val="7"/>
        </w:numPr>
        <w:snapToGrid w:val="0"/>
        <w:spacing w:after="360" w:line="360" w:lineRule="auto"/>
        <w:ind w:left="0" w:firstLine="0"/>
        <w:jc w:val="both"/>
        <w:rPr>
          <w:sz w:val="28"/>
          <w:szCs w:val="28"/>
          <w:lang w:val="en-GB"/>
        </w:rPr>
      </w:pPr>
      <w:r>
        <w:rPr>
          <w:sz w:val="28"/>
          <w:szCs w:val="28"/>
          <w:lang w:val="en-GB"/>
        </w:rPr>
        <w:lastRenderedPageBreak/>
        <w:tab/>
      </w:r>
      <w:r w:rsidR="008225B8" w:rsidRPr="004648FA">
        <w:rPr>
          <w:sz w:val="28"/>
          <w:szCs w:val="28"/>
          <w:lang w:val="en-GB"/>
        </w:rPr>
        <w:t>The courts below did not have the benefit of any relevant empirical evidence or study.</w:t>
      </w:r>
      <w:r w:rsidR="00201DEF" w:rsidRPr="004648FA">
        <w:rPr>
          <w:rStyle w:val="FootnoteReference"/>
          <w:sz w:val="28"/>
          <w:szCs w:val="28"/>
          <w:lang w:val="en-GB"/>
        </w:rPr>
        <w:footnoteReference w:id="168"/>
      </w:r>
      <w:r w:rsidR="008225B8" w:rsidRPr="004648FA">
        <w:rPr>
          <w:sz w:val="28"/>
          <w:szCs w:val="28"/>
          <w:lang w:val="en-GB"/>
        </w:rPr>
        <w:t xml:space="preserve"> </w:t>
      </w:r>
      <w:r w:rsidR="003D6492">
        <w:rPr>
          <w:sz w:val="28"/>
          <w:szCs w:val="28"/>
          <w:lang w:val="en-GB"/>
        </w:rPr>
        <w:t xml:space="preserve"> </w:t>
      </w:r>
      <w:r w:rsidR="008225B8" w:rsidRPr="004648FA">
        <w:rPr>
          <w:sz w:val="28"/>
          <w:szCs w:val="28"/>
          <w:lang w:val="en-GB"/>
        </w:rPr>
        <w:t>N</w:t>
      </w:r>
      <w:r w:rsidR="009154E0">
        <w:rPr>
          <w:sz w:val="28"/>
          <w:szCs w:val="28"/>
          <w:lang w:val="en-GB"/>
        </w:rPr>
        <w:t>either do</w:t>
      </w:r>
      <w:r w:rsidR="000362F7">
        <w:rPr>
          <w:sz w:val="28"/>
          <w:szCs w:val="28"/>
          <w:lang w:val="en-GB"/>
        </w:rPr>
        <w:t xml:space="preserve"> </w:t>
      </w:r>
      <w:proofErr w:type="gramStart"/>
      <w:r w:rsidR="000362F7">
        <w:rPr>
          <w:sz w:val="28"/>
          <w:szCs w:val="28"/>
          <w:lang w:val="en-GB"/>
        </w:rPr>
        <w:t>we</w:t>
      </w:r>
      <w:proofErr w:type="gramEnd"/>
      <w:r w:rsidR="00F415A9" w:rsidRPr="004648FA">
        <w:rPr>
          <w:sz w:val="28"/>
          <w:szCs w:val="28"/>
          <w:lang w:val="en-GB"/>
        </w:rPr>
        <w:t xml:space="preserve">.  </w:t>
      </w:r>
      <w:r w:rsidR="008225B8" w:rsidRPr="004648FA">
        <w:rPr>
          <w:sz w:val="28"/>
          <w:szCs w:val="28"/>
          <w:lang w:val="en-GB"/>
        </w:rPr>
        <w:t xml:space="preserve">It is pertinent to point out that if the HA enjoys an institutional advantage over the courts on the issue under discussion, and for that reason should </w:t>
      </w:r>
      <w:r w:rsidR="009154E0">
        <w:rPr>
          <w:sz w:val="28"/>
          <w:szCs w:val="28"/>
          <w:lang w:val="en-GB"/>
        </w:rPr>
        <w:t xml:space="preserve">normally </w:t>
      </w:r>
      <w:r w:rsidR="008225B8" w:rsidRPr="004648FA">
        <w:rPr>
          <w:sz w:val="28"/>
          <w:szCs w:val="28"/>
          <w:lang w:val="en-GB"/>
        </w:rPr>
        <w:t xml:space="preserve">be accorded an appropriate margin of discretion, </w:t>
      </w:r>
      <w:r w:rsidR="009154E0">
        <w:rPr>
          <w:sz w:val="28"/>
          <w:szCs w:val="28"/>
          <w:lang w:val="en-GB"/>
        </w:rPr>
        <w:t>it has not</w:t>
      </w:r>
      <w:r w:rsidR="008225B8" w:rsidRPr="004648FA">
        <w:rPr>
          <w:sz w:val="28"/>
          <w:szCs w:val="28"/>
          <w:lang w:val="en-GB"/>
        </w:rPr>
        <w:t xml:space="preserve"> made use of that advantage</w:t>
      </w:r>
      <w:r w:rsidR="00F415A9" w:rsidRPr="004648FA">
        <w:rPr>
          <w:sz w:val="28"/>
          <w:szCs w:val="28"/>
          <w:lang w:val="en-GB"/>
        </w:rPr>
        <w:t xml:space="preserve">.  </w:t>
      </w:r>
      <w:r w:rsidR="002D31E9">
        <w:rPr>
          <w:sz w:val="28"/>
          <w:szCs w:val="28"/>
          <w:lang w:val="en-GB"/>
        </w:rPr>
        <w:t xml:space="preserve">One </w:t>
      </w:r>
      <w:proofErr w:type="gramStart"/>
      <w:r w:rsidR="002D31E9">
        <w:rPr>
          <w:sz w:val="28"/>
          <w:szCs w:val="28"/>
          <w:lang w:val="en-GB"/>
        </w:rPr>
        <w:t>is</w:t>
      </w:r>
      <w:r w:rsidR="004D7119">
        <w:rPr>
          <w:sz w:val="28"/>
          <w:szCs w:val="28"/>
          <w:lang w:val="en-GB"/>
        </w:rPr>
        <w:t xml:space="preserve"> </w:t>
      </w:r>
      <w:r w:rsidR="008225B8" w:rsidRPr="004648FA">
        <w:rPr>
          <w:sz w:val="28"/>
          <w:szCs w:val="28"/>
          <w:lang w:val="en-GB"/>
        </w:rPr>
        <w:t>left</w:t>
      </w:r>
      <w:proofErr w:type="gramEnd"/>
      <w:r w:rsidR="008225B8" w:rsidRPr="004648FA">
        <w:rPr>
          <w:sz w:val="28"/>
          <w:szCs w:val="28"/>
          <w:lang w:val="en-GB"/>
        </w:rPr>
        <w:t xml:space="preserve"> no wiser as to why the absolute policies under challenge are required to promote the Family Aim</w:t>
      </w:r>
      <w:r w:rsidR="002D31E9">
        <w:rPr>
          <w:sz w:val="28"/>
          <w:szCs w:val="28"/>
          <w:lang w:val="en-GB"/>
        </w:rPr>
        <w:t>.  I</w:t>
      </w:r>
      <w:r w:rsidR="008225B8" w:rsidRPr="004648FA">
        <w:rPr>
          <w:sz w:val="28"/>
          <w:szCs w:val="28"/>
          <w:lang w:val="en-GB"/>
        </w:rPr>
        <w:t xml:space="preserve">ndeed, </w:t>
      </w:r>
      <w:r w:rsidR="002D31E9">
        <w:rPr>
          <w:sz w:val="28"/>
          <w:szCs w:val="28"/>
          <w:lang w:val="en-GB"/>
        </w:rPr>
        <w:t>it is difficult to see</w:t>
      </w:r>
      <w:r w:rsidR="008225B8" w:rsidRPr="004648FA">
        <w:rPr>
          <w:sz w:val="28"/>
          <w:szCs w:val="28"/>
          <w:lang w:val="en-GB"/>
        </w:rPr>
        <w:t xml:space="preserve"> why a </w:t>
      </w:r>
      <w:r w:rsidR="002D31E9">
        <w:rPr>
          <w:sz w:val="28"/>
          <w:szCs w:val="28"/>
          <w:lang w:val="en-GB"/>
        </w:rPr>
        <w:t xml:space="preserve">substantial </w:t>
      </w:r>
      <w:r w:rsidR="008225B8" w:rsidRPr="004648FA">
        <w:rPr>
          <w:sz w:val="28"/>
          <w:szCs w:val="28"/>
          <w:lang w:val="en-GB"/>
        </w:rPr>
        <w:t>margin of discretion should be accorded to the HA</w:t>
      </w:r>
      <w:r w:rsidR="00510F4F">
        <w:rPr>
          <w:sz w:val="28"/>
          <w:szCs w:val="28"/>
          <w:lang w:val="en-GB"/>
        </w:rPr>
        <w:t>’s assessment</w:t>
      </w:r>
      <w:r w:rsidR="008225B8" w:rsidRPr="004648FA">
        <w:rPr>
          <w:sz w:val="28"/>
          <w:szCs w:val="28"/>
          <w:lang w:val="en-GB"/>
        </w:rPr>
        <w:t xml:space="preserve"> when </w:t>
      </w:r>
      <w:r w:rsidR="00510F4F">
        <w:rPr>
          <w:sz w:val="28"/>
          <w:szCs w:val="28"/>
          <w:lang w:val="en-GB"/>
        </w:rPr>
        <w:t xml:space="preserve">all it </w:t>
      </w:r>
      <w:r w:rsidR="002D31E9">
        <w:rPr>
          <w:sz w:val="28"/>
          <w:szCs w:val="28"/>
          <w:lang w:val="en-GB"/>
        </w:rPr>
        <w:t>relies on is</w:t>
      </w:r>
      <w:r w:rsidR="008225B8" w:rsidRPr="004648FA">
        <w:rPr>
          <w:sz w:val="28"/>
          <w:szCs w:val="28"/>
          <w:lang w:val="en-GB"/>
        </w:rPr>
        <w:t xml:space="preserve"> “logic and common sense”</w:t>
      </w:r>
      <w:r w:rsidR="002D31E9">
        <w:rPr>
          <w:sz w:val="28"/>
          <w:szCs w:val="28"/>
          <w:lang w:val="en-GB"/>
        </w:rPr>
        <w:t xml:space="preserve"> to maintain that its</w:t>
      </w:r>
      <w:r w:rsidR="008225B8" w:rsidRPr="004648FA">
        <w:rPr>
          <w:sz w:val="28"/>
          <w:szCs w:val="28"/>
          <w:lang w:val="en-GB"/>
        </w:rPr>
        <w:t xml:space="preserve"> policies are reasonably necessary to </w:t>
      </w:r>
      <w:r w:rsidR="00DF206C">
        <w:rPr>
          <w:sz w:val="28"/>
          <w:szCs w:val="28"/>
          <w:lang w:val="en-GB"/>
        </w:rPr>
        <w:t>support</w:t>
      </w:r>
      <w:r w:rsidR="008225B8" w:rsidRPr="004648FA">
        <w:rPr>
          <w:sz w:val="28"/>
          <w:szCs w:val="28"/>
          <w:lang w:val="en-GB"/>
        </w:rPr>
        <w:t xml:space="preserve"> the Family Aim</w:t>
      </w:r>
      <w:r w:rsidR="00F415A9" w:rsidRPr="004648FA">
        <w:rPr>
          <w:sz w:val="28"/>
          <w:szCs w:val="28"/>
          <w:lang w:val="en-GB"/>
        </w:rPr>
        <w:t xml:space="preserve">.  </w:t>
      </w:r>
      <w:r w:rsidR="008225B8" w:rsidRPr="004648FA">
        <w:rPr>
          <w:sz w:val="28"/>
          <w:szCs w:val="28"/>
          <w:lang w:val="en-GB"/>
        </w:rPr>
        <w:t xml:space="preserve">As has been said in </w:t>
      </w:r>
      <w:r w:rsidR="008225B8" w:rsidRPr="004648FA">
        <w:rPr>
          <w:i/>
          <w:sz w:val="28"/>
          <w:szCs w:val="28"/>
          <w:lang w:val="en-GB"/>
        </w:rPr>
        <w:t>Re Brewster</w:t>
      </w:r>
      <w:r w:rsidR="008225B8" w:rsidRPr="004648FA">
        <w:rPr>
          <w:sz w:val="28"/>
          <w:szCs w:val="28"/>
          <w:lang w:val="en-GB"/>
        </w:rPr>
        <w:t>:</w:t>
      </w:r>
      <w:r w:rsidR="00201DEF" w:rsidRPr="004648FA">
        <w:rPr>
          <w:rStyle w:val="FootnoteReference"/>
          <w:sz w:val="28"/>
          <w:szCs w:val="28"/>
          <w:lang w:val="en-GB"/>
        </w:rPr>
        <w:footnoteReference w:id="169"/>
      </w:r>
    </w:p>
    <w:p w:rsidR="008225B8" w:rsidRPr="004648FA" w:rsidRDefault="008225B8" w:rsidP="00325E90">
      <w:pPr>
        <w:keepNext/>
        <w:snapToGrid w:val="0"/>
        <w:spacing w:after="480" w:line="240" w:lineRule="auto"/>
        <w:ind w:left="720"/>
        <w:jc w:val="both"/>
        <w:rPr>
          <w:szCs w:val="24"/>
          <w:lang w:val="en-GB"/>
        </w:rPr>
      </w:pPr>
      <w:r w:rsidRPr="004648FA">
        <w:rPr>
          <w:szCs w:val="24"/>
          <w:lang w:val="en-GB"/>
        </w:rPr>
        <w:t xml:space="preserve">“... </w:t>
      </w:r>
      <w:proofErr w:type="gramStart"/>
      <w:r w:rsidRPr="004648FA">
        <w:rPr>
          <w:szCs w:val="24"/>
          <w:lang w:val="en-GB"/>
        </w:rPr>
        <w:t>where</w:t>
      </w:r>
      <w:proofErr w:type="gramEnd"/>
      <w:r w:rsidRPr="004648FA">
        <w:rPr>
          <w:szCs w:val="24"/>
          <w:lang w:val="en-GB"/>
        </w:rPr>
        <w:t xml:space="preserve"> the question of the impact of a particular measure on social and economic matters had not been addressed by the government department responsible for a particular policy choice, the imperative for reticence on the part of a court tasked with the duty of reviewing the decision is diminished.”</w:t>
      </w:r>
    </w:p>
    <w:p w:rsidR="003973DA" w:rsidRDefault="00AD2EA6" w:rsidP="00686189">
      <w:pPr>
        <w:numPr>
          <w:ilvl w:val="0"/>
          <w:numId w:val="7"/>
        </w:numPr>
        <w:snapToGrid w:val="0"/>
        <w:spacing w:after="360" w:line="360" w:lineRule="auto"/>
        <w:ind w:left="0" w:firstLine="0"/>
        <w:jc w:val="both"/>
        <w:rPr>
          <w:sz w:val="28"/>
          <w:szCs w:val="28"/>
          <w:lang w:val="en-GB"/>
        </w:rPr>
      </w:pPr>
      <w:r>
        <w:rPr>
          <w:sz w:val="28"/>
          <w:szCs w:val="28"/>
          <w:lang w:val="en-GB"/>
        </w:rPr>
        <w:tab/>
      </w:r>
      <w:r w:rsidR="006003FC">
        <w:rPr>
          <w:sz w:val="28"/>
          <w:szCs w:val="28"/>
          <w:lang w:val="en-GB"/>
        </w:rPr>
        <w:t>I</w:t>
      </w:r>
      <w:r w:rsidR="008225B8" w:rsidRPr="004648FA">
        <w:rPr>
          <w:sz w:val="28"/>
          <w:szCs w:val="28"/>
          <w:lang w:val="en-GB"/>
        </w:rPr>
        <w:t xml:space="preserve"> do not find the argument relating to where the burden of proof to adduce empirical evidence lies helpful</w:t>
      </w:r>
      <w:r w:rsidR="00F415A9" w:rsidRPr="004648FA">
        <w:rPr>
          <w:sz w:val="28"/>
          <w:szCs w:val="28"/>
          <w:lang w:val="en-GB"/>
        </w:rPr>
        <w:t xml:space="preserve">.  </w:t>
      </w:r>
      <w:r w:rsidR="008225B8" w:rsidRPr="004648FA">
        <w:rPr>
          <w:sz w:val="28"/>
          <w:szCs w:val="28"/>
          <w:lang w:val="en-GB"/>
        </w:rPr>
        <w:t>The issue</w:t>
      </w:r>
      <w:r w:rsidR="00DF206C">
        <w:rPr>
          <w:sz w:val="28"/>
          <w:szCs w:val="28"/>
          <w:lang w:val="en-GB"/>
        </w:rPr>
        <w:t xml:space="preserve"> here is not so much which party bears the burden of proof </w:t>
      </w:r>
      <w:r w:rsidR="002A4A20">
        <w:rPr>
          <w:sz w:val="28"/>
          <w:szCs w:val="28"/>
          <w:lang w:val="en-GB"/>
        </w:rPr>
        <w:t>as</w:t>
      </w:r>
      <w:r w:rsidR="00DF206C">
        <w:rPr>
          <w:sz w:val="28"/>
          <w:szCs w:val="28"/>
          <w:lang w:val="en-GB"/>
        </w:rPr>
        <w:t xml:space="preserve"> whether the </w:t>
      </w:r>
      <w:r w:rsidR="009154E0">
        <w:rPr>
          <w:sz w:val="28"/>
          <w:szCs w:val="28"/>
          <w:lang w:val="en-GB"/>
        </w:rPr>
        <w:t>c</w:t>
      </w:r>
      <w:r w:rsidR="00DF206C">
        <w:rPr>
          <w:sz w:val="28"/>
          <w:szCs w:val="28"/>
          <w:lang w:val="en-GB"/>
        </w:rPr>
        <w:t xml:space="preserve">ourt can be </w:t>
      </w:r>
      <w:r w:rsidR="009154E0">
        <w:rPr>
          <w:sz w:val="28"/>
          <w:szCs w:val="28"/>
          <w:lang w:val="en-GB"/>
        </w:rPr>
        <w:t>satisfied</w:t>
      </w:r>
      <w:r w:rsidR="00DF206C">
        <w:rPr>
          <w:sz w:val="28"/>
          <w:szCs w:val="28"/>
          <w:lang w:val="en-GB"/>
        </w:rPr>
        <w:t xml:space="preserve"> that the </w:t>
      </w:r>
      <w:r w:rsidR="00307E17">
        <w:rPr>
          <w:sz w:val="28"/>
          <w:szCs w:val="28"/>
          <w:lang w:val="en-GB"/>
        </w:rPr>
        <w:t>impugned me</w:t>
      </w:r>
      <w:r w:rsidR="00DD04C2">
        <w:rPr>
          <w:sz w:val="28"/>
          <w:szCs w:val="28"/>
          <w:lang w:val="en-GB"/>
        </w:rPr>
        <w:t>asure</w:t>
      </w:r>
      <w:r w:rsidR="002D31E9">
        <w:rPr>
          <w:sz w:val="28"/>
          <w:szCs w:val="28"/>
          <w:lang w:val="en-GB"/>
        </w:rPr>
        <w:t>s are</w:t>
      </w:r>
      <w:r w:rsidR="00DD04C2">
        <w:rPr>
          <w:sz w:val="28"/>
          <w:szCs w:val="28"/>
          <w:lang w:val="en-GB"/>
        </w:rPr>
        <w:t xml:space="preserve"> not disproportionate.  </w:t>
      </w:r>
      <w:r w:rsidR="008225B8" w:rsidRPr="004648FA">
        <w:rPr>
          <w:sz w:val="28"/>
          <w:szCs w:val="28"/>
          <w:lang w:val="en-GB"/>
        </w:rPr>
        <w:t>When the HA seeks to justify the challenged policies</w:t>
      </w:r>
      <w:r w:rsidR="00971D7B">
        <w:rPr>
          <w:sz w:val="28"/>
          <w:szCs w:val="28"/>
          <w:lang w:val="en-GB"/>
        </w:rPr>
        <w:t xml:space="preserve"> by asserting that they</w:t>
      </w:r>
      <w:r w:rsidR="008225B8" w:rsidRPr="004648FA">
        <w:rPr>
          <w:sz w:val="28"/>
          <w:szCs w:val="28"/>
          <w:lang w:val="en-GB"/>
        </w:rPr>
        <w:t xml:space="preserve"> promote the Family Aim, the </w:t>
      </w:r>
      <w:r w:rsidR="00E85A5B">
        <w:rPr>
          <w:sz w:val="28"/>
          <w:szCs w:val="28"/>
          <w:lang w:val="en-GB"/>
        </w:rPr>
        <w:t>c</w:t>
      </w:r>
      <w:r w:rsidR="008225B8" w:rsidRPr="004648FA">
        <w:rPr>
          <w:sz w:val="28"/>
          <w:szCs w:val="28"/>
          <w:lang w:val="en-GB"/>
        </w:rPr>
        <w:t xml:space="preserve">ourt is entitled to look at the </w:t>
      </w:r>
      <w:r w:rsidR="00307E17">
        <w:rPr>
          <w:sz w:val="28"/>
          <w:szCs w:val="28"/>
          <w:lang w:val="en-GB"/>
        </w:rPr>
        <w:t xml:space="preserve">real, </w:t>
      </w:r>
      <w:r w:rsidR="002A4A20">
        <w:rPr>
          <w:sz w:val="28"/>
          <w:szCs w:val="28"/>
          <w:lang w:val="en-GB"/>
        </w:rPr>
        <w:t>rather than</w:t>
      </w:r>
      <w:r w:rsidR="00307E17">
        <w:rPr>
          <w:sz w:val="28"/>
          <w:szCs w:val="28"/>
          <w:lang w:val="en-GB"/>
        </w:rPr>
        <w:t xml:space="preserve"> </w:t>
      </w:r>
      <w:r w:rsidR="00F4161C">
        <w:rPr>
          <w:sz w:val="28"/>
          <w:szCs w:val="28"/>
          <w:lang w:val="en-GB"/>
        </w:rPr>
        <w:t>theoretical</w:t>
      </w:r>
      <w:r w:rsidR="00307E17">
        <w:rPr>
          <w:sz w:val="28"/>
          <w:szCs w:val="28"/>
          <w:lang w:val="en-GB"/>
        </w:rPr>
        <w:t xml:space="preserve">, </w:t>
      </w:r>
      <w:r w:rsidR="008225B8" w:rsidRPr="004648FA">
        <w:rPr>
          <w:sz w:val="28"/>
          <w:szCs w:val="28"/>
          <w:lang w:val="en-GB"/>
        </w:rPr>
        <w:t xml:space="preserve">impact </w:t>
      </w:r>
      <w:r w:rsidR="002A4A20">
        <w:rPr>
          <w:sz w:val="28"/>
          <w:szCs w:val="28"/>
          <w:lang w:val="en-GB"/>
        </w:rPr>
        <w:t>that</w:t>
      </w:r>
      <w:r w:rsidR="008225B8" w:rsidRPr="004648FA">
        <w:rPr>
          <w:sz w:val="28"/>
          <w:szCs w:val="28"/>
          <w:lang w:val="en-GB"/>
        </w:rPr>
        <w:t xml:space="preserve"> relaxing the</w:t>
      </w:r>
      <w:r w:rsidR="00971D7B">
        <w:rPr>
          <w:sz w:val="28"/>
          <w:szCs w:val="28"/>
          <w:lang w:val="en-GB"/>
        </w:rPr>
        <w:t>m</w:t>
      </w:r>
      <w:r w:rsidR="00307E17">
        <w:rPr>
          <w:sz w:val="28"/>
          <w:szCs w:val="28"/>
          <w:lang w:val="en-GB"/>
        </w:rPr>
        <w:t xml:space="preserve"> may potentially have</w:t>
      </w:r>
      <w:r w:rsidR="008225B8" w:rsidRPr="004648FA">
        <w:rPr>
          <w:sz w:val="28"/>
          <w:szCs w:val="28"/>
          <w:lang w:val="en-GB"/>
        </w:rPr>
        <w:t xml:space="preserve"> on the Family Aim, regardless of where that evidence comes from</w:t>
      </w:r>
      <w:r w:rsidR="00F415A9" w:rsidRPr="004648FA">
        <w:rPr>
          <w:sz w:val="28"/>
          <w:szCs w:val="28"/>
          <w:lang w:val="en-GB"/>
        </w:rPr>
        <w:t xml:space="preserve">.  </w:t>
      </w:r>
      <w:r w:rsidR="008225B8" w:rsidRPr="004648FA">
        <w:rPr>
          <w:sz w:val="28"/>
          <w:szCs w:val="28"/>
          <w:lang w:val="en-GB"/>
        </w:rPr>
        <w:t xml:space="preserve">Absent such evidence, the </w:t>
      </w:r>
      <w:r w:rsidR="00E85A5B">
        <w:rPr>
          <w:sz w:val="28"/>
          <w:szCs w:val="28"/>
          <w:lang w:val="en-GB"/>
        </w:rPr>
        <w:t>c</w:t>
      </w:r>
      <w:r w:rsidR="008225B8" w:rsidRPr="004648FA">
        <w:rPr>
          <w:sz w:val="28"/>
          <w:szCs w:val="28"/>
          <w:lang w:val="en-GB"/>
        </w:rPr>
        <w:t xml:space="preserve">ourt is simply left </w:t>
      </w:r>
      <w:r w:rsidR="004326EC">
        <w:rPr>
          <w:sz w:val="28"/>
          <w:szCs w:val="28"/>
          <w:lang w:val="en-GB"/>
        </w:rPr>
        <w:t>bereft of</w:t>
      </w:r>
      <w:r w:rsidR="008225B8" w:rsidRPr="004648FA">
        <w:rPr>
          <w:sz w:val="28"/>
          <w:szCs w:val="28"/>
          <w:lang w:val="en-GB"/>
        </w:rPr>
        <w:t xml:space="preserve"> </w:t>
      </w:r>
      <w:r w:rsidR="004326EC">
        <w:rPr>
          <w:sz w:val="28"/>
          <w:szCs w:val="28"/>
          <w:lang w:val="en-GB"/>
        </w:rPr>
        <w:lastRenderedPageBreak/>
        <w:t xml:space="preserve">any </w:t>
      </w:r>
      <w:r w:rsidR="00307E17">
        <w:rPr>
          <w:sz w:val="28"/>
          <w:szCs w:val="28"/>
          <w:lang w:val="en-GB"/>
        </w:rPr>
        <w:t xml:space="preserve">reliable </w:t>
      </w:r>
      <w:r w:rsidR="00331297">
        <w:rPr>
          <w:sz w:val="28"/>
          <w:szCs w:val="28"/>
          <w:lang w:val="en-GB"/>
        </w:rPr>
        <w:t>basis</w:t>
      </w:r>
      <w:r w:rsidR="008225B8" w:rsidRPr="004648FA">
        <w:rPr>
          <w:sz w:val="28"/>
          <w:szCs w:val="28"/>
          <w:lang w:val="en-GB"/>
        </w:rPr>
        <w:t xml:space="preserve"> to </w:t>
      </w:r>
      <w:r w:rsidR="00307E17">
        <w:rPr>
          <w:sz w:val="28"/>
          <w:szCs w:val="28"/>
          <w:lang w:val="en-GB"/>
        </w:rPr>
        <w:t xml:space="preserve">be satisfied </w:t>
      </w:r>
      <w:r w:rsidR="008225B8" w:rsidRPr="004648FA">
        <w:rPr>
          <w:sz w:val="28"/>
          <w:szCs w:val="28"/>
          <w:lang w:val="en-GB"/>
        </w:rPr>
        <w:t xml:space="preserve">that the </w:t>
      </w:r>
      <w:r w:rsidR="00A57C5B">
        <w:rPr>
          <w:sz w:val="28"/>
          <w:szCs w:val="28"/>
          <w:lang w:val="en-GB"/>
        </w:rPr>
        <w:t>impugned</w:t>
      </w:r>
      <w:r w:rsidR="008225B8" w:rsidRPr="004648FA">
        <w:rPr>
          <w:sz w:val="28"/>
          <w:szCs w:val="28"/>
          <w:lang w:val="en-GB"/>
        </w:rPr>
        <w:t xml:space="preserve"> policies </w:t>
      </w:r>
      <w:r w:rsidR="002D31E9">
        <w:rPr>
          <w:sz w:val="28"/>
          <w:szCs w:val="28"/>
          <w:lang w:val="en-GB"/>
        </w:rPr>
        <w:t>represent proportionate measures in support of</w:t>
      </w:r>
      <w:r w:rsidR="008225B8" w:rsidRPr="004648FA">
        <w:rPr>
          <w:sz w:val="28"/>
          <w:szCs w:val="28"/>
          <w:lang w:val="en-GB"/>
        </w:rPr>
        <w:t xml:space="preserve"> the Family Aim.</w:t>
      </w:r>
    </w:p>
    <w:p w:rsidR="00FF17CE" w:rsidRDefault="00FF17CE" w:rsidP="00686189">
      <w:pPr>
        <w:numPr>
          <w:ilvl w:val="0"/>
          <w:numId w:val="7"/>
        </w:numPr>
        <w:snapToGrid w:val="0"/>
        <w:spacing w:after="360" w:line="360" w:lineRule="auto"/>
        <w:ind w:left="0" w:firstLine="0"/>
        <w:jc w:val="both"/>
        <w:rPr>
          <w:sz w:val="28"/>
          <w:szCs w:val="28"/>
          <w:lang w:val="en-GB"/>
        </w:rPr>
      </w:pPr>
      <w:r>
        <w:rPr>
          <w:sz w:val="28"/>
          <w:szCs w:val="28"/>
          <w:lang w:val="en-GB"/>
        </w:rPr>
        <w:tab/>
        <w:t>Th</w:t>
      </w:r>
      <w:r w:rsidR="004326EC">
        <w:rPr>
          <w:sz w:val="28"/>
          <w:szCs w:val="28"/>
          <w:lang w:val="en-GB"/>
        </w:rPr>
        <w:t xml:space="preserve">e HA’s case </w:t>
      </w:r>
      <w:r>
        <w:rPr>
          <w:sz w:val="28"/>
          <w:szCs w:val="28"/>
          <w:lang w:val="en-GB"/>
        </w:rPr>
        <w:t xml:space="preserve">is </w:t>
      </w:r>
      <w:r w:rsidR="00E32992">
        <w:rPr>
          <w:sz w:val="28"/>
          <w:szCs w:val="28"/>
          <w:lang w:val="en-GB"/>
        </w:rPr>
        <w:t xml:space="preserve">further exacerbated </w:t>
      </w:r>
      <w:r>
        <w:rPr>
          <w:sz w:val="28"/>
          <w:szCs w:val="28"/>
          <w:lang w:val="en-GB"/>
        </w:rPr>
        <w:t xml:space="preserve">by the </w:t>
      </w:r>
      <w:r w:rsidR="00E32992">
        <w:rPr>
          <w:sz w:val="28"/>
          <w:szCs w:val="28"/>
          <w:lang w:val="en-GB"/>
        </w:rPr>
        <w:t xml:space="preserve">total </w:t>
      </w:r>
      <w:r>
        <w:rPr>
          <w:sz w:val="28"/>
          <w:szCs w:val="28"/>
          <w:lang w:val="en-GB"/>
        </w:rPr>
        <w:t xml:space="preserve">absence of any explanation </w:t>
      </w:r>
      <w:r w:rsidR="00E32992">
        <w:rPr>
          <w:sz w:val="28"/>
          <w:szCs w:val="28"/>
          <w:lang w:val="en-GB"/>
        </w:rPr>
        <w:t xml:space="preserve">as to </w:t>
      </w:r>
      <w:r>
        <w:rPr>
          <w:sz w:val="28"/>
          <w:szCs w:val="28"/>
          <w:lang w:val="en-GB"/>
        </w:rPr>
        <w:t xml:space="preserve">why </w:t>
      </w:r>
      <w:r w:rsidR="00E32992">
        <w:rPr>
          <w:sz w:val="28"/>
          <w:szCs w:val="28"/>
          <w:lang w:val="en-GB"/>
        </w:rPr>
        <w:t>a</w:t>
      </w:r>
      <w:r>
        <w:rPr>
          <w:sz w:val="28"/>
          <w:szCs w:val="28"/>
          <w:lang w:val="en-GB"/>
        </w:rPr>
        <w:t xml:space="preserve"> less restrictive measure</w:t>
      </w:r>
      <w:r w:rsidR="00E32992">
        <w:rPr>
          <w:sz w:val="28"/>
          <w:szCs w:val="28"/>
          <w:lang w:val="en-GB"/>
        </w:rPr>
        <w:t xml:space="preserve">, </w:t>
      </w:r>
      <w:r>
        <w:rPr>
          <w:sz w:val="28"/>
          <w:szCs w:val="28"/>
          <w:lang w:val="en-GB"/>
        </w:rPr>
        <w:t>such as prioritising opposite-sex married couples</w:t>
      </w:r>
      <w:r w:rsidR="00E32992">
        <w:rPr>
          <w:sz w:val="28"/>
          <w:szCs w:val="28"/>
          <w:lang w:val="en-GB"/>
        </w:rPr>
        <w:t xml:space="preserve"> (or those with small children)</w:t>
      </w:r>
      <w:r>
        <w:rPr>
          <w:sz w:val="28"/>
          <w:szCs w:val="28"/>
          <w:lang w:val="en-GB"/>
        </w:rPr>
        <w:t xml:space="preserve"> whil</w:t>
      </w:r>
      <w:r w:rsidR="00E32992">
        <w:rPr>
          <w:sz w:val="28"/>
          <w:szCs w:val="28"/>
          <w:lang w:val="en-GB"/>
        </w:rPr>
        <w:t>e still</w:t>
      </w:r>
      <w:r>
        <w:rPr>
          <w:sz w:val="28"/>
          <w:szCs w:val="28"/>
          <w:lang w:val="en-GB"/>
        </w:rPr>
        <w:t xml:space="preserve"> allowing same-sex married couples to apply</w:t>
      </w:r>
      <w:r w:rsidR="00E32992">
        <w:rPr>
          <w:sz w:val="28"/>
          <w:szCs w:val="28"/>
          <w:lang w:val="en-GB"/>
        </w:rPr>
        <w:t>, could not be adopted to support the Family Aim</w:t>
      </w:r>
      <w:r>
        <w:rPr>
          <w:sz w:val="28"/>
          <w:szCs w:val="28"/>
          <w:lang w:val="en-GB"/>
        </w:rPr>
        <w:t>.</w:t>
      </w:r>
      <w:r>
        <w:rPr>
          <w:rStyle w:val="FootnoteReference"/>
          <w:sz w:val="28"/>
          <w:szCs w:val="28"/>
          <w:lang w:val="en-GB"/>
        </w:rPr>
        <w:footnoteReference w:id="170"/>
      </w:r>
    </w:p>
    <w:p w:rsidR="003973DA" w:rsidRPr="004648FA" w:rsidRDefault="00AD2EA6" w:rsidP="003440DA">
      <w:pPr>
        <w:keepNext/>
        <w:numPr>
          <w:ilvl w:val="0"/>
          <w:numId w:val="7"/>
        </w:numPr>
        <w:snapToGrid w:val="0"/>
        <w:spacing w:after="360" w:line="360" w:lineRule="auto"/>
        <w:ind w:left="0" w:firstLine="0"/>
        <w:jc w:val="both"/>
        <w:rPr>
          <w:sz w:val="28"/>
          <w:szCs w:val="28"/>
          <w:lang w:val="en-GB"/>
        </w:rPr>
      </w:pPr>
      <w:r>
        <w:rPr>
          <w:sz w:val="28"/>
          <w:szCs w:val="28"/>
          <w:lang w:val="en-GB"/>
        </w:rPr>
        <w:tab/>
      </w:r>
      <w:r w:rsidR="002D31E9">
        <w:rPr>
          <w:sz w:val="28"/>
          <w:szCs w:val="28"/>
          <w:lang w:val="en-GB"/>
        </w:rPr>
        <w:t>Similar</w:t>
      </w:r>
      <w:r w:rsidR="00E32992">
        <w:rPr>
          <w:sz w:val="28"/>
          <w:szCs w:val="28"/>
          <w:lang w:val="en-GB"/>
        </w:rPr>
        <w:t xml:space="preserve"> observations on the lack of empirical evidence</w:t>
      </w:r>
      <w:r w:rsidR="008225B8" w:rsidRPr="004648FA">
        <w:rPr>
          <w:sz w:val="28"/>
          <w:szCs w:val="28"/>
          <w:lang w:val="en-GB"/>
        </w:rPr>
        <w:t xml:space="preserve"> can be </w:t>
      </w:r>
      <w:r w:rsidR="003D6492">
        <w:rPr>
          <w:sz w:val="28"/>
          <w:szCs w:val="28"/>
          <w:lang w:val="en-GB"/>
        </w:rPr>
        <w:t>made</w:t>
      </w:r>
      <w:r w:rsidR="003D6492" w:rsidRPr="004648FA">
        <w:rPr>
          <w:sz w:val="28"/>
          <w:szCs w:val="28"/>
          <w:lang w:val="en-GB"/>
        </w:rPr>
        <w:t xml:space="preserve"> </w:t>
      </w:r>
      <w:r w:rsidR="008225B8" w:rsidRPr="004648FA">
        <w:rPr>
          <w:sz w:val="28"/>
          <w:szCs w:val="28"/>
          <w:lang w:val="en-GB"/>
        </w:rPr>
        <w:t xml:space="preserve">when it comes to Stage 4 of the proportionality </w:t>
      </w:r>
      <w:proofErr w:type="gramStart"/>
      <w:r w:rsidR="008225B8" w:rsidRPr="004648FA">
        <w:rPr>
          <w:sz w:val="28"/>
          <w:szCs w:val="28"/>
          <w:lang w:val="en-GB"/>
        </w:rPr>
        <w:t>analysis, that</w:t>
      </w:r>
      <w:proofErr w:type="gramEnd"/>
      <w:r w:rsidR="008225B8" w:rsidRPr="004648FA">
        <w:rPr>
          <w:sz w:val="28"/>
          <w:szCs w:val="28"/>
          <w:lang w:val="en-GB"/>
        </w:rPr>
        <w:t xml:space="preserve"> is, striking a reasonable balance </w:t>
      </w:r>
      <w:r w:rsidR="00CD3423">
        <w:rPr>
          <w:sz w:val="28"/>
          <w:szCs w:val="28"/>
          <w:lang w:val="en-GB"/>
        </w:rPr>
        <w:t xml:space="preserve">between </w:t>
      </w:r>
      <w:r w:rsidR="008225B8" w:rsidRPr="004648FA">
        <w:rPr>
          <w:sz w:val="28"/>
          <w:szCs w:val="28"/>
          <w:lang w:val="en-GB"/>
        </w:rPr>
        <w:t xml:space="preserve">the societal benefits of the </w:t>
      </w:r>
      <w:r w:rsidR="00A57C5B">
        <w:rPr>
          <w:sz w:val="28"/>
          <w:szCs w:val="28"/>
          <w:lang w:val="en-GB"/>
        </w:rPr>
        <w:t>differential</w:t>
      </w:r>
      <w:r w:rsidR="008225B8" w:rsidRPr="004648FA">
        <w:rPr>
          <w:sz w:val="28"/>
          <w:szCs w:val="28"/>
          <w:lang w:val="en-GB"/>
        </w:rPr>
        <w:t xml:space="preserve"> policies a</w:t>
      </w:r>
      <w:r w:rsidR="00CD3423">
        <w:rPr>
          <w:sz w:val="28"/>
          <w:szCs w:val="28"/>
          <w:lang w:val="en-GB"/>
        </w:rPr>
        <w:t>nd</w:t>
      </w:r>
      <w:r w:rsidR="008225B8" w:rsidRPr="004648FA">
        <w:rPr>
          <w:sz w:val="28"/>
          <w:szCs w:val="28"/>
          <w:lang w:val="en-GB"/>
        </w:rPr>
        <w:t xml:space="preserve"> the </w:t>
      </w:r>
      <w:r w:rsidR="00CD3423">
        <w:rPr>
          <w:sz w:val="28"/>
          <w:szCs w:val="28"/>
          <w:lang w:val="en-GB"/>
        </w:rPr>
        <w:t xml:space="preserve">inroads made into the equality rights of </w:t>
      </w:r>
      <w:r w:rsidR="008225B8" w:rsidRPr="004648FA">
        <w:rPr>
          <w:sz w:val="28"/>
          <w:szCs w:val="28"/>
          <w:lang w:val="en-GB"/>
        </w:rPr>
        <w:t>the individuals affected.</w:t>
      </w:r>
      <w:r w:rsidR="00C23F1D" w:rsidRPr="004648FA">
        <w:rPr>
          <w:rStyle w:val="FootnoteReference"/>
          <w:sz w:val="28"/>
          <w:szCs w:val="28"/>
          <w:lang w:val="en-GB"/>
        </w:rPr>
        <w:footnoteReference w:id="171"/>
      </w:r>
    </w:p>
    <w:p w:rsidR="003D6492" w:rsidRDefault="00AD2EA6" w:rsidP="00E40971">
      <w:pPr>
        <w:numPr>
          <w:ilvl w:val="0"/>
          <w:numId w:val="7"/>
        </w:numPr>
        <w:snapToGrid w:val="0"/>
        <w:spacing w:after="600" w:line="360" w:lineRule="auto"/>
        <w:ind w:left="0" w:firstLine="0"/>
        <w:jc w:val="both"/>
        <w:rPr>
          <w:sz w:val="28"/>
          <w:szCs w:val="28"/>
          <w:lang w:val="en-GB"/>
        </w:rPr>
      </w:pPr>
      <w:r>
        <w:rPr>
          <w:sz w:val="28"/>
          <w:szCs w:val="28"/>
          <w:lang w:val="en-GB"/>
        </w:rPr>
        <w:tab/>
      </w:r>
      <w:r w:rsidR="00EB0EC3">
        <w:rPr>
          <w:sz w:val="28"/>
          <w:szCs w:val="28"/>
          <w:lang w:val="en-GB"/>
        </w:rPr>
        <w:t xml:space="preserve">Significantly, </w:t>
      </w:r>
      <w:r w:rsidR="008225B8" w:rsidRPr="004648FA">
        <w:rPr>
          <w:sz w:val="28"/>
          <w:szCs w:val="28"/>
          <w:lang w:val="en-GB"/>
        </w:rPr>
        <w:t>under the challenged policies, same-sex married couples cannot apply for PRH units together, but must apply separately as individuals</w:t>
      </w:r>
      <w:r w:rsidR="002D31E9">
        <w:rPr>
          <w:sz w:val="28"/>
          <w:szCs w:val="28"/>
          <w:lang w:val="en-GB"/>
        </w:rPr>
        <w:t xml:space="preserve"> where the AWT is longer</w:t>
      </w:r>
      <w:r w:rsidR="00F415A9" w:rsidRPr="004648FA">
        <w:rPr>
          <w:sz w:val="28"/>
          <w:szCs w:val="28"/>
          <w:lang w:val="en-GB"/>
        </w:rPr>
        <w:t xml:space="preserve">.  </w:t>
      </w:r>
      <w:r w:rsidR="002D31E9">
        <w:rPr>
          <w:sz w:val="28"/>
          <w:szCs w:val="28"/>
          <w:lang w:val="en-GB"/>
        </w:rPr>
        <w:t>I</w:t>
      </w:r>
      <w:r w:rsidR="008225B8" w:rsidRPr="004648FA">
        <w:rPr>
          <w:sz w:val="28"/>
          <w:szCs w:val="28"/>
          <w:lang w:val="en-GB"/>
        </w:rPr>
        <w:t xml:space="preserve">f one spouse is </w:t>
      </w:r>
      <w:r w:rsidR="002D31E9">
        <w:rPr>
          <w:sz w:val="28"/>
          <w:szCs w:val="28"/>
          <w:lang w:val="en-GB"/>
        </w:rPr>
        <w:t xml:space="preserve">eventually </w:t>
      </w:r>
      <w:r w:rsidR="008225B8" w:rsidRPr="004648FA">
        <w:rPr>
          <w:sz w:val="28"/>
          <w:szCs w:val="28"/>
          <w:lang w:val="en-GB"/>
        </w:rPr>
        <w:t xml:space="preserve">successful in applying as an individual, the other cannot be added as an occupant as </w:t>
      </w:r>
      <w:r w:rsidR="002B57C7">
        <w:rPr>
          <w:sz w:val="28"/>
          <w:szCs w:val="28"/>
          <w:lang w:val="en-GB"/>
        </w:rPr>
        <w:t>a</w:t>
      </w:r>
      <w:r w:rsidR="008225B8" w:rsidRPr="004648FA">
        <w:rPr>
          <w:sz w:val="28"/>
          <w:szCs w:val="28"/>
          <w:lang w:val="en-GB"/>
        </w:rPr>
        <w:t xml:space="preserve"> same-sex spouse</w:t>
      </w:r>
      <w:r w:rsidR="00F415A9" w:rsidRPr="004648FA">
        <w:rPr>
          <w:sz w:val="28"/>
          <w:szCs w:val="28"/>
          <w:lang w:val="en-GB"/>
        </w:rPr>
        <w:t xml:space="preserve">.  </w:t>
      </w:r>
      <w:r w:rsidR="003973DA" w:rsidRPr="004648FA">
        <w:rPr>
          <w:sz w:val="28"/>
          <w:szCs w:val="28"/>
          <w:lang w:val="en-GB"/>
        </w:rPr>
        <w:t>A</w:t>
      </w:r>
      <w:r w:rsidR="008225B8" w:rsidRPr="004648FA">
        <w:rPr>
          <w:sz w:val="28"/>
          <w:szCs w:val="28"/>
          <w:lang w:val="en-GB"/>
        </w:rPr>
        <w:t xml:space="preserve"> similar situation exists in relation to the purchase and occupation of HOS flats</w:t>
      </w:r>
      <w:r w:rsidR="00F415A9" w:rsidRPr="004648FA">
        <w:rPr>
          <w:sz w:val="28"/>
          <w:szCs w:val="28"/>
          <w:lang w:val="en-GB"/>
        </w:rPr>
        <w:t xml:space="preserve">.  </w:t>
      </w:r>
      <w:r w:rsidR="008225B8" w:rsidRPr="004648FA">
        <w:rPr>
          <w:sz w:val="28"/>
          <w:szCs w:val="28"/>
          <w:lang w:val="en-GB"/>
        </w:rPr>
        <w:t>In short</w:t>
      </w:r>
      <w:r w:rsidR="00307E17">
        <w:rPr>
          <w:sz w:val="28"/>
          <w:szCs w:val="28"/>
          <w:lang w:val="en-GB"/>
        </w:rPr>
        <w:t xml:space="preserve">, </w:t>
      </w:r>
      <w:r w:rsidR="00EB0EC3">
        <w:rPr>
          <w:sz w:val="28"/>
          <w:szCs w:val="28"/>
          <w:lang w:val="en-GB"/>
        </w:rPr>
        <w:t xml:space="preserve">a same-sex married couple </w:t>
      </w:r>
      <w:r w:rsidR="00307E17">
        <w:rPr>
          <w:sz w:val="28"/>
          <w:szCs w:val="28"/>
          <w:lang w:val="en-GB"/>
        </w:rPr>
        <w:t>cannot share family life</w:t>
      </w:r>
      <w:r w:rsidR="00A57C5B">
        <w:rPr>
          <w:sz w:val="28"/>
          <w:szCs w:val="28"/>
          <w:lang w:val="en-GB"/>
        </w:rPr>
        <w:t xml:space="preserve"> by</w:t>
      </w:r>
      <w:r w:rsidR="008225B8" w:rsidRPr="004648FA">
        <w:rPr>
          <w:sz w:val="28"/>
          <w:szCs w:val="28"/>
          <w:lang w:val="en-GB"/>
        </w:rPr>
        <w:t xml:space="preserve"> </w:t>
      </w:r>
      <w:r w:rsidR="00307E17">
        <w:rPr>
          <w:sz w:val="28"/>
          <w:szCs w:val="28"/>
          <w:lang w:val="en-GB"/>
        </w:rPr>
        <w:t xml:space="preserve">residing in </w:t>
      </w:r>
      <w:r w:rsidR="000D26E1">
        <w:rPr>
          <w:sz w:val="28"/>
          <w:szCs w:val="28"/>
          <w:lang w:val="en-GB"/>
        </w:rPr>
        <w:t xml:space="preserve">a </w:t>
      </w:r>
      <w:r w:rsidR="008225B8" w:rsidRPr="004648FA">
        <w:rPr>
          <w:sz w:val="28"/>
          <w:szCs w:val="28"/>
          <w:lang w:val="en-GB"/>
        </w:rPr>
        <w:t xml:space="preserve">PRH unit </w:t>
      </w:r>
      <w:r w:rsidR="00A57C5B">
        <w:rPr>
          <w:sz w:val="28"/>
          <w:szCs w:val="28"/>
          <w:lang w:val="en-GB"/>
        </w:rPr>
        <w:t>or</w:t>
      </w:r>
      <w:r w:rsidR="008225B8" w:rsidRPr="004648FA">
        <w:rPr>
          <w:sz w:val="28"/>
          <w:szCs w:val="28"/>
          <w:lang w:val="en-GB"/>
        </w:rPr>
        <w:t xml:space="preserve"> </w:t>
      </w:r>
      <w:r w:rsidR="003C2AEA">
        <w:rPr>
          <w:sz w:val="28"/>
          <w:szCs w:val="28"/>
          <w:lang w:val="en-GB"/>
        </w:rPr>
        <w:t xml:space="preserve">an </w:t>
      </w:r>
      <w:r w:rsidR="008225B8" w:rsidRPr="004648FA">
        <w:rPr>
          <w:sz w:val="28"/>
          <w:szCs w:val="28"/>
          <w:lang w:val="en-GB"/>
        </w:rPr>
        <w:t>HOS flat</w:t>
      </w:r>
      <w:r w:rsidR="00A57C5B">
        <w:rPr>
          <w:sz w:val="28"/>
          <w:szCs w:val="28"/>
          <w:lang w:val="en-GB"/>
        </w:rPr>
        <w:t>.</w:t>
      </w:r>
    </w:p>
    <w:p w:rsidR="008225B8" w:rsidRPr="004648FA" w:rsidRDefault="00A57C5B" w:rsidP="00686189">
      <w:pPr>
        <w:numPr>
          <w:ilvl w:val="0"/>
          <w:numId w:val="7"/>
        </w:numPr>
        <w:tabs>
          <w:tab w:val="left" w:pos="1260"/>
        </w:tabs>
        <w:snapToGrid w:val="0"/>
        <w:spacing w:after="360" w:line="360" w:lineRule="auto"/>
        <w:ind w:left="0" w:firstLine="0"/>
        <w:jc w:val="both"/>
        <w:rPr>
          <w:sz w:val="28"/>
          <w:szCs w:val="28"/>
          <w:lang w:val="en-GB"/>
        </w:rPr>
      </w:pPr>
      <w:r>
        <w:rPr>
          <w:sz w:val="28"/>
          <w:szCs w:val="28"/>
          <w:lang w:val="en-GB"/>
        </w:rPr>
        <w:lastRenderedPageBreak/>
        <w:t xml:space="preserve">  </w:t>
      </w:r>
      <w:r w:rsidR="00B24E0B">
        <w:rPr>
          <w:sz w:val="28"/>
          <w:szCs w:val="28"/>
          <w:lang w:val="en-GB"/>
        </w:rPr>
        <w:t xml:space="preserve">In the case of </w:t>
      </w:r>
      <w:r w:rsidR="00EB0EC3">
        <w:rPr>
          <w:sz w:val="28"/>
          <w:szCs w:val="28"/>
          <w:lang w:val="en-GB"/>
        </w:rPr>
        <w:t xml:space="preserve">the </w:t>
      </w:r>
      <w:r w:rsidR="00B24E0B">
        <w:rPr>
          <w:sz w:val="28"/>
          <w:szCs w:val="28"/>
          <w:lang w:val="en-GB"/>
        </w:rPr>
        <w:t>impugned</w:t>
      </w:r>
      <w:r w:rsidR="00EB0EC3">
        <w:rPr>
          <w:sz w:val="28"/>
          <w:szCs w:val="28"/>
          <w:lang w:val="en-GB"/>
        </w:rPr>
        <w:t xml:space="preserve"> </w:t>
      </w:r>
      <w:r w:rsidR="00463B60">
        <w:rPr>
          <w:sz w:val="28"/>
          <w:szCs w:val="28"/>
          <w:lang w:val="en-GB"/>
        </w:rPr>
        <w:t xml:space="preserve">PRH </w:t>
      </w:r>
      <w:r w:rsidR="00EB0EC3">
        <w:rPr>
          <w:sz w:val="28"/>
          <w:szCs w:val="28"/>
          <w:lang w:val="en-GB"/>
        </w:rPr>
        <w:t>policy, w</w:t>
      </w:r>
      <w:r w:rsidR="000D26E1">
        <w:rPr>
          <w:sz w:val="28"/>
          <w:szCs w:val="28"/>
          <w:lang w:val="en-GB"/>
        </w:rPr>
        <w:t>hen it is remembered that b</w:t>
      </w:r>
      <w:r>
        <w:rPr>
          <w:sz w:val="28"/>
          <w:szCs w:val="28"/>
          <w:lang w:val="en-GB"/>
        </w:rPr>
        <w:t xml:space="preserve">y definition, one is concerned with </w:t>
      </w:r>
      <w:r w:rsidR="000D26E1">
        <w:rPr>
          <w:sz w:val="28"/>
          <w:szCs w:val="28"/>
          <w:lang w:val="en-GB"/>
        </w:rPr>
        <w:t xml:space="preserve">needy </w:t>
      </w:r>
      <w:r>
        <w:rPr>
          <w:sz w:val="28"/>
          <w:szCs w:val="28"/>
          <w:lang w:val="en-GB"/>
        </w:rPr>
        <w:t>same-sex married couples who can</w:t>
      </w:r>
      <w:r w:rsidR="000D26E1">
        <w:rPr>
          <w:sz w:val="28"/>
          <w:szCs w:val="28"/>
          <w:lang w:val="en-GB"/>
        </w:rPr>
        <w:t>not</w:t>
      </w:r>
      <w:r>
        <w:rPr>
          <w:sz w:val="28"/>
          <w:szCs w:val="28"/>
          <w:lang w:val="en-GB"/>
        </w:rPr>
        <w:t xml:space="preserve"> afford </w:t>
      </w:r>
      <w:r w:rsidR="000D26E1">
        <w:rPr>
          <w:sz w:val="28"/>
          <w:szCs w:val="28"/>
          <w:lang w:val="en-GB"/>
        </w:rPr>
        <w:t>private rental accommodation, the HA’s exclusionary polic</w:t>
      </w:r>
      <w:r w:rsidR="00EB0EC3">
        <w:rPr>
          <w:sz w:val="28"/>
          <w:szCs w:val="28"/>
          <w:lang w:val="en-GB"/>
        </w:rPr>
        <w:t xml:space="preserve">y </w:t>
      </w:r>
      <w:r w:rsidR="000D26E1">
        <w:rPr>
          <w:sz w:val="28"/>
          <w:szCs w:val="28"/>
          <w:lang w:val="en-GB"/>
        </w:rPr>
        <w:t xml:space="preserve">could well mean depriving them of any realistic </w:t>
      </w:r>
      <w:r w:rsidR="00EB0EC3">
        <w:rPr>
          <w:sz w:val="28"/>
          <w:szCs w:val="28"/>
          <w:lang w:val="en-GB"/>
        </w:rPr>
        <w:t>opportunity</w:t>
      </w:r>
      <w:r w:rsidR="000D26E1">
        <w:rPr>
          <w:sz w:val="28"/>
          <w:szCs w:val="28"/>
          <w:lang w:val="en-GB"/>
        </w:rPr>
        <w:t xml:space="preserve"> of sharing family life</w:t>
      </w:r>
      <w:r w:rsidR="00463B60">
        <w:rPr>
          <w:sz w:val="28"/>
          <w:szCs w:val="28"/>
          <w:lang w:val="en-GB"/>
        </w:rPr>
        <w:t xml:space="preserve"> under the same roof</w:t>
      </w:r>
      <w:r w:rsidR="00EB0EC3">
        <w:rPr>
          <w:sz w:val="28"/>
          <w:szCs w:val="28"/>
          <w:lang w:val="en-GB"/>
        </w:rPr>
        <w:t xml:space="preserve"> at all</w:t>
      </w:r>
      <w:r w:rsidR="000D26E1">
        <w:rPr>
          <w:sz w:val="28"/>
          <w:szCs w:val="28"/>
          <w:lang w:val="en-GB"/>
        </w:rPr>
        <w:t>.</w:t>
      </w:r>
      <w:r w:rsidR="000D26E1">
        <w:rPr>
          <w:rStyle w:val="FootnoteReference"/>
          <w:sz w:val="28"/>
          <w:szCs w:val="28"/>
          <w:lang w:val="en-GB"/>
        </w:rPr>
        <w:footnoteReference w:id="172"/>
      </w:r>
      <w:r w:rsidR="000D26E1">
        <w:rPr>
          <w:sz w:val="28"/>
          <w:szCs w:val="28"/>
          <w:lang w:val="en-GB"/>
        </w:rPr>
        <w:t xml:space="preserve"> </w:t>
      </w:r>
      <w:r>
        <w:rPr>
          <w:sz w:val="28"/>
          <w:szCs w:val="28"/>
          <w:lang w:val="en-GB"/>
        </w:rPr>
        <w:t xml:space="preserve">   </w:t>
      </w:r>
      <w:r w:rsidR="008225B8" w:rsidRPr="004648FA">
        <w:rPr>
          <w:sz w:val="28"/>
          <w:szCs w:val="28"/>
          <w:lang w:val="en-GB"/>
        </w:rPr>
        <w:t xml:space="preserve">  </w:t>
      </w:r>
    </w:p>
    <w:p w:rsidR="003973DA" w:rsidRPr="004648FA" w:rsidRDefault="00AD2EA6" w:rsidP="003440DA">
      <w:pPr>
        <w:keepNext/>
        <w:numPr>
          <w:ilvl w:val="0"/>
          <w:numId w:val="7"/>
        </w:numPr>
        <w:snapToGrid w:val="0"/>
        <w:spacing w:after="360" w:line="360" w:lineRule="auto"/>
        <w:ind w:left="0" w:firstLine="0"/>
        <w:jc w:val="both"/>
        <w:rPr>
          <w:sz w:val="28"/>
          <w:szCs w:val="28"/>
          <w:lang w:val="en-GB"/>
        </w:rPr>
      </w:pPr>
      <w:r>
        <w:rPr>
          <w:sz w:val="28"/>
          <w:szCs w:val="28"/>
          <w:lang w:val="en-GB"/>
        </w:rPr>
        <w:tab/>
      </w:r>
      <w:r w:rsidR="008225B8" w:rsidRPr="004648FA">
        <w:rPr>
          <w:sz w:val="28"/>
          <w:szCs w:val="28"/>
          <w:lang w:val="en-GB"/>
        </w:rPr>
        <w:t xml:space="preserve">As to opposite-sex married couples’ rights enjoyed under </w:t>
      </w:r>
      <w:r w:rsidR="0063691F" w:rsidRPr="004648FA">
        <w:rPr>
          <w:sz w:val="28"/>
          <w:szCs w:val="28"/>
          <w:lang w:val="en-GB"/>
        </w:rPr>
        <w:t>BL</w:t>
      </w:r>
      <w:r w:rsidR="002B33AF" w:rsidRPr="004648FA">
        <w:rPr>
          <w:sz w:val="28"/>
          <w:szCs w:val="28"/>
          <w:lang w:val="en-GB"/>
        </w:rPr>
        <w:t>36</w:t>
      </w:r>
      <w:r w:rsidR="008225B8" w:rsidRPr="004648FA">
        <w:rPr>
          <w:sz w:val="28"/>
          <w:szCs w:val="28"/>
          <w:lang w:val="en-GB"/>
        </w:rPr>
        <w:t xml:space="preserve">, </w:t>
      </w:r>
      <w:r w:rsidR="006003FC">
        <w:rPr>
          <w:sz w:val="28"/>
          <w:szCs w:val="28"/>
          <w:lang w:val="en-GB"/>
        </w:rPr>
        <w:t>I</w:t>
      </w:r>
      <w:r w:rsidR="008225B8" w:rsidRPr="004648FA">
        <w:rPr>
          <w:sz w:val="28"/>
          <w:szCs w:val="28"/>
          <w:lang w:val="en-GB"/>
        </w:rPr>
        <w:t xml:space="preserve"> have already explained that </w:t>
      </w:r>
      <w:r w:rsidR="00FE3B65">
        <w:rPr>
          <w:sz w:val="28"/>
          <w:szCs w:val="28"/>
          <w:lang w:val="en-GB"/>
        </w:rPr>
        <w:t>their entitlements</w:t>
      </w:r>
      <w:r w:rsidR="008225B8" w:rsidRPr="004648FA">
        <w:rPr>
          <w:sz w:val="28"/>
          <w:szCs w:val="28"/>
          <w:lang w:val="en-GB"/>
        </w:rPr>
        <w:t xml:space="preserve"> </w:t>
      </w:r>
      <w:r w:rsidR="00FE3B65">
        <w:rPr>
          <w:sz w:val="28"/>
          <w:szCs w:val="28"/>
          <w:lang w:val="en-GB"/>
        </w:rPr>
        <w:t xml:space="preserve">to apply under the PRH and HOS policies </w:t>
      </w:r>
      <w:r w:rsidR="008225B8" w:rsidRPr="004648FA">
        <w:rPr>
          <w:sz w:val="28"/>
          <w:szCs w:val="28"/>
          <w:lang w:val="en-GB"/>
        </w:rPr>
        <w:t>are not exclusive</w:t>
      </w:r>
      <w:r w:rsidR="00FE3B65">
        <w:rPr>
          <w:sz w:val="28"/>
          <w:szCs w:val="28"/>
          <w:lang w:val="en-GB"/>
        </w:rPr>
        <w:t>,</w:t>
      </w:r>
      <w:r w:rsidR="008225B8" w:rsidRPr="004648FA">
        <w:rPr>
          <w:sz w:val="28"/>
          <w:szCs w:val="28"/>
          <w:lang w:val="en-GB"/>
        </w:rPr>
        <w:t xml:space="preserve"> and </w:t>
      </w:r>
      <w:r w:rsidR="00FE3B65">
        <w:rPr>
          <w:sz w:val="28"/>
          <w:szCs w:val="28"/>
          <w:lang w:val="en-GB"/>
        </w:rPr>
        <w:t xml:space="preserve">their BL36 rights </w:t>
      </w:r>
      <w:proofErr w:type="gramStart"/>
      <w:r w:rsidR="00FE3B65">
        <w:rPr>
          <w:sz w:val="28"/>
          <w:szCs w:val="28"/>
          <w:lang w:val="en-GB"/>
        </w:rPr>
        <w:t xml:space="preserve">are </w:t>
      </w:r>
      <w:r w:rsidR="008225B8" w:rsidRPr="004648FA">
        <w:rPr>
          <w:sz w:val="28"/>
          <w:szCs w:val="28"/>
          <w:lang w:val="en-GB"/>
        </w:rPr>
        <w:t>therefore not engaged</w:t>
      </w:r>
      <w:proofErr w:type="gramEnd"/>
      <w:r w:rsidR="008225B8" w:rsidRPr="004648FA">
        <w:rPr>
          <w:sz w:val="28"/>
          <w:szCs w:val="28"/>
          <w:lang w:val="en-GB"/>
        </w:rPr>
        <w:t>.</w:t>
      </w:r>
      <w:r w:rsidR="00C23F1D" w:rsidRPr="004648FA">
        <w:rPr>
          <w:rStyle w:val="FootnoteReference"/>
          <w:sz w:val="28"/>
          <w:szCs w:val="28"/>
          <w:lang w:val="en-GB"/>
        </w:rPr>
        <w:footnoteReference w:id="173"/>
      </w:r>
    </w:p>
    <w:p w:rsidR="00197758" w:rsidRDefault="00AD2EA6" w:rsidP="00686189">
      <w:pPr>
        <w:numPr>
          <w:ilvl w:val="0"/>
          <w:numId w:val="7"/>
        </w:numPr>
        <w:snapToGrid w:val="0"/>
        <w:spacing w:after="480" w:line="360" w:lineRule="auto"/>
        <w:ind w:left="0" w:firstLine="0"/>
        <w:jc w:val="both"/>
        <w:rPr>
          <w:sz w:val="28"/>
          <w:szCs w:val="28"/>
          <w:lang w:val="en-GB"/>
        </w:rPr>
      </w:pPr>
      <w:r>
        <w:rPr>
          <w:sz w:val="28"/>
          <w:szCs w:val="28"/>
          <w:lang w:val="en-GB"/>
        </w:rPr>
        <w:tab/>
      </w:r>
      <w:r w:rsidR="008225B8" w:rsidRPr="004648FA">
        <w:rPr>
          <w:sz w:val="28"/>
          <w:szCs w:val="28"/>
          <w:lang w:val="en-GB"/>
        </w:rPr>
        <w:t>Turning to the coheren</w:t>
      </w:r>
      <w:r w:rsidR="00FA4144">
        <w:rPr>
          <w:sz w:val="28"/>
          <w:szCs w:val="28"/>
          <w:lang w:val="en-GB"/>
        </w:rPr>
        <w:t>ce</w:t>
      </w:r>
      <w:r w:rsidR="008225B8" w:rsidRPr="004648FA">
        <w:rPr>
          <w:sz w:val="28"/>
          <w:szCs w:val="28"/>
          <w:lang w:val="en-GB"/>
        </w:rPr>
        <w:t xml:space="preserve"> considerations relating to the challenged HOS polic</w:t>
      </w:r>
      <w:r w:rsidR="003C177F">
        <w:rPr>
          <w:sz w:val="28"/>
          <w:szCs w:val="28"/>
          <w:lang w:val="en-GB"/>
        </w:rPr>
        <w:t>ies</w:t>
      </w:r>
      <w:r w:rsidR="003D6492">
        <w:rPr>
          <w:sz w:val="28"/>
          <w:szCs w:val="28"/>
          <w:lang w:val="en-GB"/>
        </w:rPr>
        <w:t>,</w:t>
      </w:r>
      <w:r w:rsidR="008C273E">
        <w:rPr>
          <w:rStyle w:val="FootnoteReference"/>
          <w:sz w:val="28"/>
          <w:szCs w:val="28"/>
          <w:lang w:val="en-GB"/>
        </w:rPr>
        <w:footnoteReference w:id="174"/>
      </w:r>
      <w:r w:rsidR="008225B8" w:rsidRPr="004648FA">
        <w:rPr>
          <w:sz w:val="28"/>
          <w:szCs w:val="28"/>
          <w:lang w:val="en-GB"/>
        </w:rPr>
        <w:t xml:space="preserve"> as explained, th</w:t>
      </w:r>
      <w:r w:rsidR="002B57C7">
        <w:rPr>
          <w:sz w:val="28"/>
          <w:szCs w:val="28"/>
          <w:lang w:val="en-GB"/>
        </w:rPr>
        <w:t xml:space="preserve">ose </w:t>
      </w:r>
      <w:r w:rsidR="008225B8" w:rsidRPr="004648FA">
        <w:rPr>
          <w:sz w:val="28"/>
          <w:szCs w:val="28"/>
          <w:lang w:val="en-GB"/>
        </w:rPr>
        <w:t>polic</w:t>
      </w:r>
      <w:r w:rsidR="003C177F">
        <w:rPr>
          <w:sz w:val="28"/>
          <w:szCs w:val="28"/>
          <w:lang w:val="en-GB"/>
        </w:rPr>
        <w:t>ies</w:t>
      </w:r>
      <w:r w:rsidR="008225B8" w:rsidRPr="004648FA">
        <w:rPr>
          <w:sz w:val="28"/>
          <w:szCs w:val="28"/>
          <w:lang w:val="en-GB"/>
        </w:rPr>
        <w:t xml:space="preserve"> simply form part</w:t>
      </w:r>
      <w:r w:rsidR="00FA4144">
        <w:rPr>
          <w:sz w:val="28"/>
          <w:szCs w:val="28"/>
          <w:lang w:val="en-GB"/>
        </w:rPr>
        <w:t>s</w:t>
      </w:r>
      <w:r w:rsidR="008225B8" w:rsidRPr="004648FA">
        <w:rPr>
          <w:sz w:val="28"/>
          <w:szCs w:val="28"/>
          <w:lang w:val="en-GB"/>
        </w:rPr>
        <w:t xml:space="preserve"> of the </w:t>
      </w:r>
      <w:r w:rsidR="002A4A20">
        <w:rPr>
          <w:sz w:val="28"/>
          <w:szCs w:val="28"/>
          <w:lang w:val="en-GB"/>
        </w:rPr>
        <w:t>broader</w:t>
      </w:r>
      <w:r w:rsidR="008225B8" w:rsidRPr="004648FA">
        <w:rPr>
          <w:sz w:val="28"/>
          <w:szCs w:val="28"/>
          <w:lang w:val="en-GB"/>
        </w:rPr>
        <w:t xml:space="preserve"> HOS policy </w:t>
      </w:r>
      <w:r w:rsidR="00C1077A">
        <w:rPr>
          <w:sz w:val="28"/>
          <w:szCs w:val="28"/>
          <w:lang w:val="en-GB"/>
        </w:rPr>
        <w:t>framework, which</w:t>
      </w:r>
      <w:r w:rsidR="008225B8" w:rsidRPr="004648FA">
        <w:rPr>
          <w:sz w:val="28"/>
          <w:szCs w:val="28"/>
          <w:lang w:val="en-GB"/>
        </w:rPr>
        <w:t xml:space="preserve"> exclude</w:t>
      </w:r>
      <w:r w:rsidR="00AA03EF">
        <w:rPr>
          <w:sz w:val="28"/>
          <w:szCs w:val="28"/>
          <w:lang w:val="en-GB"/>
        </w:rPr>
        <w:t>s</w:t>
      </w:r>
      <w:r w:rsidR="008225B8" w:rsidRPr="004648FA">
        <w:rPr>
          <w:sz w:val="28"/>
          <w:szCs w:val="28"/>
          <w:lang w:val="en-GB"/>
        </w:rPr>
        <w:t xml:space="preserve"> same-sex married couples from </w:t>
      </w:r>
      <w:r w:rsidR="00FA4144">
        <w:rPr>
          <w:sz w:val="28"/>
          <w:szCs w:val="28"/>
          <w:lang w:val="en-GB"/>
        </w:rPr>
        <w:t>purchasing</w:t>
      </w:r>
      <w:r w:rsidR="00833753">
        <w:rPr>
          <w:sz w:val="28"/>
          <w:szCs w:val="28"/>
          <w:lang w:val="en-GB"/>
        </w:rPr>
        <w:t xml:space="preserve">, </w:t>
      </w:r>
      <w:r w:rsidR="008225B8" w:rsidRPr="004648FA">
        <w:rPr>
          <w:sz w:val="28"/>
          <w:szCs w:val="28"/>
          <w:lang w:val="en-GB"/>
        </w:rPr>
        <w:t>owning or occupying HOS flats</w:t>
      </w:r>
      <w:r w:rsidR="00AA03EF">
        <w:rPr>
          <w:sz w:val="28"/>
          <w:szCs w:val="28"/>
          <w:lang w:val="en-GB"/>
        </w:rPr>
        <w:t xml:space="preserve"> as couples</w:t>
      </w:r>
      <w:r w:rsidR="00F415A9" w:rsidRPr="004648FA">
        <w:rPr>
          <w:sz w:val="28"/>
          <w:szCs w:val="28"/>
          <w:lang w:val="en-GB"/>
        </w:rPr>
        <w:t xml:space="preserve">.  </w:t>
      </w:r>
      <w:r w:rsidR="00971D7B">
        <w:rPr>
          <w:sz w:val="28"/>
          <w:szCs w:val="28"/>
          <w:lang w:val="en-GB"/>
        </w:rPr>
        <w:t xml:space="preserve">The HA argues that they cannot be disturbed without </w:t>
      </w:r>
      <w:r w:rsidR="00197758">
        <w:rPr>
          <w:sz w:val="28"/>
          <w:szCs w:val="28"/>
          <w:lang w:val="en-GB"/>
        </w:rPr>
        <w:t>compromising</w:t>
      </w:r>
      <w:r w:rsidR="00971D7B">
        <w:rPr>
          <w:sz w:val="28"/>
          <w:szCs w:val="28"/>
          <w:lang w:val="en-GB"/>
        </w:rPr>
        <w:t xml:space="preserve"> the integrity and coherence of the overall policy framework</w:t>
      </w:r>
      <w:r w:rsidR="00197758">
        <w:rPr>
          <w:sz w:val="28"/>
          <w:szCs w:val="28"/>
          <w:lang w:val="en-GB"/>
        </w:rPr>
        <w:t xml:space="preserve"> – consideration</w:t>
      </w:r>
      <w:r w:rsidR="00DC641C">
        <w:rPr>
          <w:sz w:val="28"/>
          <w:szCs w:val="28"/>
          <w:lang w:val="en-GB"/>
        </w:rPr>
        <w:t>s</w:t>
      </w:r>
      <w:r w:rsidR="00197758">
        <w:rPr>
          <w:sz w:val="28"/>
          <w:szCs w:val="28"/>
          <w:lang w:val="en-GB"/>
        </w:rPr>
        <w:t xml:space="preserve"> that</w:t>
      </w:r>
      <w:r w:rsidR="00515E53">
        <w:rPr>
          <w:sz w:val="28"/>
          <w:szCs w:val="28"/>
          <w:lang w:val="en-GB"/>
        </w:rPr>
        <w:t>, it says,</w:t>
      </w:r>
      <w:r w:rsidR="00197758">
        <w:rPr>
          <w:sz w:val="28"/>
          <w:szCs w:val="28"/>
          <w:lang w:val="en-GB"/>
        </w:rPr>
        <w:t xml:space="preserve"> should attract significant if not decisive weight</w:t>
      </w:r>
      <w:r w:rsidR="00971D7B">
        <w:rPr>
          <w:sz w:val="28"/>
          <w:szCs w:val="28"/>
          <w:lang w:val="en-GB"/>
        </w:rPr>
        <w:t>.</w:t>
      </w:r>
      <w:r w:rsidR="003D6492">
        <w:rPr>
          <w:rStyle w:val="FootnoteReference"/>
          <w:sz w:val="28"/>
          <w:szCs w:val="28"/>
          <w:lang w:val="en-GB"/>
        </w:rPr>
        <w:footnoteReference w:id="175"/>
      </w:r>
      <w:r w:rsidR="00971D7B">
        <w:rPr>
          <w:sz w:val="28"/>
          <w:szCs w:val="28"/>
          <w:lang w:val="en-GB"/>
        </w:rPr>
        <w:t xml:space="preserve">  </w:t>
      </w:r>
    </w:p>
    <w:p w:rsidR="00E92CA7" w:rsidRPr="00197758" w:rsidRDefault="008225B8" w:rsidP="00686189">
      <w:pPr>
        <w:numPr>
          <w:ilvl w:val="0"/>
          <w:numId w:val="7"/>
        </w:numPr>
        <w:tabs>
          <w:tab w:val="left" w:pos="1440"/>
        </w:tabs>
        <w:snapToGrid w:val="0"/>
        <w:spacing w:after="360" w:line="360" w:lineRule="auto"/>
        <w:ind w:left="0" w:firstLine="0"/>
        <w:jc w:val="both"/>
        <w:rPr>
          <w:sz w:val="28"/>
          <w:szCs w:val="28"/>
          <w:lang w:val="en-GB"/>
        </w:rPr>
      </w:pPr>
      <w:r w:rsidRPr="00197758">
        <w:rPr>
          <w:sz w:val="28"/>
          <w:szCs w:val="28"/>
          <w:lang w:val="en-GB"/>
        </w:rPr>
        <w:lastRenderedPageBreak/>
        <w:t xml:space="preserve">The underlying </w:t>
      </w:r>
      <w:r w:rsidR="00197758" w:rsidRPr="00197758">
        <w:rPr>
          <w:sz w:val="28"/>
          <w:szCs w:val="28"/>
          <w:lang w:val="en-GB"/>
        </w:rPr>
        <w:t>pre</w:t>
      </w:r>
      <w:r w:rsidRPr="00197758">
        <w:rPr>
          <w:sz w:val="28"/>
          <w:szCs w:val="28"/>
          <w:lang w:val="en-GB"/>
        </w:rPr>
        <w:t>mise of these coheren</w:t>
      </w:r>
      <w:r w:rsidR="00FA4144" w:rsidRPr="00197758">
        <w:rPr>
          <w:sz w:val="28"/>
          <w:szCs w:val="28"/>
          <w:lang w:val="en-GB"/>
        </w:rPr>
        <w:t>ce</w:t>
      </w:r>
      <w:r w:rsidRPr="00197758">
        <w:rPr>
          <w:sz w:val="28"/>
          <w:szCs w:val="28"/>
          <w:lang w:val="en-GB"/>
        </w:rPr>
        <w:t xml:space="preserve"> considerations is that the HOS policy </w:t>
      </w:r>
      <w:r w:rsidR="001A0C60">
        <w:rPr>
          <w:sz w:val="28"/>
          <w:szCs w:val="28"/>
          <w:lang w:val="en-GB"/>
        </w:rPr>
        <w:t xml:space="preserve">on purchase </w:t>
      </w:r>
      <w:r w:rsidRPr="00197758">
        <w:rPr>
          <w:sz w:val="28"/>
          <w:szCs w:val="28"/>
          <w:lang w:val="en-GB"/>
        </w:rPr>
        <w:t>can be justified</w:t>
      </w:r>
      <w:r w:rsidR="00F415A9" w:rsidRPr="00197758">
        <w:rPr>
          <w:sz w:val="28"/>
          <w:szCs w:val="28"/>
          <w:lang w:val="en-GB"/>
        </w:rPr>
        <w:t xml:space="preserve">.  </w:t>
      </w:r>
      <w:r w:rsidRPr="00197758">
        <w:rPr>
          <w:sz w:val="28"/>
          <w:szCs w:val="28"/>
          <w:lang w:val="en-GB"/>
        </w:rPr>
        <w:t>It is, of course, true that th</w:t>
      </w:r>
      <w:r w:rsidR="001A0C60">
        <w:rPr>
          <w:sz w:val="28"/>
          <w:szCs w:val="28"/>
          <w:lang w:val="en-GB"/>
        </w:rPr>
        <w:t>is</w:t>
      </w:r>
      <w:r w:rsidRPr="00197758">
        <w:rPr>
          <w:sz w:val="28"/>
          <w:szCs w:val="28"/>
          <w:lang w:val="en-GB"/>
        </w:rPr>
        <w:t xml:space="preserve"> </w:t>
      </w:r>
      <w:r w:rsidR="001A0C60">
        <w:rPr>
          <w:sz w:val="28"/>
          <w:szCs w:val="28"/>
          <w:lang w:val="en-GB"/>
        </w:rPr>
        <w:t>other</w:t>
      </w:r>
      <w:r w:rsidRPr="00197758">
        <w:rPr>
          <w:sz w:val="28"/>
          <w:szCs w:val="28"/>
          <w:lang w:val="en-GB"/>
        </w:rPr>
        <w:t xml:space="preserve"> policy </w:t>
      </w:r>
      <w:proofErr w:type="gramStart"/>
      <w:r w:rsidRPr="00197758">
        <w:rPr>
          <w:sz w:val="28"/>
          <w:szCs w:val="28"/>
          <w:lang w:val="en-GB"/>
        </w:rPr>
        <w:t>is not challenged</w:t>
      </w:r>
      <w:proofErr w:type="gramEnd"/>
      <w:r w:rsidRPr="00197758">
        <w:rPr>
          <w:sz w:val="28"/>
          <w:szCs w:val="28"/>
          <w:lang w:val="en-GB"/>
        </w:rPr>
        <w:t xml:space="preserve"> in the HOS proceedings</w:t>
      </w:r>
      <w:r w:rsidR="00F415A9" w:rsidRPr="00197758">
        <w:rPr>
          <w:sz w:val="28"/>
          <w:szCs w:val="28"/>
          <w:lang w:val="en-GB"/>
        </w:rPr>
        <w:t>.</w:t>
      </w:r>
      <w:r w:rsidR="00307E17">
        <w:rPr>
          <w:rStyle w:val="FootnoteReference"/>
          <w:sz w:val="28"/>
          <w:szCs w:val="28"/>
          <w:lang w:val="en-GB"/>
        </w:rPr>
        <w:footnoteReference w:id="176"/>
      </w:r>
      <w:r w:rsidR="00F415A9" w:rsidRPr="00197758">
        <w:rPr>
          <w:sz w:val="28"/>
          <w:szCs w:val="28"/>
          <w:lang w:val="en-GB"/>
        </w:rPr>
        <w:t xml:space="preserve">  However,</w:t>
      </w:r>
      <w:r w:rsidRPr="00197758">
        <w:rPr>
          <w:sz w:val="28"/>
          <w:szCs w:val="28"/>
          <w:lang w:val="en-GB"/>
        </w:rPr>
        <w:t xml:space="preserve"> one </w:t>
      </w:r>
      <w:r w:rsidR="00FA4144" w:rsidRPr="00197758">
        <w:rPr>
          <w:sz w:val="28"/>
          <w:szCs w:val="28"/>
          <w:lang w:val="en-GB"/>
        </w:rPr>
        <w:t>should not</w:t>
      </w:r>
      <w:r w:rsidRPr="00197758">
        <w:rPr>
          <w:sz w:val="28"/>
          <w:szCs w:val="28"/>
          <w:lang w:val="en-GB"/>
        </w:rPr>
        <w:t xml:space="preserve"> assume that if challenged, it </w:t>
      </w:r>
      <w:r w:rsidR="004D7119" w:rsidRPr="00197758">
        <w:rPr>
          <w:sz w:val="28"/>
          <w:szCs w:val="28"/>
          <w:lang w:val="en-GB"/>
        </w:rPr>
        <w:t>w</w:t>
      </w:r>
      <w:r w:rsidR="00FA4144" w:rsidRPr="00197758">
        <w:rPr>
          <w:sz w:val="28"/>
          <w:szCs w:val="28"/>
          <w:lang w:val="en-GB"/>
        </w:rPr>
        <w:t>ould</w:t>
      </w:r>
      <w:r w:rsidRPr="00197758">
        <w:rPr>
          <w:sz w:val="28"/>
          <w:szCs w:val="28"/>
          <w:lang w:val="en-GB"/>
        </w:rPr>
        <w:t xml:space="preserve"> </w:t>
      </w:r>
      <w:r w:rsidR="004D7119" w:rsidRPr="00197758">
        <w:rPr>
          <w:sz w:val="28"/>
          <w:szCs w:val="28"/>
          <w:lang w:val="en-GB"/>
        </w:rPr>
        <w:t xml:space="preserve">necessarily </w:t>
      </w:r>
      <w:r w:rsidR="00FA4144" w:rsidRPr="00197758">
        <w:rPr>
          <w:sz w:val="28"/>
          <w:szCs w:val="28"/>
          <w:lang w:val="en-GB"/>
        </w:rPr>
        <w:t>withstand</w:t>
      </w:r>
      <w:r w:rsidRPr="00197758">
        <w:rPr>
          <w:sz w:val="28"/>
          <w:szCs w:val="28"/>
          <w:lang w:val="en-GB"/>
        </w:rPr>
        <w:t xml:space="preserve"> scrutiny.</w:t>
      </w:r>
      <w:r w:rsidR="004D7119">
        <w:rPr>
          <w:rStyle w:val="FootnoteReference"/>
          <w:sz w:val="28"/>
          <w:szCs w:val="28"/>
          <w:lang w:val="en-GB"/>
        </w:rPr>
        <w:footnoteReference w:id="177"/>
      </w:r>
      <w:r w:rsidRPr="00197758">
        <w:rPr>
          <w:sz w:val="28"/>
          <w:szCs w:val="28"/>
          <w:lang w:val="en-GB"/>
        </w:rPr>
        <w:t xml:space="preserve"> </w:t>
      </w:r>
    </w:p>
    <w:p w:rsidR="008225B8" w:rsidRDefault="00AD2EA6" w:rsidP="00E40971">
      <w:pPr>
        <w:numPr>
          <w:ilvl w:val="0"/>
          <w:numId w:val="7"/>
        </w:numPr>
        <w:snapToGrid w:val="0"/>
        <w:spacing w:after="360" w:line="360" w:lineRule="auto"/>
        <w:ind w:left="0" w:firstLine="0"/>
        <w:jc w:val="both"/>
        <w:rPr>
          <w:sz w:val="28"/>
          <w:szCs w:val="28"/>
          <w:lang w:val="en-GB"/>
        </w:rPr>
      </w:pPr>
      <w:r>
        <w:rPr>
          <w:sz w:val="28"/>
          <w:szCs w:val="28"/>
          <w:lang w:val="en-GB"/>
        </w:rPr>
        <w:tab/>
      </w:r>
      <w:r w:rsidR="008225B8" w:rsidRPr="004648FA">
        <w:rPr>
          <w:sz w:val="28"/>
          <w:szCs w:val="28"/>
          <w:lang w:val="en-GB"/>
        </w:rPr>
        <w:t xml:space="preserve">In </w:t>
      </w:r>
      <w:r w:rsidR="00FA4144">
        <w:rPr>
          <w:sz w:val="28"/>
          <w:szCs w:val="28"/>
          <w:lang w:val="en-GB"/>
        </w:rPr>
        <w:t>any event</w:t>
      </w:r>
      <w:r w:rsidR="008225B8" w:rsidRPr="004648FA">
        <w:rPr>
          <w:sz w:val="28"/>
          <w:szCs w:val="28"/>
          <w:lang w:val="en-GB"/>
        </w:rPr>
        <w:t xml:space="preserve">, if this </w:t>
      </w:r>
      <w:r w:rsidR="00C23F1D" w:rsidRPr="004648FA">
        <w:rPr>
          <w:sz w:val="28"/>
          <w:szCs w:val="28"/>
          <w:lang w:val="en-GB"/>
        </w:rPr>
        <w:t xml:space="preserve">coherence </w:t>
      </w:r>
      <w:r w:rsidR="008225B8" w:rsidRPr="004648FA">
        <w:rPr>
          <w:sz w:val="28"/>
          <w:szCs w:val="28"/>
          <w:lang w:val="en-GB"/>
        </w:rPr>
        <w:t xml:space="preserve">argument is taken to its logical conclusion, then unless and until an applicant has the standing and practical reason to challenge </w:t>
      </w:r>
      <w:proofErr w:type="gramStart"/>
      <w:r w:rsidR="004C57FC">
        <w:rPr>
          <w:sz w:val="28"/>
          <w:szCs w:val="28"/>
          <w:lang w:val="en-GB"/>
        </w:rPr>
        <w:t>each and every</w:t>
      </w:r>
      <w:proofErr w:type="gramEnd"/>
      <w:r w:rsidR="004C57FC">
        <w:rPr>
          <w:sz w:val="28"/>
          <w:szCs w:val="28"/>
          <w:lang w:val="en-GB"/>
        </w:rPr>
        <w:t xml:space="preserve"> discriminatory component of a</w:t>
      </w:r>
      <w:r w:rsidR="008225B8" w:rsidRPr="004648FA">
        <w:rPr>
          <w:sz w:val="28"/>
          <w:szCs w:val="28"/>
          <w:lang w:val="en-GB"/>
        </w:rPr>
        <w:t xml:space="preserve"> policy</w:t>
      </w:r>
      <w:r w:rsidR="002B57C7">
        <w:rPr>
          <w:sz w:val="28"/>
          <w:szCs w:val="28"/>
          <w:lang w:val="en-GB"/>
        </w:rPr>
        <w:t xml:space="preserve"> framework, n</w:t>
      </w:r>
      <w:r w:rsidR="008225B8" w:rsidRPr="004648FA">
        <w:rPr>
          <w:sz w:val="28"/>
          <w:szCs w:val="28"/>
          <w:lang w:val="en-GB"/>
        </w:rPr>
        <w:t xml:space="preserve">o </w:t>
      </w:r>
      <w:r w:rsidR="0048730A">
        <w:rPr>
          <w:sz w:val="28"/>
          <w:szCs w:val="28"/>
          <w:lang w:val="en-GB"/>
        </w:rPr>
        <w:t>individual component</w:t>
      </w:r>
      <w:r w:rsidR="008225B8" w:rsidRPr="004648FA">
        <w:rPr>
          <w:sz w:val="28"/>
          <w:szCs w:val="28"/>
          <w:lang w:val="en-GB"/>
        </w:rPr>
        <w:t xml:space="preserve"> can be separately challenged, no matter how </w:t>
      </w:r>
      <w:r w:rsidR="004C57FC">
        <w:rPr>
          <w:sz w:val="28"/>
          <w:szCs w:val="28"/>
          <w:lang w:val="en-GB"/>
        </w:rPr>
        <w:t>serious</w:t>
      </w:r>
      <w:r w:rsidR="00AD2801">
        <w:rPr>
          <w:sz w:val="28"/>
          <w:szCs w:val="28"/>
          <w:lang w:val="en-GB"/>
        </w:rPr>
        <w:t>ly</w:t>
      </w:r>
      <w:r w:rsidR="004C57FC">
        <w:rPr>
          <w:sz w:val="28"/>
          <w:szCs w:val="28"/>
          <w:lang w:val="en-GB"/>
        </w:rPr>
        <w:t xml:space="preserve"> the applican</w:t>
      </w:r>
      <w:bookmarkStart w:id="1" w:name="_GoBack"/>
      <w:bookmarkEnd w:id="1"/>
      <w:r w:rsidR="004C57FC">
        <w:rPr>
          <w:sz w:val="28"/>
          <w:szCs w:val="28"/>
          <w:lang w:val="en-GB"/>
        </w:rPr>
        <w:t xml:space="preserve">t may </w:t>
      </w:r>
      <w:r w:rsidR="00E12B3E">
        <w:rPr>
          <w:sz w:val="28"/>
          <w:szCs w:val="28"/>
          <w:lang w:val="en-GB"/>
        </w:rPr>
        <w:t xml:space="preserve">actually </w:t>
      </w:r>
      <w:r w:rsidR="004C57FC">
        <w:rPr>
          <w:sz w:val="28"/>
          <w:szCs w:val="28"/>
          <w:lang w:val="en-GB"/>
        </w:rPr>
        <w:t>be affected by it</w:t>
      </w:r>
      <w:r w:rsidR="00F415A9" w:rsidRPr="004648FA">
        <w:rPr>
          <w:sz w:val="28"/>
          <w:szCs w:val="28"/>
          <w:lang w:val="en-GB"/>
        </w:rPr>
        <w:t xml:space="preserve">.  </w:t>
      </w:r>
      <w:r w:rsidR="008225B8" w:rsidRPr="004648FA">
        <w:rPr>
          <w:sz w:val="28"/>
          <w:szCs w:val="28"/>
          <w:lang w:val="en-GB"/>
        </w:rPr>
        <w:t>That cannot be right</w:t>
      </w:r>
      <w:r w:rsidR="00F415A9" w:rsidRPr="004648FA">
        <w:rPr>
          <w:sz w:val="28"/>
          <w:szCs w:val="28"/>
          <w:lang w:val="en-GB"/>
        </w:rPr>
        <w:t xml:space="preserve">.  </w:t>
      </w:r>
      <w:r w:rsidR="008225B8" w:rsidRPr="004648FA">
        <w:rPr>
          <w:sz w:val="28"/>
          <w:szCs w:val="28"/>
          <w:lang w:val="en-GB"/>
        </w:rPr>
        <w:t xml:space="preserve">On the facts of the present case, this administrative </w:t>
      </w:r>
      <w:r w:rsidR="00C23F1D" w:rsidRPr="004648FA">
        <w:rPr>
          <w:sz w:val="28"/>
          <w:szCs w:val="28"/>
          <w:lang w:val="en-GB"/>
        </w:rPr>
        <w:t xml:space="preserve">coherence </w:t>
      </w:r>
      <w:r w:rsidR="008225B8" w:rsidRPr="004648FA">
        <w:rPr>
          <w:sz w:val="28"/>
          <w:szCs w:val="28"/>
          <w:lang w:val="en-GB"/>
        </w:rPr>
        <w:t>argument carries little weight in the third and fourth stages of the proportionality analysis.</w:t>
      </w:r>
      <w:r w:rsidR="004C57FC">
        <w:rPr>
          <w:sz w:val="28"/>
          <w:szCs w:val="28"/>
          <w:lang w:val="en-GB"/>
        </w:rPr>
        <w:t xml:space="preserve">  A change to the challenged policies would merely leave an unchallenged policy on purchase in place.  Indeed, without wishing to express any definite view on the matter, that policy </w:t>
      </w:r>
      <w:proofErr w:type="gramStart"/>
      <w:r w:rsidR="004C57FC">
        <w:rPr>
          <w:sz w:val="28"/>
          <w:szCs w:val="28"/>
          <w:lang w:val="en-GB"/>
        </w:rPr>
        <w:t>would obviously be treated</w:t>
      </w:r>
      <w:proofErr w:type="gramEnd"/>
      <w:r w:rsidR="004C57FC">
        <w:rPr>
          <w:sz w:val="28"/>
          <w:szCs w:val="28"/>
          <w:lang w:val="en-GB"/>
        </w:rPr>
        <w:t xml:space="preserve"> as vulnerable and of doubtful validity given the outcome of the HOS appeal.  This simply shows </w:t>
      </w:r>
      <w:r w:rsidR="00FB1FEE">
        <w:rPr>
          <w:sz w:val="28"/>
          <w:szCs w:val="28"/>
          <w:lang w:val="en-GB"/>
        </w:rPr>
        <w:t xml:space="preserve">the </w:t>
      </w:r>
      <w:r w:rsidR="004C57FC">
        <w:rPr>
          <w:sz w:val="28"/>
          <w:szCs w:val="28"/>
          <w:lang w:val="en-GB"/>
        </w:rPr>
        <w:t>superficial</w:t>
      </w:r>
      <w:r w:rsidR="00FB1FEE">
        <w:rPr>
          <w:sz w:val="28"/>
          <w:szCs w:val="28"/>
          <w:lang w:val="en-GB"/>
        </w:rPr>
        <w:t xml:space="preserve">ity of </w:t>
      </w:r>
      <w:r w:rsidR="004C57FC">
        <w:rPr>
          <w:sz w:val="28"/>
          <w:szCs w:val="28"/>
          <w:lang w:val="en-GB"/>
        </w:rPr>
        <w:t xml:space="preserve">the </w:t>
      </w:r>
      <w:r w:rsidR="00610742">
        <w:rPr>
          <w:sz w:val="28"/>
          <w:szCs w:val="28"/>
          <w:lang w:val="en-GB"/>
        </w:rPr>
        <w:t>alleged</w:t>
      </w:r>
      <w:r w:rsidR="004C57FC">
        <w:rPr>
          <w:sz w:val="28"/>
          <w:szCs w:val="28"/>
          <w:lang w:val="en-GB"/>
        </w:rPr>
        <w:t xml:space="preserve"> “incoherence”.  </w:t>
      </w:r>
      <w:r w:rsidR="008225B8" w:rsidRPr="004648FA">
        <w:rPr>
          <w:sz w:val="28"/>
          <w:szCs w:val="28"/>
          <w:lang w:val="en-GB"/>
        </w:rPr>
        <w:t xml:space="preserve"> </w:t>
      </w:r>
    </w:p>
    <w:p w:rsidR="00EC76CC" w:rsidRPr="00EC76CC" w:rsidRDefault="00AD2EA6" w:rsidP="00E40971">
      <w:pPr>
        <w:keepLines/>
        <w:numPr>
          <w:ilvl w:val="0"/>
          <w:numId w:val="7"/>
        </w:numPr>
        <w:snapToGrid w:val="0"/>
        <w:spacing w:after="360" w:line="360" w:lineRule="auto"/>
        <w:ind w:left="0" w:firstLine="0"/>
        <w:jc w:val="both"/>
        <w:rPr>
          <w:b/>
          <w:i/>
          <w:sz w:val="28"/>
          <w:szCs w:val="28"/>
          <w:lang w:val="en-GB"/>
        </w:rPr>
      </w:pPr>
      <w:r w:rsidRPr="00EC76CC">
        <w:rPr>
          <w:sz w:val="28"/>
          <w:szCs w:val="28"/>
          <w:lang w:val="en-GB"/>
        </w:rPr>
        <w:lastRenderedPageBreak/>
        <w:tab/>
      </w:r>
      <w:r w:rsidR="008225B8" w:rsidRPr="00EC76CC">
        <w:rPr>
          <w:sz w:val="28"/>
          <w:szCs w:val="28"/>
          <w:lang w:val="en-GB"/>
        </w:rPr>
        <w:t xml:space="preserve">On the evidence before the </w:t>
      </w:r>
      <w:r w:rsidR="00E85A5B">
        <w:rPr>
          <w:sz w:val="28"/>
          <w:szCs w:val="28"/>
          <w:lang w:val="en-GB"/>
        </w:rPr>
        <w:t>c</w:t>
      </w:r>
      <w:r w:rsidR="008225B8" w:rsidRPr="00EC76CC">
        <w:rPr>
          <w:sz w:val="28"/>
          <w:szCs w:val="28"/>
          <w:lang w:val="en-GB"/>
        </w:rPr>
        <w:t>ourt, the HA clearly fails in Stages 3 and 4 of the proportionality analysis</w:t>
      </w:r>
      <w:r w:rsidR="00F415A9" w:rsidRPr="00EC76CC">
        <w:rPr>
          <w:sz w:val="28"/>
          <w:szCs w:val="28"/>
          <w:lang w:val="en-GB"/>
        </w:rPr>
        <w:t xml:space="preserve">.  </w:t>
      </w:r>
      <w:r w:rsidR="008225B8" w:rsidRPr="00EC76CC">
        <w:rPr>
          <w:sz w:val="28"/>
          <w:szCs w:val="28"/>
          <w:lang w:val="en-GB"/>
        </w:rPr>
        <w:t>In other words, the challenged policies cannot be justified</w:t>
      </w:r>
      <w:r w:rsidR="00AF2A30" w:rsidRPr="00EC76CC">
        <w:rPr>
          <w:sz w:val="28"/>
          <w:szCs w:val="28"/>
          <w:lang w:val="en-GB"/>
        </w:rPr>
        <w:t>.  There being no suggesti</w:t>
      </w:r>
      <w:r w:rsidR="0021114B" w:rsidRPr="00EC76CC">
        <w:rPr>
          <w:sz w:val="28"/>
          <w:szCs w:val="28"/>
          <w:lang w:val="en-GB"/>
        </w:rPr>
        <w:t xml:space="preserve">on </w:t>
      </w:r>
      <w:r w:rsidR="00FA4144" w:rsidRPr="00EC76CC">
        <w:rPr>
          <w:sz w:val="28"/>
          <w:szCs w:val="28"/>
          <w:lang w:val="en-GB"/>
        </w:rPr>
        <w:t>of any remedial orders to preserve them</w:t>
      </w:r>
      <w:r w:rsidR="0021114B" w:rsidRPr="00EC76CC">
        <w:rPr>
          <w:sz w:val="28"/>
          <w:szCs w:val="28"/>
          <w:lang w:val="en-GB"/>
        </w:rPr>
        <w:t>, the policies</w:t>
      </w:r>
      <w:r w:rsidR="00307E17" w:rsidRPr="00EC76CC">
        <w:rPr>
          <w:sz w:val="28"/>
          <w:szCs w:val="28"/>
          <w:lang w:val="en-GB"/>
        </w:rPr>
        <w:t xml:space="preserve"> </w:t>
      </w:r>
      <w:proofErr w:type="gramStart"/>
      <w:r w:rsidR="00307E17" w:rsidRPr="00EC76CC">
        <w:rPr>
          <w:sz w:val="28"/>
          <w:szCs w:val="28"/>
          <w:lang w:val="en-GB"/>
        </w:rPr>
        <w:t>have been correctly struck down</w:t>
      </w:r>
      <w:proofErr w:type="gramEnd"/>
      <w:r w:rsidR="00307E17" w:rsidRPr="00EC76CC">
        <w:rPr>
          <w:sz w:val="28"/>
          <w:szCs w:val="28"/>
          <w:lang w:val="en-GB"/>
        </w:rPr>
        <w:t xml:space="preserve"> by the </w:t>
      </w:r>
      <w:r w:rsidR="001248AC" w:rsidRPr="00EC76CC">
        <w:rPr>
          <w:sz w:val="28"/>
          <w:szCs w:val="28"/>
          <w:lang w:val="en-GB"/>
        </w:rPr>
        <w:t>c</w:t>
      </w:r>
      <w:r w:rsidR="00307E17" w:rsidRPr="00EC76CC">
        <w:rPr>
          <w:sz w:val="28"/>
          <w:szCs w:val="28"/>
          <w:lang w:val="en-GB"/>
        </w:rPr>
        <w:t>ourts below</w:t>
      </w:r>
      <w:r w:rsidR="008225B8" w:rsidRPr="00EC76CC">
        <w:rPr>
          <w:sz w:val="28"/>
          <w:szCs w:val="28"/>
          <w:lang w:val="en-GB"/>
        </w:rPr>
        <w:t>.</w:t>
      </w:r>
    </w:p>
    <w:p w:rsidR="003973DA" w:rsidRPr="00EC76CC" w:rsidRDefault="00F11A21" w:rsidP="00686189">
      <w:pPr>
        <w:snapToGrid w:val="0"/>
        <w:spacing w:after="360" w:line="360" w:lineRule="auto"/>
        <w:jc w:val="both"/>
        <w:rPr>
          <w:b/>
          <w:i/>
          <w:sz w:val="28"/>
          <w:szCs w:val="28"/>
          <w:lang w:val="en-GB"/>
        </w:rPr>
      </w:pPr>
      <w:r w:rsidRPr="00EC76CC">
        <w:rPr>
          <w:b/>
          <w:i/>
          <w:sz w:val="28"/>
          <w:szCs w:val="28"/>
          <w:lang w:val="en-GB"/>
        </w:rPr>
        <w:t>Disposition</w:t>
      </w:r>
    </w:p>
    <w:p w:rsidR="003973DA" w:rsidRPr="007717EA" w:rsidRDefault="00AD2EA6" w:rsidP="00E40971">
      <w:pPr>
        <w:keepNext/>
        <w:numPr>
          <w:ilvl w:val="0"/>
          <w:numId w:val="7"/>
        </w:numPr>
        <w:snapToGrid w:val="0"/>
        <w:spacing w:after="360" w:line="360" w:lineRule="auto"/>
        <w:ind w:left="0" w:firstLine="0"/>
        <w:jc w:val="both"/>
        <w:rPr>
          <w:sz w:val="28"/>
          <w:szCs w:val="28"/>
          <w:lang w:val="en-GB"/>
        </w:rPr>
      </w:pPr>
      <w:r>
        <w:rPr>
          <w:sz w:val="28"/>
          <w:szCs w:val="28"/>
          <w:lang w:val="en-GB"/>
        </w:rPr>
        <w:tab/>
      </w:r>
      <w:r w:rsidR="003973DA" w:rsidRPr="007717EA">
        <w:rPr>
          <w:sz w:val="28"/>
          <w:szCs w:val="28"/>
          <w:lang w:val="en-GB"/>
        </w:rPr>
        <w:t xml:space="preserve">For these reasons, </w:t>
      </w:r>
      <w:r w:rsidR="002B57C7" w:rsidRPr="007717EA">
        <w:rPr>
          <w:sz w:val="28"/>
          <w:szCs w:val="28"/>
          <w:lang w:val="en-GB"/>
        </w:rPr>
        <w:t xml:space="preserve">I would dismiss </w:t>
      </w:r>
      <w:r w:rsidR="003973DA" w:rsidRPr="007717EA">
        <w:rPr>
          <w:sz w:val="28"/>
          <w:szCs w:val="28"/>
          <w:lang w:val="en-GB"/>
        </w:rPr>
        <w:t>the two appeals</w:t>
      </w:r>
      <w:r w:rsidR="00F415A9" w:rsidRPr="007717EA">
        <w:rPr>
          <w:sz w:val="28"/>
          <w:szCs w:val="28"/>
          <w:lang w:val="en-GB"/>
        </w:rPr>
        <w:t xml:space="preserve">.  </w:t>
      </w:r>
      <w:r w:rsidR="006003FC" w:rsidRPr="007717EA">
        <w:rPr>
          <w:sz w:val="28"/>
          <w:szCs w:val="28"/>
          <w:lang w:val="en-GB"/>
        </w:rPr>
        <w:t xml:space="preserve">I would </w:t>
      </w:r>
      <w:r w:rsidR="003973DA" w:rsidRPr="007717EA">
        <w:rPr>
          <w:sz w:val="28"/>
          <w:szCs w:val="28"/>
          <w:lang w:val="en-GB"/>
        </w:rPr>
        <w:t>make an order</w:t>
      </w:r>
      <w:r w:rsidR="003973DA" w:rsidRPr="007717EA">
        <w:rPr>
          <w:i/>
          <w:sz w:val="28"/>
          <w:szCs w:val="28"/>
          <w:lang w:val="en-GB"/>
        </w:rPr>
        <w:t xml:space="preserve"> nisi</w:t>
      </w:r>
      <w:r w:rsidR="003973DA" w:rsidRPr="007717EA">
        <w:rPr>
          <w:sz w:val="28"/>
          <w:szCs w:val="28"/>
          <w:lang w:val="en-GB"/>
        </w:rPr>
        <w:t xml:space="preserve"> that the HA pay </w:t>
      </w:r>
      <w:r w:rsidR="00D10336" w:rsidRPr="007717EA">
        <w:rPr>
          <w:sz w:val="28"/>
          <w:szCs w:val="28"/>
          <w:lang w:val="en-GB"/>
        </w:rPr>
        <w:t xml:space="preserve">Mr </w:t>
      </w:r>
      <w:proofErr w:type="spellStart"/>
      <w:r w:rsidR="00D10336" w:rsidRPr="007717EA">
        <w:rPr>
          <w:sz w:val="28"/>
          <w:szCs w:val="28"/>
          <w:lang w:val="en-GB"/>
        </w:rPr>
        <w:t>Infinger</w:t>
      </w:r>
      <w:proofErr w:type="spellEnd"/>
      <w:r w:rsidR="00D10336" w:rsidRPr="007717EA">
        <w:rPr>
          <w:sz w:val="28"/>
          <w:szCs w:val="28"/>
          <w:lang w:val="en-GB"/>
        </w:rPr>
        <w:t xml:space="preserve"> and Mr Li their</w:t>
      </w:r>
      <w:r w:rsidR="003973DA" w:rsidRPr="007717EA">
        <w:rPr>
          <w:sz w:val="28"/>
          <w:szCs w:val="28"/>
          <w:lang w:val="en-GB"/>
        </w:rPr>
        <w:t xml:space="preserve"> respective costs</w:t>
      </w:r>
      <w:r w:rsidR="00006400" w:rsidRPr="007717EA">
        <w:rPr>
          <w:sz w:val="28"/>
          <w:szCs w:val="28"/>
          <w:lang w:val="en-GB"/>
        </w:rPr>
        <w:t xml:space="preserve"> of</w:t>
      </w:r>
      <w:r w:rsidR="00D10336" w:rsidRPr="007717EA">
        <w:rPr>
          <w:sz w:val="28"/>
          <w:szCs w:val="28"/>
          <w:lang w:val="en-GB"/>
        </w:rPr>
        <w:t xml:space="preserve"> these appeals</w:t>
      </w:r>
      <w:r w:rsidR="003973DA" w:rsidRPr="007717EA">
        <w:rPr>
          <w:sz w:val="28"/>
          <w:szCs w:val="28"/>
          <w:lang w:val="en-GB"/>
        </w:rPr>
        <w:t xml:space="preserve">, with </w:t>
      </w:r>
      <w:r w:rsidR="00331297" w:rsidRPr="007717EA">
        <w:rPr>
          <w:sz w:val="28"/>
          <w:szCs w:val="28"/>
          <w:lang w:val="en-GB"/>
        </w:rPr>
        <w:t xml:space="preserve">a </w:t>
      </w:r>
      <w:r w:rsidR="003973DA" w:rsidRPr="007717EA">
        <w:rPr>
          <w:sz w:val="28"/>
          <w:szCs w:val="28"/>
          <w:lang w:val="en-GB"/>
        </w:rPr>
        <w:t>certificate for three counsel</w:t>
      </w:r>
      <w:r w:rsidR="00F415A9" w:rsidRPr="007717EA">
        <w:rPr>
          <w:sz w:val="28"/>
          <w:szCs w:val="28"/>
          <w:lang w:val="en-GB"/>
        </w:rPr>
        <w:t xml:space="preserve">.  </w:t>
      </w:r>
      <w:r w:rsidR="000E0AED" w:rsidRPr="007717EA">
        <w:rPr>
          <w:sz w:val="28"/>
          <w:szCs w:val="28"/>
          <w:lang w:val="en-GB"/>
        </w:rPr>
        <w:t>I would also direct that a</w:t>
      </w:r>
      <w:r w:rsidR="003973DA" w:rsidRPr="007717EA">
        <w:rPr>
          <w:sz w:val="28"/>
          <w:szCs w:val="28"/>
          <w:lang w:val="en-GB"/>
        </w:rPr>
        <w:t xml:space="preserve">ny application to vary the costs order </w:t>
      </w:r>
      <w:r w:rsidR="000E0AED" w:rsidRPr="007717EA">
        <w:rPr>
          <w:i/>
          <w:sz w:val="28"/>
          <w:szCs w:val="28"/>
          <w:lang w:val="en-GB"/>
        </w:rPr>
        <w:t>nisi</w:t>
      </w:r>
      <w:r w:rsidR="000E0AED" w:rsidRPr="007717EA">
        <w:rPr>
          <w:sz w:val="28"/>
          <w:szCs w:val="28"/>
          <w:lang w:val="en-GB"/>
        </w:rPr>
        <w:t xml:space="preserve"> </w:t>
      </w:r>
      <w:r w:rsidR="003973DA" w:rsidRPr="007717EA">
        <w:rPr>
          <w:sz w:val="28"/>
          <w:szCs w:val="28"/>
          <w:lang w:val="en-GB"/>
        </w:rPr>
        <w:t xml:space="preserve">under each appeal </w:t>
      </w:r>
      <w:proofErr w:type="gramStart"/>
      <w:r w:rsidR="003973DA" w:rsidRPr="007717EA">
        <w:rPr>
          <w:sz w:val="28"/>
          <w:szCs w:val="28"/>
          <w:lang w:val="en-GB"/>
        </w:rPr>
        <w:t>be made within 14 days of the handi</w:t>
      </w:r>
      <w:r w:rsidR="000E0AED" w:rsidRPr="007717EA">
        <w:rPr>
          <w:sz w:val="28"/>
          <w:szCs w:val="28"/>
          <w:lang w:val="en-GB"/>
        </w:rPr>
        <w:t>ng down of this judgment,</w:t>
      </w:r>
      <w:r w:rsidR="003973DA" w:rsidRPr="007717EA">
        <w:rPr>
          <w:sz w:val="28"/>
          <w:szCs w:val="28"/>
          <w:lang w:val="en-GB"/>
        </w:rPr>
        <w:t xml:space="preserve"> and dealt with on paper</w:t>
      </w:r>
      <w:proofErr w:type="gramEnd"/>
      <w:r w:rsidR="003973DA" w:rsidRPr="007717EA">
        <w:rPr>
          <w:sz w:val="28"/>
          <w:szCs w:val="28"/>
          <w:lang w:val="en-GB"/>
        </w:rPr>
        <w:t>.</w:t>
      </w:r>
    </w:p>
    <w:p w:rsidR="00DF70BF" w:rsidRPr="00EE5D9E" w:rsidRDefault="00DF70BF" w:rsidP="00B4531E">
      <w:pPr>
        <w:keepNext/>
        <w:snapToGrid w:val="0"/>
        <w:spacing w:after="360" w:line="360" w:lineRule="auto"/>
        <w:jc w:val="both"/>
        <w:rPr>
          <w:b/>
          <w:sz w:val="28"/>
          <w:szCs w:val="28"/>
          <w:lang w:val="en-GB"/>
        </w:rPr>
      </w:pPr>
      <w:r w:rsidRPr="00EE5D9E">
        <w:rPr>
          <w:b/>
          <w:sz w:val="28"/>
          <w:szCs w:val="28"/>
          <w:lang w:val="en-GB"/>
        </w:rPr>
        <w:t>Mr Justice Ribeiro PJ:</w:t>
      </w:r>
    </w:p>
    <w:p w:rsidR="00DF70BF" w:rsidRDefault="007717EA" w:rsidP="00E40971">
      <w:pPr>
        <w:keepNext/>
        <w:numPr>
          <w:ilvl w:val="0"/>
          <w:numId w:val="7"/>
        </w:numPr>
        <w:tabs>
          <w:tab w:val="left" w:pos="1440"/>
        </w:tabs>
        <w:snapToGrid w:val="0"/>
        <w:spacing w:after="360" w:line="360" w:lineRule="auto"/>
        <w:ind w:left="0" w:firstLine="0"/>
        <w:jc w:val="both"/>
        <w:rPr>
          <w:sz w:val="28"/>
          <w:szCs w:val="28"/>
          <w:lang w:val="en-GB"/>
        </w:rPr>
      </w:pPr>
      <w:r>
        <w:rPr>
          <w:sz w:val="28"/>
          <w:szCs w:val="28"/>
          <w:lang w:val="en-GB"/>
        </w:rPr>
        <w:t>I agree with the judgment of the Chief Justice.</w:t>
      </w:r>
    </w:p>
    <w:p w:rsidR="00DF70BF" w:rsidRPr="00EE5D9E" w:rsidRDefault="00DF70BF" w:rsidP="0053491D">
      <w:pPr>
        <w:keepNext/>
        <w:snapToGrid w:val="0"/>
        <w:spacing w:after="360" w:line="360" w:lineRule="auto"/>
        <w:jc w:val="both"/>
        <w:rPr>
          <w:b/>
          <w:sz w:val="28"/>
          <w:szCs w:val="28"/>
          <w:lang w:val="en-GB"/>
        </w:rPr>
      </w:pPr>
      <w:r w:rsidRPr="00EE5D9E">
        <w:rPr>
          <w:b/>
          <w:sz w:val="28"/>
          <w:szCs w:val="28"/>
          <w:lang w:val="en-GB"/>
        </w:rPr>
        <w:t xml:space="preserve">Mr Justice </w:t>
      </w:r>
      <w:proofErr w:type="spellStart"/>
      <w:r w:rsidRPr="00EE5D9E">
        <w:rPr>
          <w:b/>
          <w:sz w:val="28"/>
          <w:szCs w:val="28"/>
          <w:lang w:val="en-GB"/>
        </w:rPr>
        <w:t>Fok</w:t>
      </w:r>
      <w:proofErr w:type="spellEnd"/>
      <w:r w:rsidRPr="00EE5D9E">
        <w:rPr>
          <w:b/>
          <w:sz w:val="28"/>
          <w:szCs w:val="28"/>
          <w:lang w:val="en-GB"/>
        </w:rPr>
        <w:t xml:space="preserve"> PJ:</w:t>
      </w:r>
    </w:p>
    <w:p w:rsidR="00DF70BF" w:rsidRDefault="007717EA" w:rsidP="00E40971">
      <w:pPr>
        <w:keepNext/>
        <w:numPr>
          <w:ilvl w:val="0"/>
          <w:numId w:val="7"/>
        </w:numPr>
        <w:tabs>
          <w:tab w:val="left" w:pos="1440"/>
        </w:tabs>
        <w:snapToGrid w:val="0"/>
        <w:spacing w:after="360" w:line="360" w:lineRule="auto"/>
        <w:ind w:left="0" w:firstLine="0"/>
        <w:jc w:val="both"/>
        <w:rPr>
          <w:sz w:val="28"/>
          <w:szCs w:val="28"/>
          <w:lang w:val="en-GB"/>
        </w:rPr>
      </w:pPr>
      <w:r>
        <w:rPr>
          <w:sz w:val="28"/>
          <w:szCs w:val="28"/>
          <w:lang w:val="en-GB"/>
        </w:rPr>
        <w:t xml:space="preserve">I agree with the judgment of </w:t>
      </w:r>
      <w:r w:rsidR="00FB1FEE">
        <w:rPr>
          <w:sz w:val="28"/>
          <w:szCs w:val="28"/>
          <w:lang w:val="en-GB"/>
        </w:rPr>
        <w:t xml:space="preserve">the </w:t>
      </w:r>
      <w:r>
        <w:rPr>
          <w:sz w:val="28"/>
          <w:szCs w:val="28"/>
          <w:lang w:val="en-GB"/>
        </w:rPr>
        <w:t>Chief Justice.</w:t>
      </w:r>
    </w:p>
    <w:p w:rsidR="00DF70BF" w:rsidRPr="00EE5D9E" w:rsidRDefault="00DF70BF" w:rsidP="00E40971">
      <w:pPr>
        <w:keepNext/>
        <w:snapToGrid w:val="0"/>
        <w:spacing w:after="360" w:line="360" w:lineRule="auto"/>
        <w:jc w:val="both"/>
        <w:rPr>
          <w:b/>
          <w:sz w:val="28"/>
          <w:szCs w:val="28"/>
          <w:lang w:val="en-GB"/>
        </w:rPr>
      </w:pPr>
      <w:r w:rsidRPr="00EE5D9E">
        <w:rPr>
          <w:b/>
          <w:sz w:val="28"/>
          <w:szCs w:val="28"/>
          <w:lang w:val="en-GB"/>
        </w:rPr>
        <w:t>Mr Justice Lam PJ:</w:t>
      </w:r>
    </w:p>
    <w:p w:rsidR="00DF70BF" w:rsidRDefault="007717EA" w:rsidP="00E40971">
      <w:pPr>
        <w:keepNext/>
        <w:numPr>
          <w:ilvl w:val="0"/>
          <w:numId w:val="7"/>
        </w:numPr>
        <w:tabs>
          <w:tab w:val="left" w:pos="1440"/>
        </w:tabs>
        <w:snapToGrid w:val="0"/>
        <w:spacing w:after="360" w:line="360" w:lineRule="auto"/>
        <w:ind w:left="0" w:firstLine="0"/>
        <w:jc w:val="both"/>
        <w:rPr>
          <w:sz w:val="28"/>
          <w:szCs w:val="28"/>
          <w:lang w:val="en-GB"/>
        </w:rPr>
      </w:pPr>
      <w:r w:rsidRPr="007717EA">
        <w:rPr>
          <w:sz w:val="28"/>
          <w:szCs w:val="28"/>
          <w:lang w:val="en-GB"/>
        </w:rPr>
        <w:t xml:space="preserve">I agree with the judgment of </w:t>
      </w:r>
      <w:r w:rsidR="00FB1FEE">
        <w:rPr>
          <w:sz w:val="28"/>
          <w:szCs w:val="28"/>
          <w:lang w:val="en-GB"/>
        </w:rPr>
        <w:t xml:space="preserve">the </w:t>
      </w:r>
      <w:r w:rsidRPr="007717EA">
        <w:rPr>
          <w:sz w:val="28"/>
          <w:szCs w:val="28"/>
          <w:lang w:val="en-GB"/>
        </w:rPr>
        <w:t>Chief Justice</w:t>
      </w:r>
      <w:r>
        <w:rPr>
          <w:sz w:val="28"/>
          <w:szCs w:val="28"/>
          <w:lang w:val="en-GB"/>
        </w:rPr>
        <w:t>.</w:t>
      </w:r>
    </w:p>
    <w:p w:rsidR="00DF70BF" w:rsidRPr="00EE5D9E" w:rsidRDefault="00C8619B" w:rsidP="0053491D">
      <w:pPr>
        <w:keepNext/>
        <w:snapToGrid w:val="0"/>
        <w:spacing w:after="360" w:line="360" w:lineRule="auto"/>
        <w:jc w:val="both"/>
        <w:rPr>
          <w:b/>
          <w:sz w:val="28"/>
          <w:szCs w:val="28"/>
          <w:lang w:val="en-GB"/>
        </w:rPr>
      </w:pPr>
      <w:r>
        <w:rPr>
          <w:b/>
          <w:sz w:val="28"/>
          <w:szCs w:val="28"/>
          <w:lang w:val="en-GB"/>
        </w:rPr>
        <w:br w:type="page"/>
      </w:r>
      <w:r w:rsidR="00DF70BF" w:rsidRPr="00EE5D9E">
        <w:rPr>
          <w:b/>
          <w:sz w:val="28"/>
          <w:szCs w:val="28"/>
          <w:lang w:val="en-GB"/>
        </w:rPr>
        <w:lastRenderedPageBreak/>
        <w:t>Mr Justice Stock NPJ:</w:t>
      </w:r>
    </w:p>
    <w:p w:rsidR="00DF70BF" w:rsidRDefault="007717EA" w:rsidP="007717EA">
      <w:pPr>
        <w:keepNext/>
        <w:numPr>
          <w:ilvl w:val="0"/>
          <w:numId w:val="7"/>
        </w:numPr>
        <w:tabs>
          <w:tab w:val="left" w:pos="1440"/>
        </w:tabs>
        <w:snapToGrid w:val="0"/>
        <w:spacing w:after="360" w:line="360" w:lineRule="auto"/>
        <w:ind w:left="0" w:firstLine="0"/>
        <w:jc w:val="both"/>
        <w:rPr>
          <w:sz w:val="28"/>
          <w:szCs w:val="28"/>
          <w:lang w:val="en-GB"/>
        </w:rPr>
      </w:pPr>
      <w:r w:rsidRPr="007717EA">
        <w:rPr>
          <w:sz w:val="28"/>
          <w:szCs w:val="28"/>
          <w:lang w:val="en-GB"/>
        </w:rPr>
        <w:t xml:space="preserve">I agree with the judgment of </w:t>
      </w:r>
      <w:r w:rsidR="00FB1FEE">
        <w:rPr>
          <w:sz w:val="28"/>
          <w:szCs w:val="28"/>
          <w:lang w:val="en-GB"/>
        </w:rPr>
        <w:t xml:space="preserve">the </w:t>
      </w:r>
      <w:r w:rsidRPr="007717EA">
        <w:rPr>
          <w:sz w:val="28"/>
          <w:szCs w:val="28"/>
          <w:lang w:val="en-GB"/>
        </w:rPr>
        <w:t>Chief Justice</w:t>
      </w:r>
      <w:r>
        <w:rPr>
          <w:sz w:val="28"/>
          <w:szCs w:val="28"/>
          <w:lang w:val="en-GB"/>
        </w:rPr>
        <w:t>.</w:t>
      </w:r>
    </w:p>
    <w:p w:rsidR="00DF70BF" w:rsidRPr="00EE5D9E" w:rsidRDefault="00712A14" w:rsidP="0053491D">
      <w:pPr>
        <w:keepNext/>
        <w:snapToGrid w:val="0"/>
        <w:spacing w:after="360" w:line="360" w:lineRule="auto"/>
        <w:jc w:val="both"/>
        <w:rPr>
          <w:b/>
          <w:sz w:val="28"/>
          <w:szCs w:val="28"/>
          <w:lang w:val="en-GB"/>
        </w:rPr>
      </w:pPr>
      <w:r w:rsidRPr="00EE5D9E">
        <w:rPr>
          <w:b/>
          <w:sz w:val="28"/>
          <w:szCs w:val="28"/>
          <w:lang w:val="en-GB"/>
        </w:rPr>
        <w:t>Chief Justice Cheung</w:t>
      </w:r>
      <w:r w:rsidR="00DF70BF" w:rsidRPr="00EE5D9E">
        <w:rPr>
          <w:b/>
          <w:sz w:val="28"/>
          <w:szCs w:val="28"/>
          <w:lang w:val="en-GB"/>
        </w:rPr>
        <w:t>:</w:t>
      </w:r>
    </w:p>
    <w:p w:rsidR="00DF70BF" w:rsidRPr="00B35DD9" w:rsidRDefault="00B35DD9" w:rsidP="00B12084">
      <w:pPr>
        <w:tabs>
          <w:tab w:val="left" w:pos="1440"/>
        </w:tabs>
        <w:snapToGrid w:val="0"/>
        <w:spacing w:after="0" w:line="360" w:lineRule="auto"/>
        <w:jc w:val="both"/>
        <w:rPr>
          <w:sz w:val="28"/>
          <w:szCs w:val="28"/>
          <w:lang w:val="en-GB"/>
        </w:rPr>
      </w:pPr>
      <w:r>
        <w:rPr>
          <w:sz w:val="28"/>
          <w:szCs w:val="28"/>
          <w:lang w:val="en-GB"/>
        </w:rPr>
        <w:t xml:space="preserve">94. </w:t>
      </w:r>
      <w:r w:rsidR="00B12084">
        <w:rPr>
          <w:sz w:val="28"/>
          <w:szCs w:val="28"/>
          <w:lang w:val="en-GB"/>
        </w:rPr>
        <w:tab/>
      </w:r>
      <w:r w:rsidR="007A55CD" w:rsidRPr="00B35DD9">
        <w:rPr>
          <w:sz w:val="28"/>
          <w:szCs w:val="28"/>
          <w:lang w:val="en-GB"/>
        </w:rPr>
        <w:t xml:space="preserve">Accordingly, the </w:t>
      </w:r>
      <w:r w:rsidR="007717EA" w:rsidRPr="00B35DD9">
        <w:rPr>
          <w:sz w:val="28"/>
          <w:szCs w:val="28"/>
          <w:lang w:val="en-GB"/>
        </w:rPr>
        <w:t>c</w:t>
      </w:r>
      <w:r w:rsidR="007F08D6" w:rsidRPr="00B35DD9">
        <w:rPr>
          <w:sz w:val="28"/>
          <w:szCs w:val="28"/>
          <w:lang w:val="en-GB"/>
        </w:rPr>
        <w:t>ourt unanimously dismisses both appeals</w:t>
      </w:r>
      <w:r w:rsidR="007717EA" w:rsidRPr="00B35DD9">
        <w:rPr>
          <w:sz w:val="28"/>
          <w:szCs w:val="28"/>
          <w:lang w:val="en-GB"/>
        </w:rPr>
        <w:t xml:space="preserve"> and makes the orders and directions indicated in paragraph 89 above</w:t>
      </w:r>
      <w:r w:rsidR="007F08D6" w:rsidRPr="00B35DD9">
        <w:rPr>
          <w:sz w:val="28"/>
          <w:szCs w:val="28"/>
          <w:lang w:val="en-GB"/>
        </w:rPr>
        <w:t>.</w:t>
      </w:r>
    </w:p>
    <w:p w:rsidR="007717EA" w:rsidRDefault="007717EA" w:rsidP="00645A72">
      <w:pPr>
        <w:snapToGrid w:val="0"/>
        <w:spacing w:after="0" w:line="360" w:lineRule="auto"/>
        <w:jc w:val="both"/>
        <w:rPr>
          <w:sz w:val="28"/>
          <w:szCs w:val="28"/>
          <w:lang w:val="en-GB"/>
        </w:rPr>
      </w:pPr>
    </w:p>
    <w:p w:rsidR="007717EA" w:rsidRDefault="007717EA" w:rsidP="00645A72">
      <w:pPr>
        <w:snapToGrid w:val="0"/>
        <w:spacing w:after="0" w:line="360" w:lineRule="auto"/>
        <w:jc w:val="both"/>
        <w:rPr>
          <w:sz w:val="28"/>
          <w:szCs w:val="28"/>
          <w:lang w:val="en-GB"/>
        </w:rPr>
      </w:pPr>
    </w:p>
    <w:p w:rsidR="007A4634" w:rsidRDefault="007A4634" w:rsidP="007C0E66">
      <w:pPr>
        <w:snapToGrid w:val="0"/>
        <w:spacing w:after="0" w:line="360" w:lineRule="auto"/>
        <w:jc w:val="both"/>
        <w:rPr>
          <w:sz w:val="28"/>
          <w:szCs w:val="28"/>
          <w:lang w:val="en-GB"/>
        </w:rPr>
      </w:pPr>
    </w:p>
    <w:p w:rsidR="007C0E66" w:rsidRPr="007C0E66" w:rsidRDefault="007C0E66" w:rsidP="007C0E66">
      <w:pPr>
        <w:snapToGrid w:val="0"/>
        <w:spacing w:after="0" w:line="360" w:lineRule="auto"/>
        <w:jc w:val="both"/>
        <w:rPr>
          <w:sz w:val="28"/>
          <w:szCs w:val="28"/>
          <w:lang w:val="en-GB"/>
        </w:rPr>
      </w:pPr>
    </w:p>
    <w:tbl>
      <w:tblPr>
        <w:tblW w:w="0" w:type="auto"/>
        <w:jc w:val="center"/>
        <w:tblLook w:val="0000" w:firstRow="0" w:lastRow="0" w:firstColumn="0" w:lastColumn="0" w:noHBand="0" w:noVBand="0"/>
      </w:tblPr>
      <w:tblGrid>
        <w:gridCol w:w="2874"/>
        <w:gridCol w:w="2883"/>
        <w:gridCol w:w="2883"/>
      </w:tblGrid>
      <w:tr w:rsidR="00AD2EA6" w:rsidRPr="00612B37" w:rsidTr="00AD2EA6">
        <w:trPr>
          <w:jc w:val="center"/>
        </w:trPr>
        <w:tc>
          <w:tcPr>
            <w:tcW w:w="2952" w:type="dxa"/>
          </w:tcPr>
          <w:p w:rsidR="00AD2EA6" w:rsidRPr="0004636D" w:rsidRDefault="00AD2EA6" w:rsidP="00AD2EA6">
            <w:pPr>
              <w:tabs>
                <w:tab w:val="left" w:pos="6660"/>
              </w:tabs>
              <w:spacing w:after="0" w:line="240" w:lineRule="auto"/>
              <w:jc w:val="center"/>
              <w:rPr>
                <w:rFonts w:eastAsia="新宋体"/>
                <w:sz w:val="28"/>
                <w:szCs w:val="28"/>
                <w:lang w:eastAsia="ja-JP"/>
              </w:rPr>
            </w:pPr>
            <w:r w:rsidRPr="0004636D">
              <w:rPr>
                <w:rFonts w:eastAsia="新宋体"/>
                <w:sz w:val="28"/>
                <w:szCs w:val="28"/>
                <w:lang w:eastAsia="ja-JP"/>
              </w:rPr>
              <w:t>(Andrew Cheung)</w:t>
            </w:r>
          </w:p>
          <w:p w:rsidR="00AD2EA6" w:rsidRPr="0004636D" w:rsidRDefault="00AD2EA6" w:rsidP="00AD2EA6">
            <w:pPr>
              <w:tabs>
                <w:tab w:val="left" w:pos="6660"/>
              </w:tabs>
              <w:spacing w:after="0" w:line="240" w:lineRule="auto"/>
              <w:jc w:val="center"/>
              <w:rPr>
                <w:rFonts w:eastAsia="新宋体"/>
                <w:sz w:val="28"/>
                <w:szCs w:val="28"/>
                <w:lang w:eastAsia="ja-JP"/>
              </w:rPr>
            </w:pPr>
            <w:r w:rsidRPr="0004636D">
              <w:rPr>
                <w:rFonts w:eastAsia="新宋体"/>
                <w:sz w:val="28"/>
                <w:szCs w:val="28"/>
                <w:lang w:eastAsia="ja-JP"/>
              </w:rPr>
              <w:t>Chief Justice</w:t>
            </w:r>
          </w:p>
        </w:tc>
        <w:tc>
          <w:tcPr>
            <w:tcW w:w="2952" w:type="dxa"/>
          </w:tcPr>
          <w:p w:rsidR="00AD2EA6" w:rsidRPr="0004636D" w:rsidRDefault="00AD2EA6" w:rsidP="00AD2EA6">
            <w:pPr>
              <w:tabs>
                <w:tab w:val="left" w:pos="6660"/>
              </w:tabs>
              <w:spacing w:after="0" w:line="240" w:lineRule="auto"/>
              <w:jc w:val="center"/>
              <w:rPr>
                <w:rFonts w:eastAsia="新宋体"/>
                <w:sz w:val="28"/>
                <w:szCs w:val="28"/>
                <w:lang w:eastAsia="ja-JP"/>
              </w:rPr>
            </w:pPr>
            <w:r w:rsidRPr="0004636D">
              <w:rPr>
                <w:rFonts w:eastAsia="新宋体"/>
                <w:sz w:val="28"/>
                <w:szCs w:val="28"/>
                <w:lang w:eastAsia="ja-JP"/>
              </w:rPr>
              <w:t>(R A V Ribeiro)</w:t>
            </w:r>
          </w:p>
          <w:p w:rsidR="00AD2EA6" w:rsidRPr="0004636D" w:rsidRDefault="00AD2EA6" w:rsidP="00AD2EA6">
            <w:pPr>
              <w:tabs>
                <w:tab w:val="left" w:pos="6660"/>
              </w:tabs>
              <w:spacing w:after="0" w:line="240" w:lineRule="auto"/>
              <w:jc w:val="center"/>
              <w:rPr>
                <w:rFonts w:eastAsia="新宋体"/>
                <w:sz w:val="28"/>
                <w:szCs w:val="28"/>
                <w:lang w:eastAsia="ja-JP"/>
              </w:rPr>
            </w:pPr>
            <w:r w:rsidRPr="0004636D">
              <w:rPr>
                <w:rFonts w:eastAsia="新宋体"/>
                <w:sz w:val="28"/>
                <w:szCs w:val="28"/>
                <w:lang w:eastAsia="ja-JP"/>
              </w:rPr>
              <w:t>Permanent Judge</w:t>
            </w:r>
          </w:p>
        </w:tc>
        <w:tc>
          <w:tcPr>
            <w:tcW w:w="2952" w:type="dxa"/>
          </w:tcPr>
          <w:p w:rsidR="00AD2EA6" w:rsidRPr="0004636D" w:rsidRDefault="00AD2EA6" w:rsidP="00833975">
            <w:pPr>
              <w:pStyle w:val="BodyTextIndent"/>
              <w:snapToGrid w:val="0"/>
              <w:jc w:val="center"/>
              <w:rPr>
                <w:rFonts w:eastAsia="新宋体"/>
                <w:kern w:val="0"/>
                <w:sz w:val="28"/>
                <w:szCs w:val="28"/>
                <w:lang w:val="en-GB" w:eastAsia="ja-JP"/>
              </w:rPr>
            </w:pPr>
            <w:r w:rsidRPr="0004636D">
              <w:rPr>
                <w:rFonts w:eastAsia="新宋体"/>
                <w:kern w:val="0"/>
                <w:sz w:val="28"/>
                <w:szCs w:val="28"/>
                <w:lang w:val="en-GB" w:eastAsia="ja-JP"/>
              </w:rPr>
              <w:t xml:space="preserve">(Joseph </w:t>
            </w:r>
            <w:proofErr w:type="spellStart"/>
            <w:r w:rsidRPr="0004636D">
              <w:rPr>
                <w:rFonts w:eastAsia="新宋体"/>
                <w:kern w:val="0"/>
                <w:sz w:val="28"/>
                <w:szCs w:val="28"/>
                <w:lang w:val="en-GB" w:eastAsia="ja-JP"/>
              </w:rPr>
              <w:t>Fok</w:t>
            </w:r>
            <w:proofErr w:type="spellEnd"/>
            <w:r w:rsidRPr="0004636D">
              <w:rPr>
                <w:rFonts w:eastAsia="新宋体"/>
                <w:kern w:val="0"/>
                <w:sz w:val="28"/>
                <w:szCs w:val="28"/>
                <w:lang w:val="en-GB" w:eastAsia="ja-JP"/>
              </w:rPr>
              <w:t>)</w:t>
            </w:r>
          </w:p>
          <w:p w:rsidR="00AD2EA6" w:rsidRPr="0004636D" w:rsidRDefault="00AD2EA6" w:rsidP="00AD2EA6">
            <w:pPr>
              <w:tabs>
                <w:tab w:val="left" w:pos="6660"/>
              </w:tabs>
              <w:spacing w:after="0" w:line="240" w:lineRule="auto"/>
              <w:jc w:val="center"/>
              <w:rPr>
                <w:rFonts w:eastAsia="新宋体"/>
                <w:sz w:val="28"/>
                <w:szCs w:val="28"/>
                <w:lang w:eastAsia="ja-JP"/>
              </w:rPr>
            </w:pPr>
            <w:r w:rsidRPr="0004636D">
              <w:rPr>
                <w:rFonts w:eastAsia="新宋体"/>
                <w:sz w:val="28"/>
                <w:szCs w:val="28"/>
                <w:lang w:eastAsia="ja-JP"/>
              </w:rPr>
              <w:t>Permanent Judge</w:t>
            </w:r>
          </w:p>
        </w:tc>
      </w:tr>
    </w:tbl>
    <w:p w:rsidR="00AD2EA6" w:rsidRPr="007C0E66" w:rsidRDefault="00AD2EA6" w:rsidP="00AD2EA6">
      <w:pPr>
        <w:spacing w:after="0" w:line="240" w:lineRule="auto"/>
        <w:rPr>
          <w:sz w:val="28"/>
          <w:szCs w:val="28"/>
        </w:rPr>
      </w:pPr>
    </w:p>
    <w:p w:rsidR="00FF17CE" w:rsidRPr="007C0E66" w:rsidRDefault="00FF17CE" w:rsidP="00AD2EA6">
      <w:pPr>
        <w:spacing w:after="0" w:line="240" w:lineRule="auto"/>
        <w:rPr>
          <w:sz w:val="28"/>
          <w:szCs w:val="28"/>
        </w:rPr>
      </w:pPr>
    </w:p>
    <w:p w:rsidR="00FF17CE" w:rsidRPr="007C0E66" w:rsidRDefault="00FF17CE" w:rsidP="00AD2EA6">
      <w:pPr>
        <w:spacing w:after="0" w:line="240" w:lineRule="auto"/>
        <w:rPr>
          <w:sz w:val="28"/>
          <w:szCs w:val="28"/>
        </w:rPr>
      </w:pPr>
    </w:p>
    <w:p w:rsidR="00FF17CE" w:rsidRPr="007C0E66" w:rsidRDefault="00FF17CE" w:rsidP="00AD2EA6">
      <w:pPr>
        <w:spacing w:after="0" w:line="240" w:lineRule="auto"/>
        <w:rPr>
          <w:sz w:val="28"/>
          <w:szCs w:val="28"/>
        </w:rPr>
      </w:pPr>
    </w:p>
    <w:p w:rsidR="00AD2EA6" w:rsidRPr="007C0E66" w:rsidRDefault="00AD2EA6" w:rsidP="00AD2EA6">
      <w:pPr>
        <w:spacing w:after="0" w:line="240" w:lineRule="auto"/>
        <w:rPr>
          <w:sz w:val="28"/>
          <w:szCs w:val="28"/>
        </w:rPr>
      </w:pPr>
    </w:p>
    <w:tbl>
      <w:tblPr>
        <w:tblW w:w="0" w:type="auto"/>
        <w:tblInd w:w="250" w:type="dxa"/>
        <w:tblLook w:val="0000" w:firstRow="0" w:lastRow="0" w:firstColumn="0" w:lastColumn="0" w:noHBand="0" w:noVBand="0"/>
      </w:tblPr>
      <w:tblGrid>
        <w:gridCol w:w="4094"/>
        <w:gridCol w:w="4296"/>
      </w:tblGrid>
      <w:tr w:rsidR="00AD2EA6" w:rsidRPr="00612B37" w:rsidTr="00AD2EA6">
        <w:trPr>
          <w:trHeight w:val="652"/>
        </w:trPr>
        <w:tc>
          <w:tcPr>
            <w:tcW w:w="4286" w:type="dxa"/>
          </w:tcPr>
          <w:p w:rsidR="00AD2EA6" w:rsidRPr="0004636D" w:rsidRDefault="00AD2EA6" w:rsidP="00AD2EA6">
            <w:pPr>
              <w:tabs>
                <w:tab w:val="left" w:pos="6660"/>
              </w:tabs>
              <w:spacing w:after="0" w:line="240" w:lineRule="auto"/>
              <w:jc w:val="center"/>
              <w:rPr>
                <w:rFonts w:eastAsia="新宋体"/>
                <w:sz w:val="28"/>
                <w:szCs w:val="28"/>
                <w:lang w:eastAsia="ja-JP"/>
              </w:rPr>
            </w:pPr>
            <w:r w:rsidRPr="0004636D">
              <w:rPr>
                <w:rFonts w:eastAsia="新宋体"/>
                <w:sz w:val="28"/>
                <w:szCs w:val="28"/>
                <w:lang w:eastAsia="ja-JP"/>
              </w:rPr>
              <w:t>(M H Lam)</w:t>
            </w:r>
          </w:p>
          <w:p w:rsidR="00AD2EA6" w:rsidRPr="0004636D" w:rsidRDefault="00AD2EA6" w:rsidP="00AD2EA6">
            <w:pPr>
              <w:tabs>
                <w:tab w:val="left" w:pos="6660"/>
              </w:tabs>
              <w:spacing w:after="0" w:line="240" w:lineRule="auto"/>
              <w:jc w:val="center"/>
              <w:rPr>
                <w:rFonts w:eastAsia="新宋体"/>
                <w:sz w:val="28"/>
                <w:szCs w:val="28"/>
                <w:lang w:eastAsia="ja-JP"/>
              </w:rPr>
            </w:pPr>
            <w:r w:rsidRPr="0004636D">
              <w:rPr>
                <w:rFonts w:eastAsia="新宋体"/>
                <w:sz w:val="28"/>
                <w:szCs w:val="28"/>
                <w:lang w:eastAsia="ja-JP"/>
              </w:rPr>
              <w:t>Permanent Judge</w:t>
            </w:r>
          </w:p>
        </w:tc>
        <w:tc>
          <w:tcPr>
            <w:tcW w:w="4503" w:type="dxa"/>
          </w:tcPr>
          <w:p w:rsidR="00AD2EA6" w:rsidRPr="0004636D" w:rsidRDefault="00AD2EA6" w:rsidP="00AD2EA6">
            <w:pPr>
              <w:tabs>
                <w:tab w:val="left" w:pos="6660"/>
              </w:tabs>
              <w:spacing w:after="0" w:line="240" w:lineRule="auto"/>
              <w:jc w:val="center"/>
              <w:rPr>
                <w:rFonts w:eastAsia="新宋体"/>
                <w:sz w:val="28"/>
                <w:szCs w:val="28"/>
                <w:lang w:eastAsia="ja-JP"/>
              </w:rPr>
            </w:pPr>
            <w:r w:rsidRPr="0004636D">
              <w:rPr>
                <w:rFonts w:eastAsia="新宋体"/>
                <w:sz w:val="28"/>
                <w:szCs w:val="28"/>
                <w:lang w:eastAsia="ja-JP"/>
              </w:rPr>
              <w:t>(Frank Stock)</w:t>
            </w:r>
          </w:p>
          <w:p w:rsidR="00AD2EA6" w:rsidRPr="0004636D" w:rsidRDefault="00AD2EA6" w:rsidP="00AD2EA6">
            <w:pPr>
              <w:tabs>
                <w:tab w:val="left" w:pos="6660"/>
              </w:tabs>
              <w:spacing w:after="0" w:line="240" w:lineRule="auto"/>
              <w:jc w:val="center"/>
              <w:rPr>
                <w:sz w:val="28"/>
                <w:szCs w:val="28"/>
              </w:rPr>
            </w:pPr>
            <w:r w:rsidRPr="0004636D">
              <w:rPr>
                <w:rFonts w:eastAsia="新宋体"/>
                <w:sz w:val="28"/>
                <w:szCs w:val="28"/>
                <w:lang w:eastAsia="ja-JP"/>
              </w:rPr>
              <w:t>Non-Permanent Judge</w:t>
            </w:r>
          </w:p>
        </w:tc>
      </w:tr>
    </w:tbl>
    <w:p w:rsidR="00FF17CE" w:rsidRDefault="00FF17CE" w:rsidP="007A4634">
      <w:pPr>
        <w:pStyle w:val="BodyTextIndent"/>
        <w:ind w:left="450" w:right="118" w:hanging="450"/>
        <w:rPr>
          <w:kern w:val="0"/>
          <w:sz w:val="28"/>
          <w:lang w:val="en-GB"/>
        </w:rPr>
      </w:pPr>
    </w:p>
    <w:p w:rsidR="00FF17CE" w:rsidRDefault="00FF17CE" w:rsidP="007A4634">
      <w:pPr>
        <w:pStyle w:val="BodyTextIndent"/>
        <w:ind w:left="450" w:right="118" w:hanging="450"/>
        <w:rPr>
          <w:kern w:val="0"/>
          <w:sz w:val="28"/>
          <w:lang w:val="en-GB"/>
        </w:rPr>
      </w:pPr>
    </w:p>
    <w:p w:rsidR="00FF17CE" w:rsidRDefault="00FF17CE" w:rsidP="007A4634">
      <w:pPr>
        <w:pStyle w:val="BodyTextIndent"/>
        <w:ind w:left="450" w:right="118" w:hanging="450"/>
        <w:rPr>
          <w:kern w:val="0"/>
          <w:sz w:val="28"/>
          <w:lang w:val="en-GB"/>
        </w:rPr>
      </w:pPr>
    </w:p>
    <w:p w:rsidR="00AD2EA6" w:rsidRDefault="00AD2EA6" w:rsidP="00621E67">
      <w:pPr>
        <w:pStyle w:val="BodyTextIndent"/>
        <w:spacing w:after="360"/>
        <w:ind w:left="634" w:hanging="634"/>
        <w:rPr>
          <w:kern w:val="0"/>
          <w:sz w:val="28"/>
          <w:lang w:val="en-GB"/>
        </w:rPr>
      </w:pPr>
      <w:r w:rsidRPr="00A0617F">
        <w:rPr>
          <w:kern w:val="0"/>
          <w:sz w:val="28"/>
          <w:lang w:val="en-GB"/>
        </w:rPr>
        <w:t>Ms Monica Carss-Frisk KC</w:t>
      </w:r>
      <w:r>
        <w:rPr>
          <w:kern w:val="0"/>
          <w:sz w:val="28"/>
          <w:lang w:val="en-GB"/>
        </w:rPr>
        <w:t xml:space="preserve">, </w:t>
      </w:r>
      <w:r w:rsidRPr="00A0617F">
        <w:rPr>
          <w:kern w:val="0"/>
          <w:sz w:val="28"/>
          <w:lang w:val="en-GB"/>
        </w:rPr>
        <w:t>Mr Abraham Chan SC</w:t>
      </w:r>
      <w:r>
        <w:rPr>
          <w:kern w:val="0"/>
          <w:sz w:val="28"/>
          <w:lang w:val="en-GB"/>
        </w:rPr>
        <w:t xml:space="preserve"> and </w:t>
      </w:r>
      <w:r w:rsidRPr="00A0617F">
        <w:rPr>
          <w:kern w:val="0"/>
          <w:sz w:val="28"/>
          <w:lang w:val="en-GB"/>
        </w:rPr>
        <w:t>Mr John Leung</w:t>
      </w:r>
      <w:r w:rsidR="003E563A">
        <w:rPr>
          <w:kern w:val="0"/>
          <w:sz w:val="28"/>
          <w:lang w:val="en-GB"/>
        </w:rPr>
        <w:t xml:space="preserve">, </w:t>
      </w:r>
      <w:r w:rsidRPr="00A0617F">
        <w:rPr>
          <w:kern w:val="0"/>
          <w:sz w:val="28"/>
          <w:lang w:val="en-GB"/>
        </w:rPr>
        <w:t>instructed by Woo Kwan Lee &amp; Lo,</w:t>
      </w:r>
      <w:r>
        <w:rPr>
          <w:kern w:val="0"/>
          <w:sz w:val="28"/>
          <w:lang w:val="en-GB"/>
        </w:rPr>
        <w:t xml:space="preserve"> </w:t>
      </w:r>
      <w:r w:rsidRPr="00A0617F">
        <w:rPr>
          <w:kern w:val="0"/>
          <w:sz w:val="28"/>
          <w:lang w:val="en-GB"/>
        </w:rPr>
        <w:t>for the Appellant in both appeals</w:t>
      </w:r>
    </w:p>
    <w:p w:rsidR="00AD2EA6" w:rsidRDefault="003E563A" w:rsidP="00621E67">
      <w:pPr>
        <w:pStyle w:val="BodyTextIndent"/>
        <w:spacing w:after="360"/>
        <w:ind w:left="634" w:hanging="634"/>
        <w:rPr>
          <w:kern w:val="0"/>
          <w:sz w:val="28"/>
          <w:lang w:val="en-GB"/>
        </w:rPr>
      </w:pPr>
      <w:r>
        <w:rPr>
          <w:kern w:val="0"/>
          <w:sz w:val="28"/>
          <w:lang w:val="en-GB"/>
        </w:rPr>
        <w:t xml:space="preserve">Mr </w:t>
      </w:r>
      <w:r w:rsidR="00AD2EA6" w:rsidRPr="00A0617F">
        <w:rPr>
          <w:kern w:val="0"/>
          <w:sz w:val="28"/>
          <w:lang w:val="en-GB"/>
        </w:rPr>
        <w:t xml:space="preserve">Timothy </w:t>
      </w:r>
      <w:proofErr w:type="spellStart"/>
      <w:r w:rsidR="00AD2EA6" w:rsidRPr="00A0617F">
        <w:rPr>
          <w:kern w:val="0"/>
          <w:sz w:val="28"/>
          <w:lang w:val="en-GB"/>
        </w:rPr>
        <w:t>Otty</w:t>
      </w:r>
      <w:proofErr w:type="spellEnd"/>
      <w:r w:rsidR="00AD2EA6" w:rsidRPr="00A0617F">
        <w:rPr>
          <w:kern w:val="0"/>
          <w:sz w:val="28"/>
          <w:lang w:val="en-GB"/>
        </w:rPr>
        <w:t xml:space="preserve"> KC</w:t>
      </w:r>
      <w:r w:rsidR="00AD2EA6">
        <w:rPr>
          <w:kern w:val="0"/>
          <w:sz w:val="28"/>
          <w:lang w:val="en-GB"/>
        </w:rPr>
        <w:t xml:space="preserve">, </w:t>
      </w:r>
      <w:r w:rsidR="00AD2EA6" w:rsidRPr="00A0617F">
        <w:rPr>
          <w:kern w:val="0"/>
          <w:sz w:val="28"/>
          <w:lang w:val="en-GB"/>
        </w:rPr>
        <w:t>Mr Timothy Parker</w:t>
      </w:r>
      <w:r w:rsidR="00AD2EA6">
        <w:rPr>
          <w:kern w:val="0"/>
          <w:sz w:val="28"/>
          <w:lang w:val="en-GB"/>
        </w:rPr>
        <w:t xml:space="preserve"> and </w:t>
      </w:r>
      <w:r w:rsidR="00AD2EA6" w:rsidRPr="00A0617F">
        <w:rPr>
          <w:kern w:val="0"/>
          <w:sz w:val="28"/>
          <w:lang w:val="en-GB"/>
        </w:rPr>
        <w:t>Mr Geoffrey Yeung</w:t>
      </w:r>
      <w:r>
        <w:rPr>
          <w:kern w:val="0"/>
          <w:sz w:val="28"/>
          <w:lang w:val="en-GB"/>
        </w:rPr>
        <w:t xml:space="preserve">, </w:t>
      </w:r>
      <w:r w:rsidR="00AD2EA6" w:rsidRPr="00A0617F">
        <w:rPr>
          <w:kern w:val="0"/>
          <w:sz w:val="28"/>
          <w:lang w:val="en-GB"/>
        </w:rPr>
        <w:t xml:space="preserve">instructed by </w:t>
      </w:r>
      <w:proofErr w:type="spellStart"/>
      <w:r w:rsidR="00AD2EA6" w:rsidRPr="00A0617F">
        <w:rPr>
          <w:kern w:val="0"/>
          <w:sz w:val="28"/>
          <w:lang w:val="en-GB"/>
        </w:rPr>
        <w:t>Haldanes</w:t>
      </w:r>
      <w:proofErr w:type="spellEnd"/>
      <w:r w:rsidR="00AD2EA6" w:rsidRPr="00A0617F">
        <w:rPr>
          <w:kern w:val="0"/>
          <w:sz w:val="28"/>
          <w:lang w:val="en-GB"/>
        </w:rPr>
        <w:t>, assigned by the</w:t>
      </w:r>
      <w:r>
        <w:rPr>
          <w:kern w:val="0"/>
          <w:sz w:val="28"/>
          <w:lang w:val="en-GB"/>
        </w:rPr>
        <w:t xml:space="preserve"> Director of Legal Aid, for the </w:t>
      </w:r>
      <w:r w:rsidR="00AD2EA6" w:rsidRPr="00A0617F">
        <w:rPr>
          <w:kern w:val="0"/>
          <w:sz w:val="28"/>
          <w:lang w:val="en-GB"/>
        </w:rPr>
        <w:t>Respondent in FACV 2/2024</w:t>
      </w:r>
    </w:p>
    <w:p w:rsidR="00AD2EA6" w:rsidRDefault="00AD2EA6" w:rsidP="00621E67">
      <w:pPr>
        <w:pStyle w:val="BodyTextIndent"/>
        <w:snapToGrid w:val="0"/>
        <w:spacing w:after="360"/>
        <w:ind w:left="634" w:hanging="634"/>
        <w:rPr>
          <w:kern w:val="0"/>
          <w:sz w:val="28"/>
          <w:lang w:val="en-GB"/>
        </w:rPr>
      </w:pPr>
      <w:r w:rsidRPr="00A0617F">
        <w:rPr>
          <w:kern w:val="0"/>
          <w:sz w:val="28"/>
          <w:lang w:val="en-GB"/>
        </w:rPr>
        <w:t>Mr Tim</w:t>
      </w:r>
      <w:r>
        <w:rPr>
          <w:kern w:val="0"/>
          <w:sz w:val="28"/>
          <w:lang w:val="en-GB"/>
        </w:rPr>
        <w:t>othy</w:t>
      </w:r>
      <w:r w:rsidRPr="00A0617F">
        <w:rPr>
          <w:kern w:val="0"/>
          <w:sz w:val="28"/>
          <w:lang w:val="en-GB"/>
        </w:rPr>
        <w:t xml:space="preserve"> </w:t>
      </w:r>
      <w:proofErr w:type="spellStart"/>
      <w:r w:rsidRPr="00A0617F">
        <w:rPr>
          <w:kern w:val="0"/>
          <w:sz w:val="28"/>
          <w:lang w:val="en-GB"/>
        </w:rPr>
        <w:t>Otty</w:t>
      </w:r>
      <w:proofErr w:type="spellEnd"/>
      <w:r w:rsidRPr="00A0617F">
        <w:rPr>
          <w:kern w:val="0"/>
          <w:sz w:val="28"/>
          <w:lang w:val="en-GB"/>
        </w:rPr>
        <w:t xml:space="preserve"> KC</w:t>
      </w:r>
      <w:r>
        <w:rPr>
          <w:kern w:val="0"/>
          <w:sz w:val="28"/>
          <w:lang w:val="en-GB"/>
        </w:rPr>
        <w:t xml:space="preserve">, </w:t>
      </w:r>
      <w:r w:rsidRPr="00A0617F">
        <w:rPr>
          <w:kern w:val="0"/>
          <w:sz w:val="28"/>
          <w:lang w:val="en-GB"/>
        </w:rPr>
        <w:t xml:space="preserve">Mr </w:t>
      </w:r>
      <w:proofErr w:type="spellStart"/>
      <w:r w:rsidRPr="00A0617F">
        <w:rPr>
          <w:kern w:val="0"/>
          <w:sz w:val="28"/>
          <w:lang w:val="en-GB"/>
        </w:rPr>
        <w:t>Jin</w:t>
      </w:r>
      <w:proofErr w:type="spellEnd"/>
      <w:r w:rsidRPr="00A0617F">
        <w:rPr>
          <w:kern w:val="0"/>
          <w:sz w:val="28"/>
          <w:lang w:val="en-GB"/>
        </w:rPr>
        <w:t xml:space="preserve"> </w:t>
      </w:r>
      <w:proofErr w:type="spellStart"/>
      <w:r w:rsidRPr="00A0617F">
        <w:rPr>
          <w:kern w:val="0"/>
          <w:sz w:val="28"/>
          <w:lang w:val="en-GB"/>
        </w:rPr>
        <w:t>Pao</w:t>
      </w:r>
      <w:proofErr w:type="spellEnd"/>
      <w:r w:rsidRPr="00A0617F">
        <w:rPr>
          <w:kern w:val="0"/>
          <w:sz w:val="28"/>
          <w:lang w:val="en-GB"/>
        </w:rPr>
        <w:t xml:space="preserve"> SC</w:t>
      </w:r>
      <w:r>
        <w:rPr>
          <w:kern w:val="0"/>
          <w:sz w:val="28"/>
          <w:lang w:val="en-GB"/>
        </w:rPr>
        <w:t xml:space="preserve"> and </w:t>
      </w:r>
      <w:r w:rsidRPr="00A0617F">
        <w:rPr>
          <w:kern w:val="0"/>
          <w:sz w:val="28"/>
          <w:lang w:val="en-GB"/>
        </w:rPr>
        <w:t xml:space="preserve">Mr Azan </w:t>
      </w:r>
      <w:proofErr w:type="spellStart"/>
      <w:r w:rsidRPr="00A0617F">
        <w:rPr>
          <w:kern w:val="0"/>
          <w:sz w:val="28"/>
          <w:lang w:val="en-GB"/>
        </w:rPr>
        <w:t>Marwah</w:t>
      </w:r>
      <w:proofErr w:type="spellEnd"/>
      <w:r>
        <w:rPr>
          <w:kern w:val="0"/>
          <w:sz w:val="28"/>
          <w:lang w:val="en-GB"/>
        </w:rPr>
        <w:t xml:space="preserve">, </w:t>
      </w:r>
      <w:r w:rsidRPr="00A0617F">
        <w:rPr>
          <w:kern w:val="0"/>
          <w:sz w:val="28"/>
          <w:lang w:val="en-GB"/>
        </w:rPr>
        <w:t>instructed by Daly &amp; Associates, assigned by the Director of Legal Aid, for the Respondent in FACV 3/2024</w:t>
      </w:r>
    </w:p>
    <w:p w:rsidR="00D13CE4" w:rsidRPr="004648FA" w:rsidRDefault="003E5FE5" w:rsidP="00CF3270">
      <w:pPr>
        <w:snapToGrid w:val="0"/>
        <w:spacing w:after="360" w:line="360" w:lineRule="auto"/>
        <w:jc w:val="center"/>
        <w:rPr>
          <w:rFonts w:eastAsia="宋体"/>
          <w:b/>
          <w:color w:val="000000"/>
          <w:kern w:val="2"/>
          <w:sz w:val="28"/>
          <w:szCs w:val="28"/>
          <w:lang w:val="en-GB"/>
        </w:rPr>
      </w:pPr>
      <w:r>
        <w:rPr>
          <w:rFonts w:eastAsia="宋体"/>
          <w:b/>
          <w:color w:val="000000"/>
          <w:kern w:val="2"/>
          <w:sz w:val="28"/>
          <w:szCs w:val="28"/>
          <w:lang w:val="en-GB"/>
        </w:rPr>
        <w:br w:type="page"/>
      </w:r>
      <w:r w:rsidR="00D13CE4" w:rsidRPr="004648FA">
        <w:rPr>
          <w:rFonts w:eastAsia="宋体"/>
          <w:b/>
          <w:color w:val="000000"/>
          <w:kern w:val="2"/>
          <w:sz w:val="28"/>
          <w:szCs w:val="28"/>
          <w:lang w:val="en-GB"/>
        </w:rPr>
        <w:lastRenderedPageBreak/>
        <w:t>APPENDIX</w:t>
      </w:r>
    </w:p>
    <w:p w:rsidR="00D13CE4" w:rsidRPr="004648FA" w:rsidRDefault="00D13CE4" w:rsidP="00CF3270">
      <w:pPr>
        <w:snapToGrid w:val="0"/>
        <w:spacing w:after="360" w:line="360" w:lineRule="auto"/>
        <w:jc w:val="center"/>
        <w:rPr>
          <w:b/>
          <w:sz w:val="28"/>
          <w:szCs w:val="28"/>
          <w:lang w:val="en-GB"/>
        </w:rPr>
      </w:pPr>
      <w:r w:rsidRPr="004648FA">
        <w:rPr>
          <w:b/>
          <w:sz w:val="28"/>
          <w:szCs w:val="28"/>
          <w:lang w:val="en-GB"/>
        </w:rPr>
        <w:t>Q</w:t>
      </w:r>
      <w:r w:rsidR="00A24A08">
        <w:rPr>
          <w:b/>
          <w:sz w:val="28"/>
          <w:szCs w:val="28"/>
          <w:lang w:val="en-GB"/>
        </w:rPr>
        <w:t>uestions of great, general or public importance</w:t>
      </w:r>
    </w:p>
    <w:p w:rsidR="00D13CE4" w:rsidRDefault="00D13CE4" w:rsidP="006276A1">
      <w:pPr>
        <w:numPr>
          <w:ilvl w:val="0"/>
          <w:numId w:val="6"/>
        </w:numPr>
        <w:tabs>
          <w:tab w:val="left" w:pos="720"/>
        </w:tabs>
        <w:snapToGrid w:val="0"/>
        <w:spacing w:after="240" w:line="360" w:lineRule="auto"/>
        <w:jc w:val="both"/>
        <w:rPr>
          <w:sz w:val="28"/>
          <w:szCs w:val="28"/>
          <w:lang w:val="en-GB"/>
        </w:rPr>
      </w:pPr>
      <w:r w:rsidRPr="004648FA">
        <w:rPr>
          <w:sz w:val="28"/>
          <w:szCs w:val="28"/>
          <w:lang w:val="en-GB"/>
        </w:rPr>
        <w:t>Does BL36 confer on opposite-sex married couples:</w:t>
      </w:r>
    </w:p>
    <w:p w:rsidR="00D13CE4" w:rsidRPr="004648FA" w:rsidRDefault="00D13CE4" w:rsidP="006276A1">
      <w:pPr>
        <w:snapToGrid w:val="0"/>
        <w:spacing w:after="240" w:line="360" w:lineRule="auto"/>
        <w:ind w:left="1440" w:hanging="720"/>
        <w:jc w:val="both"/>
        <w:rPr>
          <w:sz w:val="28"/>
          <w:szCs w:val="28"/>
          <w:lang w:val="en-GB"/>
        </w:rPr>
      </w:pPr>
      <w:r w:rsidRPr="004648FA">
        <w:rPr>
          <w:sz w:val="28"/>
          <w:szCs w:val="28"/>
          <w:lang w:val="en-GB"/>
        </w:rPr>
        <w:t xml:space="preserve">(a) </w:t>
      </w:r>
      <w:r w:rsidRPr="004648FA">
        <w:rPr>
          <w:sz w:val="28"/>
          <w:szCs w:val="28"/>
          <w:lang w:val="en-GB"/>
        </w:rPr>
        <w:tab/>
      </w:r>
      <w:proofErr w:type="gramStart"/>
      <w:r w:rsidRPr="004648FA">
        <w:rPr>
          <w:sz w:val="28"/>
          <w:szCs w:val="28"/>
          <w:lang w:val="en-GB"/>
        </w:rPr>
        <w:t>a</w:t>
      </w:r>
      <w:proofErr w:type="gramEnd"/>
      <w:r w:rsidRPr="004648FA">
        <w:rPr>
          <w:sz w:val="28"/>
          <w:szCs w:val="28"/>
          <w:lang w:val="en-GB"/>
        </w:rPr>
        <w:t xml:space="preserve"> constitutional right, as defined by the eligibility rules in existence as at 1 July 1997, to exclusively apply for PRH units as spouses under the “Ordinary Families” category;</w:t>
      </w:r>
    </w:p>
    <w:p w:rsidR="00175CEB" w:rsidRPr="004648FA" w:rsidRDefault="00D13CE4" w:rsidP="006276A1">
      <w:pPr>
        <w:snapToGrid w:val="0"/>
        <w:spacing w:after="240" w:line="360" w:lineRule="auto"/>
        <w:ind w:left="1440" w:hanging="720"/>
        <w:jc w:val="both"/>
        <w:rPr>
          <w:sz w:val="28"/>
          <w:szCs w:val="28"/>
          <w:lang w:val="en-GB"/>
        </w:rPr>
      </w:pPr>
      <w:r w:rsidRPr="004648FA">
        <w:rPr>
          <w:sz w:val="28"/>
          <w:szCs w:val="28"/>
          <w:lang w:val="en-GB"/>
        </w:rPr>
        <w:t xml:space="preserve">(b) </w:t>
      </w:r>
      <w:r w:rsidRPr="004648FA">
        <w:rPr>
          <w:sz w:val="28"/>
          <w:szCs w:val="28"/>
          <w:lang w:val="en-GB"/>
        </w:rPr>
        <w:tab/>
      </w:r>
      <w:proofErr w:type="gramStart"/>
      <w:r w:rsidRPr="004648FA">
        <w:rPr>
          <w:sz w:val="28"/>
          <w:szCs w:val="28"/>
          <w:lang w:val="en-GB"/>
        </w:rPr>
        <w:t>a</w:t>
      </w:r>
      <w:proofErr w:type="gramEnd"/>
      <w:r w:rsidRPr="004648FA">
        <w:rPr>
          <w:sz w:val="28"/>
          <w:szCs w:val="28"/>
          <w:lang w:val="en-GB"/>
        </w:rPr>
        <w:t xml:space="preserve"> constitutional right, as defined by the eligibility rules in existence as at 1 July 1997, to exclusively apply to purchase HOS units under the spousal category.</w:t>
      </w:r>
    </w:p>
    <w:p w:rsidR="00D13CE4" w:rsidRPr="004648FA" w:rsidRDefault="00D13CE4" w:rsidP="006276A1">
      <w:pPr>
        <w:numPr>
          <w:ilvl w:val="0"/>
          <w:numId w:val="6"/>
        </w:numPr>
        <w:snapToGrid w:val="0"/>
        <w:spacing w:after="240" w:line="360" w:lineRule="auto"/>
        <w:jc w:val="both"/>
        <w:rPr>
          <w:sz w:val="28"/>
          <w:szCs w:val="28"/>
          <w:lang w:val="en-GB"/>
        </w:rPr>
      </w:pPr>
      <w:proofErr w:type="gramStart"/>
      <w:r w:rsidRPr="004648FA">
        <w:rPr>
          <w:sz w:val="28"/>
          <w:szCs w:val="28"/>
          <w:lang w:val="en-GB"/>
        </w:rPr>
        <w:t>Is the applicants’ reliance on BL25 and BOR22 precluded</w:t>
      </w:r>
      <w:proofErr w:type="gramEnd"/>
      <w:r w:rsidRPr="004648FA">
        <w:rPr>
          <w:sz w:val="28"/>
          <w:szCs w:val="28"/>
          <w:lang w:val="en-GB"/>
        </w:rPr>
        <w:t xml:space="preserve"> by a coherent and holistic interpretation of the Basic Law in line with BL36, BL37 and BOR19?</w:t>
      </w:r>
    </w:p>
    <w:p w:rsidR="00D13CE4" w:rsidRDefault="00D13CE4" w:rsidP="006276A1">
      <w:pPr>
        <w:numPr>
          <w:ilvl w:val="0"/>
          <w:numId w:val="6"/>
        </w:numPr>
        <w:snapToGrid w:val="0"/>
        <w:spacing w:after="240" w:line="360" w:lineRule="auto"/>
        <w:jc w:val="both"/>
        <w:rPr>
          <w:sz w:val="28"/>
          <w:szCs w:val="28"/>
          <w:lang w:val="en-GB"/>
        </w:rPr>
      </w:pPr>
      <w:r w:rsidRPr="004648FA">
        <w:rPr>
          <w:sz w:val="28"/>
          <w:szCs w:val="28"/>
          <w:lang w:val="en-GB"/>
        </w:rPr>
        <w:t>Are same-sex couples and opposite-sex couples proper comparators in relation to the differential treatment conferred by the PRH and HOS Spousal Policies under challenge, in circumstances where:</w:t>
      </w:r>
    </w:p>
    <w:p w:rsidR="00D13CE4" w:rsidRPr="004648FA" w:rsidRDefault="00D13CE4" w:rsidP="006276A1">
      <w:pPr>
        <w:snapToGrid w:val="0"/>
        <w:spacing w:after="240" w:line="360" w:lineRule="auto"/>
        <w:ind w:left="1440" w:hanging="720"/>
        <w:jc w:val="both"/>
        <w:rPr>
          <w:sz w:val="28"/>
          <w:szCs w:val="28"/>
          <w:lang w:val="en-GB"/>
        </w:rPr>
      </w:pPr>
      <w:r w:rsidRPr="004648FA">
        <w:rPr>
          <w:sz w:val="28"/>
          <w:szCs w:val="28"/>
          <w:lang w:val="en-GB"/>
        </w:rPr>
        <w:t xml:space="preserve">(a) </w:t>
      </w:r>
      <w:r w:rsidRPr="004648FA">
        <w:rPr>
          <w:sz w:val="28"/>
          <w:szCs w:val="28"/>
          <w:lang w:val="en-GB"/>
        </w:rPr>
        <w:tab/>
        <w:t>It is the HA’s policy decision to align with and support the broader and unchallenged governmental objective of promoting population growth by increasing hosing availability.</w:t>
      </w:r>
    </w:p>
    <w:p w:rsidR="00D13CE4" w:rsidRPr="004648FA" w:rsidRDefault="00D13CE4" w:rsidP="006276A1">
      <w:pPr>
        <w:snapToGrid w:val="0"/>
        <w:spacing w:after="240" w:line="360" w:lineRule="auto"/>
        <w:ind w:left="1440" w:hanging="720"/>
        <w:jc w:val="both"/>
        <w:rPr>
          <w:sz w:val="28"/>
          <w:szCs w:val="28"/>
          <w:lang w:val="en-GB"/>
        </w:rPr>
      </w:pPr>
      <w:r w:rsidRPr="004648FA">
        <w:rPr>
          <w:sz w:val="28"/>
          <w:szCs w:val="28"/>
          <w:lang w:val="en-GB"/>
        </w:rPr>
        <w:t xml:space="preserve">(b) </w:t>
      </w:r>
      <w:r w:rsidRPr="004648FA">
        <w:rPr>
          <w:sz w:val="28"/>
          <w:szCs w:val="28"/>
          <w:lang w:val="en-GB"/>
        </w:rPr>
        <w:tab/>
        <w:t>Opposite-sex couples as a general category (and notwithstanding exceptions in individual cases) possess inherent procreative capacities not possessed by same</w:t>
      </w:r>
      <w:r w:rsidRPr="004648FA">
        <w:rPr>
          <w:rFonts w:ascii="Cambria Math" w:hAnsi="Cambria Math" w:cs="Cambria Math"/>
          <w:sz w:val="28"/>
          <w:szCs w:val="28"/>
          <w:lang w:val="en-GB"/>
        </w:rPr>
        <w:t>‑</w:t>
      </w:r>
      <w:r w:rsidRPr="004648FA">
        <w:rPr>
          <w:sz w:val="28"/>
          <w:szCs w:val="28"/>
          <w:lang w:val="en-GB"/>
        </w:rPr>
        <w:t>sex couples.</w:t>
      </w:r>
    </w:p>
    <w:p w:rsidR="00D13CE4" w:rsidRPr="004648FA" w:rsidRDefault="00D13CE4" w:rsidP="006276A1">
      <w:pPr>
        <w:snapToGrid w:val="0"/>
        <w:spacing w:after="240" w:line="360" w:lineRule="auto"/>
        <w:ind w:left="720" w:hanging="720"/>
        <w:jc w:val="both"/>
        <w:rPr>
          <w:sz w:val="28"/>
          <w:szCs w:val="28"/>
          <w:lang w:val="en-GB"/>
        </w:rPr>
      </w:pPr>
      <w:r w:rsidRPr="004648FA">
        <w:rPr>
          <w:sz w:val="28"/>
          <w:szCs w:val="28"/>
          <w:lang w:val="en-GB"/>
        </w:rPr>
        <w:lastRenderedPageBreak/>
        <w:t xml:space="preserve">(4) </w:t>
      </w:r>
      <w:r w:rsidRPr="004648FA">
        <w:rPr>
          <w:sz w:val="28"/>
          <w:szCs w:val="28"/>
          <w:lang w:val="en-GB"/>
        </w:rPr>
        <w:tab/>
        <w:t xml:space="preserve">Where it has already been found that there is a logical connection between the Family Aim and the HOS Spousal Policy, is it open to the court </w:t>
      </w:r>
      <w:proofErr w:type="gramStart"/>
      <w:r w:rsidRPr="004648FA">
        <w:rPr>
          <w:sz w:val="28"/>
          <w:szCs w:val="28"/>
          <w:lang w:val="en-GB"/>
        </w:rPr>
        <w:t>to nonetheless find</w:t>
      </w:r>
      <w:proofErr w:type="gramEnd"/>
      <w:r w:rsidRPr="004648FA">
        <w:rPr>
          <w:sz w:val="28"/>
          <w:szCs w:val="28"/>
          <w:lang w:val="en-GB"/>
        </w:rPr>
        <w:t xml:space="preserve"> that the connection is “</w:t>
      </w:r>
      <w:r w:rsidRPr="00EE5D9E">
        <w:rPr>
          <w:i/>
          <w:sz w:val="28"/>
          <w:szCs w:val="28"/>
          <w:lang w:val="en-GB"/>
        </w:rPr>
        <w:t xml:space="preserve">de </w:t>
      </w:r>
      <w:proofErr w:type="spellStart"/>
      <w:r w:rsidRPr="00EE5D9E">
        <w:rPr>
          <w:i/>
          <w:sz w:val="28"/>
          <w:szCs w:val="28"/>
          <w:lang w:val="en-GB"/>
        </w:rPr>
        <w:t>minimis</w:t>
      </w:r>
      <w:proofErr w:type="spellEnd"/>
      <w:r w:rsidRPr="004648FA">
        <w:rPr>
          <w:sz w:val="28"/>
          <w:szCs w:val="28"/>
          <w:lang w:val="en-GB"/>
        </w:rPr>
        <w:t>”, especially where there is no affirmative evidence to that effect?</w:t>
      </w:r>
    </w:p>
    <w:p w:rsidR="00D13CE4" w:rsidRPr="004648FA" w:rsidRDefault="00D13CE4" w:rsidP="006276A1">
      <w:pPr>
        <w:snapToGrid w:val="0"/>
        <w:spacing w:after="240" w:line="360" w:lineRule="auto"/>
        <w:ind w:left="720" w:hanging="720"/>
        <w:jc w:val="both"/>
        <w:rPr>
          <w:sz w:val="28"/>
          <w:szCs w:val="28"/>
          <w:lang w:val="en-GB"/>
        </w:rPr>
      </w:pPr>
      <w:r w:rsidRPr="004648FA">
        <w:rPr>
          <w:sz w:val="28"/>
          <w:szCs w:val="28"/>
          <w:lang w:val="en-GB"/>
        </w:rPr>
        <w:t xml:space="preserve">(5) </w:t>
      </w:r>
      <w:r w:rsidRPr="004648FA">
        <w:rPr>
          <w:sz w:val="28"/>
          <w:szCs w:val="28"/>
          <w:lang w:val="en-GB"/>
        </w:rPr>
        <w:tab/>
        <w:t xml:space="preserve">Where the HOS Spousal Purchase Policy has not been challenged or found </w:t>
      </w:r>
      <w:proofErr w:type="gramStart"/>
      <w:r w:rsidRPr="004648FA">
        <w:rPr>
          <w:sz w:val="28"/>
          <w:szCs w:val="28"/>
          <w:lang w:val="en-GB"/>
        </w:rPr>
        <w:t>unlawful,</w:t>
      </w:r>
      <w:proofErr w:type="gramEnd"/>
      <w:r w:rsidRPr="004648FA">
        <w:rPr>
          <w:sz w:val="28"/>
          <w:szCs w:val="28"/>
          <w:lang w:val="en-GB"/>
        </w:rPr>
        <w:t xml:space="preserve"> is the administrative coherence between the HOS Spousal Policy and the HOS Spousal Purchase Policy a relevant factor in assessing the proportionality of the HOS Spousal Policy?</w:t>
      </w:r>
    </w:p>
    <w:p w:rsidR="00D13CE4" w:rsidRPr="004648FA" w:rsidRDefault="00D13CE4" w:rsidP="006276A1">
      <w:pPr>
        <w:snapToGrid w:val="0"/>
        <w:spacing w:after="240" w:line="360" w:lineRule="auto"/>
        <w:ind w:left="720" w:hanging="720"/>
        <w:jc w:val="both"/>
        <w:rPr>
          <w:sz w:val="28"/>
          <w:szCs w:val="28"/>
          <w:lang w:val="en-GB"/>
        </w:rPr>
      </w:pPr>
      <w:r w:rsidRPr="004648FA">
        <w:rPr>
          <w:sz w:val="28"/>
          <w:szCs w:val="28"/>
          <w:lang w:val="en-GB"/>
        </w:rPr>
        <w:t xml:space="preserve">(6) </w:t>
      </w:r>
      <w:r w:rsidRPr="004648FA">
        <w:rPr>
          <w:sz w:val="28"/>
          <w:szCs w:val="28"/>
          <w:lang w:val="en-GB"/>
        </w:rPr>
        <w:tab/>
        <w:t>In assessing the proportionality of the PRH and HOS Spousal Policies:</w:t>
      </w:r>
    </w:p>
    <w:p w:rsidR="00D13CE4" w:rsidRPr="004648FA" w:rsidRDefault="00D13CE4" w:rsidP="006276A1">
      <w:pPr>
        <w:snapToGrid w:val="0"/>
        <w:spacing w:after="240" w:line="360" w:lineRule="auto"/>
        <w:ind w:left="1440" w:hanging="720"/>
        <w:jc w:val="both"/>
        <w:rPr>
          <w:sz w:val="28"/>
          <w:szCs w:val="28"/>
          <w:lang w:val="en-GB"/>
        </w:rPr>
      </w:pPr>
      <w:r w:rsidRPr="004648FA">
        <w:rPr>
          <w:sz w:val="28"/>
          <w:szCs w:val="28"/>
          <w:lang w:val="en-GB"/>
        </w:rPr>
        <w:t xml:space="preserve">(a) </w:t>
      </w:r>
      <w:r w:rsidRPr="004648FA">
        <w:rPr>
          <w:sz w:val="28"/>
          <w:szCs w:val="28"/>
          <w:lang w:val="en-GB"/>
        </w:rPr>
        <w:tab/>
        <w:t>Should the court take into account the BL36 right to social welfare enjoyed by opposite-sex couples as set out in paragraph (1)(a) above, as well as more generally opposite-sex couples’ interest in being able to hitherto apply exclusively for PRH and/or HOS units under the spousal category?</w:t>
      </w:r>
    </w:p>
    <w:p w:rsidR="00D13CE4" w:rsidRPr="004648FA" w:rsidRDefault="00D13CE4" w:rsidP="006276A1">
      <w:pPr>
        <w:snapToGrid w:val="0"/>
        <w:spacing w:after="240" w:line="360" w:lineRule="auto"/>
        <w:ind w:left="1440" w:hanging="720"/>
        <w:jc w:val="both"/>
        <w:rPr>
          <w:sz w:val="28"/>
          <w:szCs w:val="28"/>
          <w:lang w:val="en-GB"/>
        </w:rPr>
      </w:pPr>
      <w:proofErr w:type="gramStart"/>
      <w:r w:rsidRPr="004648FA">
        <w:rPr>
          <w:sz w:val="28"/>
          <w:szCs w:val="28"/>
          <w:lang w:val="en-GB"/>
        </w:rPr>
        <w:t xml:space="preserve">(b) </w:t>
      </w:r>
      <w:r w:rsidRPr="004648FA">
        <w:rPr>
          <w:sz w:val="28"/>
          <w:szCs w:val="28"/>
          <w:lang w:val="en-GB"/>
        </w:rPr>
        <w:tab/>
        <w:t>Is empirical or statistical evidence necessary when considering whether the PRH Spousal Policy would increase the number of PRH units available to opposite</w:t>
      </w:r>
      <w:r w:rsidRPr="004648FA">
        <w:rPr>
          <w:rFonts w:ascii="Cambria Math" w:hAnsi="Cambria Math" w:cs="Cambria Math"/>
          <w:sz w:val="28"/>
          <w:szCs w:val="28"/>
          <w:lang w:val="en-GB"/>
        </w:rPr>
        <w:t>‑</w:t>
      </w:r>
      <w:r w:rsidRPr="004648FA">
        <w:rPr>
          <w:sz w:val="28"/>
          <w:szCs w:val="28"/>
          <w:lang w:val="en-GB"/>
        </w:rPr>
        <w:t>sex couples, in circumstances where (</w:t>
      </w:r>
      <w:proofErr w:type="spellStart"/>
      <w:r w:rsidRPr="004648FA">
        <w:rPr>
          <w:sz w:val="28"/>
          <w:szCs w:val="28"/>
          <w:lang w:val="en-GB"/>
        </w:rPr>
        <w:t>i</w:t>
      </w:r>
      <w:proofErr w:type="spellEnd"/>
      <w:r w:rsidRPr="004648FA">
        <w:rPr>
          <w:sz w:val="28"/>
          <w:szCs w:val="28"/>
          <w:lang w:val="en-GB"/>
        </w:rPr>
        <w:t>) it is undeniable that whenever a PRH unit becomes available and is allocated to a same-sex couple, at least one eligible traditional family will be unable to enjoy that unit for the duration of its occupancy; and (ii) the PRH Spousal Policy serves as a long term housing policy.</w:t>
      </w:r>
      <w:proofErr w:type="gramEnd"/>
    </w:p>
    <w:p w:rsidR="00D13CE4" w:rsidRPr="004648FA" w:rsidRDefault="00D13CE4" w:rsidP="006276A1">
      <w:pPr>
        <w:snapToGrid w:val="0"/>
        <w:spacing w:after="240" w:line="360" w:lineRule="auto"/>
        <w:ind w:left="1440" w:hanging="720"/>
        <w:jc w:val="both"/>
        <w:rPr>
          <w:sz w:val="28"/>
          <w:szCs w:val="28"/>
          <w:lang w:val="en-GB"/>
        </w:rPr>
      </w:pPr>
      <w:proofErr w:type="gramStart"/>
      <w:r w:rsidRPr="004648FA">
        <w:rPr>
          <w:sz w:val="28"/>
          <w:szCs w:val="28"/>
          <w:lang w:val="en-GB"/>
        </w:rPr>
        <w:t>(c)</w:t>
      </w:r>
      <w:r w:rsidRPr="004648FA">
        <w:rPr>
          <w:sz w:val="28"/>
          <w:szCs w:val="28"/>
          <w:lang w:val="en-GB"/>
        </w:rPr>
        <w:tab/>
        <w:t xml:space="preserve">Is empirical or statistical evidence necessary when considering whether the HOS Spousal Policy would increase the number of </w:t>
      </w:r>
      <w:r w:rsidRPr="004648FA">
        <w:rPr>
          <w:sz w:val="28"/>
          <w:szCs w:val="28"/>
          <w:lang w:val="en-GB"/>
        </w:rPr>
        <w:lastRenderedPageBreak/>
        <w:t>HOS units available to opposite</w:t>
      </w:r>
      <w:r w:rsidRPr="004648FA">
        <w:rPr>
          <w:rFonts w:ascii="Cambria Math" w:hAnsi="Cambria Math" w:cs="Cambria Math"/>
          <w:sz w:val="28"/>
          <w:szCs w:val="28"/>
          <w:lang w:val="en-GB"/>
        </w:rPr>
        <w:t>‑</w:t>
      </w:r>
      <w:r w:rsidRPr="004648FA">
        <w:rPr>
          <w:sz w:val="28"/>
          <w:szCs w:val="28"/>
          <w:lang w:val="en-GB"/>
        </w:rPr>
        <w:t>sex couples, in circumstances where (</w:t>
      </w:r>
      <w:proofErr w:type="spellStart"/>
      <w:r w:rsidRPr="004648FA">
        <w:rPr>
          <w:sz w:val="28"/>
          <w:szCs w:val="28"/>
          <w:lang w:val="en-GB"/>
        </w:rPr>
        <w:t>i</w:t>
      </w:r>
      <w:proofErr w:type="spellEnd"/>
      <w:r w:rsidRPr="004648FA">
        <w:rPr>
          <w:sz w:val="28"/>
          <w:szCs w:val="28"/>
          <w:lang w:val="en-GB"/>
        </w:rPr>
        <w:t>) some same-sex couples are likely to be deterred by the HOS Spousal Policy to apply to purchase a HOS flat, and (ii) whenever a HOS unit becomes available and is allocated to a same-sex couple, at least one eligible traditional family will be unable to enjoy that unit for the duration of its occupancy.</w:t>
      </w:r>
      <w:proofErr w:type="gramEnd"/>
    </w:p>
    <w:sectPr w:rsidR="00D13CE4" w:rsidRPr="004648FA" w:rsidSect="000563D0">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1B4F" w:rsidRDefault="005C1B4F" w:rsidP="004D1D7A">
      <w:pPr>
        <w:spacing w:after="0" w:line="240" w:lineRule="auto"/>
      </w:pPr>
      <w:r>
        <w:separator/>
      </w:r>
    </w:p>
  </w:endnote>
  <w:endnote w:type="continuationSeparator" w:id="0">
    <w:p w:rsidR="005C1B4F" w:rsidRDefault="005C1B4F" w:rsidP="004D1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新宋体">
    <w:panose1 w:val="02010609030101010101"/>
    <w:charset w:val="86"/>
    <w:family w:val="modern"/>
    <w:pitch w:val="fixed"/>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45B" w:rsidRDefault="00FE14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45B" w:rsidRDefault="00FE14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45B" w:rsidRDefault="00FE14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1B4F" w:rsidRDefault="005C1B4F" w:rsidP="004D1D7A">
      <w:pPr>
        <w:spacing w:after="0" w:line="240" w:lineRule="auto"/>
      </w:pPr>
      <w:r>
        <w:separator/>
      </w:r>
    </w:p>
  </w:footnote>
  <w:footnote w:type="continuationSeparator" w:id="0">
    <w:p w:rsidR="005C1B4F" w:rsidRDefault="005C1B4F" w:rsidP="004D1D7A">
      <w:pPr>
        <w:spacing w:after="0" w:line="240" w:lineRule="auto"/>
      </w:pPr>
      <w:r>
        <w:continuationSeparator/>
      </w:r>
    </w:p>
  </w:footnote>
  <w:footnote w:id="1">
    <w:p w:rsidR="004C57FC" w:rsidRPr="004648FA" w:rsidRDefault="004C57FC" w:rsidP="001A2EC2">
      <w:pPr>
        <w:pStyle w:val="FootnoteText"/>
        <w:snapToGrid w:val="0"/>
        <w:spacing w:after="240" w:line="240" w:lineRule="auto"/>
        <w:ind w:left="284" w:hangingChars="142" w:hanging="284"/>
        <w:jc w:val="both"/>
        <w:rPr>
          <w:lang w:val="en-GB"/>
        </w:rPr>
      </w:pPr>
      <w:r w:rsidRPr="004648FA">
        <w:rPr>
          <w:rStyle w:val="FootnoteReference"/>
          <w:lang w:val="en-GB"/>
        </w:rPr>
        <w:footnoteRef/>
      </w:r>
      <w:r>
        <w:rPr>
          <w:lang w:val="en-GB"/>
        </w:rPr>
        <w:tab/>
      </w:r>
      <w:proofErr w:type="spellStart"/>
      <w:r w:rsidRPr="004648FA">
        <w:rPr>
          <w:i/>
          <w:lang w:val="en-GB"/>
        </w:rPr>
        <w:t>Infinger</w:t>
      </w:r>
      <w:proofErr w:type="spellEnd"/>
      <w:r w:rsidRPr="004648FA">
        <w:rPr>
          <w:i/>
          <w:lang w:val="en-GB"/>
        </w:rPr>
        <w:t xml:space="preserve"> v Hong Kong Housing Authority</w:t>
      </w:r>
      <w:r w:rsidRPr="004648FA">
        <w:rPr>
          <w:lang w:val="en-GB"/>
        </w:rPr>
        <w:t xml:space="preserve"> [2020] </w:t>
      </w:r>
      <w:proofErr w:type="gramStart"/>
      <w:r w:rsidRPr="004648FA">
        <w:rPr>
          <w:lang w:val="en-GB"/>
        </w:rPr>
        <w:t>1</w:t>
      </w:r>
      <w:proofErr w:type="gramEnd"/>
      <w:r w:rsidRPr="004648FA">
        <w:rPr>
          <w:lang w:val="en-GB"/>
        </w:rPr>
        <w:t xml:space="preserve"> HKLRD 1188</w:t>
      </w:r>
      <w:r>
        <w:rPr>
          <w:lang w:val="en-GB"/>
        </w:rPr>
        <w:t xml:space="preserve"> </w:t>
      </w:r>
      <w:r w:rsidRPr="004648FA">
        <w:rPr>
          <w:lang w:val="en-GB"/>
        </w:rPr>
        <w:t>(Chow J) (</w:t>
      </w:r>
      <w:r w:rsidRPr="00E76895">
        <w:rPr>
          <w:lang w:val="en-GB"/>
        </w:rPr>
        <w:t>“PRH Judgment”</w:t>
      </w:r>
      <w:r w:rsidRPr="004648FA">
        <w:rPr>
          <w:lang w:val="en-GB"/>
        </w:rPr>
        <w:t xml:space="preserve">) and </w:t>
      </w:r>
      <w:r w:rsidRPr="004648FA">
        <w:rPr>
          <w:i/>
          <w:lang w:val="en-GB"/>
        </w:rPr>
        <w:t>Ng Hon Lam Edgar v Hong Kong Housing Authority</w:t>
      </w:r>
      <w:r w:rsidRPr="004648FA">
        <w:rPr>
          <w:lang w:val="en-GB"/>
        </w:rPr>
        <w:t xml:space="preserve"> [2021] 3 HKLRD 427 (Chow JA, sitting as an additional judge of the Court of First Instance) (</w:t>
      </w:r>
      <w:r w:rsidRPr="00E76895">
        <w:rPr>
          <w:lang w:val="en-GB"/>
        </w:rPr>
        <w:t>“HOS Judgment”</w:t>
      </w:r>
      <w:r w:rsidRPr="004648FA">
        <w:rPr>
          <w:lang w:val="en-GB"/>
        </w:rPr>
        <w:t>).</w:t>
      </w:r>
    </w:p>
  </w:footnote>
  <w:footnote w:id="2">
    <w:p w:rsidR="004C57FC" w:rsidRPr="004648FA" w:rsidRDefault="004C57FC" w:rsidP="001A2EC2">
      <w:pPr>
        <w:pStyle w:val="FootnoteText"/>
        <w:snapToGrid w:val="0"/>
        <w:spacing w:after="240" w:line="240" w:lineRule="auto"/>
        <w:ind w:left="284" w:hangingChars="142" w:hanging="284"/>
        <w:jc w:val="both"/>
        <w:rPr>
          <w:lang w:val="en-GB"/>
        </w:rPr>
      </w:pPr>
      <w:r w:rsidRPr="004648FA">
        <w:rPr>
          <w:rStyle w:val="FootnoteReference"/>
          <w:lang w:val="en-GB"/>
        </w:rPr>
        <w:footnoteRef/>
      </w:r>
      <w:r>
        <w:rPr>
          <w:lang w:val="en-GB"/>
        </w:rPr>
        <w:tab/>
      </w:r>
      <w:proofErr w:type="spellStart"/>
      <w:r w:rsidRPr="004648FA">
        <w:rPr>
          <w:i/>
          <w:lang w:val="en-GB"/>
        </w:rPr>
        <w:t>Infinger</w:t>
      </w:r>
      <w:proofErr w:type="spellEnd"/>
      <w:r w:rsidRPr="004648FA">
        <w:rPr>
          <w:i/>
          <w:lang w:val="en-GB"/>
        </w:rPr>
        <w:t xml:space="preserve"> v Hong Kong Housing Authority (No 2)</w:t>
      </w:r>
      <w:r w:rsidRPr="004648FA">
        <w:rPr>
          <w:lang w:val="en-GB"/>
        </w:rPr>
        <w:t xml:space="preserve"> [2024] </w:t>
      </w:r>
      <w:proofErr w:type="gramStart"/>
      <w:r w:rsidRPr="004648FA">
        <w:rPr>
          <w:lang w:val="en-GB"/>
        </w:rPr>
        <w:t>1</w:t>
      </w:r>
      <w:proofErr w:type="gramEnd"/>
      <w:r w:rsidRPr="004648FA">
        <w:rPr>
          <w:lang w:val="en-GB"/>
        </w:rPr>
        <w:t xml:space="preserve"> HKC 411 (Poon CJHC, </w:t>
      </w:r>
      <w:proofErr w:type="spellStart"/>
      <w:r w:rsidRPr="004648FA">
        <w:rPr>
          <w:lang w:val="en-GB"/>
        </w:rPr>
        <w:t>Barma</w:t>
      </w:r>
      <w:proofErr w:type="spellEnd"/>
      <w:r w:rsidRPr="004648FA">
        <w:rPr>
          <w:lang w:val="en-GB"/>
        </w:rPr>
        <w:t xml:space="preserve"> and Au JJA) (</w:t>
      </w:r>
      <w:r w:rsidRPr="00E76895">
        <w:rPr>
          <w:lang w:val="en-GB"/>
        </w:rPr>
        <w:t>“CA Judgment”</w:t>
      </w:r>
      <w:r w:rsidRPr="004648FA">
        <w:rPr>
          <w:lang w:val="en-GB"/>
        </w:rPr>
        <w:t>).</w:t>
      </w:r>
    </w:p>
  </w:footnote>
  <w:footnote w:id="3">
    <w:p w:rsidR="004C57FC" w:rsidRPr="004648FA" w:rsidRDefault="004C57FC" w:rsidP="009C541F">
      <w:pPr>
        <w:pStyle w:val="FootnoteText"/>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t>“The primary role of the [HA] is to provide subsidised public rental housing to low-income families who cannot afford private rental accommodation”</w:t>
      </w:r>
      <w:r w:rsidRPr="004648FA">
        <w:rPr>
          <w:lang w:val="en-GB"/>
        </w:rPr>
        <w:t>: Memorandum for the Hong Kong Housing Authority: Housing Authority’s 2019/20 Corporate Plan (18 January 2019) (Paper No H</w:t>
      </w:r>
      <w:r>
        <w:rPr>
          <w:lang w:val="en-GB"/>
        </w:rPr>
        <w:t>A 2/2019) (“HA Corporate Plan”)</w:t>
      </w:r>
      <w:r w:rsidRPr="004648FA">
        <w:rPr>
          <w:lang w:val="en-GB"/>
        </w:rPr>
        <w:t xml:space="preserve">, Annex, </w:t>
      </w:r>
      <w:r>
        <w:rPr>
          <w:lang w:val="en-GB"/>
        </w:rPr>
        <w:t>[</w:t>
      </w:r>
      <w:r w:rsidRPr="004648FA">
        <w:rPr>
          <w:lang w:val="en-GB"/>
        </w:rPr>
        <w:t>1</w:t>
      </w:r>
      <w:r>
        <w:rPr>
          <w:lang w:val="en-GB"/>
        </w:rPr>
        <w:t>.1]</w:t>
      </w:r>
      <w:r w:rsidRPr="004648FA">
        <w:rPr>
          <w:lang w:val="en-GB"/>
        </w:rPr>
        <w:t>.</w:t>
      </w:r>
      <w:r w:rsidR="00F35C5A">
        <w:rPr>
          <w:lang w:val="en-GB"/>
        </w:rPr>
        <w:t xml:space="preserve">  </w:t>
      </w:r>
      <w:r w:rsidR="00196B14">
        <w:rPr>
          <w:lang w:val="en-GB"/>
        </w:rPr>
        <w:t xml:space="preserve">These appeals have been argued and heard </w:t>
      </w:r>
      <w:proofErr w:type="gramStart"/>
      <w:r w:rsidR="00196B14">
        <w:rPr>
          <w:lang w:val="en-GB"/>
        </w:rPr>
        <w:t>on the basis of</w:t>
      </w:r>
      <w:proofErr w:type="gramEnd"/>
      <w:r w:rsidR="00196B14">
        <w:rPr>
          <w:lang w:val="en-GB"/>
        </w:rPr>
        <w:t xml:space="preserve"> the evidence submitted by the parties</w:t>
      </w:r>
      <w:r w:rsidR="00196B14" w:rsidRPr="00196B14">
        <w:rPr>
          <w:sz w:val="24"/>
          <w:szCs w:val="22"/>
          <w:lang w:val="en-GB"/>
        </w:rPr>
        <w:t xml:space="preserve"> </w:t>
      </w:r>
      <w:r w:rsidR="00196B14" w:rsidRPr="00196B14">
        <w:rPr>
          <w:lang w:val="en-GB"/>
        </w:rPr>
        <w:t>after the respective proceedings were commenced in 2018 and 2019.</w:t>
      </w:r>
      <w:r w:rsidR="00481CAE">
        <w:rPr>
          <w:lang w:val="en-GB"/>
        </w:rPr>
        <w:t xml:space="preserve">  </w:t>
      </w:r>
      <w:r w:rsidR="00196B14">
        <w:rPr>
          <w:lang w:val="en-GB"/>
        </w:rPr>
        <w:t xml:space="preserve">The </w:t>
      </w:r>
      <w:r w:rsidR="00F35C5A">
        <w:rPr>
          <w:lang w:val="en-GB"/>
        </w:rPr>
        <w:t xml:space="preserve">documents cited in this judgment may </w:t>
      </w:r>
      <w:r w:rsidR="00481CAE">
        <w:rPr>
          <w:lang w:val="en-GB"/>
        </w:rPr>
        <w:t xml:space="preserve">therefore </w:t>
      </w:r>
      <w:r w:rsidR="00F35C5A">
        <w:rPr>
          <w:lang w:val="en-GB"/>
        </w:rPr>
        <w:t xml:space="preserve">not </w:t>
      </w:r>
      <w:r w:rsidR="00481CAE">
        <w:rPr>
          <w:lang w:val="en-GB"/>
        </w:rPr>
        <w:t xml:space="preserve">be the latest </w:t>
      </w:r>
      <w:r w:rsidR="00F35C5A">
        <w:rPr>
          <w:lang w:val="en-GB"/>
        </w:rPr>
        <w:t xml:space="preserve">versions.  </w:t>
      </w:r>
      <w:r w:rsidR="00196B14">
        <w:rPr>
          <w:lang w:val="en-GB"/>
        </w:rPr>
        <w:t xml:space="preserve">A similar qualification </w:t>
      </w:r>
      <w:proofErr w:type="gramStart"/>
      <w:r w:rsidR="00196B14">
        <w:rPr>
          <w:lang w:val="en-GB"/>
        </w:rPr>
        <w:t>is made</w:t>
      </w:r>
      <w:proofErr w:type="gramEnd"/>
      <w:r w:rsidR="00196B14">
        <w:rPr>
          <w:lang w:val="en-GB"/>
        </w:rPr>
        <w:t xml:space="preserve"> in relation to</w:t>
      </w:r>
      <w:r w:rsidR="00F35C5A">
        <w:rPr>
          <w:lang w:val="en-GB"/>
        </w:rPr>
        <w:t xml:space="preserve"> the information and figures mentioned in this judgment.</w:t>
      </w:r>
    </w:p>
  </w:footnote>
  <w:footnote w:id="4">
    <w:p w:rsidR="004C57FC" w:rsidRPr="004648FA" w:rsidRDefault="004C57FC" w:rsidP="009C541F">
      <w:pPr>
        <w:pStyle w:val="FootnoteText"/>
        <w:spacing w:after="240" w:line="240" w:lineRule="auto"/>
        <w:ind w:left="346" w:hanging="346"/>
        <w:jc w:val="both"/>
        <w:rPr>
          <w:lang w:val="en-GB"/>
        </w:rPr>
      </w:pPr>
      <w:r w:rsidRPr="004648FA">
        <w:rPr>
          <w:rStyle w:val="FootnoteReference"/>
          <w:lang w:val="en-GB"/>
        </w:rPr>
        <w:footnoteRef/>
      </w:r>
      <w:r w:rsidRPr="004648FA">
        <w:rPr>
          <w:lang w:val="en-GB"/>
        </w:rPr>
        <w:t xml:space="preserve"> </w:t>
      </w:r>
      <w:r>
        <w:rPr>
          <w:lang w:val="en-GB"/>
        </w:rPr>
        <w:tab/>
        <w:t xml:space="preserve">In </w:t>
      </w:r>
      <w:proofErr w:type="gramStart"/>
      <w:r>
        <w:rPr>
          <w:lang w:val="en-GB"/>
        </w:rPr>
        <w:t>addition</w:t>
      </w:r>
      <w:proofErr w:type="gramEnd"/>
      <w:r w:rsidRPr="004D5FF8">
        <w:rPr>
          <w:lang w:val="en-GB"/>
        </w:rPr>
        <w:t xml:space="preserve"> </w:t>
      </w:r>
      <w:r>
        <w:rPr>
          <w:lang w:val="en-GB"/>
        </w:rPr>
        <w:t xml:space="preserve">“[t]o </w:t>
      </w:r>
      <w:proofErr w:type="spellStart"/>
      <w:r>
        <w:rPr>
          <w:lang w:val="en-GB"/>
        </w:rPr>
        <w:t>provid</w:t>
      </w:r>
      <w:proofErr w:type="spellEnd"/>
      <w:r>
        <w:rPr>
          <w:lang w:val="en-GB"/>
        </w:rPr>
        <w:t>[</w:t>
      </w:r>
      <w:proofErr w:type="spellStart"/>
      <w:r>
        <w:rPr>
          <w:lang w:val="en-GB"/>
        </w:rPr>
        <w:t>ing</w:t>
      </w:r>
      <w:proofErr w:type="spellEnd"/>
      <w:r>
        <w:rPr>
          <w:lang w:val="en-GB"/>
        </w:rPr>
        <w:t>]</w:t>
      </w:r>
      <w:r w:rsidRPr="004648FA">
        <w:rPr>
          <w:lang w:val="en-GB"/>
        </w:rPr>
        <w:t xml:space="preserve"> affordable rental housing to low-income families with housing needs</w:t>
      </w:r>
      <w:r>
        <w:rPr>
          <w:lang w:val="en-GB"/>
        </w:rPr>
        <w:t>” the HA’s vision is also</w:t>
      </w:r>
      <w:r w:rsidRPr="004648FA">
        <w:rPr>
          <w:lang w:val="en-GB"/>
        </w:rPr>
        <w:t xml:space="preserve"> </w:t>
      </w:r>
      <w:r>
        <w:rPr>
          <w:lang w:val="en-GB"/>
        </w:rPr>
        <w:t>“</w:t>
      </w:r>
      <w:r w:rsidRPr="004648FA">
        <w:rPr>
          <w:lang w:val="en-GB"/>
        </w:rPr>
        <w:t>to help low- to middle-income families gain access to subsidised home ownership”</w:t>
      </w:r>
      <w:r>
        <w:rPr>
          <w:lang w:val="en-GB"/>
        </w:rPr>
        <w:t xml:space="preserve">: HA Corporate Plan, [8], </w:t>
      </w:r>
      <w:r w:rsidRPr="00F320E6">
        <w:rPr>
          <w:lang w:val="en-GB"/>
        </w:rPr>
        <w:t xml:space="preserve">Annex </w:t>
      </w:r>
      <w:proofErr w:type="spellStart"/>
      <w:r w:rsidRPr="00F320E6">
        <w:rPr>
          <w:lang w:val="en-GB"/>
        </w:rPr>
        <w:t>i</w:t>
      </w:r>
      <w:proofErr w:type="spellEnd"/>
      <w:r>
        <w:rPr>
          <w:lang w:val="en-GB"/>
        </w:rPr>
        <w:t>.</w:t>
      </w:r>
      <w:r w:rsidDel="00F320E6">
        <w:rPr>
          <w:lang w:val="en-GB"/>
        </w:rPr>
        <w:t xml:space="preserve"> </w:t>
      </w:r>
    </w:p>
  </w:footnote>
  <w:footnote w:id="5">
    <w:p w:rsidR="004C57FC" w:rsidRPr="001514E6" w:rsidRDefault="004C57FC" w:rsidP="009C541F">
      <w:pPr>
        <w:pStyle w:val="FootnoteText"/>
        <w:spacing w:after="240" w:line="240" w:lineRule="auto"/>
        <w:ind w:left="360" w:hanging="360"/>
        <w:jc w:val="both"/>
      </w:pPr>
      <w:r>
        <w:rPr>
          <w:rStyle w:val="FootnoteReference"/>
        </w:rPr>
        <w:footnoteRef/>
      </w:r>
      <w:r>
        <w:t xml:space="preserve"> </w:t>
      </w:r>
      <w:r>
        <w:tab/>
        <w:t xml:space="preserve">See footnote </w:t>
      </w:r>
      <w:r w:rsidRPr="001F3127">
        <w:t>3</w:t>
      </w:r>
      <w:r>
        <w:t xml:space="preserve"> above and HA Corporate Plan, Annex [2.1] “[t]he core function of HA is to assist low-income families who cannot afford private rental accommodation through the provision of PRH flats … and meeting the home ownership aspirations of the low to middle-income families by providing [</w:t>
      </w:r>
      <w:proofErr w:type="spellStart"/>
      <w:r w:rsidR="00394B81">
        <w:t>subsidised</w:t>
      </w:r>
      <w:proofErr w:type="spellEnd"/>
      <w:r w:rsidR="00394B81">
        <w:t xml:space="preserve"> </w:t>
      </w:r>
      <w:r>
        <w:t xml:space="preserve">sale flats]”.  See also </w:t>
      </w:r>
      <w:r w:rsidRPr="00EE5D9E">
        <w:rPr>
          <w:i/>
        </w:rPr>
        <w:t>Ho Choi Wan v Hong Kong Housing Authority</w:t>
      </w:r>
      <w:r>
        <w:t xml:space="preserve"> (2005) 8 HKCFAR 628, [4] (Li CJ).</w:t>
      </w:r>
    </w:p>
  </w:footnote>
  <w:footnote w:id="6">
    <w:p w:rsidR="004C57FC" w:rsidRPr="004D5FF8" w:rsidRDefault="004C57FC" w:rsidP="009C541F">
      <w:pPr>
        <w:pStyle w:val="FootnoteText"/>
        <w:spacing w:after="240" w:line="240" w:lineRule="auto"/>
        <w:ind w:left="360" w:hanging="360"/>
        <w:jc w:val="both"/>
      </w:pPr>
      <w:r>
        <w:rPr>
          <w:rStyle w:val="FootnoteReference"/>
        </w:rPr>
        <w:footnoteRef/>
      </w:r>
      <w:r>
        <w:t xml:space="preserve"> </w:t>
      </w:r>
      <w:r>
        <w:tab/>
      </w:r>
      <w:r w:rsidRPr="00EE5D9E">
        <w:rPr>
          <w:i/>
        </w:rPr>
        <w:t>Ibid</w:t>
      </w:r>
      <w:r>
        <w:t>.</w:t>
      </w:r>
    </w:p>
  </w:footnote>
  <w:footnote w:id="7">
    <w:p w:rsidR="004C57FC" w:rsidRPr="004D5FF8" w:rsidRDefault="004C57FC" w:rsidP="009C541F">
      <w:pPr>
        <w:pStyle w:val="FootnoteText"/>
        <w:spacing w:after="240" w:line="240" w:lineRule="auto"/>
        <w:ind w:left="360" w:hanging="360"/>
        <w:jc w:val="both"/>
      </w:pPr>
      <w:r>
        <w:rPr>
          <w:rStyle w:val="FootnoteReference"/>
        </w:rPr>
        <w:footnoteRef/>
      </w:r>
      <w:r>
        <w:t xml:space="preserve"> </w:t>
      </w:r>
      <w:r>
        <w:tab/>
      </w:r>
      <w:r w:rsidRPr="00EE5D9E">
        <w:rPr>
          <w:i/>
        </w:rPr>
        <w:t>Ibid</w:t>
      </w:r>
      <w:r>
        <w:t>.</w:t>
      </w:r>
    </w:p>
  </w:footnote>
  <w:footnote w:id="8">
    <w:p w:rsidR="004C57FC" w:rsidRPr="004648FA" w:rsidRDefault="004C57FC" w:rsidP="009C541F">
      <w:pPr>
        <w:pStyle w:val="FootnoteText"/>
        <w:spacing w:after="240" w:line="240" w:lineRule="auto"/>
        <w:ind w:left="360" w:right="-9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lang w:val="en-GB"/>
        </w:rPr>
        <w:t xml:space="preserve">Application Guide for Public Rental Housing </w:t>
      </w:r>
      <w:r>
        <w:rPr>
          <w:lang w:val="en-GB"/>
        </w:rPr>
        <w:t xml:space="preserve">(HD273, </w:t>
      </w:r>
      <w:r w:rsidRPr="004648FA">
        <w:rPr>
          <w:lang w:val="en-GB"/>
        </w:rPr>
        <w:t xml:space="preserve">revised in </w:t>
      </w:r>
      <w:r>
        <w:rPr>
          <w:lang w:val="en-GB"/>
        </w:rPr>
        <w:t>February</w:t>
      </w:r>
      <w:r w:rsidRPr="004648FA">
        <w:rPr>
          <w:lang w:val="en-GB"/>
        </w:rPr>
        <w:t xml:space="preserve"> 20</w:t>
      </w:r>
      <w:r>
        <w:rPr>
          <w:lang w:val="en-GB"/>
        </w:rPr>
        <w:t>15</w:t>
      </w:r>
      <w:r w:rsidRPr="004648FA">
        <w:rPr>
          <w:lang w:val="en-GB"/>
        </w:rPr>
        <w:t xml:space="preserve">) (“PRH Guide”), [2.1]; Reference Table on Income and </w:t>
      </w:r>
      <w:r w:rsidR="00D3432D">
        <w:rPr>
          <w:lang w:val="en-GB"/>
        </w:rPr>
        <w:t xml:space="preserve">Total </w:t>
      </w:r>
      <w:r w:rsidRPr="004648FA">
        <w:rPr>
          <w:lang w:val="en-GB"/>
        </w:rPr>
        <w:t>Net Asset Limits (HD273A</w:t>
      </w:r>
      <w:r>
        <w:rPr>
          <w:lang w:val="en-GB"/>
        </w:rPr>
        <w:t>, March 2015</w:t>
      </w:r>
      <w:r w:rsidRPr="004648FA">
        <w:rPr>
          <w:lang w:val="en-GB"/>
        </w:rPr>
        <w:t>).</w:t>
      </w:r>
    </w:p>
  </w:footnote>
  <w:footnote w:id="9">
    <w:p w:rsidR="004C57FC" w:rsidRDefault="004C57FC" w:rsidP="009C541F">
      <w:pPr>
        <w:pStyle w:val="FootnoteText"/>
        <w:spacing w:after="240" w:line="240" w:lineRule="auto"/>
        <w:ind w:left="360" w:hanging="360"/>
        <w:jc w:val="both"/>
      </w:pPr>
      <w:r>
        <w:rPr>
          <w:rStyle w:val="FootnoteReference"/>
        </w:rPr>
        <w:footnoteRef/>
      </w:r>
      <w:r>
        <w:t xml:space="preserve"> </w:t>
      </w:r>
      <w:r>
        <w:tab/>
      </w:r>
      <w:r w:rsidRPr="00EE5D9E">
        <w:t>PRH Guide</w:t>
      </w:r>
      <w:r>
        <w:t>, [1.2(</w:t>
      </w:r>
      <w:proofErr w:type="spellStart"/>
      <w:r w:rsidR="00CF3D5A">
        <w:t>i</w:t>
      </w:r>
      <w:proofErr w:type="spellEnd"/>
      <w:r>
        <w:t>)].</w:t>
      </w:r>
    </w:p>
  </w:footnote>
  <w:footnote w:id="10">
    <w:p w:rsidR="004C57FC" w:rsidRPr="004648FA" w:rsidRDefault="004C57FC" w:rsidP="009C541F">
      <w:pPr>
        <w:pStyle w:val="FootnoteText"/>
        <w:spacing w:after="240" w:line="240" w:lineRule="auto"/>
        <w:ind w:left="36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i/>
          <w:lang w:val="en-GB"/>
        </w:rPr>
        <w:t>Ibid</w:t>
      </w:r>
      <w:r w:rsidRPr="004648FA">
        <w:rPr>
          <w:lang w:val="en-GB"/>
        </w:rPr>
        <w:t>, [1.2</w:t>
      </w:r>
      <w:r>
        <w:rPr>
          <w:lang w:val="en-GB"/>
        </w:rPr>
        <w:t>(</w:t>
      </w:r>
      <w:r w:rsidR="00CF3D5A">
        <w:rPr>
          <w:lang w:val="en-GB"/>
        </w:rPr>
        <w:t>ii</w:t>
      </w:r>
      <w:r>
        <w:rPr>
          <w:lang w:val="en-GB"/>
        </w:rPr>
        <w:t>)</w:t>
      </w:r>
      <w:r w:rsidRPr="004648FA">
        <w:rPr>
          <w:lang w:val="en-GB"/>
        </w:rPr>
        <w:t>].</w:t>
      </w:r>
    </w:p>
  </w:footnote>
  <w:footnote w:id="11">
    <w:p w:rsidR="004C57FC" w:rsidRPr="004648FA" w:rsidRDefault="004C57FC" w:rsidP="009C541F">
      <w:pPr>
        <w:pStyle w:val="FootnoteText"/>
        <w:spacing w:after="240" w:line="240" w:lineRule="auto"/>
        <w:ind w:left="36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i/>
          <w:lang w:val="en-GB"/>
        </w:rPr>
        <w:t>Ibid</w:t>
      </w:r>
      <w:r w:rsidRPr="004648FA">
        <w:rPr>
          <w:lang w:val="en-GB"/>
        </w:rPr>
        <w:t>, [1.2</w:t>
      </w:r>
      <w:r w:rsidR="00CF3D5A">
        <w:rPr>
          <w:lang w:val="en-GB"/>
        </w:rPr>
        <w:t>(</w:t>
      </w:r>
      <w:proofErr w:type="spellStart"/>
      <w:r w:rsidR="00CF3D5A">
        <w:rPr>
          <w:lang w:val="en-GB"/>
        </w:rPr>
        <w:t>i</w:t>
      </w:r>
      <w:proofErr w:type="spellEnd"/>
      <w:r w:rsidR="00CF3D5A">
        <w:rPr>
          <w:lang w:val="en-GB"/>
        </w:rPr>
        <w:t>)</w:t>
      </w:r>
      <w:r w:rsidRPr="004648FA">
        <w:rPr>
          <w:lang w:val="en-GB"/>
        </w:rPr>
        <w:t>], [2.3] - [2.</w:t>
      </w:r>
      <w:r>
        <w:rPr>
          <w:lang w:val="en-GB"/>
        </w:rPr>
        <w:t>6</w:t>
      </w:r>
      <w:r w:rsidRPr="004648FA">
        <w:rPr>
          <w:lang w:val="en-GB"/>
        </w:rPr>
        <w:t>].</w:t>
      </w:r>
    </w:p>
  </w:footnote>
  <w:footnote w:id="12">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i/>
          <w:lang w:val="en-GB"/>
        </w:rPr>
        <w:t>Ibid</w:t>
      </w:r>
      <w:r w:rsidRPr="004648FA">
        <w:rPr>
          <w:lang w:val="en-GB"/>
        </w:rPr>
        <w:t>, [2.3.3].</w:t>
      </w:r>
    </w:p>
  </w:footnote>
  <w:footnote w:id="13">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i/>
          <w:lang w:val="en-GB"/>
        </w:rPr>
        <w:t>Ibid</w:t>
      </w:r>
      <w:r w:rsidRPr="004648FA">
        <w:rPr>
          <w:lang w:val="en-GB"/>
        </w:rPr>
        <w:t>.</w:t>
      </w:r>
    </w:p>
  </w:footnote>
  <w:footnote w:id="14">
    <w:p w:rsidR="004C57FC" w:rsidRDefault="004C57FC" w:rsidP="001A2EC2">
      <w:pPr>
        <w:pStyle w:val="FootnoteText"/>
        <w:snapToGrid w:val="0"/>
        <w:spacing w:after="240" w:line="240" w:lineRule="auto"/>
        <w:ind w:left="360" w:hangingChars="180" w:hanging="360"/>
        <w:jc w:val="both"/>
      </w:pPr>
      <w:r>
        <w:rPr>
          <w:rStyle w:val="FootnoteReference"/>
        </w:rPr>
        <w:footnoteRef/>
      </w:r>
      <w:r>
        <w:t xml:space="preserve"> </w:t>
      </w:r>
      <w:r>
        <w:tab/>
      </w:r>
      <w:r w:rsidRPr="005B4091">
        <w:rPr>
          <w:lang w:val="en-GB"/>
        </w:rPr>
        <w:t xml:space="preserve">Legislative Council Panel on Home Affairs </w:t>
      </w:r>
      <w:r w:rsidR="004B6766" w:rsidRPr="005B4091">
        <w:rPr>
          <w:lang w:val="en-GB"/>
        </w:rPr>
        <w:t>Subcommittee</w:t>
      </w:r>
      <w:r w:rsidRPr="005B4091">
        <w:rPr>
          <w:lang w:val="en-GB"/>
        </w:rPr>
        <w:t xml:space="preserve"> to Study Discrimination on the Ground of Sexual Orientation (LC Paper No CB(2)786/01-02(01)</w:t>
      </w:r>
      <w:r>
        <w:rPr>
          <w:lang w:val="en-GB"/>
        </w:rPr>
        <w:t xml:space="preserve">, </w:t>
      </w:r>
      <w:r w:rsidRPr="005B4091">
        <w:rPr>
          <w:lang w:val="en-GB"/>
        </w:rPr>
        <w:t>December 2001), [4]: “[t]he present position is that marriage certificates issued by overseas countries for homosexual couples are not legally recognized in Hong Kong.  Therefore, homosexual couples with such marriage certificates are not eligible for applying for public housing unit as a family in Hong Kong”.</w:t>
      </w:r>
    </w:p>
  </w:footnote>
  <w:footnote w:id="15">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Pr>
          <w:lang w:val="en-GB"/>
        </w:rPr>
        <w:tab/>
      </w:r>
      <w:proofErr w:type="gramStart"/>
      <w:r w:rsidRPr="00F320E6">
        <w:rPr>
          <w:lang w:val="en-GB"/>
        </w:rPr>
        <w:t>2</w:t>
      </w:r>
      <w:r w:rsidRPr="00F320E6">
        <w:rPr>
          <w:vertAlign w:val="superscript"/>
          <w:lang w:val="en-GB"/>
        </w:rPr>
        <w:t>nd</w:t>
      </w:r>
      <w:proofErr w:type="gramEnd"/>
      <w:r w:rsidRPr="00F320E6">
        <w:rPr>
          <w:lang w:val="en-GB"/>
        </w:rPr>
        <w:t xml:space="preserve"> Affidavit of Hui Bing Chiu dated 27 March 2019 (HCAL 2647/2018), [34]</w:t>
      </w:r>
      <w:r w:rsidRPr="004648FA">
        <w:rPr>
          <w:lang w:val="en-GB"/>
        </w:rPr>
        <w:t>.</w:t>
      </w:r>
    </w:p>
  </w:footnote>
  <w:footnote w:id="16">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lang w:val="en-GB"/>
        </w:rPr>
        <w:t>Being the “Single Elderly Persons Priority Scheme”, the “Elderly Persons Priority Scheme” and the “Harmonious Families Priority Scheme” referred to at [</w:t>
      </w:r>
      <w:r w:rsidRPr="001F3127">
        <w:rPr>
          <w:lang w:val="en-GB"/>
        </w:rPr>
        <w:t>5</w:t>
      </w:r>
      <w:r w:rsidRPr="004648FA">
        <w:rPr>
          <w:lang w:val="en-GB"/>
        </w:rPr>
        <w:t>] above.</w:t>
      </w:r>
    </w:p>
  </w:footnote>
  <w:footnote w:id="17">
    <w:p w:rsidR="004C57FC" w:rsidRDefault="004C57FC" w:rsidP="009C541F">
      <w:pPr>
        <w:pStyle w:val="FootnoteText"/>
        <w:spacing w:after="240" w:line="240" w:lineRule="auto"/>
        <w:ind w:left="360" w:hangingChars="180" w:hanging="360"/>
        <w:jc w:val="both"/>
      </w:pPr>
      <w:r>
        <w:rPr>
          <w:rStyle w:val="FootnoteReference"/>
        </w:rPr>
        <w:footnoteRef/>
      </w:r>
      <w:r>
        <w:t xml:space="preserve">   </w:t>
      </w:r>
      <w:r>
        <w:tab/>
      </w:r>
      <w:r>
        <w:rPr>
          <w:rFonts w:hint="eastAsia"/>
        </w:rPr>
        <w:t>P</w:t>
      </w:r>
      <w:r>
        <w:t>RH Guide, [2.4.3], [2.5.4] and [2.6.4].</w:t>
      </w:r>
    </w:p>
  </w:footnote>
  <w:footnote w:id="18">
    <w:p w:rsidR="004C57FC" w:rsidRPr="004648FA" w:rsidRDefault="004C57FC" w:rsidP="001A2EC2">
      <w:pPr>
        <w:pStyle w:val="FootnoteText"/>
        <w:snapToGrid w:val="0"/>
        <w:spacing w:after="240" w:line="240" w:lineRule="auto"/>
        <w:ind w:left="360" w:right="-9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lang w:val="en-GB"/>
        </w:rPr>
        <w:t>PRH Guide, [2.3.6]</w:t>
      </w:r>
      <w:r>
        <w:rPr>
          <w:lang w:val="en-GB"/>
        </w:rPr>
        <w:t xml:space="preserve"> (processing time also depends on family size and the choice of PRH estate district)</w:t>
      </w:r>
      <w:r w:rsidRPr="004648FA">
        <w:rPr>
          <w:lang w:val="en-GB"/>
        </w:rPr>
        <w:t>.</w:t>
      </w:r>
      <w:r>
        <w:rPr>
          <w:lang w:val="en-GB"/>
        </w:rPr>
        <w:t xml:space="preserve">  </w:t>
      </w:r>
      <w:proofErr w:type="gramStart"/>
      <w:r>
        <w:rPr>
          <w:lang w:val="en-GB"/>
        </w:rPr>
        <w:t>But</w:t>
      </w:r>
      <w:proofErr w:type="gramEnd"/>
      <w:r>
        <w:rPr>
          <w:lang w:val="en-GB"/>
        </w:rPr>
        <w:t xml:space="preserve"> see footnote </w:t>
      </w:r>
      <w:r w:rsidRPr="001F3127">
        <w:rPr>
          <w:lang w:val="en-GB"/>
        </w:rPr>
        <w:t>118</w:t>
      </w:r>
      <w:r>
        <w:rPr>
          <w:lang w:val="en-GB"/>
        </w:rPr>
        <w:t xml:space="preserve"> below.</w:t>
      </w:r>
    </w:p>
  </w:footnote>
  <w:footnote w:id="19">
    <w:p w:rsidR="004C57FC" w:rsidRDefault="004C57FC" w:rsidP="009C541F">
      <w:pPr>
        <w:pStyle w:val="FootnoteText"/>
        <w:spacing w:after="240" w:line="240" w:lineRule="auto"/>
        <w:ind w:left="360" w:hanging="360"/>
        <w:jc w:val="both"/>
      </w:pPr>
      <w:r>
        <w:rPr>
          <w:rStyle w:val="FootnoteReference"/>
        </w:rPr>
        <w:footnoteRef/>
      </w:r>
      <w:r>
        <w:t xml:space="preserve"> </w:t>
      </w:r>
      <w:r>
        <w:tab/>
      </w:r>
      <w:r>
        <w:rPr>
          <w:rFonts w:hint="eastAsia"/>
        </w:rPr>
        <w:t>PRH Guide, [2.7]</w:t>
      </w:r>
      <w:r>
        <w:t>.</w:t>
      </w:r>
    </w:p>
  </w:footnote>
  <w:footnote w:id="20">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lang w:val="en-GB"/>
        </w:rPr>
        <w:t>HA Corporate Plan, Annex [3.4].</w:t>
      </w:r>
    </w:p>
  </w:footnote>
  <w:footnote w:id="21">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i/>
          <w:lang w:val="en-GB"/>
        </w:rPr>
        <w:t>Ibid</w:t>
      </w:r>
      <w:r w:rsidRPr="004648FA">
        <w:rPr>
          <w:lang w:val="en-GB"/>
        </w:rPr>
        <w:t>.</w:t>
      </w:r>
    </w:p>
  </w:footnote>
  <w:footnote w:id="22">
    <w:p w:rsidR="004C57FC" w:rsidRPr="001A0C60" w:rsidRDefault="004C57FC" w:rsidP="009C541F">
      <w:pPr>
        <w:pStyle w:val="FootnoteText"/>
        <w:spacing w:after="240" w:line="240" w:lineRule="auto"/>
      </w:pPr>
      <w:r>
        <w:rPr>
          <w:rStyle w:val="FootnoteReference"/>
        </w:rPr>
        <w:footnoteRef/>
      </w:r>
      <w:r>
        <w:t xml:space="preserve">    </w:t>
      </w:r>
      <w:proofErr w:type="gramStart"/>
      <w:r w:rsidRPr="001A0C60">
        <w:rPr>
          <w:lang w:val="en-GB"/>
        </w:rPr>
        <w:t>2</w:t>
      </w:r>
      <w:r w:rsidRPr="001A0C60">
        <w:rPr>
          <w:vertAlign w:val="superscript"/>
          <w:lang w:val="en-GB"/>
        </w:rPr>
        <w:t>nd</w:t>
      </w:r>
      <w:proofErr w:type="gramEnd"/>
      <w:r w:rsidRPr="001A0C60">
        <w:rPr>
          <w:lang w:val="en-GB"/>
        </w:rPr>
        <w:t xml:space="preserve"> Affidavit of Hui Bing Chiu, [38].</w:t>
      </w:r>
    </w:p>
  </w:footnote>
  <w:footnote w:id="23">
    <w:p w:rsidR="004C57FC" w:rsidRDefault="004C57FC" w:rsidP="009C541F">
      <w:pPr>
        <w:pStyle w:val="FootnoteText"/>
        <w:spacing w:after="240" w:line="240" w:lineRule="auto"/>
      </w:pPr>
      <w:r>
        <w:rPr>
          <w:rStyle w:val="FootnoteReference"/>
        </w:rPr>
        <w:footnoteRef/>
      </w:r>
      <w:r>
        <w:t xml:space="preserve"> </w:t>
      </w:r>
      <w:r>
        <w:rPr>
          <w:rFonts w:hint="eastAsia"/>
        </w:rPr>
        <w:t xml:space="preserve"> </w:t>
      </w:r>
      <w:r>
        <w:t xml:space="preserve">  See [7] above</w:t>
      </w:r>
      <w:r>
        <w:rPr>
          <w:lang w:val="en-GB"/>
        </w:rPr>
        <w:t>.</w:t>
      </w:r>
    </w:p>
  </w:footnote>
  <w:footnote w:id="24">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002E4F96" w:rsidRPr="002E4F96">
        <w:rPr>
          <w:lang w:val="en-GB"/>
        </w:rPr>
        <w:t>HA Corporate Plan, Annex [3.4].</w:t>
      </w:r>
    </w:p>
  </w:footnote>
  <w:footnote w:id="25">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lang w:val="en-GB"/>
        </w:rPr>
        <w:t>Housing (Amendment) (No 2) Ordinance (33 of 1978)</w:t>
      </w:r>
      <w:proofErr w:type="gramStart"/>
      <w:r>
        <w:rPr>
          <w:lang w:val="en-GB"/>
        </w:rPr>
        <w:t>;</w:t>
      </w:r>
      <w:proofErr w:type="gramEnd"/>
      <w:r>
        <w:rPr>
          <w:lang w:val="en-GB"/>
        </w:rPr>
        <w:t xml:space="preserve"> Long Term Housing Strategy:</w:t>
      </w:r>
      <w:r w:rsidRPr="004648FA">
        <w:rPr>
          <w:lang w:val="en-GB"/>
        </w:rPr>
        <w:t xml:space="preserve"> A Policy Statement (April 1987)</w:t>
      </w:r>
      <w:r>
        <w:rPr>
          <w:lang w:val="en-GB"/>
        </w:rPr>
        <w:t xml:space="preserve"> (“Policy Statement”)</w:t>
      </w:r>
      <w:r w:rsidRPr="004648FA">
        <w:rPr>
          <w:lang w:val="en-GB"/>
        </w:rPr>
        <w:t>, [14]</w:t>
      </w:r>
      <w:r>
        <w:rPr>
          <w:lang w:val="en-GB"/>
        </w:rPr>
        <w:t>.</w:t>
      </w:r>
    </w:p>
  </w:footnote>
  <w:footnote w:id="26">
    <w:p w:rsidR="004C57FC" w:rsidRDefault="004C57FC" w:rsidP="009C541F">
      <w:pPr>
        <w:pStyle w:val="FootnoteText"/>
        <w:spacing w:after="240" w:line="240" w:lineRule="auto"/>
        <w:ind w:left="360" w:hanging="360"/>
        <w:jc w:val="both"/>
      </w:pPr>
      <w:r>
        <w:rPr>
          <w:rStyle w:val="FootnoteReference"/>
        </w:rPr>
        <w:footnoteRef/>
      </w:r>
      <w:r>
        <w:t xml:space="preserve"> </w:t>
      </w:r>
      <w:r>
        <w:tab/>
        <w:t>Policy Statement, [16] - [17].</w:t>
      </w:r>
    </w:p>
  </w:footnote>
  <w:footnote w:id="27">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EE5D9E">
        <w:rPr>
          <w:i/>
          <w:lang w:val="en-GB"/>
        </w:rPr>
        <w:t>Ibid</w:t>
      </w:r>
      <w:r w:rsidRPr="004648FA">
        <w:rPr>
          <w:lang w:val="en-GB"/>
        </w:rPr>
        <w:t>.</w:t>
      </w:r>
    </w:p>
  </w:footnote>
  <w:footnote w:id="28">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Pr>
          <w:lang w:val="en-GB"/>
        </w:rPr>
        <w:tab/>
      </w:r>
      <w:r w:rsidRPr="004648FA">
        <w:rPr>
          <w:lang w:val="en-GB"/>
        </w:rPr>
        <w:t>Information Booklet on General Housing Policies (</w:t>
      </w:r>
      <w:r w:rsidRPr="00F320E6">
        <w:rPr>
          <w:lang w:val="en-GB"/>
        </w:rPr>
        <w:t>August 2018</w:t>
      </w:r>
      <w:r w:rsidRPr="004648FA">
        <w:rPr>
          <w:lang w:val="en-GB"/>
        </w:rPr>
        <w:t xml:space="preserve">), Section A, Chapter 6: Home Ownership Scheme (“General Housing Policies”), </w:t>
      </w:r>
      <w:r>
        <w:rPr>
          <w:lang w:val="en-GB"/>
        </w:rPr>
        <w:t>2, 4</w:t>
      </w:r>
      <w:proofErr w:type="gramStart"/>
      <w:r w:rsidRPr="004648FA">
        <w:rPr>
          <w:lang w:val="en-GB"/>
        </w:rPr>
        <w:t>;</w:t>
      </w:r>
      <w:proofErr w:type="gramEnd"/>
      <w:r w:rsidRPr="004648FA">
        <w:rPr>
          <w:lang w:val="en-GB"/>
        </w:rPr>
        <w:t xml:space="preserve"> </w:t>
      </w:r>
      <w:proofErr w:type="spellStart"/>
      <w:r w:rsidRPr="004648FA">
        <w:rPr>
          <w:i/>
          <w:lang w:val="en-GB"/>
        </w:rPr>
        <w:t>Cheuk</w:t>
      </w:r>
      <w:proofErr w:type="spellEnd"/>
      <w:r w:rsidRPr="004648FA">
        <w:rPr>
          <w:i/>
          <w:lang w:val="en-GB"/>
        </w:rPr>
        <w:t xml:space="preserve"> Shu Yin v Yip So Wan</w:t>
      </w:r>
      <w:r w:rsidRPr="004648FA">
        <w:rPr>
          <w:lang w:val="en-GB"/>
        </w:rPr>
        <w:t xml:space="preserve"> (2012) 15 HKCFAR 344, [4] (Chan PJ).</w:t>
      </w:r>
    </w:p>
  </w:footnote>
  <w:footnote w:id="29">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Pr>
          <w:lang w:val="en-GB"/>
        </w:rPr>
        <w:tab/>
      </w:r>
      <w:r w:rsidRPr="004648FA">
        <w:rPr>
          <w:lang w:val="en-GB"/>
        </w:rPr>
        <w:t xml:space="preserve">General Housing Policies, </w:t>
      </w:r>
      <w:r>
        <w:rPr>
          <w:lang w:val="en-GB"/>
        </w:rPr>
        <w:t>2 - 3</w:t>
      </w:r>
      <w:r w:rsidRPr="004648FA">
        <w:rPr>
          <w:lang w:val="en-GB"/>
        </w:rPr>
        <w:t>.</w:t>
      </w:r>
    </w:p>
  </w:footnote>
  <w:footnote w:id="30">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lang w:val="en-GB"/>
        </w:rPr>
        <w:t xml:space="preserve">Section 17B </w:t>
      </w:r>
      <w:r>
        <w:rPr>
          <w:lang w:val="en-GB"/>
        </w:rPr>
        <w:t xml:space="preserve">of </w:t>
      </w:r>
      <w:r w:rsidRPr="004648FA">
        <w:rPr>
          <w:lang w:val="en-GB"/>
        </w:rPr>
        <w:t xml:space="preserve">and the Schedule to the </w:t>
      </w:r>
      <w:r>
        <w:rPr>
          <w:lang w:val="en-GB"/>
        </w:rPr>
        <w:t xml:space="preserve">Housing </w:t>
      </w:r>
      <w:r w:rsidRPr="004648FA">
        <w:rPr>
          <w:lang w:val="en-GB"/>
        </w:rPr>
        <w:t>Ordinance.</w:t>
      </w:r>
    </w:p>
  </w:footnote>
  <w:footnote w:id="31">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proofErr w:type="gramStart"/>
      <w:r w:rsidR="00DD519D" w:rsidRPr="00DD519D">
        <w:rPr>
          <w:lang w:val="en-GB"/>
        </w:rPr>
        <w:t>2</w:t>
      </w:r>
      <w:r w:rsidR="00DD519D" w:rsidRPr="00FF17C3">
        <w:rPr>
          <w:vertAlign w:val="superscript"/>
          <w:lang w:val="en-GB"/>
        </w:rPr>
        <w:t>nd</w:t>
      </w:r>
      <w:proofErr w:type="gramEnd"/>
      <w:r w:rsidR="00DD519D">
        <w:rPr>
          <w:lang w:val="en-GB"/>
        </w:rPr>
        <w:t xml:space="preserve"> </w:t>
      </w:r>
      <w:r w:rsidR="00DD519D" w:rsidRPr="00DD519D">
        <w:rPr>
          <w:lang w:val="en-GB"/>
        </w:rPr>
        <w:t xml:space="preserve">Affirmation of Leung </w:t>
      </w:r>
      <w:proofErr w:type="spellStart"/>
      <w:r w:rsidR="00DD519D" w:rsidRPr="00DD519D">
        <w:rPr>
          <w:lang w:val="en-GB"/>
        </w:rPr>
        <w:t>Tak</w:t>
      </w:r>
      <w:proofErr w:type="spellEnd"/>
      <w:r w:rsidR="00DD519D" w:rsidRPr="00DD519D">
        <w:rPr>
          <w:lang w:val="en-GB"/>
        </w:rPr>
        <w:t xml:space="preserve"> Yan dated 16 December 2020 (HCAL 2875/2019), [49].</w:t>
      </w:r>
    </w:p>
  </w:footnote>
  <w:footnote w:id="32">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lang w:val="en-GB"/>
        </w:rPr>
        <w:t xml:space="preserve">Memorandum for the Home Ownership Committee on the Rules of Eligibility and Disqualification </w:t>
      </w:r>
      <w:r w:rsidR="0067156F">
        <w:rPr>
          <w:lang w:val="en-GB"/>
        </w:rPr>
        <w:t xml:space="preserve">of HOS </w:t>
      </w:r>
      <w:r w:rsidRPr="004648FA">
        <w:rPr>
          <w:lang w:val="en-GB"/>
        </w:rPr>
        <w:t>(Paper No HOC 8/77</w:t>
      </w:r>
      <w:r>
        <w:rPr>
          <w:lang w:val="en-GB"/>
        </w:rPr>
        <w:t>, 11 August 1977</w:t>
      </w:r>
      <w:r w:rsidRPr="004648FA">
        <w:rPr>
          <w:lang w:val="en-GB"/>
        </w:rPr>
        <w:t>), [3].</w:t>
      </w:r>
    </w:p>
  </w:footnote>
  <w:footnote w:id="33">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i/>
          <w:lang w:val="en-GB"/>
        </w:rPr>
        <w:t>Ibid</w:t>
      </w:r>
      <w:r w:rsidRPr="004648FA">
        <w:rPr>
          <w:lang w:val="en-GB"/>
        </w:rPr>
        <w:t>, [4].</w:t>
      </w:r>
    </w:p>
  </w:footnote>
  <w:footnote w:id="34">
    <w:p w:rsidR="004C57FC" w:rsidRPr="006B080A" w:rsidRDefault="004C57FC" w:rsidP="001A2EC2">
      <w:pPr>
        <w:pStyle w:val="FootnoteText"/>
        <w:spacing w:after="240" w:line="240" w:lineRule="auto"/>
        <w:ind w:left="360" w:hangingChars="180" w:hanging="360"/>
        <w:jc w:val="both"/>
      </w:pPr>
      <w:r w:rsidRPr="00F320E6">
        <w:rPr>
          <w:rStyle w:val="FootnoteReference"/>
        </w:rPr>
        <w:footnoteRef/>
      </w:r>
      <w:r w:rsidRPr="00F320E6">
        <w:t xml:space="preserve">   </w:t>
      </w:r>
      <w:r w:rsidRPr="00F320E6">
        <w:tab/>
      </w:r>
      <w:proofErr w:type="gramStart"/>
      <w:r w:rsidRPr="00F320E6">
        <w:rPr>
          <w:lang w:val="en-GB"/>
        </w:rPr>
        <w:t>2</w:t>
      </w:r>
      <w:r w:rsidRPr="00F320E6">
        <w:rPr>
          <w:vertAlign w:val="superscript"/>
          <w:lang w:val="en-GB"/>
        </w:rPr>
        <w:t>nd</w:t>
      </w:r>
      <w:proofErr w:type="gramEnd"/>
      <w:r w:rsidRPr="00F320E6">
        <w:rPr>
          <w:lang w:val="en-GB"/>
        </w:rPr>
        <w:t xml:space="preserve"> Affirmation of Leung </w:t>
      </w:r>
      <w:proofErr w:type="spellStart"/>
      <w:r w:rsidRPr="00F320E6">
        <w:rPr>
          <w:lang w:val="en-GB"/>
        </w:rPr>
        <w:t>Tak</w:t>
      </w:r>
      <w:proofErr w:type="spellEnd"/>
      <w:r w:rsidRPr="00F320E6">
        <w:rPr>
          <w:lang w:val="en-GB"/>
        </w:rPr>
        <w:t xml:space="preserve"> Yan, [54], [57] </w:t>
      </w:r>
      <w:r w:rsidRPr="00EE5D9E">
        <w:rPr>
          <w:lang w:val="en-GB"/>
        </w:rPr>
        <w:t>-</w:t>
      </w:r>
      <w:r w:rsidRPr="00F320E6">
        <w:rPr>
          <w:lang w:val="en-GB"/>
        </w:rPr>
        <w:t xml:space="preserve"> [58].</w:t>
      </w:r>
    </w:p>
  </w:footnote>
  <w:footnote w:id="35">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Pr>
          <w:i/>
          <w:lang w:val="en-GB"/>
        </w:rPr>
        <w:t xml:space="preserve">Ibid, </w:t>
      </w:r>
      <w:r>
        <w:rPr>
          <w:lang w:val="en-GB"/>
        </w:rPr>
        <w:t xml:space="preserve">[55] - [58]; Application for Addition / Deletion of Family Member(s) (HD771E, revised in May 2018) (“Application for Addition”); Information for </w:t>
      </w:r>
      <w:r w:rsidR="009C00B3">
        <w:rPr>
          <w:lang w:val="en-GB"/>
        </w:rPr>
        <w:t xml:space="preserve">Applicants on </w:t>
      </w:r>
      <w:r>
        <w:rPr>
          <w:lang w:val="en-GB"/>
        </w:rPr>
        <w:t>Application for Transfer of Ownership (HD7-e, revised in April 2019) (“Application of Transfer of Ownership”), [1] - [2].</w:t>
      </w:r>
    </w:p>
  </w:footnote>
  <w:footnote w:id="36">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lang w:val="en-GB"/>
        </w:rPr>
        <w:t>General Housing Policies, 2; Application for Addition, Note 3(a); Application for Transfer of Ownership, [2(A)].</w:t>
      </w:r>
    </w:p>
  </w:footnote>
  <w:footnote w:id="37">
    <w:p w:rsidR="004C57FC" w:rsidRDefault="004C57FC" w:rsidP="009C541F">
      <w:pPr>
        <w:pStyle w:val="FootnoteText"/>
        <w:spacing w:after="240" w:line="240" w:lineRule="auto"/>
        <w:ind w:left="360" w:hanging="360"/>
        <w:jc w:val="both"/>
      </w:pPr>
      <w:r>
        <w:rPr>
          <w:rStyle w:val="FootnoteReference"/>
        </w:rPr>
        <w:footnoteRef/>
      </w:r>
      <w:r>
        <w:t xml:space="preserve"> </w:t>
      </w:r>
      <w:r>
        <w:tab/>
      </w:r>
      <w:r>
        <w:rPr>
          <w:rFonts w:hint="eastAsia"/>
        </w:rPr>
        <w:t xml:space="preserve">See footnote </w:t>
      </w:r>
      <w:r w:rsidRPr="009E4739">
        <w:rPr>
          <w:rFonts w:hint="eastAsia"/>
        </w:rPr>
        <w:t>1 above</w:t>
      </w:r>
      <w:r w:rsidRPr="009E4739">
        <w:t xml:space="preserve"> and footnotes 3</w:t>
      </w:r>
      <w:r w:rsidR="00646A4B" w:rsidRPr="009E4739">
        <w:t>9</w:t>
      </w:r>
      <w:r w:rsidRPr="009E4739">
        <w:t xml:space="preserve"> and 4</w:t>
      </w:r>
      <w:r w:rsidR="00646A4B" w:rsidRPr="009E4739">
        <w:t>2</w:t>
      </w:r>
      <w:r>
        <w:t xml:space="preserve"> below.</w:t>
      </w:r>
    </w:p>
  </w:footnote>
  <w:footnote w:id="38">
    <w:p w:rsidR="004C57FC" w:rsidRDefault="004C57FC" w:rsidP="009C541F">
      <w:pPr>
        <w:pStyle w:val="FootnoteText"/>
        <w:spacing w:after="240" w:line="240" w:lineRule="auto"/>
        <w:ind w:left="360" w:hanging="360"/>
        <w:jc w:val="both"/>
      </w:pPr>
      <w:r>
        <w:rPr>
          <w:rStyle w:val="FootnoteReference"/>
        </w:rPr>
        <w:footnoteRef/>
      </w:r>
      <w:r>
        <w:t xml:space="preserve"> </w:t>
      </w:r>
      <w:r>
        <w:tab/>
      </w:r>
      <w:r>
        <w:rPr>
          <w:rFonts w:hint="eastAsia"/>
        </w:rPr>
        <w:t xml:space="preserve">Letter from the HA to </w:t>
      </w:r>
      <w:proofErr w:type="spellStart"/>
      <w:r>
        <w:rPr>
          <w:rFonts w:hint="eastAsia"/>
        </w:rPr>
        <w:t>Mr</w:t>
      </w:r>
      <w:proofErr w:type="spellEnd"/>
      <w:r>
        <w:rPr>
          <w:rFonts w:hint="eastAsia"/>
        </w:rPr>
        <w:t xml:space="preserve"> </w:t>
      </w:r>
      <w:proofErr w:type="spellStart"/>
      <w:r>
        <w:rPr>
          <w:rFonts w:hint="eastAsia"/>
        </w:rPr>
        <w:t>Infinger</w:t>
      </w:r>
      <w:r>
        <w:t>’s</w:t>
      </w:r>
      <w:proofErr w:type="spellEnd"/>
      <w:r>
        <w:t xml:space="preserve"> solicitors </w:t>
      </w:r>
      <w:r>
        <w:rPr>
          <w:rFonts w:hint="eastAsia"/>
        </w:rPr>
        <w:t xml:space="preserve">dated 24 </w:t>
      </w:r>
      <w:r>
        <w:t>August 2018</w:t>
      </w:r>
      <w:r>
        <w:rPr>
          <w:rFonts w:hint="eastAsia"/>
        </w:rPr>
        <w:t xml:space="preserve"> </w:t>
      </w:r>
      <w:r>
        <w:t>stating that “the relationship between the Applicant and [his same-sex spouse] falls outside the meaning of husband and wife in … paragraph 2.2.3 of the [PRH Guide]”.</w:t>
      </w:r>
    </w:p>
  </w:footnote>
  <w:footnote w:id="39">
    <w:p w:rsidR="004C57FC" w:rsidRPr="007F08D6" w:rsidRDefault="004C57FC" w:rsidP="001A2EC2">
      <w:pPr>
        <w:pStyle w:val="FootnoteText"/>
        <w:snapToGrid w:val="0"/>
        <w:spacing w:after="240" w:line="240" w:lineRule="auto"/>
        <w:ind w:left="360" w:hangingChars="180" w:hanging="360"/>
        <w:jc w:val="both"/>
      </w:pPr>
      <w:r>
        <w:rPr>
          <w:rStyle w:val="FootnoteReference"/>
        </w:rPr>
        <w:footnoteRef/>
      </w:r>
      <w:r>
        <w:t xml:space="preserve"> </w:t>
      </w:r>
      <w:r>
        <w:tab/>
      </w:r>
      <w:r>
        <w:rPr>
          <w:rFonts w:hint="eastAsia"/>
        </w:rPr>
        <w:t>H</w:t>
      </w:r>
      <w:r>
        <w:t xml:space="preserve">CAL 2647/2018.  </w:t>
      </w:r>
      <w:proofErr w:type="spellStart"/>
      <w:r>
        <w:t>Mr</w:t>
      </w:r>
      <w:proofErr w:type="spellEnd"/>
      <w:r>
        <w:t xml:space="preserve"> </w:t>
      </w:r>
      <w:proofErr w:type="spellStart"/>
      <w:r>
        <w:t>Infinger</w:t>
      </w:r>
      <w:proofErr w:type="spellEnd"/>
      <w:r>
        <w:t xml:space="preserve"> also relied on his right to </w:t>
      </w:r>
      <w:r w:rsidR="009E4739">
        <w:t xml:space="preserve">respect for </w:t>
      </w:r>
      <w:r>
        <w:t>private and family life under Articles 1(1) and 14 of the Hong Kong Bill of Rights as well as the common law principle of equality: PRH Judgment, [9]</w:t>
      </w:r>
      <w:proofErr w:type="gramStart"/>
      <w:r>
        <w:t>.  However</w:t>
      </w:r>
      <w:proofErr w:type="gramEnd"/>
      <w:r>
        <w:t xml:space="preserve">, Chow J disposed of the case on the basis of discrimination and did not address the other grounds raised by </w:t>
      </w:r>
      <w:proofErr w:type="spellStart"/>
      <w:r>
        <w:t>Mr</w:t>
      </w:r>
      <w:proofErr w:type="spellEnd"/>
      <w:r>
        <w:t xml:space="preserve"> </w:t>
      </w:r>
      <w:proofErr w:type="spellStart"/>
      <w:r>
        <w:t>Infinger</w:t>
      </w:r>
      <w:proofErr w:type="spellEnd"/>
      <w:r>
        <w:t>: PRH Judgment, [56(1)].</w:t>
      </w:r>
    </w:p>
  </w:footnote>
  <w:footnote w:id="40">
    <w:p w:rsidR="004C57FC" w:rsidRDefault="004C57FC" w:rsidP="009C541F">
      <w:pPr>
        <w:pStyle w:val="FootnoteText"/>
        <w:spacing w:after="240" w:line="240" w:lineRule="auto"/>
        <w:ind w:left="360" w:hangingChars="180" w:hanging="360"/>
        <w:jc w:val="both"/>
      </w:pPr>
      <w:r>
        <w:rPr>
          <w:rStyle w:val="FootnoteReference"/>
        </w:rPr>
        <w:footnoteRef/>
      </w:r>
      <w:r>
        <w:t xml:space="preserve"> </w:t>
      </w:r>
      <w:r>
        <w:tab/>
        <w:t xml:space="preserve">Affidavit of Li </w:t>
      </w:r>
      <w:proofErr w:type="spellStart"/>
      <w:r>
        <w:t>Yik</w:t>
      </w:r>
      <w:proofErr w:type="spellEnd"/>
      <w:r>
        <w:t xml:space="preserve"> Ho dated 22 March 2021 (HCAL 2875/2019), [27].</w:t>
      </w:r>
    </w:p>
  </w:footnote>
  <w:footnote w:id="41">
    <w:p w:rsidR="004C57FC" w:rsidRPr="004648FA" w:rsidRDefault="004C57FC" w:rsidP="009C541F">
      <w:pPr>
        <w:pStyle w:val="FootnoteText"/>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lang w:val="en-GB"/>
        </w:rPr>
        <w:t xml:space="preserve">See </w:t>
      </w:r>
      <w:r w:rsidRPr="009171AC">
        <w:rPr>
          <w:lang w:val="en-GB"/>
        </w:rPr>
        <w:t>[11]</w:t>
      </w:r>
      <w:r w:rsidRPr="004648FA">
        <w:rPr>
          <w:lang w:val="en-GB"/>
        </w:rPr>
        <w:t xml:space="preserve"> above.</w:t>
      </w:r>
    </w:p>
  </w:footnote>
  <w:footnote w:id="42">
    <w:p w:rsidR="004C57FC" w:rsidRPr="007F08D6" w:rsidRDefault="004C57FC" w:rsidP="009C541F">
      <w:pPr>
        <w:pStyle w:val="FootnoteText"/>
        <w:spacing w:after="240" w:line="240" w:lineRule="auto"/>
        <w:ind w:left="360" w:hangingChars="180" w:hanging="360"/>
        <w:jc w:val="both"/>
      </w:pPr>
      <w:r>
        <w:rPr>
          <w:rStyle w:val="FootnoteReference"/>
        </w:rPr>
        <w:footnoteRef/>
      </w:r>
      <w:r>
        <w:t xml:space="preserve"> </w:t>
      </w:r>
      <w:r>
        <w:tab/>
        <w:t xml:space="preserve">HCAL 2875/2019.  </w:t>
      </w:r>
      <w:proofErr w:type="spellStart"/>
      <w:r>
        <w:t>Mr</w:t>
      </w:r>
      <w:proofErr w:type="spellEnd"/>
      <w:r>
        <w:t xml:space="preserve"> Li also relied on the right to </w:t>
      </w:r>
      <w:r w:rsidR="009E4739" w:rsidRPr="009E4739">
        <w:t xml:space="preserve">respect for </w:t>
      </w:r>
      <w:r>
        <w:t xml:space="preserve">private and family life under </w:t>
      </w:r>
      <w:proofErr w:type="gramStart"/>
      <w:r>
        <w:t>BOR1(</w:t>
      </w:r>
      <w:proofErr w:type="gramEnd"/>
      <w:r>
        <w:t>1) and 14, the right to property under Articles 6, 25 and 105 of the Basic Law, and the right to equality under common law: HOS Judgment [11].  As Chow JA also disposed of the challenge on the grounds of discrimination, it was unnecessary to address these other grounds: HOS Judgment, [79].</w:t>
      </w:r>
    </w:p>
  </w:footnote>
  <w:footnote w:id="43">
    <w:p w:rsidR="004C57FC" w:rsidRPr="004648FA" w:rsidRDefault="004C57FC" w:rsidP="009C541F">
      <w:pPr>
        <w:pStyle w:val="FootnoteText"/>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t>HOS</w:t>
      </w:r>
      <w:r w:rsidRPr="003340E9">
        <w:rPr>
          <w:lang w:val="en-GB"/>
        </w:rPr>
        <w:t xml:space="preserve"> Judgment, </w:t>
      </w:r>
      <w:r w:rsidRPr="004648FA">
        <w:rPr>
          <w:lang w:val="en-GB"/>
        </w:rPr>
        <w:t>[14].</w:t>
      </w:r>
    </w:p>
  </w:footnote>
  <w:footnote w:id="44">
    <w:p w:rsidR="004C57FC" w:rsidRPr="005B4091" w:rsidRDefault="004C57FC" w:rsidP="009C541F">
      <w:pPr>
        <w:pStyle w:val="FootnoteText"/>
        <w:spacing w:after="240" w:line="240" w:lineRule="auto"/>
        <w:ind w:left="360" w:right="90" w:hangingChars="180" w:hanging="360"/>
        <w:jc w:val="both"/>
      </w:pPr>
      <w:r>
        <w:rPr>
          <w:rStyle w:val="FootnoteReference"/>
        </w:rPr>
        <w:footnoteRef/>
      </w:r>
      <w:r>
        <w:t xml:space="preserve"> </w:t>
      </w:r>
      <w:r>
        <w:tab/>
        <w:t>A</w:t>
      </w:r>
      <w:r w:rsidRPr="005B4091">
        <w:rPr>
          <w:lang w:val="en-GB"/>
        </w:rPr>
        <w:t xml:space="preserve">s Chow J in the PRH proceedings and </w:t>
      </w:r>
      <w:r>
        <w:rPr>
          <w:lang w:val="en-GB"/>
        </w:rPr>
        <w:t xml:space="preserve">as </w:t>
      </w:r>
      <w:r w:rsidRPr="005B4091">
        <w:rPr>
          <w:lang w:val="en-GB"/>
        </w:rPr>
        <w:t>an additional judge of the Court of First Instance in the HOS</w:t>
      </w:r>
      <w:r>
        <w:rPr>
          <w:lang w:val="en-GB"/>
        </w:rPr>
        <w:t xml:space="preserve"> </w:t>
      </w:r>
      <w:r w:rsidRPr="005B4091">
        <w:rPr>
          <w:lang w:val="en-GB"/>
        </w:rPr>
        <w:t>proceedings</w:t>
      </w:r>
      <w:r>
        <w:rPr>
          <w:lang w:val="en-GB"/>
        </w:rPr>
        <w:t>.</w:t>
      </w:r>
    </w:p>
  </w:footnote>
  <w:footnote w:id="45">
    <w:p w:rsidR="004C57FC" w:rsidRPr="004648FA" w:rsidRDefault="004C57FC" w:rsidP="009C541F">
      <w:pPr>
        <w:pStyle w:val="FootnoteText"/>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t>PRH</w:t>
      </w:r>
      <w:r w:rsidRPr="003340E9">
        <w:rPr>
          <w:lang w:val="en-GB"/>
        </w:rPr>
        <w:t xml:space="preserve"> Judgment, </w:t>
      </w:r>
      <w:r w:rsidRPr="004648FA">
        <w:rPr>
          <w:lang w:val="en-GB"/>
        </w:rPr>
        <w:t xml:space="preserve">[56(1)]; </w:t>
      </w:r>
      <w:r>
        <w:rPr>
          <w:lang w:val="en-GB"/>
        </w:rPr>
        <w:t>HOS</w:t>
      </w:r>
      <w:r w:rsidRPr="00DA244B">
        <w:rPr>
          <w:lang w:val="en-GB"/>
        </w:rPr>
        <w:t xml:space="preserve"> Judgment,</w:t>
      </w:r>
      <w:r w:rsidRPr="004648FA">
        <w:rPr>
          <w:lang w:val="en-GB"/>
        </w:rPr>
        <w:t xml:space="preserve"> [80(1)].</w:t>
      </w:r>
    </w:p>
  </w:footnote>
  <w:footnote w:id="46">
    <w:p w:rsidR="004C57FC" w:rsidRPr="004648FA" w:rsidRDefault="004C57FC" w:rsidP="009C541F">
      <w:pPr>
        <w:pStyle w:val="FootnoteText"/>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3340E9">
        <w:rPr>
          <w:lang w:val="en-GB"/>
        </w:rPr>
        <w:t xml:space="preserve">CA Judgment, </w:t>
      </w:r>
      <w:r w:rsidRPr="004648FA">
        <w:rPr>
          <w:lang w:val="en-GB"/>
        </w:rPr>
        <w:t>[199] (Au JA, giving the judgment of the Court of Appeal).</w:t>
      </w:r>
    </w:p>
  </w:footnote>
  <w:footnote w:id="47">
    <w:p w:rsidR="004C57FC" w:rsidRPr="004648FA" w:rsidRDefault="004C57FC" w:rsidP="009C541F">
      <w:pPr>
        <w:pStyle w:val="FootnoteText"/>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proofErr w:type="spellStart"/>
      <w:r w:rsidRPr="004648FA">
        <w:rPr>
          <w:i/>
          <w:lang w:val="en-GB"/>
        </w:rPr>
        <w:t>Infinger</w:t>
      </w:r>
      <w:proofErr w:type="spellEnd"/>
      <w:r w:rsidRPr="004648FA">
        <w:rPr>
          <w:i/>
          <w:lang w:val="en-GB"/>
        </w:rPr>
        <w:t xml:space="preserve">, Nick &amp; </w:t>
      </w:r>
      <w:proofErr w:type="spellStart"/>
      <w:r w:rsidRPr="004648FA">
        <w:rPr>
          <w:i/>
          <w:lang w:val="en-GB"/>
        </w:rPr>
        <w:t>Ors</w:t>
      </w:r>
      <w:proofErr w:type="spellEnd"/>
      <w:r w:rsidRPr="004648FA">
        <w:rPr>
          <w:i/>
          <w:lang w:val="en-GB"/>
        </w:rPr>
        <w:t xml:space="preserve"> v The Hong Kong Housing Authority</w:t>
      </w:r>
      <w:r w:rsidRPr="004648FA">
        <w:rPr>
          <w:lang w:val="en-GB"/>
        </w:rPr>
        <w:t xml:space="preserve"> [2024] HKCA 185, [6] - [7] (Au JA</w:t>
      </w:r>
      <w:r>
        <w:rPr>
          <w:lang w:val="en-GB"/>
        </w:rPr>
        <w:t>, giving the decision of the Court of Appeal</w:t>
      </w:r>
      <w:r w:rsidRPr="004648FA">
        <w:rPr>
          <w:lang w:val="en-GB"/>
        </w:rPr>
        <w:t>).</w:t>
      </w:r>
      <w:r>
        <w:rPr>
          <w:lang w:val="en-GB"/>
        </w:rPr>
        <w:t xml:space="preserve">  There are altogether six questions, which are set out in the Appendix to this judgment.</w:t>
      </w:r>
    </w:p>
  </w:footnote>
  <w:footnote w:id="48">
    <w:p w:rsidR="004C57FC" w:rsidRPr="005F6F2A" w:rsidRDefault="004C57FC" w:rsidP="009C541F">
      <w:pPr>
        <w:pStyle w:val="FootnoteText"/>
        <w:spacing w:after="240" w:line="240" w:lineRule="auto"/>
        <w:ind w:left="360" w:hangingChars="180" w:hanging="360"/>
        <w:jc w:val="both"/>
      </w:pPr>
      <w:r>
        <w:rPr>
          <w:rStyle w:val="FootnoteReference"/>
        </w:rPr>
        <w:footnoteRef/>
      </w:r>
      <w:r>
        <w:t xml:space="preserve"> </w:t>
      </w:r>
      <w:r>
        <w:tab/>
      </w:r>
      <w:r w:rsidRPr="00325E90">
        <w:t>PRH final appeal</w:t>
      </w:r>
      <w:r w:rsidRPr="00325E90">
        <w:rPr>
          <w:lang w:val="en-GB"/>
        </w:rPr>
        <w:t xml:space="preserve"> (FACV 2/2024); HOS final appeal (FACV 3/2024)</w:t>
      </w:r>
      <w:r w:rsidRPr="001C120E">
        <w:rPr>
          <w:lang w:val="en-GB"/>
        </w:rPr>
        <w:t>.</w:t>
      </w:r>
    </w:p>
  </w:footnote>
  <w:footnote w:id="49">
    <w:p w:rsidR="004C57FC" w:rsidRPr="00CD08DB" w:rsidRDefault="004C57FC" w:rsidP="009C541F">
      <w:pPr>
        <w:pStyle w:val="FootnoteText"/>
        <w:spacing w:after="240" w:line="240" w:lineRule="auto"/>
        <w:ind w:left="360" w:hangingChars="180" w:hanging="360"/>
        <w:jc w:val="both"/>
      </w:pPr>
      <w:r>
        <w:rPr>
          <w:rStyle w:val="FootnoteReference"/>
        </w:rPr>
        <w:footnoteRef/>
      </w:r>
      <w:r>
        <w:t xml:space="preserve"> </w:t>
      </w:r>
      <w:r>
        <w:tab/>
      </w:r>
      <w:r w:rsidRPr="004648FA">
        <w:rPr>
          <w:rFonts w:eastAsia="PMingLiU"/>
          <w:i/>
          <w:lang w:val="en-GB" w:eastAsia="zh-TW"/>
        </w:rPr>
        <w:t xml:space="preserve">HKSAR v Ng </w:t>
      </w:r>
      <w:proofErr w:type="spellStart"/>
      <w:r w:rsidRPr="004648FA">
        <w:rPr>
          <w:rFonts w:eastAsia="PMingLiU"/>
          <w:i/>
          <w:lang w:val="en-GB" w:eastAsia="zh-TW"/>
        </w:rPr>
        <w:t>Ngoi</w:t>
      </w:r>
      <w:proofErr w:type="spellEnd"/>
      <w:r w:rsidRPr="004648FA">
        <w:rPr>
          <w:rFonts w:eastAsia="PMingLiU"/>
          <w:i/>
          <w:lang w:val="en-GB" w:eastAsia="zh-TW"/>
        </w:rPr>
        <w:t xml:space="preserve"> Yee Margaret &amp; </w:t>
      </w:r>
      <w:proofErr w:type="spellStart"/>
      <w:r w:rsidRPr="00B345C4">
        <w:rPr>
          <w:rFonts w:eastAsia="PMingLiU"/>
          <w:i/>
          <w:lang w:val="en-GB" w:eastAsia="zh-TW"/>
        </w:rPr>
        <w:t>Ors</w:t>
      </w:r>
      <w:proofErr w:type="spellEnd"/>
      <w:r w:rsidRPr="00B345C4">
        <w:rPr>
          <w:rFonts w:eastAsia="PMingLiU"/>
          <w:i/>
          <w:lang w:val="en-GB" w:eastAsia="zh-TW"/>
        </w:rPr>
        <w:t xml:space="preserve"> </w:t>
      </w:r>
      <w:r w:rsidRPr="004648FA">
        <w:rPr>
          <w:rFonts w:eastAsia="PMingLiU"/>
          <w:lang w:val="en-GB" w:eastAsia="zh-TW"/>
        </w:rPr>
        <w:t>[2024] HKCFA 24, [1</w:t>
      </w:r>
      <w:r>
        <w:rPr>
          <w:rFonts w:eastAsia="PMingLiU"/>
          <w:lang w:val="en-GB" w:eastAsia="zh-TW"/>
        </w:rPr>
        <w:t>7</w:t>
      </w:r>
      <w:r w:rsidRPr="004648FA">
        <w:rPr>
          <w:rFonts w:eastAsia="PMingLiU"/>
          <w:lang w:val="en-GB" w:eastAsia="zh-TW"/>
        </w:rPr>
        <w:t>] (Cheung CJ and Ribeiro PJ)</w:t>
      </w:r>
      <w:r>
        <w:rPr>
          <w:rFonts w:eastAsia="PMingLiU"/>
          <w:lang w:val="en-GB" w:eastAsia="zh-TW"/>
        </w:rPr>
        <w:t>.</w:t>
      </w:r>
    </w:p>
  </w:footnote>
  <w:footnote w:id="50">
    <w:p w:rsidR="004C57FC" w:rsidRPr="00CD08DB" w:rsidRDefault="004C57FC" w:rsidP="009C541F">
      <w:pPr>
        <w:pStyle w:val="FootnoteText"/>
        <w:spacing w:after="240" w:line="240" w:lineRule="auto"/>
        <w:ind w:left="360" w:hangingChars="180" w:hanging="360"/>
        <w:jc w:val="both"/>
      </w:pPr>
      <w:r>
        <w:rPr>
          <w:rStyle w:val="FootnoteReference"/>
        </w:rPr>
        <w:footnoteRef/>
      </w:r>
      <w:r>
        <w:tab/>
      </w:r>
      <w:r w:rsidRPr="00CD08DB">
        <w:rPr>
          <w:i/>
          <w:lang w:val="en-GB"/>
        </w:rPr>
        <w:t xml:space="preserve">Hysan Development Co Ltd v Town Planning Board </w:t>
      </w:r>
      <w:r w:rsidRPr="00CD08DB">
        <w:rPr>
          <w:lang w:val="en-GB"/>
        </w:rPr>
        <w:t xml:space="preserve">(2016) 19 HKCFAR 372, [132] </w:t>
      </w:r>
      <w:r>
        <w:rPr>
          <w:lang w:val="en-GB"/>
        </w:rPr>
        <w:t>-</w:t>
      </w:r>
      <w:r w:rsidRPr="00CD08DB">
        <w:rPr>
          <w:lang w:val="en-GB"/>
        </w:rPr>
        <w:t xml:space="preserve"> [142] (Ribeiro PJ).</w:t>
      </w:r>
      <w:r>
        <w:rPr>
          <w:lang w:val="en-GB"/>
        </w:rPr>
        <w:t xml:space="preserve">  The test is elaborated in </w:t>
      </w:r>
      <w:r w:rsidRPr="00B445B2">
        <w:rPr>
          <w:lang w:val="en-GB"/>
        </w:rPr>
        <w:t>[19]</w:t>
      </w:r>
      <w:r>
        <w:rPr>
          <w:lang w:val="en-GB"/>
        </w:rPr>
        <w:t xml:space="preserve"> below.</w:t>
      </w:r>
    </w:p>
  </w:footnote>
  <w:footnote w:id="51">
    <w:p w:rsidR="004C57FC" w:rsidRDefault="004C57FC" w:rsidP="001A2EC2">
      <w:pPr>
        <w:pStyle w:val="FootnoteText"/>
        <w:snapToGrid w:val="0"/>
        <w:spacing w:after="240" w:line="240" w:lineRule="auto"/>
        <w:ind w:left="360" w:hangingChars="180" w:hanging="360"/>
        <w:jc w:val="both"/>
      </w:pPr>
      <w:r>
        <w:rPr>
          <w:rStyle w:val="FootnoteReference"/>
        </w:rPr>
        <w:footnoteRef/>
      </w:r>
      <w:r>
        <w:tab/>
      </w:r>
      <w:r w:rsidRPr="00DD55EE">
        <w:rPr>
          <w:i/>
          <w:lang w:val="en-GB"/>
        </w:rPr>
        <w:t xml:space="preserve">Leung Chun </w:t>
      </w:r>
      <w:proofErr w:type="spellStart"/>
      <w:r w:rsidRPr="00DD55EE">
        <w:rPr>
          <w:i/>
          <w:lang w:val="en-GB"/>
        </w:rPr>
        <w:t>Kwong</w:t>
      </w:r>
      <w:proofErr w:type="spellEnd"/>
      <w:r w:rsidRPr="00DD55EE">
        <w:rPr>
          <w:i/>
          <w:lang w:val="en-GB"/>
        </w:rPr>
        <w:t xml:space="preserve"> v Secretary for Civil Service</w:t>
      </w:r>
      <w:r w:rsidRPr="00DD55EE">
        <w:rPr>
          <w:lang w:val="en-GB"/>
        </w:rPr>
        <w:t xml:space="preserve"> (2019) 22 HKCFAR 127, [19] - [22]; </w:t>
      </w:r>
      <w:r w:rsidRPr="00DD55EE">
        <w:rPr>
          <w:i/>
          <w:lang w:val="en-GB"/>
        </w:rPr>
        <w:t>QT v Director of Immigration</w:t>
      </w:r>
      <w:r w:rsidRPr="00DD55EE">
        <w:rPr>
          <w:lang w:val="en-GB"/>
        </w:rPr>
        <w:t xml:space="preserve"> (2018) 21 HKCFAR 324, [38], [81] - [87]; </w:t>
      </w:r>
      <w:r w:rsidRPr="00DD55EE">
        <w:rPr>
          <w:i/>
          <w:lang w:val="en-GB"/>
        </w:rPr>
        <w:t xml:space="preserve">Secretary for Justice </w:t>
      </w:r>
      <w:proofErr w:type="gramStart"/>
      <w:r w:rsidR="00D760A5">
        <w:rPr>
          <w:i/>
          <w:lang w:val="en-GB"/>
        </w:rPr>
        <w:t>v</w:t>
      </w:r>
      <w:proofErr w:type="gramEnd"/>
      <w:r w:rsidR="00D760A5">
        <w:rPr>
          <w:i/>
          <w:lang w:val="en-GB"/>
        </w:rPr>
        <w:t xml:space="preserve"> </w:t>
      </w:r>
      <w:proofErr w:type="spellStart"/>
      <w:r w:rsidR="00D760A5" w:rsidRPr="00D760A5">
        <w:rPr>
          <w:i/>
          <w:lang w:val="en-GB"/>
        </w:rPr>
        <w:t>Yau</w:t>
      </w:r>
      <w:proofErr w:type="spellEnd"/>
      <w:r w:rsidR="00D760A5" w:rsidRPr="00D760A5">
        <w:rPr>
          <w:i/>
          <w:lang w:val="en-GB"/>
        </w:rPr>
        <w:t xml:space="preserve"> Yuk Lung </w:t>
      </w:r>
      <w:r w:rsidRPr="00DD55EE">
        <w:rPr>
          <w:lang w:val="en-GB"/>
        </w:rPr>
        <w:t>(2007) 10 HKCFAR 335</w:t>
      </w:r>
      <w:r>
        <w:rPr>
          <w:lang w:val="en-GB"/>
        </w:rPr>
        <w:t>, [19] - [22] (Li CJ)</w:t>
      </w:r>
      <w:r w:rsidRPr="00DD55EE">
        <w:rPr>
          <w:lang w:val="en-GB"/>
        </w:rPr>
        <w:t>.</w:t>
      </w:r>
    </w:p>
  </w:footnote>
  <w:footnote w:id="52">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i/>
          <w:lang w:val="en-GB"/>
        </w:rPr>
        <w:t xml:space="preserve">Leung Chun </w:t>
      </w:r>
      <w:proofErr w:type="spellStart"/>
      <w:r w:rsidRPr="004648FA">
        <w:rPr>
          <w:i/>
          <w:lang w:val="en-GB"/>
        </w:rPr>
        <w:t>Kwong</w:t>
      </w:r>
      <w:proofErr w:type="spellEnd"/>
      <w:r w:rsidRPr="004648FA">
        <w:rPr>
          <w:lang w:val="en-GB"/>
        </w:rPr>
        <w:t xml:space="preserve">, [19] - [22]; </w:t>
      </w:r>
      <w:r w:rsidRPr="004648FA">
        <w:rPr>
          <w:i/>
          <w:lang w:val="en-GB"/>
        </w:rPr>
        <w:t>QT</w:t>
      </w:r>
      <w:r w:rsidRPr="004648FA">
        <w:rPr>
          <w:lang w:val="en-GB"/>
        </w:rPr>
        <w:t xml:space="preserve">, [38], [81] - [87]. </w:t>
      </w:r>
    </w:p>
  </w:footnote>
  <w:footnote w:id="53">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i/>
          <w:lang w:val="en-GB"/>
        </w:rPr>
        <w:t>Ibid.</w:t>
      </w:r>
    </w:p>
  </w:footnote>
  <w:footnote w:id="54">
    <w:p w:rsidR="004C57FC" w:rsidRDefault="004C57FC" w:rsidP="009C541F">
      <w:pPr>
        <w:pStyle w:val="FootnoteText"/>
        <w:spacing w:after="240" w:line="240" w:lineRule="auto"/>
        <w:ind w:left="360" w:hangingChars="180" w:hanging="360"/>
        <w:jc w:val="both"/>
      </w:pPr>
      <w:r>
        <w:rPr>
          <w:rStyle w:val="FootnoteReference"/>
        </w:rPr>
        <w:footnoteRef/>
      </w:r>
      <w:r>
        <w:t xml:space="preserve">   </w:t>
      </w:r>
      <w:r>
        <w:tab/>
      </w:r>
      <w:r w:rsidRPr="00961F98">
        <w:rPr>
          <w:i/>
          <w:lang w:val="en-GB"/>
        </w:rPr>
        <w:t xml:space="preserve">Ng </w:t>
      </w:r>
      <w:proofErr w:type="spellStart"/>
      <w:r w:rsidRPr="00961F98">
        <w:rPr>
          <w:i/>
          <w:lang w:val="en-GB"/>
        </w:rPr>
        <w:t>Ngoi</w:t>
      </w:r>
      <w:proofErr w:type="spellEnd"/>
      <w:r w:rsidRPr="00961F98">
        <w:rPr>
          <w:i/>
          <w:lang w:val="en-GB"/>
        </w:rPr>
        <w:t xml:space="preserve"> Yee Margaret</w:t>
      </w:r>
      <w:r w:rsidRPr="00961F98">
        <w:rPr>
          <w:lang w:val="en-GB"/>
        </w:rPr>
        <w:t xml:space="preserve">, [17(c)], [17(d)] (Cheung CJ and Ribeiro PJ); </w:t>
      </w:r>
      <w:r w:rsidRPr="00961F98">
        <w:rPr>
          <w:i/>
          <w:lang w:val="en-GB"/>
        </w:rPr>
        <w:t xml:space="preserve">Leung Chun </w:t>
      </w:r>
      <w:proofErr w:type="spellStart"/>
      <w:r w:rsidRPr="00961F98">
        <w:rPr>
          <w:i/>
          <w:lang w:val="en-GB"/>
        </w:rPr>
        <w:t>Kwong</w:t>
      </w:r>
      <w:proofErr w:type="spellEnd"/>
      <w:r w:rsidRPr="00961F98">
        <w:rPr>
          <w:lang w:val="en-GB"/>
        </w:rPr>
        <w:t xml:space="preserve">, [21]; </w:t>
      </w:r>
      <w:r w:rsidRPr="00961F98">
        <w:rPr>
          <w:i/>
          <w:lang w:val="en-GB"/>
        </w:rPr>
        <w:t>QT</w:t>
      </w:r>
      <w:r w:rsidRPr="00961F98">
        <w:rPr>
          <w:lang w:val="en-GB"/>
        </w:rPr>
        <w:t>, [84] - [87].</w:t>
      </w:r>
    </w:p>
  </w:footnote>
  <w:footnote w:id="55">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i/>
          <w:lang w:val="en-GB"/>
        </w:rPr>
        <w:t>Hysan</w:t>
      </w:r>
      <w:r w:rsidRPr="004648FA">
        <w:rPr>
          <w:lang w:val="en-GB"/>
        </w:rPr>
        <w:t>, [13</w:t>
      </w:r>
      <w:r>
        <w:rPr>
          <w:lang w:val="en-GB"/>
        </w:rPr>
        <w:t>4</w:t>
      </w:r>
      <w:r w:rsidRPr="004648FA">
        <w:rPr>
          <w:lang w:val="en-GB"/>
        </w:rPr>
        <w:t>] - [13</w:t>
      </w:r>
      <w:r>
        <w:rPr>
          <w:lang w:val="en-GB"/>
        </w:rPr>
        <w:t>5</w:t>
      </w:r>
      <w:r w:rsidRPr="004648FA">
        <w:rPr>
          <w:lang w:val="en-GB"/>
        </w:rPr>
        <w:t>] (Ribeiro PJ)</w:t>
      </w:r>
      <w:r w:rsidRPr="004648FA">
        <w:rPr>
          <w:rFonts w:eastAsia="PMingLiU"/>
          <w:lang w:val="en-GB" w:eastAsia="zh-TW"/>
        </w:rPr>
        <w:t>.</w:t>
      </w:r>
    </w:p>
  </w:footnote>
  <w:footnote w:id="56">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t>At this stage, t</w:t>
      </w:r>
      <w:r w:rsidRPr="004648FA">
        <w:rPr>
          <w:lang w:val="en-GB"/>
        </w:rPr>
        <w:t xml:space="preserve">he court will first ascertain the proper standard for reviewing the impugned measure upon a spectrum ranging from the more stringent “no more than reasonably necessary” to the lesser “manifestly without reasonable foundation” test in order to determine whether the measure is disproportionate.  </w:t>
      </w:r>
      <w:proofErr w:type="gramStart"/>
      <w:r w:rsidRPr="004648FA">
        <w:rPr>
          <w:lang w:val="en-GB"/>
        </w:rPr>
        <w:t xml:space="preserve">Exactly where on this spectrum the standard is to be located is case-specific and depends, </w:t>
      </w:r>
      <w:r w:rsidRPr="004648FA">
        <w:rPr>
          <w:i/>
          <w:lang w:val="en-GB"/>
        </w:rPr>
        <w:t>inter alia</w:t>
      </w:r>
      <w:r w:rsidRPr="004648FA">
        <w:rPr>
          <w:lang w:val="en-GB"/>
        </w:rPr>
        <w:t xml:space="preserve">, upon the margin of discretion to be afforded to the </w:t>
      </w:r>
      <w:r>
        <w:rPr>
          <w:lang w:val="en-GB"/>
        </w:rPr>
        <w:t>rule/policy-maker</w:t>
      </w:r>
      <w:r w:rsidRPr="004648FA">
        <w:rPr>
          <w:lang w:val="en-GB"/>
        </w:rPr>
        <w:t xml:space="preserve">, the significance and degree of interference with the right in question, the identity, expertise and peculiar knowledge of the </w:t>
      </w:r>
      <w:r>
        <w:rPr>
          <w:lang w:val="en-GB"/>
        </w:rPr>
        <w:t>rule/policy-</w:t>
      </w:r>
      <w:r w:rsidRPr="004648FA">
        <w:rPr>
          <w:lang w:val="en-GB"/>
        </w:rPr>
        <w:t xml:space="preserve">maker, as well as the nature and features of the encroaching measure: </w:t>
      </w:r>
      <w:r w:rsidRPr="004648FA">
        <w:rPr>
          <w:i/>
          <w:lang w:val="en-GB"/>
        </w:rPr>
        <w:t xml:space="preserve">Ng </w:t>
      </w:r>
      <w:proofErr w:type="spellStart"/>
      <w:r w:rsidRPr="004648FA">
        <w:rPr>
          <w:i/>
          <w:lang w:val="en-GB"/>
        </w:rPr>
        <w:t>Ngoi</w:t>
      </w:r>
      <w:proofErr w:type="spellEnd"/>
      <w:r w:rsidRPr="004648FA">
        <w:rPr>
          <w:i/>
          <w:lang w:val="en-GB"/>
        </w:rPr>
        <w:t xml:space="preserve"> Yee Margaret</w:t>
      </w:r>
      <w:r w:rsidRPr="004648FA">
        <w:rPr>
          <w:lang w:val="en-GB"/>
        </w:rPr>
        <w:t>, [17(d)] (Cheung CJ and Ribeiro PJ)</w:t>
      </w:r>
      <w:r w:rsidRPr="004648FA">
        <w:rPr>
          <w:rFonts w:eastAsia="PMingLiU"/>
          <w:lang w:val="en-GB" w:eastAsia="zh-TW"/>
        </w:rPr>
        <w:t xml:space="preserve">; </w:t>
      </w:r>
      <w:r w:rsidRPr="004648FA">
        <w:rPr>
          <w:i/>
          <w:lang w:val="en-GB"/>
        </w:rPr>
        <w:t>Hysan</w:t>
      </w:r>
      <w:r w:rsidRPr="004648FA">
        <w:rPr>
          <w:lang w:val="en-GB"/>
        </w:rPr>
        <w:t>,</w:t>
      </w:r>
      <w:r w:rsidRPr="004648FA">
        <w:rPr>
          <w:i/>
          <w:lang w:val="en-GB"/>
        </w:rPr>
        <w:t xml:space="preserve"> </w:t>
      </w:r>
      <w:r w:rsidRPr="004648FA">
        <w:rPr>
          <w:lang w:val="en-GB"/>
        </w:rPr>
        <w:t>[107]</w:t>
      </w:r>
      <w:r>
        <w:rPr>
          <w:lang w:val="en-GB"/>
        </w:rPr>
        <w:t>, [136] - [141]</w:t>
      </w:r>
      <w:r w:rsidRPr="004648FA">
        <w:rPr>
          <w:lang w:val="en-GB"/>
        </w:rPr>
        <w:t xml:space="preserve"> (Ribeiro PJ).</w:t>
      </w:r>
      <w:proofErr w:type="gramEnd"/>
    </w:p>
  </w:footnote>
  <w:footnote w:id="57">
    <w:p w:rsidR="004C57FC" w:rsidRPr="004648FA" w:rsidRDefault="004C57FC" w:rsidP="009C541F">
      <w:pPr>
        <w:pStyle w:val="FootnoteText"/>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i/>
          <w:lang w:val="en-GB"/>
        </w:rPr>
        <w:t xml:space="preserve">Leung Chun </w:t>
      </w:r>
      <w:proofErr w:type="spellStart"/>
      <w:r w:rsidRPr="004648FA">
        <w:rPr>
          <w:i/>
          <w:lang w:val="en-GB"/>
        </w:rPr>
        <w:t>Kwong</w:t>
      </w:r>
      <w:proofErr w:type="spellEnd"/>
      <w:r w:rsidRPr="004648FA">
        <w:rPr>
          <w:lang w:val="en-GB"/>
        </w:rPr>
        <w:t xml:space="preserve">, [22]; </w:t>
      </w:r>
      <w:r w:rsidRPr="004648FA">
        <w:rPr>
          <w:i/>
          <w:lang w:val="en-GB"/>
        </w:rPr>
        <w:t>QT</w:t>
      </w:r>
      <w:r w:rsidRPr="004648FA">
        <w:rPr>
          <w:lang w:val="en-GB"/>
        </w:rPr>
        <w:t xml:space="preserve">, [86] - [87]; </w:t>
      </w:r>
      <w:r w:rsidRPr="004648FA">
        <w:rPr>
          <w:i/>
          <w:lang w:val="en-GB"/>
        </w:rPr>
        <w:t>Hysan</w:t>
      </w:r>
      <w:r w:rsidRPr="004648FA">
        <w:rPr>
          <w:lang w:val="en-GB"/>
        </w:rPr>
        <w:t>, [</w:t>
      </w:r>
      <w:r>
        <w:rPr>
          <w:lang w:val="en-GB"/>
        </w:rPr>
        <w:t>135</w:t>
      </w:r>
      <w:r w:rsidRPr="004648FA">
        <w:rPr>
          <w:lang w:val="en-GB"/>
        </w:rPr>
        <w:t>] (Ribeiro PJ).</w:t>
      </w:r>
    </w:p>
  </w:footnote>
  <w:footnote w:id="58">
    <w:p w:rsidR="004C57FC" w:rsidRPr="007F08D6" w:rsidRDefault="004C57FC" w:rsidP="009C541F">
      <w:pPr>
        <w:pStyle w:val="FootnoteText"/>
        <w:spacing w:after="240" w:line="240" w:lineRule="auto"/>
        <w:ind w:left="360" w:hanging="360"/>
        <w:jc w:val="both"/>
      </w:pPr>
      <w:r>
        <w:rPr>
          <w:rStyle w:val="FootnoteReference"/>
        </w:rPr>
        <w:footnoteRef/>
      </w:r>
      <w:r>
        <w:t xml:space="preserve"> </w:t>
      </w:r>
      <w:r>
        <w:tab/>
      </w:r>
      <w:r w:rsidRPr="00EE5D9E">
        <w:rPr>
          <w:i/>
        </w:rPr>
        <w:t xml:space="preserve">Ng </w:t>
      </w:r>
      <w:proofErr w:type="spellStart"/>
      <w:r w:rsidRPr="00EE5D9E">
        <w:rPr>
          <w:i/>
        </w:rPr>
        <w:t>Ngoi</w:t>
      </w:r>
      <w:proofErr w:type="spellEnd"/>
      <w:r w:rsidRPr="00EE5D9E">
        <w:rPr>
          <w:i/>
        </w:rPr>
        <w:t xml:space="preserve"> Yee Margaret</w:t>
      </w:r>
      <w:r>
        <w:t xml:space="preserve">, [17(e)] (Cheung CJ and Ribeiro PJ); </w:t>
      </w:r>
      <w:r w:rsidRPr="00EE5D9E">
        <w:rPr>
          <w:i/>
        </w:rPr>
        <w:t xml:space="preserve">HKSAR v Lam </w:t>
      </w:r>
      <w:proofErr w:type="spellStart"/>
      <w:r w:rsidRPr="00EE5D9E">
        <w:rPr>
          <w:i/>
        </w:rPr>
        <w:t>Kwong</w:t>
      </w:r>
      <w:proofErr w:type="spellEnd"/>
      <w:r w:rsidRPr="00EE5D9E">
        <w:rPr>
          <w:i/>
        </w:rPr>
        <w:t xml:space="preserve"> </w:t>
      </w:r>
      <w:proofErr w:type="spellStart"/>
      <w:r w:rsidRPr="00EE5D9E">
        <w:rPr>
          <w:i/>
        </w:rPr>
        <w:t>Wai</w:t>
      </w:r>
      <w:proofErr w:type="spellEnd"/>
      <w:r>
        <w:t xml:space="preserve"> (2006) 9 HKCFAR 574, [29], [78] and [89] (Mason NPJ).</w:t>
      </w:r>
    </w:p>
  </w:footnote>
  <w:footnote w:id="59">
    <w:p w:rsidR="004C57FC" w:rsidRPr="007F08D6" w:rsidRDefault="004C57FC" w:rsidP="009C541F">
      <w:pPr>
        <w:pStyle w:val="FootnoteText"/>
        <w:spacing w:after="240" w:line="240" w:lineRule="auto"/>
        <w:ind w:left="360" w:hanging="360"/>
        <w:jc w:val="both"/>
      </w:pPr>
      <w:r>
        <w:rPr>
          <w:rStyle w:val="FootnoteReference"/>
        </w:rPr>
        <w:footnoteRef/>
      </w:r>
      <w:r>
        <w:t xml:space="preserve"> </w:t>
      </w:r>
      <w:r>
        <w:tab/>
      </w:r>
      <w:r w:rsidRPr="00EE5D9E">
        <w:rPr>
          <w:i/>
        </w:rPr>
        <w:t xml:space="preserve">Ng </w:t>
      </w:r>
      <w:proofErr w:type="spellStart"/>
      <w:r w:rsidRPr="00EE5D9E">
        <w:rPr>
          <w:i/>
        </w:rPr>
        <w:t>Ngoi</w:t>
      </w:r>
      <w:proofErr w:type="spellEnd"/>
      <w:r w:rsidRPr="00EE5D9E">
        <w:rPr>
          <w:i/>
        </w:rPr>
        <w:t xml:space="preserve"> Yee Margaret</w:t>
      </w:r>
      <w:r>
        <w:t>, [17(f)] (Cheung CJ and Ribeiro PJ).</w:t>
      </w:r>
    </w:p>
  </w:footnote>
  <w:footnote w:id="60">
    <w:p w:rsidR="004C57FC" w:rsidRPr="004648FA" w:rsidRDefault="004C57FC" w:rsidP="009C541F">
      <w:pPr>
        <w:pStyle w:val="FootnoteText"/>
        <w:spacing w:after="240" w:line="240" w:lineRule="auto"/>
        <w:ind w:left="36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i/>
          <w:lang w:val="en-GB"/>
        </w:rPr>
        <w:t xml:space="preserve">Sham </w:t>
      </w:r>
      <w:proofErr w:type="spellStart"/>
      <w:r w:rsidRPr="004648FA">
        <w:rPr>
          <w:i/>
          <w:lang w:val="en-GB"/>
        </w:rPr>
        <w:t>Tsz</w:t>
      </w:r>
      <w:proofErr w:type="spellEnd"/>
      <w:r w:rsidRPr="004648FA">
        <w:rPr>
          <w:i/>
          <w:lang w:val="en-GB"/>
        </w:rPr>
        <w:t xml:space="preserve"> Kit v Secretary for Justice (No 1)</w:t>
      </w:r>
      <w:r w:rsidRPr="004648FA">
        <w:rPr>
          <w:lang w:val="en-GB"/>
        </w:rPr>
        <w:t xml:space="preserve"> (2023) 26 HKCFAR 385; </w:t>
      </w:r>
      <w:r w:rsidRPr="004648FA">
        <w:rPr>
          <w:i/>
          <w:lang w:val="en-GB"/>
        </w:rPr>
        <w:t xml:space="preserve">Leung Chun </w:t>
      </w:r>
      <w:proofErr w:type="spellStart"/>
      <w:r w:rsidRPr="004648FA">
        <w:rPr>
          <w:i/>
          <w:lang w:val="en-GB"/>
        </w:rPr>
        <w:t>Kwong</w:t>
      </w:r>
      <w:proofErr w:type="spellEnd"/>
      <w:r w:rsidRPr="004648FA">
        <w:rPr>
          <w:lang w:val="en-GB"/>
        </w:rPr>
        <w:t xml:space="preserve">; </w:t>
      </w:r>
      <w:r w:rsidRPr="004648FA">
        <w:rPr>
          <w:i/>
          <w:lang w:val="en-GB"/>
        </w:rPr>
        <w:t>QT</w:t>
      </w:r>
      <w:r w:rsidRPr="004648FA">
        <w:rPr>
          <w:lang w:val="en-GB"/>
        </w:rPr>
        <w:t>.</w:t>
      </w:r>
    </w:p>
  </w:footnote>
  <w:footnote w:id="61">
    <w:p w:rsidR="004C57FC" w:rsidRPr="004648FA" w:rsidRDefault="004C57FC" w:rsidP="009C541F">
      <w:pPr>
        <w:pStyle w:val="FootnoteText"/>
        <w:spacing w:after="240" w:line="240" w:lineRule="auto"/>
        <w:ind w:left="36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lang w:val="en-GB"/>
        </w:rPr>
        <w:t xml:space="preserve">See </w:t>
      </w:r>
      <w:r w:rsidRPr="00700636">
        <w:rPr>
          <w:lang w:val="en-GB"/>
        </w:rPr>
        <w:t>[4] - [7]</w:t>
      </w:r>
      <w:r w:rsidRPr="00EE5D9E">
        <w:rPr>
          <w:lang w:val="en-GB"/>
        </w:rPr>
        <w:t xml:space="preserve"> above for the PRH policy and </w:t>
      </w:r>
      <w:r w:rsidRPr="00700636">
        <w:rPr>
          <w:lang w:val="en-GB"/>
        </w:rPr>
        <w:t>[9] - [11]</w:t>
      </w:r>
      <w:r>
        <w:rPr>
          <w:lang w:val="en-GB"/>
        </w:rPr>
        <w:t xml:space="preserve"> above for the HOS policies</w:t>
      </w:r>
      <w:r w:rsidRPr="004648FA">
        <w:rPr>
          <w:lang w:val="en-GB"/>
        </w:rPr>
        <w:t>.</w:t>
      </w:r>
    </w:p>
  </w:footnote>
  <w:footnote w:id="62">
    <w:p w:rsidR="004C57FC" w:rsidRPr="004648FA" w:rsidRDefault="004C57FC" w:rsidP="009C541F">
      <w:pPr>
        <w:pStyle w:val="FootnoteText"/>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i/>
          <w:lang w:val="en-GB"/>
        </w:rPr>
        <w:t>QT</w:t>
      </w:r>
      <w:r>
        <w:rPr>
          <w:lang w:val="en-GB"/>
        </w:rPr>
        <w:t>, [27] - [29]</w:t>
      </w:r>
      <w:r w:rsidRPr="004648FA">
        <w:rPr>
          <w:lang w:val="en-GB"/>
        </w:rPr>
        <w:t xml:space="preserve">; </w:t>
      </w:r>
      <w:proofErr w:type="spellStart"/>
      <w:r w:rsidRPr="004648FA">
        <w:rPr>
          <w:i/>
          <w:lang w:val="en-GB"/>
        </w:rPr>
        <w:t>Yau</w:t>
      </w:r>
      <w:proofErr w:type="spellEnd"/>
      <w:r w:rsidRPr="004648FA">
        <w:rPr>
          <w:i/>
          <w:lang w:val="en-GB"/>
        </w:rPr>
        <w:t xml:space="preserve"> Yuk Lung</w:t>
      </w:r>
      <w:r w:rsidRPr="004648FA">
        <w:rPr>
          <w:lang w:val="en-GB"/>
        </w:rPr>
        <w:t xml:space="preserve">, [1] - [2], [19] (Li CJ); </w:t>
      </w:r>
      <w:r w:rsidRPr="004648FA">
        <w:rPr>
          <w:i/>
          <w:lang w:val="en-GB"/>
        </w:rPr>
        <w:t>R (Carson) v Secretary of State for Work and Pensions</w:t>
      </w:r>
      <w:r w:rsidRPr="004648FA">
        <w:rPr>
          <w:lang w:val="en-GB"/>
        </w:rPr>
        <w:t xml:space="preserve"> [2006] </w:t>
      </w:r>
      <w:proofErr w:type="gramStart"/>
      <w:r w:rsidRPr="004648FA">
        <w:rPr>
          <w:lang w:val="en-GB"/>
        </w:rPr>
        <w:t>1</w:t>
      </w:r>
      <w:proofErr w:type="gramEnd"/>
      <w:r w:rsidRPr="004648FA">
        <w:rPr>
          <w:lang w:val="en-GB"/>
        </w:rPr>
        <w:t xml:space="preserve"> AC 173, [49] (Lord Rodger); </w:t>
      </w:r>
      <w:proofErr w:type="spellStart"/>
      <w:r w:rsidRPr="004648FA">
        <w:rPr>
          <w:i/>
          <w:lang w:val="en-GB"/>
        </w:rPr>
        <w:t>Ghaidan</w:t>
      </w:r>
      <w:proofErr w:type="spellEnd"/>
      <w:r w:rsidRPr="004648FA">
        <w:rPr>
          <w:i/>
          <w:lang w:val="en-GB"/>
        </w:rPr>
        <w:t xml:space="preserve"> v Godin-Mendoza</w:t>
      </w:r>
      <w:r w:rsidRPr="004648FA">
        <w:rPr>
          <w:lang w:val="en-GB"/>
        </w:rPr>
        <w:t xml:space="preserve"> [200</w:t>
      </w:r>
      <w:r>
        <w:rPr>
          <w:lang w:val="en-GB"/>
        </w:rPr>
        <w:t>4</w:t>
      </w:r>
      <w:r w:rsidRPr="004648FA">
        <w:rPr>
          <w:lang w:val="en-GB"/>
        </w:rPr>
        <w:t>] 2 AC 557, [9] (Lord Nicholls)</w:t>
      </w:r>
      <w:r>
        <w:rPr>
          <w:lang w:val="en-GB"/>
        </w:rPr>
        <w:t xml:space="preserve">; </w:t>
      </w:r>
      <w:proofErr w:type="spellStart"/>
      <w:r w:rsidRPr="004648FA">
        <w:rPr>
          <w:i/>
          <w:lang w:val="en-GB"/>
        </w:rPr>
        <w:t>Matadeen</w:t>
      </w:r>
      <w:proofErr w:type="spellEnd"/>
      <w:r w:rsidRPr="004648FA">
        <w:rPr>
          <w:i/>
          <w:lang w:val="en-GB"/>
        </w:rPr>
        <w:t xml:space="preserve"> v </w:t>
      </w:r>
      <w:proofErr w:type="spellStart"/>
      <w:r w:rsidRPr="004648FA">
        <w:rPr>
          <w:i/>
          <w:lang w:val="en-GB"/>
        </w:rPr>
        <w:t>Pointu</w:t>
      </w:r>
      <w:proofErr w:type="spellEnd"/>
      <w:r w:rsidRPr="004648FA">
        <w:rPr>
          <w:lang w:val="en-GB"/>
        </w:rPr>
        <w:t xml:space="preserve"> [1999] 1 AC 98, 109C-D (Lord Hoffmann).</w:t>
      </w:r>
    </w:p>
  </w:footnote>
  <w:footnote w:id="63">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lang w:val="en-GB"/>
        </w:rPr>
        <w:t>BL25 provides that “all Hong Kong residents shall be equal before the law”.</w:t>
      </w:r>
    </w:p>
  </w:footnote>
  <w:footnote w:id="64">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lang w:val="en-GB"/>
        </w:rPr>
        <w:t>BOR22 provides that “all persons are equal before the law and are entitled without any discrimination to the equal protection of the law.  In this respect, the law shall prohibit any discrimination and guarantee to all persons equal and effective protection against discrimination on any ground such as race, colour, sex, language, religion, political or other opinion, national or social origin, property, birth or other status”.</w:t>
      </w:r>
    </w:p>
  </w:footnote>
  <w:footnote w:id="65">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t xml:space="preserve">Article </w:t>
      </w:r>
      <w:r w:rsidRPr="004648FA">
        <w:rPr>
          <w:lang w:val="en-GB"/>
        </w:rPr>
        <w:t xml:space="preserve">39(1) relevantly imposes a constitutional duty to maintain and implement the provisions of, </w:t>
      </w:r>
      <w:r w:rsidRPr="004648FA">
        <w:rPr>
          <w:i/>
          <w:lang w:val="en-GB"/>
        </w:rPr>
        <w:t>inter alia</w:t>
      </w:r>
      <w:r w:rsidRPr="004648FA">
        <w:rPr>
          <w:lang w:val="en-GB"/>
        </w:rPr>
        <w:t>, the International Covenant on Civil and Political Rights</w:t>
      </w:r>
      <w:r>
        <w:rPr>
          <w:lang w:val="en-GB"/>
        </w:rPr>
        <w:t xml:space="preserve"> (“ICCPR”)</w:t>
      </w:r>
      <w:r w:rsidRPr="004648FA">
        <w:rPr>
          <w:lang w:val="en-GB"/>
        </w:rPr>
        <w:t xml:space="preserve"> as applied to Hong Kong.</w:t>
      </w:r>
      <w:r>
        <w:rPr>
          <w:lang w:val="en-GB"/>
        </w:rPr>
        <w:t xml:space="preserve">  The </w:t>
      </w:r>
      <w:proofErr w:type="gramStart"/>
      <w:r>
        <w:rPr>
          <w:lang w:val="en-GB"/>
        </w:rPr>
        <w:t>ICCPR is incorporated into the laws of Hong Kong by the Hong Kong Bill of Rights Ordinance (Cap 383)</w:t>
      </w:r>
      <w:proofErr w:type="gramEnd"/>
      <w:r>
        <w:rPr>
          <w:lang w:val="en-GB"/>
        </w:rPr>
        <w:t xml:space="preserve">.  Section </w:t>
      </w:r>
      <w:proofErr w:type="gramStart"/>
      <w:r>
        <w:rPr>
          <w:lang w:val="en-GB"/>
        </w:rPr>
        <w:t>8</w:t>
      </w:r>
      <w:proofErr w:type="gramEnd"/>
      <w:r>
        <w:rPr>
          <w:lang w:val="en-GB"/>
        </w:rPr>
        <w:t xml:space="preserve"> of this Ordinance sets out the Hong Kong Bill of Rights, which is modelled on the applicable provisions of the ICCPR.</w:t>
      </w:r>
    </w:p>
  </w:footnote>
  <w:footnote w:id="66">
    <w:p w:rsidR="004C57FC" w:rsidRDefault="004C57FC" w:rsidP="006C4390">
      <w:pPr>
        <w:pStyle w:val="FootnoteText"/>
        <w:spacing w:after="220" w:line="240" w:lineRule="auto"/>
        <w:ind w:left="360" w:hanging="360"/>
        <w:jc w:val="both"/>
      </w:pPr>
      <w:r>
        <w:rPr>
          <w:rStyle w:val="FootnoteReference"/>
        </w:rPr>
        <w:footnoteRef/>
      </w:r>
      <w:r>
        <w:t xml:space="preserve"> </w:t>
      </w:r>
      <w:r>
        <w:tab/>
        <w:t>HA’s written case, [38].</w:t>
      </w:r>
    </w:p>
  </w:footnote>
  <w:footnote w:id="67">
    <w:p w:rsidR="004C57FC" w:rsidRPr="004648FA" w:rsidRDefault="004C57FC" w:rsidP="006C4390">
      <w:pPr>
        <w:pStyle w:val="FootnoteText"/>
        <w:snapToGrid w:val="0"/>
        <w:spacing w:after="22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lang w:val="en-GB"/>
        </w:rPr>
        <w:t xml:space="preserve">BL36 relevantly provides that “Hong Kong residents shall have the right to social welfare in accordance with law”.  The remaining portion relates to welfare benefits and retirement security of the labour force, which are not at issue in </w:t>
      </w:r>
      <w:r>
        <w:rPr>
          <w:lang w:val="en-GB"/>
        </w:rPr>
        <w:t>these appeals</w:t>
      </w:r>
      <w:r w:rsidRPr="004648FA">
        <w:rPr>
          <w:lang w:val="en-GB"/>
        </w:rPr>
        <w:t>.</w:t>
      </w:r>
    </w:p>
  </w:footnote>
  <w:footnote w:id="68">
    <w:p w:rsidR="004C57FC" w:rsidRPr="004648FA" w:rsidRDefault="004C57FC" w:rsidP="006C4390">
      <w:pPr>
        <w:pStyle w:val="FootnoteText"/>
        <w:snapToGrid w:val="0"/>
        <w:spacing w:after="22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lang w:val="en-GB"/>
        </w:rPr>
        <w:t>(2013) 16 HKCFAR 950, [22], [25], [33] - [35] (Ribeiro PJ).</w:t>
      </w:r>
    </w:p>
  </w:footnote>
  <w:footnote w:id="69">
    <w:p w:rsidR="004C57FC" w:rsidRPr="004648FA" w:rsidRDefault="004C57FC" w:rsidP="006C4390">
      <w:pPr>
        <w:pStyle w:val="FootnoteText"/>
        <w:snapToGrid w:val="0"/>
        <w:spacing w:after="22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lang w:val="en-GB"/>
        </w:rPr>
        <w:t xml:space="preserve">HA’s </w:t>
      </w:r>
      <w:r>
        <w:rPr>
          <w:lang w:val="en-GB"/>
        </w:rPr>
        <w:t>written</w:t>
      </w:r>
      <w:r w:rsidRPr="004648FA">
        <w:rPr>
          <w:lang w:val="en-GB"/>
        </w:rPr>
        <w:t xml:space="preserve"> case, [40].</w:t>
      </w:r>
    </w:p>
  </w:footnote>
  <w:footnote w:id="70">
    <w:p w:rsidR="004C57FC" w:rsidRPr="004648FA" w:rsidRDefault="004C57FC" w:rsidP="006C4390">
      <w:pPr>
        <w:pStyle w:val="FootnoteText"/>
        <w:snapToGrid w:val="0"/>
        <w:spacing w:after="22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lang w:val="en-GB"/>
        </w:rPr>
        <w:t>BL145 provides that “</w:t>
      </w:r>
      <w:r>
        <w:rPr>
          <w:lang w:val="en-GB"/>
        </w:rPr>
        <w:t>[o]</w:t>
      </w:r>
      <w:r w:rsidRPr="004648FA">
        <w:rPr>
          <w:lang w:val="en-GB"/>
        </w:rPr>
        <w:t>n the basis of the previous social welfare system, the Government of the Hong Kong Special Administrative Region shall, on its own, formulate policies on the development and improvement of this system in the light of the economic conditions and social needs”.</w:t>
      </w:r>
      <w:r>
        <w:rPr>
          <w:lang w:val="en-GB"/>
        </w:rPr>
        <w:t xml:space="preserve">  </w:t>
      </w:r>
    </w:p>
  </w:footnote>
  <w:footnote w:id="71">
    <w:p w:rsidR="004C57FC" w:rsidRDefault="004C57FC" w:rsidP="006C4390">
      <w:pPr>
        <w:pStyle w:val="FootnoteText"/>
        <w:spacing w:after="220" w:line="240" w:lineRule="auto"/>
        <w:ind w:left="360" w:hangingChars="180" w:hanging="360"/>
        <w:jc w:val="both"/>
      </w:pPr>
      <w:r>
        <w:rPr>
          <w:rStyle w:val="FootnoteReference"/>
        </w:rPr>
        <w:footnoteRef/>
      </w:r>
      <w:r>
        <w:t xml:space="preserve">   </w:t>
      </w:r>
      <w:r>
        <w:tab/>
      </w:r>
      <w:r w:rsidRPr="00C06A8D">
        <w:rPr>
          <w:i/>
          <w:lang w:val="en-GB"/>
        </w:rPr>
        <w:t xml:space="preserve">Kong </w:t>
      </w:r>
      <w:proofErr w:type="spellStart"/>
      <w:r w:rsidRPr="00C06A8D">
        <w:rPr>
          <w:i/>
          <w:lang w:val="en-GB"/>
        </w:rPr>
        <w:t>Yunming</w:t>
      </w:r>
      <w:proofErr w:type="spellEnd"/>
      <w:r w:rsidRPr="00C06A8D">
        <w:rPr>
          <w:lang w:val="en-GB"/>
        </w:rPr>
        <w:t>, [36] (Ribeiro PJ).</w:t>
      </w:r>
    </w:p>
  </w:footnote>
  <w:footnote w:id="72">
    <w:p w:rsidR="004C57FC" w:rsidRPr="004648FA" w:rsidRDefault="004C57FC" w:rsidP="006C4390">
      <w:pPr>
        <w:pStyle w:val="FootnoteText"/>
        <w:snapToGrid w:val="0"/>
        <w:spacing w:after="220" w:line="240" w:lineRule="auto"/>
        <w:ind w:left="360" w:hangingChars="180" w:hanging="360"/>
        <w:jc w:val="both"/>
        <w:rPr>
          <w:rFonts w:eastAsia="PMingLiU"/>
          <w:lang w:val="en-GB" w:eastAsia="zh-TW"/>
        </w:rPr>
      </w:pPr>
      <w:r w:rsidRPr="004648FA">
        <w:rPr>
          <w:rStyle w:val="FootnoteReference"/>
          <w:lang w:val="en-GB"/>
        </w:rPr>
        <w:footnoteRef/>
      </w:r>
      <w:r w:rsidRPr="004648FA">
        <w:rPr>
          <w:lang w:val="en-GB"/>
        </w:rPr>
        <w:t xml:space="preserve"> </w:t>
      </w:r>
      <w:r>
        <w:rPr>
          <w:lang w:val="en-GB"/>
        </w:rPr>
        <w:tab/>
      </w:r>
      <w:r w:rsidRPr="004648FA">
        <w:rPr>
          <w:lang w:val="en-GB"/>
        </w:rPr>
        <w:t xml:space="preserve">HA’s </w:t>
      </w:r>
      <w:r>
        <w:rPr>
          <w:lang w:val="en-GB"/>
        </w:rPr>
        <w:t>written</w:t>
      </w:r>
      <w:r w:rsidRPr="004648FA">
        <w:rPr>
          <w:lang w:val="en-GB"/>
        </w:rPr>
        <w:t xml:space="preserve"> case, [38].</w:t>
      </w:r>
    </w:p>
  </w:footnote>
  <w:footnote w:id="73">
    <w:p w:rsidR="004C57FC" w:rsidRPr="006929AB" w:rsidRDefault="004C57FC" w:rsidP="003C2699">
      <w:pPr>
        <w:pStyle w:val="FootnoteText"/>
        <w:snapToGrid w:val="0"/>
        <w:spacing w:after="0" w:line="240" w:lineRule="auto"/>
        <w:ind w:left="360" w:hangingChars="180" w:hanging="360"/>
        <w:jc w:val="both"/>
        <w:rPr>
          <w:lang w:val="en-GB"/>
        </w:rPr>
      </w:pPr>
      <w:r>
        <w:rPr>
          <w:rStyle w:val="FootnoteReference"/>
        </w:rPr>
        <w:footnoteRef/>
      </w:r>
      <w:r>
        <w:t xml:space="preserve"> </w:t>
      </w:r>
      <w:r>
        <w:tab/>
      </w:r>
      <w:r w:rsidRPr="006929AB">
        <w:rPr>
          <w:lang w:val="en-GB"/>
        </w:rPr>
        <w:t>BL40 provides that “</w:t>
      </w:r>
      <w:r>
        <w:rPr>
          <w:lang w:val="en-GB"/>
        </w:rPr>
        <w:t>[t]</w:t>
      </w:r>
      <w:r w:rsidRPr="006929AB">
        <w:rPr>
          <w:lang w:val="en-GB"/>
        </w:rPr>
        <w:t xml:space="preserve">he lawful traditional rights and interests of the indigenous inhabitants of the </w:t>
      </w:r>
      <w:r>
        <w:rPr>
          <w:lang w:val="en-GB"/>
        </w:rPr>
        <w:t>‘</w:t>
      </w:r>
      <w:r w:rsidRPr="006929AB">
        <w:rPr>
          <w:lang w:val="en-GB"/>
        </w:rPr>
        <w:t>New Territories</w:t>
      </w:r>
      <w:r>
        <w:rPr>
          <w:lang w:val="en-GB"/>
        </w:rPr>
        <w:t>’</w:t>
      </w:r>
      <w:r w:rsidRPr="006929AB">
        <w:rPr>
          <w:lang w:val="en-GB"/>
        </w:rPr>
        <w:t xml:space="preserve"> shall be protected by the Hong Kong Special Administrative Region”.</w:t>
      </w:r>
    </w:p>
  </w:footnote>
  <w:footnote w:id="74">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lang w:val="en-GB"/>
        </w:rPr>
        <w:t xml:space="preserve">As this </w:t>
      </w:r>
      <w:r>
        <w:rPr>
          <w:lang w:val="en-GB"/>
        </w:rPr>
        <w:t>c</w:t>
      </w:r>
      <w:r w:rsidRPr="004648FA">
        <w:rPr>
          <w:lang w:val="en-GB"/>
        </w:rPr>
        <w:t xml:space="preserve">ourt held in </w:t>
      </w:r>
      <w:r w:rsidRPr="004648FA">
        <w:rPr>
          <w:i/>
          <w:lang w:val="en-GB"/>
        </w:rPr>
        <w:t xml:space="preserve">Kwok </w:t>
      </w:r>
      <w:proofErr w:type="spellStart"/>
      <w:r w:rsidRPr="004648FA">
        <w:rPr>
          <w:i/>
          <w:lang w:val="en-GB"/>
        </w:rPr>
        <w:t>Cheuk</w:t>
      </w:r>
      <w:proofErr w:type="spellEnd"/>
      <w:r w:rsidRPr="004648FA">
        <w:rPr>
          <w:i/>
          <w:lang w:val="en-GB"/>
        </w:rPr>
        <w:t xml:space="preserve"> Kin v Director of Lands (No 2)</w:t>
      </w:r>
      <w:r>
        <w:rPr>
          <w:lang w:val="en-GB"/>
        </w:rPr>
        <w:t xml:space="preserve"> (2021) 24 HKCFA</w:t>
      </w:r>
      <w:r w:rsidR="00AF74B5">
        <w:rPr>
          <w:lang w:val="en-GB"/>
        </w:rPr>
        <w:t>R</w:t>
      </w:r>
      <w:r>
        <w:rPr>
          <w:lang w:val="en-GB"/>
        </w:rPr>
        <w:t xml:space="preserve"> 349</w:t>
      </w:r>
      <w:r w:rsidRPr="004648FA">
        <w:rPr>
          <w:lang w:val="en-GB"/>
        </w:rPr>
        <w:t>, [36].</w:t>
      </w:r>
    </w:p>
  </w:footnote>
  <w:footnote w:id="75">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lang w:val="en-GB"/>
        </w:rPr>
        <w:t xml:space="preserve">HA’s </w:t>
      </w:r>
      <w:r>
        <w:rPr>
          <w:lang w:val="en-GB"/>
        </w:rPr>
        <w:t>written</w:t>
      </w:r>
      <w:r w:rsidRPr="004648FA">
        <w:rPr>
          <w:lang w:val="en-GB"/>
        </w:rPr>
        <w:t xml:space="preserve"> case, Sections C2 and C3.</w:t>
      </w:r>
    </w:p>
  </w:footnote>
  <w:footnote w:id="76">
    <w:p w:rsidR="004C57FC" w:rsidRDefault="004C57FC" w:rsidP="009C541F">
      <w:pPr>
        <w:pStyle w:val="FootnoteText"/>
        <w:spacing w:after="240" w:line="240" w:lineRule="auto"/>
        <w:ind w:left="360" w:hanging="360"/>
        <w:jc w:val="both"/>
      </w:pPr>
      <w:r>
        <w:rPr>
          <w:rStyle w:val="FootnoteReference"/>
        </w:rPr>
        <w:footnoteRef/>
      </w:r>
      <w:r>
        <w:t xml:space="preserve"> </w:t>
      </w:r>
      <w:r w:rsidR="009E2AE4">
        <w:t xml:space="preserve">   </w:t>
      </w:r>
      <w:r w:rsidRPr="00EE5D9E">
        <w:rPr>
          <w:rFonts w:hint="eastAsia"/>
          <w:i/>
        </w:rPr>
        <w:t>Ibid</w:t>
      </w:r>
      <w:r>
        <w:rPr>
          <w:rFonts w:hint="eastAsia"/>
        </w:rPr>
        <w:t>, [18]</w:t>
      </w:r>
      <w:r>
        <w:t xml:space="preserve"> </w:t>
      </w:r>
      <w:r>
        <w:rPr>
          <w:rFonts w:hint="eastAsia"/>
        </w:rPr>
        <w:t>-</w:t>
      </w:r>
      <w:r>
        <w:t xml:space="preserve"> </w:t>
      </w:r>
      <w:r>
        <w:rPr>
          <w:rFonts w:hint="eastAsia"/>
        </w:rPr>
        <w:t>[21].</w:t>
      </w:r>
    </w:p>
  </w:footnote>
  <w:footnote w:id="77">
    <w:p w:rsidR="004C57FC" w:rsidRPr="004648FA" w:rsidRDefault="004C57FC" w:rsidP="009C541F">
      <w:pPr>
        <w:pStyle w:val="FootnoteText"/>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i/>
          <w:lang w:val="en-GB"/>
        </w:rPr>
        <w:t>Ibid</w:t>
      </w:r>
      <w:r w:rsidRPr="004648FA">
        <w:rPr>
          <w:lang w:val="en-GB"/>
        </w:rPr>
        <w:t>, [25] - [28].</w:t>
      </w:r>
    </w:p>
  </w:footnote>
  <w:footnote w:id="78">
    <w:p w:rsidR="004C57FC" w:rsidRPr="006D325E" w:rsidRDefault="004C57FC" w:rsidP="001A2EC2">
      <w:pPr>
        <w:pStyle w:val="FootnoteText"/>
        <w:snapToGrid w:val="0"/>
        <w:spacing w:after="240" w:line="240" w:lineRule="auto"/>
        <w:ind w:left="360" w:hangingChars="180" w:hanging="360"/>
        <w:jc w:val="both"/>
        <w:rPr>
          <w:sz w:val="16"/>
          <w:szCs w:val="16"/>
          <w:lang w:val="en-GB"/>
        </w:rPr>
      </w:pPr>
      <w:r w:rsidRPr="004648FA">
        <w:rPr>
          <w:rStyle w:val="FootnoteReference"/>
          <w:lang w:val="en-GB"/>
        </w:rPr>
        <w:footnoteRef/>
      </w:r>
      <w:r w:rsidRPr="004648FA">
        <w:rPr>
          <w:lang w:val="en-GB"/>
        </w:rPr>
        <w:t xml:space="preserve"> </w:t>
      </w:r>
      <w:r>
        <w:rPr>
          <w:lang w:val="en-GB"/>
        </w:rPr>
        <w:tab/>
      </w:r>
      <w:r w:rsidRPr="004648FA">
        <w:rPr>
          <w:i/>
          <w:lang w:val="en-GB"/>
        </w:rPr>
        <w:t>Ibid</w:t>
      </w:r>
      <w:r w:rsidRPr="004648FA">
        <w:rPr>
          <w:lang w:val="en-GB"/>
        </w:rPr>
        <w:t>, Section C.</w:t>
      </w:r>
    </w:p>
  </w:footnote>
  <w:footnote w:id="79">
    <w:p w:rsidR="004C57FC" w:rsidRPr="006D325E" w:rsidRDefault="004C57FC" w:rsidP="001A2EC2">
      <w:pPr>
        <w:pStyle w:val="FootnoteText"/>
        <w:snapToGrid w:val="0"/>
        <w:spacing w:after="240" w:line="240" w:lineRule="auto"/>
        <w:ind w:left="360" w:hangingChars="180" w:hanging="360"/>
        <w:jc w:val="both"/>
        <w:rPr>
          <w:sz w:val="16"/>
          <w:szCs w:val="16"/>
        </w:rPr>
      </w:pPr>
      <w:r>
        <w:rPr>
          <w:rStyle w:val="FootnoteReference"/>
        </w:rPr>
        <w:footnoteRef/>
      </w:r>
      <w:r>
        <w:t xml:space="preserve"> </w:t>
      </w:r>
      <w:r>
        <w:tab/>
      </w:r>
      <w:r w:rsidRPr="00AD2EA6">
        <w:rPr>
          <w:lang w:val="en-GB"/>
        </w:rPr>
        <w:t>CA Judgment,</w:t>
      </w:r>
      <w:r w:rsidRPr="00603AA2">
        <w:rPr>
          <w:lang w:val="en-GB"/>
        </w:rPr>
        <w:t xml:space="preserve"> [</w:t>
      </w:r>
      <w:r>
        <w:rPr>
          <w:lang w:val="en-GB"/>
        </w:rPr>
        <w:t>85].</w:t>
      </w:r>
    </w:p>
  </w:footnote>
  <w:footnote w:id="80">
    <w:p w:rsidR="004C57FC" w:rsidRPr="006D325E" w:rsidRDefault="004C57FC" w:rsidP="001A2EC2">
      <w:pPr>
        <w:pStyle w:val="FootnoteText"/>
        <w:snapToGrid w:val="0"/>
        <w:spacing w:after="240" w:line="240" w:lineRule="auto"/>
        <w:ind w:left="360" w:hangingChars="180" w:hanging="360"/>
        <w:jc w:val="both"/>
        <w:rPr>
          <w:sz w:val="16"/>
          <w:szCs w:val="16"/>
          <w:lang w:val="en-GB"/>
        </w:rPr>
      </w:pPr>
      <w:r w:rsidRPr="004648FA">
        <w:rPr>
          <w:rStyle w:val="FootnoteReference"/>
          <w:lang w:val="en-GB"/>
        </w:rPr>
        <w:footnoteRef/>
      </w:r>
      <w:r w:rsidRPr="004648FA">
        <w:rPr>
          <w:lang w:val="en-GB"/>
        </w:rPr>
        <w:t xml:space="preserve"> </w:t>
      </w:r>
      <w:r>
        <w:rPr>
          <w:lang w:val="en-GB"/>
        </w:rPr>
        <w:tab/>
      </w:r>
      <w:r w:rsidRPr="00EE5D9E">
        <w:rPr>
          <w:i/>
          <w:lang w:val="en-GB"/>
        </w:rPr>
        <w:t>Ibid</w:t>
      </w:r>
      <w:r w:rsidRPr="00AD2EA6">
        <w:rPr>
          <w:lang w:val="en-GB"/>
        </w:rPr>
        <w:t>,</w:t>
      </w:r>
      <w:r w:rsidRPr="004648FA">
        <w:rPr>
          <w:lang w:val="en-GB"/>
        </w:rPr>
        <w:t xml:space="preserve"> </w:t>
      </w:r>
      <w:r w:rsidRPr="000C2F4A">
        <w:rPr>
          <w:lang w:val="en-GB"/>
        </w:rPr>
        <w:t>[72] - [79],</w:t>
      </w:r>
      <w:r w:rsidRPr="004648FA">
        <w:rPr>
          <w:lang w:val="en-GB"/>
        </w:rPr>
        <w:t xml:space="preserve"> [137] - [144</w:t>
      </w:r>
      <w:r>
        <w:rPr>
          <w:lang w:val="en-GB"/>
        </w:rPr>
        <w:t>]</w:t>
      </w:r>
      <w:r w:rsidRPr="004648FA">
        <w:rPr>
          <w:lang w:val="en-GB"/>
        </w:rPr>
        <w:t>.</w:t>
      </w:r>
    </w:p>
  </w:footnote>
  <w:footnote w:id="81">
    <w:p w:rsidR="004C57FC" w:rsidRPr="006D325E" w:rsidRDefault="004C57FC" w:rsidP="001A2EC2">
      <w:pPr>
        <w:pStyle w:val="FootnoteText"/>
        <w:snapToGrid w:val="0"/>
        <w:spacing w:after="240" w:line="240" w:lineRule="auto"/>
        <w:ind w:left="360" w:hangingChars="180" w:hanging="360"/>
        <w:jc w:val="both"/>
        <w:rPr>
          <w:sz w:val="16"/>
          <w:szCs w:val="16"/>
          <w:lang w:val="en-GB"/>
        </w:rPr>
      </w:pPr>
      <w:r w:rsidRPr="004648FA">
        <w:rPr>
          <w:rStyle w:val="FootnoteReference"/>
          <w:lang w:val="en-GB"/>
        </w:rPr>
        <w:footnoteRef/>
      </w:r>
      <w:r w:rsidRPr="004648FA">
        <w:rPr>
          <w:lang w:val="en-GB"/>
        </w:rPr>
        <w:t xml:space="preserve"> </w:t>
      </w:r>
      <w:r>
        <w:rPr>
          <w:lang w:val="en-GB"/>
        </w:rPr>
        <w:tab/>
      </w:r>
      <w:r w:rsidRPr="004648FA">
        <w:rPr>
          <w:i/>
          <w:lang w:val="en-GB"/>
        </w:rPr>
        <w:t>Ibid</w:t>
      </w:r>
      <w:r>
        <w:rPr>
          <w:lang w:val="en-GB"/>
        </w:rPr>
        <w:t>, [71]</w:t>
      </w:r>
      <w:r w:rsidRPr="004648FA">
        <w:rPr>
          <w:lang w:val="en-GB"/>
        </w:rPr>
        <w:t>.</w:t>
      </w:r>
    </w:p>
  </w:footnote>
  <w:footnote w:id="82">
    <w:p w:rsidR="004C57FC" w:rsidRPr="006D325E" w:rsidRDefault="004C57FC" w:rsidP="001A2EC2">
      <w:pPr>
        <w:pStyle w:val="FootnoteText"/>
        <w:snapToGrid w:val="0"/>
        <w:spacing w:after="240" w:line="240" w:lineRule="auto"/>
        <w:ind w:left="360" w:hangingChars="180" w:hanging="360"/>
        <w:jc w:val="both"/>
        <w:rPr>
          <w:sz w:val="16"/>
          <w:szCs w:val="16"/>
          <w:lang w:val="en-GB"/>
        </w:rPr>
      </w:pPr>
      <w:r w:rsidRPr="004648FA">
        <w:rPr>
          <w:rStyle w:val="FootnoteReference"/>
          <w:lang w:val="en-GB"/>
        </w:rPr>
        <w:footnoteRef/>
      </w:r>
      <w:r w:rsidRPr="004648FA">
        <w:rPr>
          <w:lang w:val="en-GB"/>
        </w:rPr>
        <w:t xml:space="preserve"> </w:t>
      </w:r>
      <w:r>
        <w:rPr>
          <w:lang w:val="en-GB"/>
        </w:rPr>
        <w:tab/>
      </w:r>
      <w:r w:rsidRPr="004648FA">
        <w:rPr>
          <w:i/>
          <w:lang w:val="en-GB"/>
        </w:rPr>
        <w:t>Ibid</w:t>
      </w:r>
      <w:r w:rsidRPr="004648FA">
        <w:rPr>
          <w:lang w:val="en-GB"/>
        </w:rPr>
        <w:t>, [72]</w:t>
      </w:r>
      <w:r>
        <w:rPr>
          <w:lang w:val="en-GB"/>
        </w:rPr>
        <w:t>.</w:t>
      </w:r>
    </w:p>
  </w:footnote>
  <w:footnote w:id="83">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i/>
          <w:lang w:val="en-GB"/>
        </w:rPr>
        <w:t>Ibid</w:t>
      </w:r>
      <w:r w:rsidRPr="004648FA">
        <w:rPr>
          <w:lang w:val="en-GB"/>
        </w:rPr>
        <w:t>, [79].</w:t>
      </w:r>
    </w:p>
  </w:footnote>
  <w:footnote w:id="84">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i/>
          <w:lang w:val="en-GB"/>
        </w:rPr>
        <w:t>Ibid</w:t>
      </w:r>
      <w:r w:rsidRPr="004648FA">
        <w:rPr>
          <w:lang w:val="en-GB"/>
        </w:rPr>
        <w:t>, [81].</w:t>
      </w:r>
    </w:p>
  </w:footnote>
  <w:footnote w:id="85">
    <w:p w:rsidR="004C57FC" w:rsidRDefault="004C57FC" w:rsidP="001A2EC2">
      <w:pPr>
        <w:pStyle w:val="FootnoteText"/>
        <w:snapToGrid w:val="0"/>
        <w:spacing w:after="240" w:line="240" w:lineRule="auto"/>
        <w:ind w:left="360" w:hangingChars="180" w:hanging="360"/>
        <w:jc w:val="both"/>
      </w:pPr>
      <w:r>
        <w:rPr>
          <w:rStyle w:val="FootnoteReference"/>
        </w:rPr>
        <w:footnoteRef/>
      </w:r>
      <w:r>
        <w:t xml:space="preserve"> </w:t>
      </w:r>
      <w:r>
        <w:tab/>
      </w:r>
      <w:r>
        <w:rPr>
          <w:rFonts w:hint="eastAsia"/>
        </w:rPr>
        <w:t>A</w:t>
      </w:r>
      <w:r>
        <w:t>ppendix, [1].</w:t>
      </w:r>
    </w:p>
  </w:footnote>
  <w:footnote w:id="86">
    <w:p w:rsidR="004C57FC" w:rsidRDefault="004C57FC" w:rsidP="001A2EC2">
      <w:pPr>
        <w:pStyle w:val="FootnoteText"/>
        <w:snapToGrid w:val="0"/>
        <w:spacing w:after="240" w:line="240" w:lineRule="auto"/>
        <w:ind w:left="360" w:hangingChars="180" w:hanging="360"/>
        <w:jc w:val="both"/>
      </w:pPr>
      <w:r>
        <w:rPr>
          <w:rStyle w:val="FootnoteReference"/>
        </w:rPr>
        <w:footnoteRef/>
      </w:r>
      <w:r>
        <w:t xml:space="preserve"> </w:t>
      </w:r>
      <w:r>
        <w:tab/>
      </w:r>
      <w:r>
        <w:rPr>
          <w:rFonts w:hint="eastAsia"/>
        </w:rPr>
        <w:t>A</w:t>
      </w:r>
      <w:r>
        <w:t>ppendix, [1] and [2].</w:t>
      </w:r>
    </w:p>
  </w:footnote>
  <w:footnote w:id="87">
    <w:p w:rsidR="004C57FC" w:rsidRDefault="004C57FC" w:rsidP="001A2EC2">
      <w:pPr>
        <w:pStyle w:val="FootnoteText"/>
        <w:spacing w:after="240" w:line="240" w:lineRule="auto"/>
        <w:ind w:left="360" w:hanging="360"/>
        <w:jc w:val="both"/>
      </w:pPr>
      <w:r>
        <w:rPr>
          <w:rStyle w:val="FootnoteReference"/>
        </w:rPr>
        <w:footnoteRef/>
      </w:r>
      <w:r>
        <w:t xml:space="preserve"> </w:t>
      </w:r>
      <w:r>
        <w:tab/>
        <w:t xml:space="preserve">HA’s written case, Section B; HA’s supplemental written case, [2] - [16]; </w:t>
      </w:r>
      <w:proofErr w:type="spellStart"/>
      <w:r>
        <w:t>Mr</w:t>
      </w:r>
      <w:proofErr w:type="spellEnd"/>
      <w:r>
        <w:t xml:space="preserve"> </w:t>
      </w:r>
      <w:proofErr w:type="spellStart"/>
      <w:r>
        <w:t>Infinger’s</w:t>
      </w:r>
      <w:proofErr w:type="spellEnd"/>
      <w:r>
        <w:t xml:space="preserve"> written case, Section C; </w:t>
      </w:r>
      <w:proofErr w:type="spellStart"/>
      <w:r>
        <w:t>Mr</w:t>
      </w:r>
      <w:proofErr w:type="spellEnd"/>
      <w:r>
        <w:t xml:space="preserve"> Li’s written case, Section C.</w:t>
      </w:r>
    </w:p>
  </w:footnote>
  <w:footnote w:id="88">
    <w:p w:rsidR="004C57FC" w:rsidRDefault="004C57FC" w:rsidP="001A2EC2">
      <w:pPr>
        <w:pStyle w:val="FootnoteText"/>
        <w:spacing w:after="240" w:line="240" w:lineRule="auto"/>
        <w:ind w:left="360" w:hanging="360"/>
        <w:jc w:val="both"/>
      </w:pPr>
      <w:r>
        <w:rPr>
          <w:rStyle w:val="FootnoteReference"/>
        </w:rPr>
        <w:footnoteRef/>
      </w:r>
      <w:r>
        <w:t xml:space="preserve"> </w:t>
      </w:r>
      <w:r>
        <w:tab/>
        <w:t>HA’s written case, [25] - [28].</w:t>
      </w:r>
    </w:p>
  </w:footnote>
  <w:footnote w:id="89">
    <w:p w:rsidR="004C57FC" w:rsidRPr="004648FA" w:rsidRDefault="004C57FC" w:rsidP="001A2EC2">
      <w:pPr>
        <w:pStyle w:val="FootnoteText"/>
        <w:spacing w:after="240" w:line="240" w:lineRule="auto"/>
        <w:ind w:left="360" w:hanging="360"/>
        <w:jc w:val="both"/>
        <w:rPr>
          <w:lang w:val="en-GB"/>
        </w:rPr>
      </w:pPr>
      <w:r w:rsidRPr="004648FA">
        <w:rPr>
          <w:rStyle w:val="FootnoteReference"/>
          <w:lang w:val="en-GB"/>
        </w:rPr>
        <w:footnoteRef/>
      </w:r>
      <w:r w:rsidRPr="004648FA">
        <w:rPr>
          <w:lang w:val="en-GB"/>
        </w:rPr>
        <w:t xml:space="preserve"> </w:t>
      </w:r>
      <w:r>
        <w:rPr>
          <w:lang w:val="en-GB"/>
        </w:rPr>
        <w:tab/>
      </w:r>
      <w:r w:rsidRPr="00700636">
        <w:rPr>
          <w:lang w:val="en-GB"/>
        </w:rPr>
        <w:t>See [6]</w:t>
      </w:r>
      <w:r w:rsidRPr="004648FA">
        <w:rPr>
          <w:lang w:val="en-GB"/>
        </w:rPr>
        <w:t xml:space="preserve"> above.</w:t>
      </w:r>
    </w:p>
  </w:footnote>
  <w:footnote w:id="90">
    <w:p w:rsidR="004C57FC" w:rsidRDefault="004C57FC" w:rsidP="009C541F">
      <w:pPr>
        <w:pStyle w:val="FootnoteText"/>
        <w:spacing w:after="240" w:line="240" w:lineRule="auto"/>
        <w:ind w:left="360" w:hanging="360"/>
        <w:jc w:val="both"/>
      </w:pPr>
      <w:r>
        <w:rPr>
          <w:rStyle w:val="FootnoteReference"/>
        </w:rPr>
        <w:footnoteRef/>
      </w:r>
      <w:r>
        <w:t xml:space="preserve"> </w:t>
      </w:r>
      <w:r>
        <w:tab/>
      </w:r>
      <w:r w:rsidRPr="00EE5D9E">
        <w:rPr>
          <w:i/>
        </w:rPr>
        <w:t>Ibid</w:t>
      </w:r>
      <w:r>
        <w:t>.</w:t>
      </w:r>
    </w:p>
  </w:footnote>
  <w:footnote w:id="91">
    <w:p w:rsidR="004C57FC" w:rsidRDefault="004C57FC" w:rsidP="009C541F">
      <w:pPr>
        <w:pStyle w:val="FootnoteText"/>
        <w:spacing w:after="240" w:line="240" w:lineRule="auto"/>
        <w:ind w:left="360" w:hangingChars="180" w:hanging="360"/>
        <w:jc w:val="both"/>
      </w:pPr>
      <w:r>
        <w:rPr>
          <w:rStyle w:val="FootnoteReference"/>
        </w:rPr>
        <w:footnoteRef/>
      </w:r>
      <w:r>
        <w:t xml:space="preserve">   </w:t>
      </w:r>
      <w:r>
        <w:tab/>
        <w:t xml:space="preserve">See </w:t>
      </w:r>
      <w:r w:rsidRPr="00700636">
        <w:t>[66</w:t>
      </w:r>
      <w:r>
        <w:t>] below.</w:t>
      </w:r>
    </w:p>
  </w:footnote>
  <w:footnote w:id="92">
    <w:p w:rsidR="004C57FC" w:rsidRPr="004648FA" w:rsidRDefault="004C57FC" w:rsidP="009C541F">
      <w:pPr>
        <w:pStyle w:val="FootnoteText"/>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lang w:val="en-GB"/>
        </w:rPr>
        <w:t xml:space="preserve">HA’s </w:t>
      </w:r>
      <w:r>
        <w:rPr>
          <w:lang w:val="en-GB"/>
        </w:rPr>
        <w:t>written</w:t>
      </w:r>
      <w:r w:rsidRPr="004648FA">
        <w:rPr>
          <w:lang w:val="en-GB"/>
        </w:rPr>
        <w:t xml:space="preserve"> case, [6]; HA’s supplemental </w:t>
      </w:r>
      <w:r>
        <w:rPr>
          <w:lang w:val="en-GB"/>
        </w:rPr>
        <w:t>written</w:t>
      </w:r>
      <w:r w:rsidRPr="004648FA">
        <w:rPr>
          <w:lang w:val="en-GB"/>
        </w:rPr>
        <w:t xml:space="preserve"> case, [14], [21].</w:t>
      </w:r>
    </w:p>
  </w:footnote>
  <w:footnote w:id="93">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AD2EA6">
        <w:rPr>
          <w:lang w:val="en-GB"/>
        </w:rPr>
        <w:t>CA Judgment,</w:t>
      </w:r>
      <w:r w:rsidRPr="004648FA">
        <w:rPr>
          <w:lang w:val="en-GB"/>
        </w:rPr>
        <w:t xml:space="preserve"> [72] - [79], [137] - [144].</w:t>
      </w:r>
    </w:p>
  </w:footnote>
  <w:footnote w:id="94">
    <w:p w:rsidR="004C57FC" w:rsidRPr="001C2C09" w:rsidRDefault="004C57FC" w:rsidP="001A2EC2">
      <w:pPr>
        <w:pStyle w:val="FootnoteText"/>
        <w:snapToGrid w:val="0"/>
        <w:spacing w:after="240" w:line="240" w:lineRule="auto"/>
        <w:ind w:left="360" w:hangingChars="180" w:hanging="360"/>
        <w:jc w:val="both"/>
      </w:pPr>
      <w:r>
        <w:rPr>
          <w:rStyle w:val="FootnoteReference"/>
        </w:rPr>
        <w:footnoteRef/>
      </w:r>
      <w:r>
        <w:t xml:space="preserve"> </w:t>
      </w:r>
      <w:r>
        <w:tab/>
        <w:t>Appendix, [2].</w:t>
      </w:r>
    </w:p>
  </w:footnote>
  <w:footnote w:id="95">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i/>
          <w:lang w:val="en-GB"/>
        </w:rPr>
        <w:t xml:space="preserve">Sham </w:t>
      </w:r>
      <w:proofErr w:type="spellStart"/>
      <w:r w:rsidRPr="004648FA">
        <w:rPr>
          <w:i/>
          <w:lang w:val="en-GB"/>
        </w:rPr>
        <w:t>Tsz</w:t>
      </w:r>
      <w:proofErr w:type="spellEnd"/>
      <w:r w:rsidRPr="004648FA">
        <w:rPr>
          <w:i/>
          <w:lang w:val="en-GB"/>
        </w:rPr>
        <w:t xml:space="preserve"> Kit</w:t>
      </w:r>
      <w:r w:rsidRPr="004648FA">
        <w:rPr>
          <w:lang w:val="en-GB"/>
        </w:rPr>
        <w:t xml:space="preserve">, [9] (Cheung CJ), [84] - [124] (Ribeiro and </w:t>
      </w:r>
      <w:proofErr w:type="spellStart"/>
      <w:r w:rsidRPr="004648FA">
        <w:rPr>
          <w:lang w:val="en-GB"/>
        </w:rPr>
        <w:t>Fok</w:t>
      </w:r>
      <w:proofErr w:type="spellEnd"/>
      <w:r w:rsidRPr="004648FA">
        <w:rPr>
          <w:lang w:val="en-GB"/>
        </w:rPr>
        <w:t xml:space="preserve"> PJJ), [216] - [217] (Lam PJ), [253] (Keane NPJ); </w:t>
      </w:r>
      <w:r w:rsidRPr="004648FA">
        <w:rPr>
          <w:i/>
          <w:lang w:val="en-GB"/>
        </w:rPr>
        <w:t xml:space="preserve">Kwok </w:t>
      </w:r>
      <w:proofErr w:type="spellStart"/>
      <w:r w:rsidRPr="004648FA">
        <w:rPr>
          <w:i/>
          <w:lang w:val="en-GB"/>
        </w:rPr>
        <w:t>Cheuk</w:t>
      </w:r>
      <w:proofErr w:type="spellEnd"/>
      <w:r w:rsidRPr="004648FA">
        <w:rPr>
          <w:i/>
          <w:lang w:val="en-GB"/>
        </w:rPr>
        <w:t xml:space="preserve"> Kin, </w:t>
      </w:r>
      <w:r w:rsidRPr="004648FA">
        <w:rPr>
          <w:lang w:val="en-GB"/>
        </w:rPr>
        <w:t xml:space="preserve">[36] - [44]; </w:t>
      </w:r>
      <w:proofErr w:type="spellStart"/>
      <w:r w:rsidRPr="004648FA">
        <w:rPr>
          <w:i/>
          <w:lang w:val="en-GB"/>
        </w:rPr>
        <w:t>Comilang</w:t>
      </w:r>
      <w:proofErr w:type="spellEnd"/>
      <w:r w:rsidRPr="004648FA">
        <w:rPr>
          <w:i/>
          <w:lang w:val="en-GB"/>
        </w:rPr>
        <w:t xml:space="preserve"> Milagros </w:t>
      </w:r>
      <w:proofErr w:type="spellStart"/>
      <w:r w:rsidRPr="004648FA">
        <w:rPr>
          <w:i/>
          <w:lang w:val="en-GB"/>
        </w:rPr>
        <w:t>Tecson</w:t>
      </w:r>
      <w:proofErr w:type="spellEnd"/>
      <w:r w:rsidRPr="004648FA">
        <w:rPr>
          <w:i/>
          <w:lang w:val="en-GB"/>
        </w:rPr>
        <w:t xml:space="preserve"> v Director of Immigration</w:t>
      </w:r>
      <w:r>
        <w:rPr>
          <w:lang w:val="en-GB"/>
        </w:rPr>
        <w:t xml:space="preserve"> (2019) 22 HKCFAR 59,</w:t>
      </w:r>
      <w:r w:rsidRPr="004648FA">
        <w:rPr>
          <w:lang w:val="en-GB"/>
        </w:rPr>
        <w:t xml:space="preserve"> [30], [33], [45], [57], [60] - [61], [69] (Ribeiro and </w:t>
      </w:r>
      <w:proofErr w:type="spellStart"/>
      <w:r w:rsidRPr="004648FA">
        <w:rPr>
          <w:lang w:val="en-GB"/>
        </w:rPr>
        <w:t>Fok</w:t>
      </w:r>
      <w:proofErr w:type="spellEnd"/>
      <w:r w:rsidRPr="004648FA">
        <w:rPr>
          <w:lang w:val="en-GB"/>
        </w:rPr>
        <w:t xml:space="preserve"> PJJ).</w:t>
      </w:r>
    </w:p>
  </w:footnote>
  <w:footnote w:id="96">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i/>
          <w:lang w:val="en-GB"/>
        </w:rPr>
        <w:t xml:space="preserve">Choi </w:t>
      </w:r>
      <w:proofErr w:type="spellStart"/>
      <w:r w:rsidRPr="004648FA">
        <w:rPr>
          <w:i/>
          <w:lang w:val="en-GB"/>
        </w:rPr>
        <w:t>Wai</w:t>
      </w:r>
      <w:proofErr w:type="spellEnd"/>
      <w:r w:rsidRPr="004648FA">
        <w:rPr>
          <w:i/>
          <w:lang w:val="en-GB"/>
        </w:rPr>
        <w:t xml:space="preserve"> </w:t>
      </w:r>
      <w:proofErr w:type="spellStart"/>
      <w:r w:rsidRPr="004648FA">
        <w:rPr>
          <w:i/>
          <w:lang w:val="en-GB"/>
        </w:rPr>
        <w:t>Lun</w:t>
      </w:r>
      <w:proofErr w:type="spellEnd"/>
      <w:r w:rsidRPr="004648FA">
        <w:rPr>
          <w:i/>
          <w:lang w:val="en-GB"/>
        </w:rPr>
        <w:t xml:space="preserve"> v HKSAR</w:t>
      </w:r>
      <w:r w:rsidRPr="004648FA">
        <w:rPr>
          <w:lang w:val="en-GB"/>
        </w:rPr>
        <w:t xml:space="preserve"> (2018) 21 HKCFAR 167</w:t>
      </w:r>
      <w:r>
        <w:rPr>
          <w:lang w:val="en-GB"/>
        </w:rPr>
        <w:t>,</w:t>
      </w:r>
      <w:r w:rsidRPr="004648FA">
        <w:rPr>
          <w:lang w:val="en-GB"/>
        </w:rPr>
        <w:t xml:space="preserve"> [14] (Ribeiro PJ) citing </w:t>
      </w:r>
      <w:r w:rsidRPr="004648FA">
        <w:rPr>
          <w:i/>
          <w:lang w:val="en-GB"/>
        </w:rPr>
        <w:t xml:space="preserve">R v Secretary of State for the Home Department, ex parte </w:t>
      </w:r>
      <w:proofErr w:type="spellStart"/>
      <w:r w:rsidRPr="004648FA">
        <w:rPr>
          <w:i/>
          <w:lang w:val="en-GB"/>
        </w:rPr>
        <w:t>Simm</w:t>
      </w:r>
      <w:proofErr w:type="spellEnd"/>
      <w:r w:rsidRPr="004648FA">
        <w:rPr>
          <w:i/>
          <w:lang w:val="en-GB"/>
        </w:rPr>
        <w:t xml:space="preserve"> &amp; Anor </w:t>
      </w:r>
      <w:r w:rsidRPr="004648FA">
        <w:rPr>
          <w:lang w:val="en-GB"/>
        </w:rPr>
        <w:t xml:space="preserve">[2000] 2 AC 115, 131 (Lord Hoffmann); </w:t>
      </w:r>
      <w:r w:rsidRPr="004648FA">
        <w:rPr>
          <w:i/>
          <w:lang w:val="en-GB"/>
        </w:rPr>
        <w:t>A v Commissioner of Independent Commission Against Corruption</w:t>
      </w:r>
      <w:r w:rsidRPr="004648FA">
        <w:rPr>
          <w:lang w:val="en-GB"/>
        </w:rPr>
        <w:t xml:space="preserve"> (2012) 15 HKCFAR 362, [24] (</w:t>
      </w:r>
      <w:proofErr w:type="spellStart"/>
      <w:r w:rsidRPr="004648FA">
        <w:rPr>
          <w:lang w:val="en-GB"/>
        </w:rPr>
        <w:t>Bokhary</w:t>
      </w:r>
      <w:proofErr w:type="spellEnd"/>
      <w:r w:rsidRPr="004648FA">
        <w:rPr>
          <w:lang w:val="en-GB"/>
        </w:rPr>
        <w:t xml:space="preserve"> and Chan PJJ).</w:t>
      </w:r>
    </w:p>
  </w:footnote>
  <w:footnote w:id="97">
    <w:p w:rsidR="004C57FC" w:rsidRPr="00472D3B" w:rsidRDefault="004C57FC" w:rsidP="009C541F">
      <w:pPr>
        <w:pStyle w:val="FootnoteText"/>
        <w:spacing w:after="240" w:line="240" w:lineRule="auto"/>
        <w:ind w:left="360" w:hangingChars="180" w:hanging="360"/>
        <w:jc w:val="both"/>
      </w:pPr>
      <w:r>
        <w:rPr>
          <w:rStyle w:val="FootnoteReference"/>
        </w:rPr>
        <w:footnoteRef/>
      </w:r>
      <w:r w:rsidR="001730A1">
        <w:t xml:space="preserve">   </w:t>
      </w:r>
      <w:r w:rsidR="001730A1">
        <w:tab/>
        <w:t xml:space="preserve">They are personal </w:t>
      </w:r>
      <w:r w:rsidR="001730A1" w:rsidRPr="001730A1">
        <w:t>characteristics</w:t>
      </w:r>
      <w:r>
        <w:t xml:space="preserve"> such as sex, race and sexual orientation which an individual cannot change: </w:t>
      </w:r>
      <w:r w:rsidRPr="00472D3B">
        <w:rPr>
          <w:i/>
          <w:lang w:val="en-GB"/>
        </w:rPr>
        <w:t>R (Carson)</w:t>
      </w:r>
      <w:r w:rsidRPr="00472D3B">
        <w:rPr>
          <w:lang w:val="en-GB"/>
        </w:rPr>
        <w:t>, [</w:t>
      </w:r>
      <w:r>
        <w:rPr>
          <w:lang w:val="en-GB"/>
        </w:rPr>
        <w:t>55</w:t>
      </w:r>
      <w:r w:rsidRPr="00472D3B">
        <w:rPr>
          <w:lang w:val="en-GB"/>
        </w:rPr>
        <w:t>]</w:t>
      </w:r>
      <w:r>
        <w:rPr>
          <w:lang w:val="en-GB"/>
        </w:rPr>
        <w:t xml:space="preserve"> (Lord Walker).</w:t>
      </w:r>
    </w:p>
  </w:footnote>
  <w:footnote w:id="98">
    <w:p w:rsidR="004C57FC" w:rsidRPr="005D4D50" w:rsidRDefault="004C57FC" w:rsidP="009C541F">
      <w:pPr>
        <w:pStyle w:val="FootnoteText"/>
        <w:spacing w:after="240" w:line="240" w:lineRule="auto"/>
        <w:ind w:left="360" w:hangingChars="180" w:hanging="360"/>
        <w:jc w:val="both"/>
      </w:pPr>
      <w:r>
        <w:rPr>
          <w:rStyle w:val="FootnoteReference"/>
        </w:rPr>
        <w:footnoteRef/>
      </w:r>
      <w:r>
        <w:t xml:space="preserve">   </w:t>
      </w:r>
      <w:r>
        <w:tab/>
        <w:t xml:space="preserve">See footnote </w:t>
      </w:r>
      <w:r w:rsidRPr="00032524">
        <w:t>5</w:t>
      </w:r>
      <w:r w:rsidR="00646A4B" w:rsidRPr="00032524">
        <w:t>6</w:t>
      </w:r>
      <w:r>
        <w:t xml:space="preserve"> above and [</w:t>
      </w:r>
      <w:r w:rsidRPr="00032524">
        <w:t>68</w:t>
      </w:r>
      <w:r>
        <w:t xml:space="preserve">] below; </w:t>
      </w:r>
      <w:r w:rsidRPr="00EE5D9E">
        <w:rPr>
          <w:i/>
        </w:rPr>
        <w:t>Hysan</w:t>
      </w:r>
      <w:r>
        <w:t xml:space="preserve">, [120] and [135] (Ribeiro PJ); </w:t>
      </w:r>
      <w:r w:rsidRPr="00EE5D9E">
        <w:rPr>
          <w:i/>
        </w:rPr>
        <w:t xml:space="preserve">Kong </w:t>
      </w:r>
      <w:proofErr w:type="spellStart"/>
      <w:r w:rsidRPr="00EE5D9E">
        <w:rPr>
          <w:i/>
        </w:rPr>
        <w:t>Yunming</w:t>
      </w:r>
      <w:proofErr w:type="spellEnd"/>
      <w:r>
        <w:t xml:space="preserve">, [42] (Ribeiro PJ); </w:t>
      </w:r>
      <w:proofErr w:type="spellStart"/>
      <w:r w:rsidRPr="00EE5D9E">
        <w:rPr>
          <w:i/>
        </w:rPr>
        <w:t>Fok</w:t>
      </w:r>
      <w:proofErr w:type="spellEnd"/>
      <w:r w:rsidRPr="00EE5D9E">
        <w:rPr>
          <w:i/>
        </w:rPr>
        <w:t xml:space="preserve"> Chun </w:t>
      </w:r>
      <w:proofErr w:type="spellStart"/>
      <w:r w:rsidRPr="00EE5D9E">
        <w:rPr>
          <w:i/>
        </w:rPr>
        <w:t>Wa</w:t>
      </w:r>
      <w:proofErr w:type="spellEnd"/>
      <w:r w:rsidR="008C736B" w:rsidRPr="004648FA">
        <w:rPr>
          <w:i/>
          <w:lang w:val="en-GB"/>
        </w:rPr>
        <w:t xml:space="preserve"> v Hospital Authority</w:t>
      </w:r>
      <w:r w:rsidR="008C736B" w:rsidRPr="004648FA">
        <w:rPr>
          <w:lang w:val="en-GB"/>
        </w:rPr>
        <w:t xml:space="preserve"> (2012) 15 HKCFAR 409</w:t>
      </w:r>
      <w:r>
        <w:t>, [72] (Ma CJ).</w:t>
      </w:r>
    </w:p>
  </w:footnote>
  <w:footnote w:id="99">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lang w:val="en-GB"/>
        </w:rPr>
        <w:t xml:space="preserve">Common parlance for the rights and benefits under the “Small House Policy” which </w:t>
      </w:r>
      <w:r>
        <w:rPr>
          <w:lang w:val="en-GB"/>
        </w:rPr>
        <w:t>is</w:t>
      </w:r>
      <w:r w:rsidRPr="004648FA">
        <w:rPr>
          <w:lang w:val="en-GB"/>
        </w:rPr>
        <w:t xml:space="preserve"> a non-statutory administrative policy operated by the</w:t>
      </w:r>
      <w:r>
        <w:rPr>
          <w:lang w:val="en-GB"/>
        </w:rPr>
        <w:t xml:space="preserve"> Lands Department which authoris</w:t>
      </w:r>
      <w:r w:rsidRPr="004648FA">
        <w:rPr>
          <w:lang w:val="en-GB"/>
        </w:rPr>
        <w:t>e</w:t>
      </w:r>
      <w:r>
        <w:rPr>
          <w:lang w:val="en-GB"/>
        </w:rPr>
        <w:t>s</w:t>
      </w:r>
      <w:r w:rsidRPr="004648FA">
        <w:rPr>
          <w:lang w:val="en-GB"/>
        </w:rPr>
        <w:t xml:space="preserve"> grants of land and building licenses to the indigenous male population of certain villages in the New Territories on more favourable terms than those available generally.  The policy was formali</w:t>
      </w:r>
      <w:r>
        <w:rPr>
          <w:lang w:val="en-GB"/>
        </w:rPr>
        <w:t>s</w:t>
      </w:r>
      <w:r w:rsidRPr="004648FA">
        <w:rPr>
          <w:lang w:val="en-GB"/>
        </w:rPr>
        <w:t>ed by the Executive Council on 14 November 1972 but had existed in one form or another since the beginning of the twentieth century.</w:t>
      </w:r>
    </w:p>
  </w:footnote>
  <w:footnote w:id="100">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i/>
          <w:lang w:val="en-GB"/>
        </w:rPr>
        <w:t xml:space="preserve">Kwok </w:t>
      </w:r>
      <w:proofErr w:type="spellStart"/>
      <w:r w:rsidRPr="004648FA">
        <w:rPr>
          <w:i/>
          <w:lang w:val="en-GB"/>
        </w:rPr>
        <w:t>Cheuk</w:t>
      </w:r>
      <w:proofErr w:type="spellEnd"/>
      <w:r w:rsidRPr="004648FA">
        <w:rPr>
          <w:i/>
          <w:lang w:val="en-GB"/>
        </w:rPr>
        <w:t xml:space="preserve"> Kin</w:t>
      </w:r>
      <w:r w:rsidRPr="004648FA">
        <w:rPr>
          <w:lang w:val="en-GB"/>
        </w:rPr>
        <w:t>, [35] -</w:t>
      </w:r>
      <w:r>
        <w:rPr>
          <w:lang w:val="en-GB"/>
        </w:rPr>
        <w:t xml:space="preserve"> [44]</w:t>
      </w:r>
      <w:r w:rsidRPr="004648FA">
        <w:rPr>
          <w:lang w:val="en-GB"/>
        </w:rPr>
        <w:t>.</w:t>
      </w:r>
    </w:p>
  </w:footnote>
  <w:footnote w:id="101">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i/>
          <w:lang w:val="en-GB"/>
        </w:rPr>
        <w:t>Ibid</w:t>
      </w:r>
      <w:r w:rsidRPr="004648FA">
        <w:rPr>
          <w:lang w:val="en-GB"/>
        </w:rPr>
        <w:t>, [44].</w:t>
      </w:r>
    </w:p>
  </w:footnote>
  <w:footnote w:id="102">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i/>
          <w:lang w:val="en-GB"/>
        </w:rPr>
        <w:t>Ibid</w:t>
      </w:r>
      <w:r w:rsidRPr="004648FA">
        <w:rPr>
          <w:lang w:val="en-GB"/>
        </w:rPr>
        <w:t>, [35] - [44].</w:t>
      </w:r>
    </w:p>
  </w:footnote>
  <w:footnote w:id="103">
    <w:p w:rsidR="004C57FC" w:rsidRPr="004648FA" w:rsidRDefault="004C57FC" w:rsidP="009C541F">
      <w:pPr>
        <w:pStyle w:val="FootnoteText"/>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i/>
          <w:lang w:val="en-GB"/>
        </w:rPr>
        <w:t>Ibid</w:t>
      </w:r>
      <w:r w:rsidRPr="004648FA">
        <w:rPr>
          <w:lang w:val="en-GB"/>
        </w:rPr>
        <w:t>, [44].</w:t>
      </w:r>
    </w:p>
  </w:footnote>
  <w:footnote w:id="104">
    <w:p w:rsidR="004C57FC" w:rsidRDefault="004C57FC" w:rsidP="001A2EC2">
      <w:pPr>
        <w:pStyle w:val="FootnoteText"/>
        <w:spacing w:after="240" w:line="240" w:lineRule="auto"/>
        <w:ind w:left="360" w:hanging="360"/>
        <w:jc w:val="both"/>
      </w:pPr>
      <w:r>
        <w:rPr>
          <w:rStyle w:val="FootnoteReference"/>
        </w:rPr>
        <w:footnoteRef/>
      </w:r>
      <w:r>
        <w:t xml:space="preserve"> </w:t>
      </w:r>
      <w:r>
        <w:tab/>
        <w:t>HA’s written case, [8], [43] - [54].</w:t>
      </w:r>
    </w:p>
  </w:footnote>
  <w:footnote w:id="105">
    <w:p w:rsidR="004C57FC" w:rsidRPr="004648FA" w:rsidRDefault="004C57FC" w:rsidP="001A2EC2">
      <w:pPr>
        <w:pStyle w:val="FootnoteText"/>
        <w:snapToGrid w:val="0"/>
        <w:spacing w:after="240" w:line="240" w:lineRule="auto"/>
        <w:ind w:left="360" w:right="-90" w:hanging="360"/>
        <w:jc w:val="both"/>
        <w:rPr>
          <w:lang w:val="en-GB"/>
        </w:rPr>
      </w:pPr>
      <w:r w:rsidRPr="004648FA">
        <w:rPr>
          <w:rStyle w:val="FootnoteReference"/>
          <w:lang w:val="en-GB"/>
        </w:rPr>
        <w:footnoteRef/>
      </w:r>
      <w:r>
        <w:rPr>
          <w:lang w:val="en-GB"/>
        </w:rPr>
        <w:tab/>
      </w:r>
      <w:r w:rsidRPr="004648FA">
        <w:rPr>
          <w:i/>
          <w:lang w:val="en-GB"/>
        </w:rPr>
        <w:t xml:space="preserve">Sham </w:t>
      </w:r>
      <w:proofErr w:type="spellStart"/>
      <w:r w:rsidRPr="004648FA">
        <w:rPr>
          <w:i/>
          <w:lang w:val="en-GB"/>
        </w:rPr>
        <w:t>Tsz</w:t>
      </w:r>
      <w:proofErr w:type="spellEnd"/>
      <w:r w:rsidRPr="004648FA">
        <w:rPr>
          <w:i/>
          <w:lang w:val="en-GB"/>
        </w:rPr>
        <w:t xml:space="preserve"> Kit</w:t>
      </w:r>
      <w:r w:rsidRPr="004648FA">
        <w:rPr>
          <w:lang w:val="en-GB"/>
        </w:rPr>
        <w:t xml:space="preserve">, [9] (Cheung CJ), [107] (Ribeiro and </w:t>
      </w:r>
      <w:proofErr w:type="spellStart"/>
      <w:r w:rsidRPr="004648FA">
        <w:rPr>
          <w:lang w:val="en-GB"/>
        </w:rPr>
        <w:t>Fok</w:t>
      </w:r>
      <w:proofErr w:type="spellEnd"/>
      <w:r w:rsidRPr="004648FA">
        <w:rPr>
          <w:lang w:val="en-GB"/>
        </w:rPr>
        <w:t xml:space="preserve"> PJJ), [217], [243] (Lam PJ), [256] (Keane NPJ).</w:t>
      </w:r>
    </w:p>
  </w:footnote>
  <w:footnote w:id="106">
    <w:p w:rsidR="004C57FC" w:rsidRPr="004648FA" w:rsidRDefault="004C57FC" w:rsidP="001A2EC2">
      <w:pPr>
        <w:pStyle w:val="FootnoteText"/>
        <w:snapToGrid w:val="0"/>
        <w:spacing w:after="240" w:line="240" w:lineRule="auto"/>
        <w:ind w:left="360" w:hanging="360"/>
        <w:jc w:val="both"/>
        <w:rPr>
          <w:lang w:val="en-GB"/>
        </w:rPr>
      </w:pPr>
      <w:r w:rsidRPr="004648FA">
        <w:rPr>
          <w:rStyle w:val="FootnoteReference"/>
          <w:lang w:val="en-GB"/>
        </w:rPr>
        <w:footnoteRef/>
      </w:r>
      <w:r w:rsidRPr="004648FA">
        <w:rPr>
          <w:lang w:val="en-GB"/>
        </w:rPr>
        <w:t xml:space="preserve"> </w:t>
      </w:r>
      <w:r>
        <w:rPr>
          <w:lang w:val="en-GB"/>
        </w:rPr>
        <w:tab/>
        <w:t xml:space="preserve">The idea that the status of marriage, constitutionally guaranteed to heterosexual couples only under BL37, carries with it </w:t>
      </w:r>
      <w:r w:rsidR="00F35C5A">
        <w:rPr>
          <w:lang w:val="en-GB"/>
        </w:rPr>
        <w:t xml:space="preserve">certain </w:t>
      </w:r>
      <w:r>
        <w:rPr>
          <w:lang w:val="en-GB"/>
        </w:rPr>
        <w:t xml:space="preserve">“core rights” (and obligations) has been rejected by this court in </w:t>
      </w:r>
      <w:r w:rsidRPr="00EE5D9E">
        <w:rPr>
          <w:i/>
          <w:lang w:val="en-GB"/>
        </w:rPr>
        <w:t>QT</w:t>
      </w:r>
      <w:r w:rsidR="00415A8D">
        <w:rPr>
          <w:lang w:val="en-GB"/>
        </w:rPr>
        <w:t xml:space="preserve">, [62] </w:t>
      </w:r>
      <w:r w:rsidR="00730109">
        <w:rPr>
          <w:lang w:val="en-GB"/>
        </w:rPr>
        <w:t>-</w:t>
      </w:r>
      <w:r w:rsidR="00415A8D">
        <w:rPr>
          <w:lang w:val="en-GB"/>
        </w:rPr>
        <w:t xml:space="preserve"> [76]</w:t>
      </w:r>
      <w:r>
        <w:rPr>
          <w:lang w:val="en-GB"/>
        </w:rPr>
        <w:t xml:space="preserve"> and </w:t>
      </w:r>
      <w:r w:rsidRPr="00EE5D9E">
        <w:rPr>
          <w:i/>
          <w:lang w:val="en-GB"/>
        </w:rPr>
        <w:t xml:space="preserve">Leung Chun </w:t>
      </w:r>
      <w:proofErr w:type="spellStart"/>
      <w:r w:rsidRPr="00EE5D9E">
        <w:rPr>
          <w:i/>
          <w:lang w:val="en-GB"/>
        </w:rPr>
        <w:t>Kwong</w:t>
      </w:r>
      <w:proofErr w:type="spellEnd"/>
      <w:r w:rsidR="00730109">
        <w:rPr>
          <w:lang w:val="en-GB"/>
        </w:rPr>
        <w:t>, [54]</w:t>
      </w:r>
      <w:r>
        <w:rPr>
          <w:lang w:val="en-GB"/>
        </w:rPr>
        <w:t>.</w:t>
      </w:r>
      <w:r w:rsidR="00F35C5A">
        <w:rPr>
          <w:lang w:val="en-GB"/>
        </w:rPr>
        <w:t xml:space="preserve">  </w:t>
      </w:r>
      <w:r w:rsidR="00415A8D">
        <w:rPr>
          <w:lang w:val="en-GB"/>
        </w:rPr>
        <w:t>Accordingly</w:t>
      </w:r>
      <w:r w:rsidR="00F35C5A">
        <w:rPr>
          <w:lang w:val="en-GB"/>
        </w:rPr>
        <w:t xml:space="preserve">, </w:t>
      </w:r>
      <w:r w:rsidR="00415A8D">
        <w:rPr>
          <w:lang w:val="en-GB"/>
        </w:rPr>
        <w:t xml:space="preserve">the </w:t>
      </w:r>
      <w:r w:rsidR="00F35C5A">
        <w:rPr>
          <w:lang w:val="en-GB"/>
        </w:rPr>
        <w:t xml:space="preserve">question of whether </w:t>
      </w:r>
      <w:r w:rsidR="00415A8D">
        <w:rPr>
          <w:lang w:val="en-GB"/>
        </w:rPr>
        <w:t>these</w:t>
      </w:r>
      <w:r w:rsidR="00415A8D" w:rsidRPr="00415A8D">
        <w:rPr>
          <w:lang w:val="en-GB"/>
        </w:rPr>
        <w:t xml:space="preserve"> couples</w:t>
      </w:r>
      <w:r w:rsidR="00415A8D">
        <w:rPr>
          <w:lang w:val="en-GB"/>
        </w:rPr>
        <w:t xml:space="preserve">’ </w:t>
      </w:r>
      <w:r w:rsidR="00F35C5A">
        <w:rPr>
          <w:lang w:val="en-GB"/>
        </w:rPr>
        <w:t xml:space="preserve">housing entitlements </w:t>
      </w:r>
      <w:r w:rsidR="00415A8D">
        <w:rPr>
          <w:lang w:val="en-GB"/>
        </w:rPr>
        <w:t>under the challenged HA policies</w:t>
      </w:r>
      <w:r w:rsidR="00F35C5A">
        <w:rPr>
          <w:lang w:val="en-GB"/>
        </w:rPr>
        <w:t xml:space="preserve"> </w:t>
      </w:r>
      <w:proofErr w:type="gramStart"/>
      <w:r w:rsidR="00F35C5A">
        <w:rPr>
          <w:lang w:val="en-GB"/>
        </w:rPr>
        <w:t>may be regarded</w:t>
      </w:r>
      <w:proofErr w:type="gramEnd"/>
      <w:r w:rsidR="00F35C5A">
        <w:rPr>
          <w:lang w:val="en-GB"/>
        </w:rPr>
        <w:t xml:space="preserve"> as “core rights” and </w:t>
      </w:r>
      <w:r w:rsidR="00415A8D">
        <w:rPr>
          <w:lang w:val="en-GB"/>
        </w:rPr>
        <w:t xml:space="preserve">are therefore inseparable from their exclusive BL37 rights </w:t>
      </w:r>
      <w:r w:rsidR="00F35C5A">
        <w:rPr>
          <w:lang w:val="en-GB"/>
        </w:rPr>
        <w:t>simply does not arise.</w:t>
      </w:r>
    </w:p>
  </w:footnote>
  <w:footnote w:id="107">
    <w:p w:rsidR="004C57FC" w:rsidRPr="000E49B5" w:rsidRDefault="004C57FC" w:rsidP="001A2EC2">
      <w:pPr>
        <w:pStyle w:val="FootnoteText"/>
        <w:snapToGrid w:val="0"/>
        <w:spacing w:after="240" w:line="240" w:lineRule="auto"/>
        <w:ind w:left="360" w:hangingChars="180" w:hanging="360"/>
        <w:jc w:val="both"/>
      </w:pPr>
      <w:r>
        <w:rPr>
          <w:rStyle w:val="FootnoteReference"/>
        </w:rPr>
        <w:footnoteRef/>
      </w:r>
      <w:r>
        <w:t xml:space="preserve"> </w:t>
      </w:r>
      <w:r>
        <w:tab/>
        <w:t>Appendix, [3].</w:t>
      </w:r>
    </w:p>
  </w:footnote>
  <w:footnote w:id="108">
    <w:p w:rsidR="004C57FC" w:rsidRDefault="004C57FC" w:rsidP="001A2EC2">
      <w:pPr>
        <w:pStyle w:val="FootnoteText"/>
        <w:spacing w:after="240" w:line="240" w:lineRule="auto"/>
        <w:ind w:left="360" w:hanging="360"/>
        <w:jc w:val="both"/>
      </w:pPr>
      <w:r>
        <w:rPr>
          <w:rStyle w:val="FootnoteReference"/>
        </w:rPr>
        <w:footnoteRef/>
      </w:r>
      <w:r>
        <w:t xml:space="preserve"> </w:t>
      </w:r>
      <w:r w:rsidR="00B2486D">
        <w:tab/>
      </w:r>
      <w:r>
        <w:t xml:space="preserve">HA’s written case, Section D; </w:t>
      </w:r>
      <w:proofErr w:type="spellStart"/>
      <w:r>
        <w:t>Mr</w:t>
      </w:r>
      <w:proofErr w:type="spellEnd"/>
      <w:r>
        <w:t xml:space="preserve"> </w:t>
      </w:r>
      <w:proofErr w:type="spellStart"/>
      <w:r>
        <w:t>Infinger’s</w:t>
      </w:r>
      <w:proofErr w:type="spellEnd"/>
      <w:r>
        <w:t xml:space="preserve"> written case, Section D; </w:t>
      </w:r>
      <w:proofErr w:type="spellStart"/>
      <w:r>
        <w:t>Mr</w:t>
      </w:r>
      <w:proofErr w:type="spellEnd"/>
      <w:r>
        <w:t xml:space="preserve"> Li’s written case, Section D.</w:t>
      </w:r>
    </w:p>
  </w:footnote>
  <w:footnote w:id="109">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i/>
          <w:lang w:val="en-GB"/>
        </w:rPr>
        <w:t xml:space="preserve">Leung Chun </w:t>
      </w:r>
      <w:proofErr w:type="spellStart"/>
      <w:r w:rsidRPr="004648FA">
        <w:rPr>
          <w:i/>
          <w:lang w:val="en-GB"/>
        </w:rPr>
        <w:t>Kwong</w:t>
      </w:r>
      <w:proofErr w:type="spellEnd"/>
      <w:r w:rsidRPr="004648FA">
        <w:rPr>
          <w:lang w:val="en-GB"/>
        </w:rPr>
        <w:t>,</w:t>
      </w:r>
      <w:r w:rsidRPr="004648FA">
        <w:rPr>
          <w:i/>
          <w:lang w:val="en-GB"/>
        </w:rPr>
        <w:t xml:space="preserve"> </w:t>
      </w:r>
      <w:r w:rsidRPr="004648FA">
        <w:rPr>
          <w:lang w:val="en-GB"/>
        </w:rPr>
        <w:t xml:space="preserve">[38] - [39]; </w:t>
      </w:r>
      <w:r w:rsidRPr="004648FA">
        <w:rPr>
          <w:i/>
          <w:lang w:val="en-GB"/>
        </w:rPr>
        <w:t>QT</w:t>
      </w:r>
      <w:r w:rsidRPr="004648FA">
        <w:rPr>
          <w:lang w:val="en-GB"/>
        </w:rPr>
        <w:t>, [44] - [45].</w:t>
      </w:r>
    </w:p>
  </w:footnote>
  <w:footnote w:id="110">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lang w:val="en-GB"/>
        </w:rPr>
        <w:t xml:space="preserve">HA’s </w:t>
      </w:r>
      <w:r>
        <w:rPr>
          <w:lang w:val="en-GB"/>
        </w:rPr>
        <w:t>written</w:t>
      </w:r>
      <w:r w:rsidRPr="004648FA">
        <w:rPr>
          <w:lang w:val="en-GB"/>
        </w:rPr>
        <w:t xml:space="preserve"> case, [71].</w:t>
      </w:r>
    </w:p>
  </w:footnote>
  <w:footnote w:id="111">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i/>
          <w:lang w:val="en-GB"/>
        </w:rPr>
        <w:t>Ibid</w:t>
      </w:r>
      <w:r w:rsidRPr="004648FA">
        <w:rPr>
          <w:lang w:val="en-GB"/>
        </w:rPr>
        <w:t>, [70], [73].</w:t>
      </w:r>
    </w:p>
  </w:footnote>
  <w:footnote w:id="112">
    <w:p w:rsidR="004C57FC" w:rsidRPr="00D44484" w:rsidRDefault="004C57FC" w:rsidP="006C4390">
      <w:pPr>
        <w:pStyle w:val="FootnoteText"/>
        <w:snapToGrid w:val="0"/>
        <w:spacing w:after="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D44484">
        <w:rPr>
          <w:i/>
          <w:lang w:val="en-GB"/>
        </w:rPr>
        <w:t>Ibid</w:t>
      </w:r>
      <w:r w:rsidRPr="00D44484">
        <w:rPr>
          <w:lang w:val="en-GB"/>
        </w:rPr>
        <w:t>, [78].</w:t>
      </w:r>
    </w:p>
  </w:footnote>
  <w:footnote w:id="113">
    <w:p w:rsidR="004C57FC" w:rsidRPr="00D44484" w:rsidRDefault="004C57FC" w:rsidP="001A2EC2">
      <w:pPr>
        <w:pStyle w:val="FootnoteText"/>
        <w:snapToGrid w:val="0"/>
        <w:spacing w:after="240" w:line="240" w:lineRule="auto"/>
        <w:ind w:left="360" w:hangingChars="180" w:hanging="360"/>
        <w:jc w:val="both"/>
      </w:pPr>
      <w:r w:rsidRPr="00D44484">
        <w:rPr>
          <w:rStyle w:val="FootnoteReference"/>
        </w:rPr>
        <w:footnoteRef/>
      </w:r>
      <w:r w:rsidRPr="00D44484">
        <w:t xml:space="preserve"> </w:t>
      </w:r>
      <w:r w:rsidRPr="00D44484">
        <w:tab/>
        <w:t>CA Judgment, [9</w:t>
      </w:r>
      <w:r>
        <w:t>6</w:t>
      </w:r>
      <w:r w:rsidRPr="00D44484">
        <w:t>]</w:t>
      </w:r>
      <w:r>
        <w:t xml:space="preserve"> -</w:t>
      </w:r>
      <w:r w:rsidRPr="00D44484">
        <w:t xml:space="preserve"> [110].</w:t>
      </w:r>
    </w:p>
  </w:footnote>
  <w:footnote w:id="114">
    <w:p w:rsidR="004C57FC" w:rsidRPr="00D44484" w:rsidRDefault="004C57FC" w:rsidP="001A2EC2">
      <w:pPr>
        <w:pStyle w:val="FootnoteText"/>
        <w:snapToGrid w:val="0"/>
        <w:spacing w:after="240" w:line="240" w:lineRule="auto"/>
        <w:ind w:left="360" w:hangingChars="180" w:hanging="360"/>
        <w:jc w:val="both"/>
        <w:rPr>
          <w:lang w:val="en-GB"/>
        </w:rPr>
      </w:pPr>
      <w:r w:rsidRPr="00D44484">
        <w:rPr>
          <w:rStyle w:val="FootnoteReference"/>
          <w:lang w:val="en-GB"/>
        </w:rPr>
        <w:footnoteRef/>
      </w:r>
      <w:r w:rsidRPr="00D44484">
        <w:rPr>
          <w:lang w:val="en-GB"/>
        </w:rPr>
        <w:t xml:space="preserve"> </w:t>
      </w:r>
      <w:r w:rsidRPr="00D44484">
        <w:rPr>
          <w:lang w:val="en-GB"/>
        </w:rPr>
        <w:tab/>
      </w:r>
      <w:r w:rsidRPr="00D44484">
        <w:rPr>
          <w:i/>
          <w:lang w:val="en-GB"/>
        </w:rPr>
        <w:t xml:space="preserve">Sham </w:t>
      </w:r>
      <w:proofErr w:type="spellStart"/>
      <w:r w:rsidRPr="00D44484">
        <w:rPr>
          <w:i/>
          <w:lang w:val="en-GB"/>
        </w:rPr>
        <w:t>Tsz</w:t>
      </w:r>
      <w:proofErr w:type="spellEnd"/>
      <w:r w:rsidRPr="00D44484">
        <w:rPr>
          <w:i/>
          <w:lang w:val="en-GB"/>
        </w:rPr>
        <w:t xml:space="preserve"> Kit</w:t>
      </w:r>
      <w:r w:rsidRPr="00D44484">
        <w:rPr>
          <w:lang w:val="en-GB"/>
        </w:rPr>
        <w:t xml:space="preserve">, [130] (Ribeiro and </w:t>
      </w:r>
      <w:proofErr w:type="spellStart"/>
      <w:r w:rsidRPr="00D44484">
        <w:rPr>
          <w:lang w:val="en-GB"/>
        </w:rPr>
        <w:t>Fok</w:t>
      </w:r>
      <w:proofErr w:type="spellEnd"/>
      <w:r w:rsidRPr="00D44484">
        <w:rPr>
          <w:lang w:val="en-GB"/>
        </w:rPr>
        <w:t xml:space="preserve"> PJJ)</w:t>
      </w:r>
      <w:proofErr w:type="gramStart"/>
      <w:r w:rsidRPr="00D44484">
        <w:rPr>
          <w:lang w:val="en-GB"/>
        </w:rPr>
        <w:t>;</w:t>
      </w:r>
      <w:proofErr w:type="gramEnd"/>
      <w:r w:rsidRPr="00D44484">
        <w:rPr>
          <w:lang w:val="en-GB"/>
        </w:rPr>
        <w:t xml:space="preserve"> </w:t>
      </w:r>
      <w:r w:rsidRPr="00D44484">
        <w:rPr>
          <w:i/>
          <w:lang w:val="en-GB"/>
        </w:rPr>
        <w:t xml:space="preserve">Leung Chun </w:t>
      </w:r>
      <w:proofErr w:type="spellStart"/>
      <w:r w:rsidRPr="00D44484">
        <w:rPr>
          <w:i/>
          <w:lang w:val="en-GB"/>
        </w:rPr>
        <w:t>Kwong</w:t>
      </w:r>
      <w:proofErr w:type="spellEnd"/>
      <w:r w:rsidRPr="00D44484">
        <w:rPr>
          <w:lang w:val="en-GB"/>
        </w:rPr>
        <w:t xml:space="preserve">, [37].  See also </w:t>
      </w:r>
      <w:r w:rsidRPr="00D44484">
        <w:rPr>
          <w:i/>
          <w:lang w:val="en-GB"/>
        </w:rPr>
        <w:t>QT</w:t>
      </w:r>
      <w:r w:rsidRPr="00D44484">
        <w:rPr>
          <w:lang w:val="en-GB"/>
        </w:rPr>
        <w:t xml:space="preserve">, [38], [42], [45], [48], [54], [76], [83] (which </w:t>
      </w:r>
      <w:r>
        <w:rPr>
          <w:lang w:val="en-GB"/>
        </w:rPr>
        <w:t>involved</w:t>
      </w:r>
      <w:r w:rsidRPr="00D44484">
        <w:rPr>
          <w:lang w:val="en-GB"/>
        </w:rPr>
        <w:t xml:space="preserve"> a UK civil partnership</w:t>
      </w:r>
      <w:r>
        <w:rPr>
          <w:lang w:val="en-GB"/>
        </w:rPr>
        <w:t>,</w:t>
      </w:r>
      <w:r w:rsidRPr="00D44484">
        <w:rPr>
          <w:lang w:val="en-GB"/>
        </w:rPr>
        <w:t xml:space="preserve"> the legal effect of which </w:t>
      </w:r>
      <w:r>
        <w:rPr>
          <w:lang w:val="en-GB"/>
        </w:rPr>
        <w:t xml:space="preserve">in the UK </w:t>
      </w:r>
      <w:r w:rsidRPr="00D44484">
        <w:rPr>
          <w:lang w:val="en-GB"/>
        </w:rPr>
        <w:t>is no different from a marriage relationship but in name).</w:t>
      </w:r>
      <w:r>
        <w:rPr>
          <w:lang w:val="en-GB"/>
        </w:rPr>
        <w:t xml:space="preserve">  They concerned civil service “spousal” benefits, taxation and dependant visa applications. </w:t>
      </w:r>
    </w:p>
  </w:footnote>
  <w:footnote w:id="115">
    <w:p w:rsidR="004C57FC" w:rsidRPr="00D44484" w:rsidRDefault="004C57FC" w:rsidP="001A2EC2">
      <w:pPr>
        <w:pStyle w:val="FootnoteText"/>
        <w:snapToGrid w:val="0"/>
        <w:spacing w:after="240" w:line="240" w:lineRule="auto"/>
        <w:ind w:left="360" w:hangingChars="180" w:hanging="360"/>
        <w:jc w:val="both"/>
      </w:pPr>
      <w:r w:rsidRPr="00D44484">
        <w:rPr>
          <w:rStyle w:val="FootnoteReference"/>
        </w:rPr>
        <w:footnoteRef/>
      </w:r>
      <w:r w:rsidRPr="00D44484">
        <w:t xml:space="preserve"> </w:t>
      </w:r>
      <w:r w:rsidRPr="00D44484">
        <w:tab/>
      </w:r>
      <w:r>
        <w:t>In fact, t</w:t>
      </w:r>
      <w:r w:rsidRPr="00D44484">
        <w:t xml:space="preserve">his was </w:t>
      </w:r>
      <w:r>
        <w:t xml:space="preserve">specifically </w:t>
      </w:r>
      <w:r w:rsidRPr="00D44484">
        <w:t xml:space="preserve">rejected by this </w:t>
      </w:r>
      <w:r>
        <w:t>c</w:t>
      </w:r>
      <w:r w:rsidRPr="00D44484">
        <w:t xml:space="preserve">ourt in </w:t>
      </w:r>
      <w:r w:rsidRPr="00D44484">
        <w:rPr>
          <w:i/>
        </w:rPr>
        <w:t>Sham</w:t>
      </w:r>
      <w:r>
        <w:rPr>
          <w:i/>
        </w:rPr>
        <w:t xml:space="preserve"> </w:t>
      </w:r>
      <w:proofErr w:type="spellStart"/>
      <w:r>
        <w:rPr>
          <w:i/>
        </w:rPr>
        <w:t>Tsz</w:t>
      </w:r>
      <w:proofErr w:type="spellEnd"/>
      <w:r>
        <w:rPr>
          <w:i/>
        </w:rPr>
        <w:t xml:space="preserve"> Kit</w:t>
      </w:r>
      <w:r w:rsidRPr="00D44484">
        <w:t xml:space="preserve">, [76] - [77] (Cheung CJ), [122] - [124] (Ribeiro and </w:t>
      </w:r>
      <w:proofErr w:type="spellStart"/>
      <w:r w:rsidRPr="00D44484">
        <w:t>Fok</w:t>
      </w:r>
      <w:proofErr w:type="spellEnd"/>
      <w:r w:rsidRPr="00D44484">
        <w:t xml:space="preserve"> PJJ), [216] - [217] (Lam PJ), [253] (Keane NPJ).</w:t>
      </w:r>
    </w:p>
  </w:footnote>
  <w:footnote w:id="116">
    <w:p w:rsidR="004C57FC" w:rsidRPr="00D44484" w:rsidRDefault="004C57FC" w:rsidP="001A2EC2">
      <w:pPr>
        <w:pStyle w:val="FootnoteText"/>
        <w:snapToGrid w:val="0"/>
        <w:spacing w:after="240" w:line="240" w:lineRule="auto"/>
        <w:ind w:left="360" w:hangingChars="180" w:hanging="360"/>
        <w:jc w:val="both"/>
      </w:pPr>
      <w:r w:rsidRPr="00D44484">
        <w:rPr>
          <w:rStyle w:val="FootnoteReference"/>
        </w:rPr>
        <w:footnoteRef/>
      </w:r>
      <w:r w:rsidRPr="00D44484">
        <w:t xml:space="preserve"> </w:t>
      </w:r>
      <w:r w:rsidRPr="00D44484">
        <w:tab/>
      </w:r>
      <w:r w:rsidRPr="00D44484">
        <w:rPr>
          <w:i/>
        </w:rPr>
        <w:t xml:space="preserve">Leung Chun </w:t>
      </w:r>
      <w:proofErr w:type="spellStart"/>
      <w:r w:rsidRPr="00D44484">
        <w:rPr>
          <w:i/>
        </w:rPr>
        <w:t>Kwong</w:t>
      </w:r>
      <w:proofErr w:type="spellEnd"/>
      <w:r>
        <w:t>, [40] -</w:t>
      </w:r>
      <w:r w:rsidRPr="00D44484">
        <w:t xml:space="preserve"> [45].</w:t>
      </w:r>
    </w:p>
  </w:footnote>
  <w:footnote w:id="117">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Pr>
          <w:lang w:val="en-GB"/>
        </w:rPr>
        <w:tab/>
      </w:r>
      <w:r w:rsidRPr="004648FA">
        <w:rPr>
          <w:lang w:val="en-GB"/>
        </w:rPr>
        <w:t xml:space="preserve">See </w:t>
      </w:r>
      <w:r w:rsidRPr="00032524">
        <w:rPr>
          <w:lang w:val="en-GB"/>
        </w:rPr>
        <w:t>[3]</w:t>
      </w:r>
      <w:r w:rsidRPr="004648FA">
        <w:rPr>
          <w:lang w:val="en-GB"/>
        </w:rPr>
        <w:t xml:space="preserve"> above.</w:t>
      </w:r>
    </w:p>
  </w:footnote>
  <w:footnote w:id="118">
    <w:p w:rsidR="004C57FC" w:rsidRPr="00F9665E" w:rsidRDefault="004C57FC" w:rsidP="001A2EC2">
      <w:pPr>
        <w:pStyle w:val="FootnoteText"/>
        <w:snapToGrid w:val="0"/>
        <w:spacing w:after="240" w:line="240" w:lineRule="auto"/>
        <w:ind w:left="360" w:hangingChars="180" w:hanging="360"/>
        <w:jc w:val="both"/>
      </w:pPr>
      <w:r>
        <w:rPr>
          <w:rStyle w:val="FootnoteReference"/>
        </w:rPr>
        <w:footnoteRef/>
      </w:r>
      <w:r>
        <w:t xml:space="preserve"> </w:t>
      </w:r>
      <w:r>
        <w:tab/>
        <w:t>The court has been orally informed by counsel that as from 1 April 2024, family applicants with babies born on or after 25 October 2023 and aged one or below are credited with one year of waiting time for queueing purposes within the “Ordinary Families” category.  However, this only goes to the priority in the queue, rather than eligibility to apply.  In other words, opposite-sex married couples with or without children are equally entitled to apply, whereas same-sex ones are not.</w:t>
      </w:r>
    </w:p>
  </w:footnote>
  <w:footnote w:id="119">
    <w:p w:rsidR="004C57FC" w:rsidRDefault="004C57FC" w:rsidP="001A2EC2">
      <w:pPr>
        <w:pStyle w:val="FootnoteText"/>
        <w:spacing w:after="240" w:line="240" w:lineRule="auto"/>
      </w:pPr>
      <w:r>
        <w:rPr>
          <w:rStyle w:val="FootnoteReference"/>
        </w:rPr>
        <w:footnoteRef/>
      </w:r>
      <w:r>
        <w:t xml:space="preserve"> </w:t>
      </w:r>
      <w:r>
        <w:rPr>
          <w:rFonts w:hint="eastAsia"/>
        </w:rPr>
        <w:t xml:space="preserve"> </w:t>
      </w:r>
      <w:r>
        <w:t xml:space="preserve"> </w:t>
      </w:r>
      <w:r w:rsidRPr="009A7EE2">
        <w:rPr>
          <w:i/>
        </w:rPr>
        <w:t>QT</w:t>
      </w:r>
      <w:r w:rsidRPr="009A7EE2">
        <w:t>, [45].</w:t>
      </w:r>
      <w:r>
        <w:t xml:space="preserve"> </w:t>
      </w:r>
    </w:p>
  </w:footnote>
  <w:footnote w:id="120">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t xml:space="preserve">[2006] </w:t>
      </w:r>
      <w:proofErr w:type="gramStart"/>
      <w:r>
        <w:rPr>
          <w:lang w:val="en-GB"/>
        </w:rPr>
        <w:t>1</w:t>
      </w:r>
      <w:proofErr w:type="gramEnd"/>
      <w:r>
        <w:rPr>
          <w:lang w:val="en-GB"/>
        </w:rPr>
        <w:t xml:space="preserve"> AC 173, </w:t>
      </w:r>
      <w:r w:rsidRPr="004648FA">
        <w:rPr>
          <w:lang w:val="en-GB"/>
        </w:rPr>
        <w:t>[3]</w:t>
      </w:r>
      <w:r>
        <w:rPr>
          <w:lang w:val="en-GB"/>
        </w:rPr>
        <w:t xml:space="preserve">.  See also </w:t>
      </w:r>
      <w:r w:rsidRPr="009A7EE2">
        <w:rPr>
          <w:i/>
          <w:lang w:val="en-GB"/>
        </w:rPr>
        <w:t>QT</w:t>
      </w:r>
      <w:r w:rsidRPr="009A7EE2">
        <w:rPr>
          <w:lang w:val="en-GB"/>
        </w:rPr>
        <w:t>, [44] - [47]</w:t>
      </w:r>
      <w:proofErr w:type="gramStart"/>
      <w:r>
        <w:rPr>
          <w:lang w:val="en-GB"/>
        </w:rPr>
        <w:t>;</w:t>
      </w:r>
      <w:proofErr w:type="gramEnd"/>
      <w:r>
        <w:rPr>
          <w:lang w:val="en-GB"/>
        </w:rPr>
        <w:t xml:space="preserve"> </w:t>
      </w:r>
      <w:r w:rsidRPr="009A7EE2">
        <w:rPr>
          <w:i/>
          <w:lang w:val="en-GB"/>
        </w:rPr>
        <w:t>Rodriguez v Minister of Housing of the Government</w:t>
      </w:r>
      <w:r w:rsidRPr="009A7EE2">
        <w:rPr>
          <w:lang w:val="en-GB"/>
        </w:rPr>
        <w:t xml:space="preserve"> </w:t>
      </w:r>
      <w:r w:rsidRPr="009A7EE2">
        <w:rPr>
          <w:i/>
          <w:lang w:val="en-GB"/>
        </w:rPr>
        <w:t>of Gibraltar</w:t>
      </w:r>
      <w:r w:rsidRPr="009A7EE2">
        <w:rPr>
          <w:lang w:val="en-GB"/>
        </w:rPr>
        <w:t xml:space="preserve"> [2010] UKHRR 144, [18] - [19] (Lady Hale).</w:t>
      </w:r>
    </w:p>
  </w:footnote>
  <w:footnote w:id="121">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i/>
          <w:lang w:val="en-GB"/>
        </w:rPr>
        <w:t>Hysan</w:t>
      </w:r>
      <w:r w:rsidRPr="004648FA">
        <w:rPr>
          <w:lang w:val="en-GB"/>
        </w:rPr>
        <w:t>, [52]</w:t>
      </w:r>
      <w:r w:rsidR="005727D1">
        <w:rPr>
          <w:lang w:val="en-GB"/>
        </w:rPr>
        <w:t>, [134]</w:t>
      </w:r>
      <w:r w:rsidRPr="004648FA">
        <w:rPr>
          <w:lang w:val="en-GB"/>
        </w:rPr>
        <w:t xml:space="preserve"> (Ribeiro PJ).</w:t>
      </w:r>
    </w:p>
  </w:footnote>
  <w:footnote w:id="122">
    <w:p w:rsidR="004C57FC" w:rsidRPr="00472D3B" w:rsidRDefault="004C57FC" w:rsidP="009C541F">
      <w:pPr>
        <w:pStyle w:val="FootnoteText"/>
        <w:spacing w:after="240" w:line="240" w:lineRule="auto"/>
        <w:ind w:left="360" w:hangingChars="180" w:hanging="360"/>
        <w:jc w:val="both"/>
      </w:pPr>
      <w:r>
        <w:rPr>
          <w:rStyle w:val="FootnoteReference"/>
        </w:rPr>
        <w:footnoteRef/>
      </w:r>
      <w:r>
        <w:t xml:space="preserve">  </w:t>
      </w:r>
      <w:r>
        <w:tab/>
      </w:r>
      <w:r w:rsidRPr="00472D3B">
        <w:rPr>
          <w:i/>
          <w:lang w:val="en-GB"/>
        </w:rPr>
        <w:t>R (Carson)</w:t>
      </w:r>
      <w:r>
        <w:rPr>
          <w:lang w:val="en-GB"/>
        </w:rPr>
        <w:t>, [15] (Lord Hoffmann).</w:t>
      </w:r>
    </w:p>
  </w:footnote>
  <w:footnote w:id="123">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lang w:val="en-GB"/>
        </w:rPr>
        <w:t xml:space="preserve">The HA’s </w:t>
      </w:r>
      <w:r>
        <w:rPr>
          <w:lang w:val="en-GB"/>
        </w:rPr>
        <w:t>written</w:t>
      </w:r>
      <w:r w:rsidRPr="004648FA">
        <w:rPr>
          <w:lang w:val="en-GB"/>
        </w:rPr>
        <w:t xml:space="preserve"> case, [78] refers to </w:t>
      </w:r>
      <w:proofErr w:type="spellStart"/>
      <w:r w:rsidRPr="004648FA">
        <w:rPr>
          <w:i/>
          <w:lang w:val="en-GB"/>
        </w:rPr>
        <w:t>Fok</w:t>
      </w:r>
      <w:proofErr w:type="spellEnd"/>
      <w:r w:rsidRPr="004648FA">
        <w:rPr>
          <w:i/>
          <w:lang w:val="en-GB"/>
        </w:rPr>
        <w:t xml:space="preserve"> Chun </w:t>
      </w:r>
      <w:proofErr w:type="spellStart"/>
      <w:r w:rsidRPr="004648FA">
        <w:rPr>
          <w:i/>
          <w:lang w:val="en-GB"/>
        </w:rPr>
        <w:t>Wa</w:t>
      </w:r>
      <w:proofErr w:type="spellEnd"/>
      <w:r w:rsidRPr="004648FA">
        <w:rPr>
          <w:lang w:val="en-GB"/>
        </w:rPr>
        <w:t xml:space="preserve">.  This was a case about the margin of discretion in the context of proportionality and not about whether an authority </w:t>
      </w:r>
      <w:proofErr w:type="gramStart"/>
      <w:r w:rsidRPr="004648FA">
        <w:rPr>
          <w:lang w:val="en-GB"/>
        </w:rPr>
        <w:t>should be afforded</w:t>
      </w:r>
      <w:proofErr w:type="gramEnd"/>
      <w:r w:rsidRPr="004648FA">
        <w:rPr>
          <w:lang w:val="en-GB"/>
        </w:rPr>
        <w:t xml:space="preserve"> a margin of discretion in determining the question of comparability.</w:t>
      </w:r>
    </w:p>
  </w:footnote>
  <w:footnote w:id="124">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lang w:val="en-GB"/>
        </w:rPr>
        <w:t xml:space="preserve">HA’s </w:t>
      </w:r>
      <w:r>
        <w:rPr>
          <w:lang w:val="en-GB"/>
        </w:rPr>
        <w:t>written</w:t>
      </w:r>
      <w:r w:rsidRPr="004648FA">
        <w:rPr>
          <w:lang w:val="en-GB"/>
        </w:rPr>
        <w:t xml:space="preserve"> case, [7].</w:t>
      </w:r>
    </w:p>
  </w:footnote>
  <w:footnote w:id="125">
    <w:p w:rsidR="004C57FC" w:rsidRPr="007E429C" w:rsidRDefault="004C57FC" w:rsidP="001A2EC2">
      <w:pPr>
        <w:pStyle w:val="FootnoteText"/>
        <w:snapToGrid w:val="0"/>
        <w:spacing w:after="240" w:line="240" w:lineRule="auto"/>
        <w:ind w:left="360" w:hangingChars="180" w:hanging="360"/>
        <w:jc w:val="both"/>
        <w:rPr>
          <w:sz w:val="12"/>
          <w:szCs w:val="12"/>
          <w:lang w:val="en-GB"/>
        </w:rPr>
      </w:pPr>
      <w:r w:rsidRPr="007A4634">
        <w:rPr>
          <w:rStyle w:val="FootnoteReference"/>
          <w:lang w:val="en-GB"/>
        </w:rPr>
        <w:footnoteRef/>
      </w:r>
      <w:r w:rsidRPr="007A4634">
        <w:rPr>
          <w:lang w:val="en-GB"/>
        </w:rPr>
        <w:t xml:space="preserve"> </w:t>
      </w:r>
      <w:r w:rsidRPr="007A4634">
        <w:rPr>
          <w:lang w:val="en-GB"/>
        </w:rPr>
        <w:tab/>
      </w:r>
      <w:r w:rsidRPr="007A4634">
        <w:rPr>
          <w:i/>
          <w:lang w:val="en-GB"/>
        </w:rPr>
        <w:t>Ibid</w:t>
      </w:r>
      <w:r w:rsidRPr="007A4634">
        <w:rPr>
          <w:lang w:val="en-GB"/>
        </w:rPr>
        <w:t>.</w:t>
      </w:r>
    </w:p>
  </w:footnote>
  <w:footnote w:id="126">
    <w:p w:rsidR="004C57FC" w:rsidRPr="00234B49" w:rsidRDefault="004C57FC" w:rsidP="001A2EC2">
      <w:pPr>
        <w:pStyle w:val="FootnoteText"/>
        <w:snapToGrid w:val="0"/>
        <w:spacing w:after="240" w:line="240" w:lineRule="auto"/>
        <w:ind w:left="360" w:hangingChars="180" w:hanging="360"/>
        <w:jc w:val="both"/>
        <w:rPr>
          <w:sz w:val="12"/>
          <w:szCs w:val="12"/>
          <w:lang w:val="en-GB"/>
        </w:rPr>
      </w:pPr>
      <w:r w:rsidRPr="007A4634">
        <w:rPr>
          <w:rStyle w:val="FootnoteReference"/>
          <w:lang w:val="en-GB"/>
        </w:rPr>
        <w:footnoteRef/>
      </w:r>
      <w:r w:rsidRPr="007A4634">
        <w:rPr>
          <w:lang w:val="en-GB"/>
        </w:rPr>
        <w:tab/>
        <w:t xml:space="preserve">Mr </w:t>
      </w:r>
      <w:proofErr w:type="spellStart"/>
      <w:proofErr w:type="gramStart"/>
      <w:r w:rsidRPr="007A4634">
        <w:rPr>
          <w:lang w:val="en-GB"/>
        </w:rPr>
        <w:t>Infinger’s</w:t>
      </w:r>
      <w:proofErr w:type="spellEnd"/>
      <w:proofErr w:type="gramEnd"/>
      <w:r w:rsidRPr="007A4634">
        <w:rPr>
          <w:lang w:val="en-GB"/>
        </w:rPr>
        <w:t xml:space="preserve"> </w:t>
      </w:r>
      <w:r>
        <w:rPr>
          <w:lang w:val="en-GB"/>
        </w:rPr>
        <w:t>written</w:t>
      </w:r>
      <w:r w:rsidRPr="007A4634">
        <w:rPr>
          <w:lang w:val="en-GB"/>
        </w:rPr>
        <w:t xml:space="preserve"> case, [77]; Mr Li’s </w:t>
      </w:r>
      <w:r>
        <w:rPr>
          <w:lang w:val="en-GB"/>
        </w:rPr>
        <w:t>written</w:t>
      </w:r>
      <w:r w:rsidRPr="007A4634">
        <w:rPr>
          <w:lang w:val="en-GB"/>
        </w:rPr>
        <w:t xml:space="preserve"> case, [92].</w:t>
      </w:r>
      <w:r>
        <w:rPr>
          <w:lang w:val="en-GB"/>
        </w:rPr>
        <w:t xml:space="preserve">  See also </w:t>
      </w:r>
      <w:r>
        <w:rPr>
          <w:i/>
          <w:lang w:val="en-GB"/>
        </w:rPr>
        <w:t xml:space="preserve">Leung Chun </w:t>
      </w:r>
      <w:proofErr w:type="spellStart"/>
      <w:r>
        <w:rPr>
          <w:i/>
          <w:lang w:val="en-GB"/>
        </w:rPr>
        <w:t>Kwong</w:t>
      </w:r>
      <w:proofErr w:type="spellEnd"/>
      <w:r>
        <w:rPr>
          <w:lang w:val="en-GB"/>
        </w:rPr>
        <w:t>, [60] - [61].</w:t>
      </w:r>
    </w:p>
  </w:footnote>
  <w:footnote w:id="127">
    <w:p w:rsidR="004C57FC" w:rsidRPr="007E429C" w:rsidRDefault="004C57FC" w:rsidP="001A2EC2">
      <w:pPr>
        <w:pStyle w:val="FootnoteText"/>
        <w:snapToGrid w:val="0"/>
        <w:spacing w:after="240" w:line="240" w:lineRule="auto"/>
        <w:ind w:left="360" w:hangingChars="180" w:hanging="360"/>
        <w:jc w:val="both"/>
        <w:rPr>
          <w:sz w:val="12"/>
          <w:szCs w:val="12"/>
        </w:rPr>
      </w:pPr>
      <w:r w:rsidRPr="007A4634">
        <w:rPr>
          <w:rStyle w:val="FootnoteReference"/>
        </w:rPr>
        <w:footnoteRef/>
      </w:r>
      <w:r w:rsidRPr="007A4634">
        <w:tab/>
      </w:r>
      <w:r w:rsidRPr="007A4634">
        <w:rPr>
          <w:rFonts w:hint="eastAsia"/>
        </w:rPr>
        <w:t>S</w:t>
      </w:r>
      <w:r w:rsidRPr="007A4634">
        <w:t xml:space="preserve">ee </w:t>
      </w:r>
      <w:r w:rsidRPr="00811F37">
        <w:t>[3] and [47]</w:t>
      </w:r>
      <w:r w:rsidRPr="007A4634">
        <w:t xml:space="preserve"> above.</w:t>
      </w:r>
    </w:p>
  </w:footnote>
  <w:footnote w:id="128">
    <w:p w:rsidR="004C57FC" w:rsidRPr="007E429C" w:rsidRDefault="004C57FC" w:rsidP="001A2EC2">
      <w:pPr>
        <w:pStyle w:val="FootnoteText"/>
        <w:snapToGrid w:val="0"/>
        <w:spacing w:after="240" w:line="240" w:lineRule="auto"/>
        <w:ind w:left="360" w:hangingChars="180" w:hanging="360"/>
        <w:jc w:val="both"/>
        <w:rPr>
          <w:sz w:val="12"/>
          <w:szCs w:val="12"/>
        </w:rPr>
      </w:pPr>
      <w:r w:rsidRPr="007A4634">
        <w:rPr>
          <w:rStyle w:val="FootnoteReference"/>
        </w:rPr>
        <w:footnoteRef/>
      </w:r>
      <w:r w:rsidRPr="007A4634">
        <w:tab/>
      </w:r>
      <w:r w:rsidRPr="007A4634">
        <w:rPr>
          <w:rFonts w:hint="eastAsia"/>
        </w:rPr>
        <w:t>A</w:t>
      </w:r>
      <w:r w:rsidRPr="007A4634">
        <w:t>ppendix, [4].</w:t>
      </w:r>
    </w:p>
  </w:footnote>
  <w:footnote w:id="129">
    <w:p w:rsidR="004C57FC" w:rsidRPr="00887047" w:rsidRDefault="004C57FC" w:rsidP="001A2EC2">
      <w:pPr>
        <w:pStyle w:val="FootnoteText"/>
        <w:snapToGrid w:val="0"/>
        <w:spacing w:after="240" w:line="240" w:lineRule="auto"/>
        <w:ind w:left="360" w:hangingChars="180" w:hanging="360"/>
        <w:jc w:val="both"/>
        <w:rPr>
          <w:sz w:val="16"/>
          <w:szCs w:val="16"/>
          <w:lang w:val="en-GB"/>
        </w:rPr>
      </w:pPr>
      <w:r w:rsidRPr="004648FA">
        <w:rPr>
          <w:rStyle w:val="FootnoteReference"/>
          <w:lang w:val="en-GB"/>
        </w:rPr>
        <w:footnoteRef/>
      </w:r>
      <w:r>
        <w:rPr>
          <w:lang w:val="en-GB"/>
        </w:rPr>
        <w:tab/>
        <w:t>CA Judgment, [49(5</w:t>
      </w:r>
      <w:proofErr w:type="gramStart"/>
      <w:r>
        <w:rPr>
          <w:lang w:val="en-GB"/>
        </w:rPr>
        <w:t>)(</w:t>
      </w:r>
      <w:proofErr w:type="gramEnd"/>
      <w:r>
        <w:rPr>
          <w:lang w:val="en-GB"/>
        </w:rPr>
        <w:t xml:space="preserve">a)]; </w:t>
      </w:r>
      <w:r w:rsidRPr="00E32992">
        <w:rPr>
          <w:lang w:val="en-GB"/>
        </w:rPr>
        <w:t>PRH Judgment, [51(2)</w:t>
      </w:r>
      <w:r w:rsidR="000520E0">
        <w:rPr>
          <w:lang w:val="en-GB"/>
        </w:rPr>
        <w:t xml:space="preserve"> </w:t>
      </w:r>
      <w:r w:rsidRPr="00E32992">
        <w:rPr>
          <w:lang w:val="en-GB"/>
        </w:rPr>
        <w:t>-</w:t>
      </w:r>
      <w:r w:rsidR="000520E0">
        <w:rPr>
          <w:lang w:val="en-GB"/>
        </w:rPr>
        <w:t xml:space="preserve"> </w:t>
      </w:r>
      <w:r w:rsidRPr="00E32992">
        <w:rPr>
          <w:lang w:val="en-GB"/>
        </w:rPr>
        <w:t>(3)]</w:t>
      </w:r>
      <w:r>
        <w:rPr>
          <w:lang w:val="en-GB"/>
        </w:rPr>
        <w:t>.</w:t>
      </w:r>
    </w:p>
  </w:footnote>
  <w:footnote w:id="130">
    <w:p w:rsidR="004C57FC" w:rsidRPr="00E32992" w:rsidRDefault="004C57FC" w:rsidP="001A2EC2">
      <w:pPr>
        <w:pStyle w:val="FootnoteText"/>
        <w:snapToGrid w:val="0"/>
        <w:spacing w:after="240" w:line="240" w:lineRule="auto"/>
        <w:ind w:left="360" w:hangingChars="180" w:hanging="360"/>
        <w:jc w:val="both"/>
        <w:rPr>
          <w:sz w:val="6"/>
          <w:szCs w:val="6"/>
          <w:lang w:val="en-GB"/>
        </w:rPr>
      </w:pPr>
      <w:r w:rsidRPr="00E32992">
        <w:rPr>
          <w:rStyle w:val="FootnoteReference"/>
          <w:lang w:val="en-GB"/>
        </w:rPr>
        <w:footnoteRef/>
      </w:r>
      <w:r w:rsidRPr="00E32992">
        <w:rPr>
          <w:lang w:val="en-GB"/>
        </w:rPr>
        <w:t xml:space="preserve"> </w:t>
      </w:r>
      <w:r w:rsidRPr="00E32992">
        <w:rPr>
          <w:lang w:val="en-GB"/>
        </w:rPr>
        <w:tab/>
        <w:t>CA Judgment,</w:t>
      </w:r>
      <w:r w:rsidRPr="00E32992">
        <w:rPr>
          <w:i/>
          <w:lang w:val="en-GB"/>
        </w:rPr>
        <w:t xml:space="preserve"> </w:t>
      </w:r>
      <w:r w:rsidRPr="00E32992">
        <w:rPr>
          <w:lang w:val="en-GB"/>
        </w:rPr>
        <w:t>[120]; HOS Judgment, [54] - [60].</w:t>
      </w:r>
    </w:p>
  </w:footnote>
  <w:footnote w:id="131">
    <w:p w:rsidR="004C57FC" w:rsidRPr="00887047" w:rsidRDefault="004C57FC" w:rsidP="001A2EC2">
      <w:pPr>
        <w:pStyle w:val="FootnoteText"/>
        <w:snapToGrid w:val="0"/>
        <w:spacing w:after="240" w:line="240" w:lineRule="auto"/>
        <w:ind w:left="360" w:hangingChars="180" w:hanging="360"/>
        <w:jc w:val="both"/>
        <w:rPr>
          <w:sz w:val="16"/>
          <w:szCs w:val="16"/>
          <w:lang w:val="en-GB"/>
        </w:rPr>
      </w:pPr>
      <w:r w:rsidRPr="00E32992">
        <w:rPr>
          <w:rStyle w:val="FootnoteReference"/>
          <w:lang w:val="en-GB"/>
        </w:rPr>
        <w:footnoteRef/>
      </w:r>
      <w:r>
        <w:rPr>
          <w:lang w:val="en-GB"/>
        </w:rPr>
        <w:tab/>
      </w:r>
      <w:r w:rsidRPr="00E32992">
        <w:rPr>
          <w:lang w:val="en-GB"/>
        </w:rPr>
        <w:t xml:space="preserve">HA’s written case, [83]; Mr </w:t>
      </w:r>
      <w:proofErr w:type="spellStart"/>
      <w:r w:rsidRPr="00E32992">
        <w:rPr>
          <w:lang w:val="en-GB"/>
        </w:rPr>
        <w:t>Infinger’s</w:t>
      </w:r>
      <w:proofErr w:type="spellEnd"/>
      <w:r w:rsidRPr="00E32992">
        <w:rPr>
          <w:lang w:val="en-GB"/>
        </w:rPr>
        <w:t xml:space="preserve"> written case, [81] - [82]; Mr Li’s written case, [96] - [104]. </w:t>
      </w:r>
    </w:p>
  </w:footnote>
  <w:footnote w:id="132">
    <w:p w:rsidR="004C57FC" w:rsidRDefault="004C57FC" w:rsidP="001A2EC2">
      <w:pPr>
        <w:pStyle w:val="FootnoteText"/>
        <w:spacing w:after="240" w:line="240" w:lineRule="auto"/>
        <w:ind w:left="360" w:hanging="360"/>
        <w:jc w:val="both"/>
      </w:pPr>
      <w:r>
        <w:rPr>
          <w:rStyle w:val="FootnoteReference"/>
        </w:rPr>
        <w:footnoteRef/>
      </w:r>
      <w:r>
        <w:t xml:space="preserve"> </w:t>
      </w:r>
      <w:r w:rsidR="00811F37">
        <w:tab/>
      </w:r>
      <w:proofErr w:type="spellStart"/>
      <w:r>
        <w:t>Mr</w:t>
      </w:r>
      <w:proofErr w:type="spellEnd"/>
      <w:r>
        <w:t xml:space="preserve"> </w:t>
      </w:r>
      <w:proofErr w:type="spellStart"/>
      <w:r>
        <w:t>Infinger’s</w:t>
      </w:r>
      <w:proofErr w:type="spellEnd"/>
      <w:r>
        <w:t xml:space="preserve"> written case, [81] - [82].</w:t>
      </w:r>
    </w:p>
  </w:footnote>
  <w:footnote w:id="133">
    <w:p w:rsidR="004C57FC" w:rsidRDefault="004C57FC" w:rsidP="001A2EC2">
      <w:pPr>
        <w:pStyle w:val="FootnoteText"/>
        <w:spacing w:after="240" w:line="240" w:lineRule="auto"/>
        <w:ind w:left="360" w:hangingChars="180" w:hanging="360"/>
        <w:jc w:val="both"/>
      </w:pPr>
      <w:r>
        <w:rPr>
          <w:rStyle w:val="FootnoteReference"/>
        </w:rPr>
        <w:footnoteRef/>
      </w:r>
      <w:r>
        <w:t xml:space="preserve"> </w:t>
      </w:r>
      <w:r>
        <w:tab/>
        <w:t xml:space="preserve">That is, </w:t>
      </w:r>
      <w:r w:rsidRPr="0029628C">
        <w:rPr>
          <w:lang w:val="en-GB"/>
        </w:rPr>
        <w:t>one PRH unit allocated to a same-sex married couple means one less unit available for allocation to a heterosexual married couple during its term of tenancy</w:t>
      </w:r>
      <w:r>
        <w:rPr>
          <w:lang w:val="en-GB"/>
        </w:rPr>
        <w:t>: HA’s written case, [2], [120(1)].</w:t>
      </w:r>
    </w:p>
  </w:footnote>
  <w:footnote w:id="134">
    <w:p w:rsidR="004C57FC" w:rsidRPr="004648FA" w:rsidRDefault="004C57FC" w:rsidP="001A2EC2">
      <w:pPr>
        <w:pStyle w:val="FootnoteText"/>
        <w:snapToGrid w:val="0"/>
        <w:spacing w:after="240" w:line="240" w:lineRule="auto"/>
        <w:ind w:left="360" w:hangingChars="180" w:hanging="360"/>
        <w:jc w:val="both"/>
        <w:rPr>
          <w:lang w:val="en-GB"/>
        </w:rPr>
      </w:pPr>
      <w:r w:rsidRPr="00E32992">
        <w:rPr>
          <w:rStyle w:val="FootnoteReference"/>
          <w:lang w:val="en-GB"/>
        </w:rPr>
        <w:footnoteRef/>
      </w:r>
      <w:r w:rsidRPr="00E32992">
        <w:rPr>
          <w:lang w:val="en-GB"/>
        </w:rPr>
        <w:tab/>
        <w:t xml:space="preserve">Mr </w:t>
      </w:r>
      <w:proofErr w:type="spellStart"/>
      <w:proofErr w:type="gramStart"/>
      <w:r w:rsidRPr="00E32992">
        <w:rPr>
          <w:lang w:val="en-GB"/>
        </w:rPr>
        <w:t>Infinger’s</w:t>
      </w:r>
      <w:proofErr w:type="spellEnd"/>
      <w:proofErr w:type="gramEnd"/>
      <w:r w:rsidRPr="00E32992">
        <w:rPr>
          <w:lang w:val="en-GB"/>
        </w:rPr>
        <w:t xml:space="preserve"> written case, [77], [81] - [82].</w:t>
      </w:r>
    </w:p>
  </w:footnote>
  <w:footnote w:id="135">
    <w:p w:rsidR="004C57FC" w:rsidRDefault="004C57FC" w:rsidP="001A2EC2">
      <w:pPr>
        <w:pStyle w:val="FootnoteText"/>
        <w:spacing w:after="240" w:line="240" w:lineRule="auto"/>
        <w:ind w:left="360" w:hanging="360"/>
        <w:jc w:val="both"/>
      </w:pPr>
      <w:r>
        <w:rPr>
          <w:rStyle w:val="FootnoteReference"/>
        </w:rPr>
        <w:footnoteRef/>
      </w:r>
      <w:r>
        <w:t xml:space="preserve"> </w:t>
      </w:r>
      <w:r>
        <w:tab/>
        <w:t>HA’s written case, [81] and [83(2)].</w:t>
      </w:r>
    </w:p>
  </w:footnote>
  <w:footnote w:id="136">
    <w:p w:rsidR="004C57FC" w:rsidRDefault="004C57FC" w:rsidP="001A2EC2">
      <w:pPr>
        <w:pStyle w:val="FootnoteText"/>
        <w:spacing w:after="240" w:line="240" w:lineRule="auto"/>
        <w:ind w:left="360" w:hanging="360"/>
        <w:jc w:val="both"/>
      </w:pPr>
      <w:r>
        <w:rPr>
          <w:rStyle w:val="FootnoteReference"/>
        </w:rPr>
        <w:footnoteRef/>
      </w:r>
      <w:r>
        <w:t xml:space="preserve"> </w:t>
      </w:r>
      <w:r>
        <w:tab/>
      </w:r>
      <w:r w:rsidRPr="00CC3F9E">
        <w:rPr>
          <w:i/>
        </w:rPr>
        <w:t>Ibid</w:t>
      </w:r>
      <w:r>
        <w:t>, [83].</w:t>
      </w:r>
    </w:p>
  </w:footnote>
  <w:footnote w:id="137">
    <w:p w:rsidR="004C57FC" w:rsidRDefault="004C57FC" w:rsidP="001A2EC2">
      <w:pPr>
        <w:pStyle w:val="FootnoteText"/>
        <w:spacing w:after="240" w:line="240" w:lineRule="auto"/>
        <w:ind w:left="360" w:hanging="360"/>
        <w:jc w:val="both"/>
      </w:pPr>
      <w:r>
        <w:rPr>
          <w:rStyle w:val="FootnoteReference"/>
        </w:rPr>
        <w:footnoteRef/>
      </w:r>
      <w:r>
        <w:t xml:space="preserve"> </w:t>
      </w:r>
      <w:r>
        <w:tab/>
        <w:t xml:space="preserve">See footnotes </w:t>
      </w:r>
      <w:r w:rsidR="002F7A63">
        <w:t>13</w:t>
      </w:r>
      <w:r w:rsidR="007D6311">
        <w:t>8</w:t>
      </w:r>
      <w:r w:rsidR="002F7A63">
        <w:t xml:space="preserve"> </w:t>
      </w:r>
      <w:r>
        <w:t xml:space="preserve">to </w:t>
      </w:r>
      <w:r w:rsidR="00A5278C" w:rsidRPr="00032524">
        <w:t>14</w:t>
      </w:r>
      <w:r w:rsidR="007D6311" w:rsidRPr="00032524">
        <w:t>1</w:t>
      </w:r>
      <w:r w:rsidR="00A5278C">
        <w:t xml:space="preserve"> </w:t>
      </w:r>
      <w:r>
        <w:t>below.</w:t>
      </w:r>
    </w:p>
  </w:footnote>
  <w:footnote w:id="138">
    <w:p w:rsidR="004C57FC" w:rsidRPr="00003976" w:rsidRDefault="004C57FC" w:rsidP="001A2EC2">
      <w:pPr>
        <w:pStyle w:val="FootnoteText"/>
        <w:snapToGrid w:val="0"/>
        <w:spacing w:after="240" w:line="240" w:lineRule="auto"/>
        <w:ind w:left="360" w:hanging="360"/>
        <w:jc w:val="both"/>
      </w:pPr>
      <w:r>
        <w:rPr>
          <w:rStyle w:val="FootnoteReference"/>
        </w:rPr>
        <w:footnoteRef/>
      </w:r>
      <w:r>
        <w:t xml:space="preserve"> </w:t>
      </w:r>
      <w:r>
        <w:tab/>
      </w:r>
      <w:r w:rsidRPr="00003976">
        <w:rPr>
          <w:i/>
        </w:rPr>
        <w:t xml:space="preserve">Bank </w:t>
      </w:r>
      <w:proofErr w:type="spellStart"/>
      <w:r w:rsidRPr="00003976">
        <w:rPr>
          <w:i/>
        </w:rPr>
        <w:t>Mellat</w:t>
      </w:r>
      <w:proofErr w:type="spellEnd"/>
      <w:r w:rsidRPr="00003976">
        <w:rPr>
          <w:i/>
        </w:rPr>
        <w:t xml:space="preserve"> v Her Majesty’s Treasury (No 2)</w:t>
      </w:r>
      <w:r w:rsidRPr="00003976">
        <w:t xml:space="preserve"> [2014] AC 700</w:t>
      </w:r>
      <w:r w:rsidRPr="00003976">
        <w:rPr>
          <w:lang w:val="en-GB"/>
        </w:rPr>
        <w:t>, [9</w:t>
      </w:r>
      <w:r>
        <w:rPr>
          <w:lang w:val="en-GB"/>
        </w:rPr>
        <w:t>2</w:t>
      </w:r>
      <w:r w:rsidRPr="00003976">
        <w:rPr>
          <w:lang w:val="en-GB"/>
        </w:rPr>
        <w:t xml:space="preserve">] </w:t>
      </w:r>
      <w:r>
        <w:rPr>
          <w:lang w:val="en-GB"/>
        </w:rPr>
        <w:t>(</w:t>
      </w:r>
      <w:r w:rsidRPr="00003976">
        <w:rPr>
          <w:lang w:val="en-GB"/>
        </w:rPr>
        <w:t>Lord Reed JSC</w:t>
      </w:r>
      <w:r>
        <w:rPr>
          <w:lang w:val="en-GB"/>
        </w:rPr>
        <w:t>).</w:t>
      </w:r>
    </w:p>
  </w:footnote>
  <w:footnote w:id="139">
    <w:p w:rsidR="004C57FC" w:rsidRPr="00003976" w:rsidRDefault="004C57FC" w:rsidP="001A2EC2">
      <w:pPr>
        <w:pStyle w:val="FootnoteText"/>
        <w:snapToGrid w:val="0"/>
        <w:spacing w:after="240" w:line="240" w:lineRule="auto"/>
        <w:ind w:left="360" w:hanging="360"/>
        <w:jc w:val="both"/>
      </w:pPr>
      <w:r>
        <w:rPr>
          <w:rStyle w:val="FootnoteReference"/>
        </w:rPr>
        <w:footnoteRef/>
      </w:r>
      <w:r>
        <w:t xml:space="preserve"> </w:t>
      </w:r>
      <w:r>
        <w:tab/>
      </w:r>
      <w:proofErr w:type="spellStart"/>
      <w:r w:rsidRPr="00003976">
        <w:rPr>
          <w:i/>
          <w:lang w:val="en-GB"/>
        </w:rPr>
        <w:t>Lavigne</w:t>
      </w:r>
      <w:proofErr w:type="spellEnd"/>
      <w:r w:rsidRPr="00003976">
        <w:rPr>
          <w:i/>
          <w:lang w:val="en-GB"/>
        </w:rPr>
        <w:t xml:space="preserve"> v Ontario Public Service Employees Union </w:t>
      </w:r>
      <w:r w:rsidRPr="00003976">
        <w:rPr>
          <w:lang w:val="en-GB"/>
        </w:rPr>
        <w:t xml:space="preserve">[1991] </w:t>
      </w:r>
      <w:proofErr w:type="gramStart"/>
      <w:r w:rsidRPr="00003976">
        <w:rPr>
          <w:lang w:val="en-GB"/>
        </w:rPr>
        <w:t>2</w:t>
      </w:r>
      <w:proofErr w:type="gramEnd"/>
      <w:r w:rsidRPr="00003976">
        <w:rPr>
          <w:lang w:val="en-GB"/>
        </w:rPr>
        <w:t xml:space="preserve"> SCR 211, 291 (Wilson J); </w:t>
      </w:r>
      <w:r w:rsidRPr="00003976">
        <w:rPr>
          <w:i/>
          <w:lang w:val="en-GB"/>
        </w:rPr>
        <w:t xml:space="preserve">RJR-MacDonald </w:t>
      </w:r>
      <w:proofErr w:type="spellStart"/>
      <w:r w:rsidRPr="00003976">
        <w:rPr>
          <w:i/>
          <w:lang w:val="en-GB"/>
        </w:rPr>
        <w:t>Inc</w:t>
      </w:r>
      <w:proofErr w:type="spellEnd"/>
      <w:r w:rsidRPr="00003976">
        <w:rPr>
          <w:i/>
          <w:lang w:val="en-GB"/>
        </w:rPr>
        <w:t xml:space="preserve"> v Canada (Attorney General) </w:t>
      </w:r>
      <w:r w:rsidRPr="00003976">
        <w:rPr>
          <w:lang w:val="en-GB"/>
        </w:rPr>
        <w:t>[1995] 3 SCR 199,</w:t>
      </w:r>
      <w:r w:rsidRPr="005F6870">
        <w:rPr>
          <w:sz w:val="24"/>
          <w:szCs w:val="22"/>
          <w:lang w:val="en-GB"/>
        </w:rPr>
        <w:t xml:space="preserve"> </w:t>
      </w:r>
      <w:r w:rsidRPr="005F6870">
        <w:rPr>
          <w:lang w:val="en-GB"/>
        </w:rPr>
        <w:t>[86] (La Forest J)</w:t>
      </w:r>
      <w:r>
        <w:rPr>
          <w:lang w:val="en-GB"/>
        </w:rPr>
        <w:t>,</w:t>
      </w:r>
      <w:r w:rsidRPr="00003976">
        <w:rPr>
          <w:lang w:val="en-GB"/>
        </w:rPr>
        <w:t xml:space="preserve"> [153] - [154] (</w:t>
      </w:r>
      <w:proofErr w:type="spellStart"/>
      <w:r w:rsidRPr="00003976">
        <w:rPr>
          <w:lang w:val="en-GB"/>
        </w:rPr>
        <w:t>McLachlin</w:t>
      </w:r>
      <w:proofErr w:type="spellEnd"/>
      <w:r w:rsidRPr="00003976">
        <w:rPr>
          <w:lang w:val="en-GB"/>
        </w:rPr>
        <w:t xml:space="preserve"> J)</w:t>
      </w:r>
      <w:r>
        <w:rPr>
          <w:lang w:val="en-GB"/>
        </w:rPr>
        <w:t xml:space="preserve">; </w:t>
      </w:r>
      <w:r>
        <w:rPr>
          <w:i/>
          <w:lang w:val="en-GB"/>
        </w:rPr>
        <w:t xml:space="preserve">R (Sinclair Collis Ltd) v Secretary of </w:t>
      </w:r>
      <w:r w:rsidRPr="002C0E9A">
        <w:rPr>
          <w:i/>
          <w:lang w:val="en-GB"/>
        </w:rPr>
        <w:t>State</w:t>
      </w:r>
      <w:r>
        <w:rPr>
          <w:i/>
          <w:lang w:val="en-GB"/>
        </w:rPr>
        <w:t xml:space="preserve"> for Health</w:t>
      </w:r>
      <w:r>
        <w:rPr>
          <w:lang w:val="en-GB"/>
        </w:rPr>
        <w:t xml:space="preserve"> [2012] QB 394, [238], [242], [244] (Lord Neuberger MR).</w:t>
      </w:r>
    </w:p>
  </w:footnote>
  <w:footnote w:id="140">
    <w:p w:rsidR="004C57FC" w:rsidRDefault="004C57FC" w:rsidP="009C541F">
      <w:pPr>
        <w:pStyle w:val="FootnoteText"/>
        <w:spacing w:after="240" w:line="240" w:lineRule="auto"/>
        <w:ind w:left="360" w:hanging="360"/>
        <w:jc w:val="both"/>
      </w:pPr>
      <w:r>
        <w:rPr>
          <w:rStyle w:val="FootnoteReference"/>
        </w:rPr>
        <w:footnoteRef/>
      </w:r>
      <w:r>
        <w:t xml:space="preserve"> </w:t>
      </w:r>
      <w:r>
        <w:tab/>
      </w:r>
      <w:r w:rsidRPr="00EE5D9E">
        <w:rPr>
          <w:i/>
        </w:rPr>
        <w:t xml:space="preserve">R (Lord </w:t>
      </w:r>
      <w:proofErr w:type="spellStart"/>
      <w:r w:rsidRPr="00EE5D9E">
        <w:rPr>
          <w:i/>
        </w:rPr>
        <w:t>Carlile</w:t>
      </w:r>
      <w:proofErr w:type="spellEnd"/>
      <w:r w:rsidRPr="00EE5D9E">
        <w:rPr>
          <w:i/>
        </w:rPr>
        <w:t xml:space="preserve"> of </w:t>
      </w:r>
      <w:proofErr w:type="spellStart"/>
      <w:r w:rsidRPr="00EE5D9E">
        <w:rPr>
          <w:i/>
        </w:rPr>
        <w:t>Berriew</w:t>
      </w:r>
      <w:proofErr w:type="spellEnd"/>
      <w:r w:rsidRPr="00EE5D9E">
        <w:rPr>
          <w:i/>
        </w:rPr>
        <w:t xml:space="preserve"> &amp; </w:t>
      </w:r>
      <w:proofErr w:type="spellStart"/>
      <w:r w:rsidRPr="00EE5D9E">
        <w:rPr>
          <w:i/>
        </w:rPr>
        <w:t>Ors</w:t>
      </w:r>
      <w:proofErr w:type="spellEnd"/>
      <w:r w:rsidRPr="00EE5D9E">
        <w:rPr>
          <w:i/>
        </w:rPr>
        <w:t>) v Secretary of State for the Home Department</w:t>
      </w:r>
      <w:r>
        <w:t xml:space="preserve"> [2015] AC 945, [33] (Lord </w:t>
      </w:r>
      <w:proofErr w:type="spellStart"/>
      <w:r>
        <w:t>Sumption</w:t>
      </w:r>
      <w:proofErr w:type="spellEnd"/>
      <w:r>
        <w:t xml:space="preserve"> JSC); </w:t>
      </w:r>
      <w:r w:rsidRPr="00EE5D9E">
        <w:rPr>
          <w:i/>
        </w:rPr>
        <w:t xml:space="preserve">Bank </w:t>
      </w:r>
      <w:proofErr w:type="spellStart"/>
      <w:r w:rsidRPr="00EE5D9E">
        <w:rPr>
          <w:i/>
        </w:rPr>
        <w:t>Mellat</w:t>
      </w:r>
      <w:proofErr w:type="spellEnd"/>
      <w:r>
        <w:t>, [93] (Lord Reed JSC).</w:t>
      </w:r>
    </w:p>
  </w:footnote>
  <w:footnote w:id="141">
    <w:p w:rsidR="004C57FC" w:rsidRPr="002C0E9A" w:rsidRDefault="004C57FC" w:rsidP="001A2EC2">
      <w:pPr>
        <w:pStyle w:val="FootnoteText"/>
        <w:snapToGrid w:val="0"/>
        <w:spacing w:after="240" w:line="240" w:lineRule="auto"/>
        <w:ind w:left="360" w:hangingChars="180" w:hanging="360"/>
        <w:jc w:val="both"/>
      </w:pPr>
      <w:r>
        <w:rPr>
          <w:rStyle w:val="FootnoteReference"/>
        </w:rPr>
        <w:footnoteRef/>
      </w:r>
      <w:r>
        <w:tab/>
      </w:r>
      <w:r w:rsidRPr="002C0E9A">
        <w:rPr>
          <w:i/>
        </w:rPr>
        <w:t xml:space="preserve">Bank </w:t>
      </w:r>
      <w:proofErr w:type="spellStart"/>
      <w:r w:rsidRPr="002C0E9A">
        <w:rPr>
          <w:i/>
        </w:rPr>
        <w:t>Mellat</w:t>
      </w:r>
      <w:proofErr w:type="spellEnd"/>
      <w:r>
        <w:t>, [93] (Lord Reed JSC).</w:t>
      </w:r>
    </w:p>
  </w:footnote>
  <w:footnote w:id="142">
    <w:p w:rsidR="004C57FC" w:rsidRDefault="004C57FC" w:rsidP="009C541F">
      <w:pPr>
        <w:pStyle w:val="FootnoteText"/>
        <w:spacing w:after="240" w:line="240" w:lineRule="auto"/>
        <w:ind w:left="360" w:hangingChars="180" w:hanging="360"/>
        <w:jc w:val="both"/>
      </w:pPr>
      <w:r>
        <w:rPr>
          <w:rStyle w:val="FootnoteReference"/>
        </w:rPr>
        <w:footnoteRef/>
      </w:r>
      <w:r>
        <w:t xml:space="preserve"> </w:t>
      </w:r>
      <w:r>
        <w:tab/>
        <w:t xml:space="preserve">This is because </w:t>
      </w:r>
      <w:r w:rsidRPr="0029628C">
        <w:rPr>
          <w:lang w:val="en-GB"/>
        </w:rPr>
        <w:t>the “Ordinary Families” sub-category also covers other relationships and they join the same queue as opposite-sex married couples</w:t>
      </w:r>
      <w:r>
        <w:rPr>
          <w:lang w:val="en-GB"/>
        </w:rPr>
        <w:t>: see [</w:t>
      </w:r>
      <w:r w:rsidRPr="00032524">
        <w:rPr>
          <w:lang w:val="en-GB"/>
        </w:rPr>
        <w:t>29] - [34], [</w:t>
      </w:r>
      <w:r w:rsidR="00133599" w:rsidRPr="00032524">
        <w:rPr>
          <w:lang w:val="en-GB"/>
        </w:rPr>
        <w:t>50</w:t>
      </w:r>
      <w:r w:rsidRPr="00032524">
        <w:rPr>
          <w:lang w:val="en-GB"/>
        </w:rPr>
        <w:t>] above and [7</w:t>
      </w:r>
      <w:r w:rsidR="00B511AF" w:rsidRPr="00032524">
        <w:rPr>
          <w:lang w:val="en-GB"/>
        </w:rPr>
        <w:t>7</w:t>
      </w:r>
      <w:r>
        <w:rPr>
          <w:lang w:val="en-GB"/>
        </w:rPr>
        <w:t>] below.</w:t>
      </w:r>
    </w:p>
  </w:footnote>
  <w:footnote w:id="143">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sidRPr="00833975">
        <w:rPr>
          <w:lang w:val="en-GB"/>
        </w:rPr>
        <w:tab/>
        <w:t>CA Judgment,</w:t>
      </w:r>
      <w:r w:rsidRPr="004648FA">
        <w:rPr>
          <w:lang w:val="en-GB"/>
        </w:rPr>
        <w:t xml:space="preserve"> [178].</w:t>
      </w:r>
    </w:p>
  </w:footnote>
  <w:footnote w:id="144">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lang w:val="en-GB"/>
        </w:rPr>
        <w:t xml:space="preserve">HA’s </w:t>
      </w:r>
      <w:r>
        <w:rPr>
          <w:lang w:val="en-GB"/>
        </w:rPr>
        <w:t>written</w:t>
      </w:r>
      <w:r w:rsidRPr="004648FA">
        <w:rPr>
          <w:lang w:val="en-GB"/>
        </w:rPr>
        <w:t xml:space="preserve"> case, [26].</w:t>
      </w:r>
    </w:p>
  </w:footnote>
  <w:footnote w:id="145">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Pr>
          <w:lang w:val="en-GB"/>
        </w:rPr>
        <w:tab/>
      </w:r>
      <w:r w:rsidRPr="00833975">
        <w:rPr>
          <w:lang w:val="en-GB"/>
        </w:rPr>
        <w:t>HOS Judgment,</w:t>
      </w:r>
      <w:r w:rsidRPr="004648FA">
        <w:rPr>
          <w:lang w:val="en-GB"/>
        </w:rPr>
        <w:t xml:space="preserve"> [59]; </w:t>
      </w:r>
      <w:r w:rsidRPr="00833975">
        <w:rPr>
          <w:lang w:val="en-GB"/>
        </w:rPr>
        <w:t>CA Judgment,</w:t>
      </w:r>
      <w:r w:rsidRPr="004648FA">
        <w:rPr>
          <w:lang w:val="en-GB"/>
        </w:rPr>
        <w:t xml:space="preserve"> [120(3)].</w:t>
      </w:r>
    </w:p>
  </w:footnote>
  <w:footnote w:id="146">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Pr>
          <w:lang w:val="en-GB"/>
        </w:rPr>
        <w:tab/>
      </w:r>
      <w:r w:rsidRPr="00833975">
        <w:rPr>
          <w:lang w:val="en-GB"/>
        </w:rPr>
        <w:t>CA Judgment,</w:t>
      </w:r>
      <w:r w:rsidRPr="004648FA">
        <w:rPr>
          <w:lang w:val="en-GB"/>
        </w:rPr>
        <w:t xml:space="preserve"> [120(4)].</w:t>
      </w:r>
    </w:p>
  </w:footnote>
  <w:footnote w:id="147">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lang w:val="en-GB"/>
        </w:rPr>
        <w:t xml:space="preserve">HA’s </w:t>
      </w:r>
      <w:r>
        <w:rPr>
          <w:lang w:val="en-GB"/>
        </w:rPr>
        <w:t>written</w:t>
      </w:r>
      <w:r w:rsidRPr="004648FA">
        <w:rPr>
          <w:lang w:val="en-GB"/>
        </w:rPr>
        <w:t xml:space="preserve"> case, [82]</w:t>
      </w:r>
      <w:proofErr w:type="gramStart"/>
      <w:r w:rsidRPr="004648FA">
        <w:rPr>
          <w:lang w:val="en-GB"/>
        </w:rPr>
        <w:t>;</w:t>
      </w:r>
      <w:proofErr w:type="gramEnd"/>
      <w:r w:rsidRPr="004648FA">
        <w:rPr>
          <w:lang w:val="en-GB"/>
        </w:rPr>
        <w:t xml:space="preserve"> citing </w:t>
      </w:r>
      <w:r w:rsidRPr="004648FA">
        <w:rPr>
          <w:i/>
          <w:lang w:val="en-GB"/>
        </w:rPr>
        <w:t xml:space="preserve">Bank </w:t>
      </w:r>
      <w:proofErr w:type="spellStart"/>
      <w:r w:rsidRPr="004648FA">
        <w:rPr>
          <w:i/>
          <w:lang w:val="en-GB"/>
        </w:rPr>
        <w:t>Mellat</w:t>
      </w:r>
      <w:proofErr w:type="spellEnd"/>
      <w:r w:rsidRPr="004648FA">
        <w:rPr>
          <w:lang w:val="en-GB"/>
        </w:rPr>
        <w:t xml:space="preserve">, [92] - [93] (Lord </w:t>
      </w:r>
      <w:r>
        <w:rPr>
          <w:lang w:val="en-GB"/>
        </w:rPr>
        <w:t>Reed J</w:t>
      </w:r>
      <w:r w:rsidRPr="004648FA">
        <w:rPr>
          <w:lang w:val="en-GB"/>
        </w:rPr>
        <w:t xml:space="preserve">SC) and the majority judgment in </w:t>
      </w:r>
      <w:r w:rsidRPr="004648FA">
        <w:rPr>
          <w:i/>
          <w:lang w:val="en-GB"/>
        </w:rPr>
        <w:t>RJR-MacDonald</w:t>
      </w:r>
      <w:r w:rsidRPr="004648FA">
        <w:rPr>
          <w:lang w:val="en-GB"/>
        </w:rPr>
        <w:t>, [86], [153] - [154] (</w:t>
      </w:r>
      <w:proofErr w:type="spellStart"/>
      <w:r w:rsidRPr="004648FA">
        <w:rPr>
          <w:lang w:val="en-GB"/>
        </w:rPr>
        <w:t>McLachlin</w:t>
      </w:r>
      <w:proofErr w:type="spellEnd"/>
      <w:r w:rsidRPr="004648FA">
        <w:rPr>
          <w:lang w:val="en-GB"/>
        </w:rPr>
        <w:t xml:space="preserve"> J).</w:t>
      </w:r>
    </w:p>
  </w:footnote>
  <w:footnote w:id="148">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lang w:val="en-GB"/>
        </w:rPr>
        <w:t xml:space="preserve">HA’s </w:t>
      </w:r>
      <w:r>
        <w:rPr>
          <w:lang w:val="en-GB"/>
        </w:rPr>
        <w:t>written</w:t>
      </w:r>
      <w:r w:rsidRPr="004648FA">
        <w:rPr>
          <w:lang w:val="en-GB"/>
        </w:rPr>
        <w:t xml:space="preserve"> case, [83(2)].</w:t>
      </w:r>
    </w:p>
  </w:footnote>
  <w:footnote w:id="149">
    <w:p w:rsidR="004C57FC" w:rsidRDefault="004C57FC" w:rsidP="009C541F">
      <w:pPr>
        <w:pStyle w:val="FootnoteText"/>
        <w:spacing w:after="240" w:line="240" w:lineRule="auto"/>
        <w:ind w:left="360" w:hangingChars="180" w:hanging="360"/>
        <w:jc w:val="both"/>
      </w:pPr>
      <w:r>
        <w:rPr>
          <w:rStyle w:val="FootnoteReference"/>
        </w:rPr>
        <w:footnoteRef/>
      </w:r>
      <w:r>
        <w:tab/>
      </w:r>
      <w:r>
        <w:rPr>
          <w:rFonts w:hint="eastAsia"/>
        </w:rPr>
        <w:t>I</w:t>
      </w:r>
      <w:r>
        <w:t xml:space="preserve">ndeed, this gives rise to the coherence argument which will be dealt with in </w:t>
      </w:r>
      <w:r w:rsidRPr="00510675">
        <w:t>[70], [8</w:t>
      </w:r>
      <w:r w:rsidR="00B511AF" w:rsidRPr="00510675">
        <w:t>5</w:t>
      </w:r>
      <w:r w:rsidRPr="00510675">
        <w:t xml:space="preserve">] </w:t>
      </w:r>
      <w:r w:rsidR="00B511AF" w:rsidRPr="00510675">
        <w:t>-</w:t>
      </w:r>
      <w:r w:rsidRPr="00510675">
        <w:t xml:space="preserve"> [8</w:t>
      </w:r>
      <w:r w:rsidR="00B511AF" w:rsidRPr="00510675">
        <w:t>7</w:t>
      </w:r>
      <w:r w:rsidRPr="00510675">
        <w:t>]</w:t>
      </w:r>
      <w:r>
        <w:t xml:space="preserve"> below.</w:t>
      </w:r>
    </w:p>
  </w:footnote>
  <w:footnote w:id="150">
    <w:p w:rsidR="004C57FC" w:rsidRPr="00331297" w:rsidRDefault="004C57FC" w:rsidP="001A2EC2">
      <w:pPr>
        <w:pStyle w:val="FootnoteText"/>
        <w:snapToGrid w:val="0"/>
        <w:spacing w:after="240" w:line="240" w:lineRule="auto"/>
        <w:ind w:left="360" w:hangingChars="180" w:hanging="360"/>
        <w:jc w:val="both"/>
      </w:pPr>
      <w:r>
        <w:rPr>
          <w:rStyle w:val="FootnoteReference"/>
        </w:rPr>
        <w:footnoteRef/>
      </w:r>
      <w:r>
        <w:t xml:space="preserve"> </w:t>
      </w:r>
      <w:r>
        <w:tab/>
        <w:t>Appendix, [6].</w:t>
      </w:r>
    </w:p>
  </w:footnote>
  <w:footnote w:id="151">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Pr>
          <w:lang w:val="en-GB"/>
        </w:rPr>
        <w:tab/>
      </w:r>
      <w:r w:rsidRPr="004648FA">
        <w:rPr>
          <w:i/>
          <w:lang w:val="en-GB"/>
        </w:rPr>
        <w:t>QT</w:t>
      </w:r>
      <w:r w:rsidRPr="004648FA">
        <w:rPr>
          <w:lang w:val="en-GB"/>
        </w:rPr>
        <w:t xml:space="preserve">, [108]; </w:t>
      </w:r>
      <w:r w:rsidRPr="004648FA">
        <w:rPr>
          <w:i/>
          <w:lang w:val="en-GB"/>
        </w:rPr>
        <w:t xml:space="preserve">Leung Chun </w:t>
      </w:r>
      <w:proofErr w:type="spellStart"/>
      <w:r w:rsidRPr="004648FA">
        <w:rPr>
          <w:i/>
          <w:lang w:val="en-GB"/>
        </w:rPr>
        <w:t>Kwong</w:t>
      </w:r>
      <w:proofErr w:type="spellEnd"/>
      <w:r w:rsidRPr="004648FA">
        <w:rPr>
          <w:lang w:val="en-GB"/>
        </w:rPr>
        <w:t xml:space="preserve">, [79]; </w:t>
      </w:r>
      <w:r w:rsidRPr="004648FA">
        <w:rPr>
          <w:i/>
          <w:lang w:val="en-GB"/>
        </w:rPr>
        <w:t>Hysan</w:t>
      </w:r>
      <w:r w:rsidRPr="004648FA">
        <w:rPr>
          <w:lang w:val="en-GB"/>
        </w:rPr>
        <w:t xml:space="preserve">, [101], [103], [111] (Ribeiro PJ); </w:t>
      </w:r>
      <w:r w:rsidRPr="004648FA">
        <w:rPr>
          <w:i/>
          <w:lang w:val="en-GB"/>
        </w:rPr>
        <w:t xml:space="preserve">Kong </w:t>
      </w:r>
      <w:proofErr w:type="spellStart"/>
      <w:r w:rsidRPr="004648FA">
        <w:rPr>
          <w:i/>
          <w:lang w:val="en-GB"/>
        </w:rPr>
        <w:t>Yunming</w:t>
      </w:r>
      <w:proofErr w:type="spellEnd"/>
      <w:r w:rsidRPr="004648FA">
        <w:rPr>
          <w:lang w:val="en-GB"/>
        </w:rPr>
        <w:t xml:space="preserve">, [41] (Ribeiro PJ); </w:t>
      </w:r>
      <w:proofErr w:type="spellStart"/>
      <w:r w:rsidRPr="004648FA">
        <w:rPr>
          <w:i/>
          <w:lang w:val="en-GB"/>
        </w:rPr>
        <w:t>Fok</w:t>
      </w:r>
      <w:proofErr w:type="spellEnd"/>
      <w:r w:rsidRPr="004648FA">
        <w:rPr>
          <w:i/>
          <w:lang w:val="en-GB"/>
        </w:rPr>
        <w:t xml:space="preserve"> Chun </w:t>
      </w:r>
      <w:proofErr w:type="spellStart"/>
      <w:proofErr w:type="gramStart"/>
      <w:r w:rsidRPr="004648FA">
        <w:rPr>
          <w:i/>
          <w:lang w:val="en-GB"/>
        </w:rPr>
        <w:t>Wa</w:t>
      </w:r>
      <w:proofErr w:type="spellEnd"/>
      <w:proofErr w:type="gramEnd"/>
      <w:r w:rsidRPr="004648FA">
        <w:rPr>
          <w:lang w:val="en-GB"/>
        </w:rPr>
        <w:t>, [78] (Ma CJ).</w:t>
      </w:r>
    </w:p>
  </w:footnote>
  <w:footnote w:id="152">
    <w:p w:rsidR="004C57FC" w:rsidRDefault="004C57FC" w:rsidP="001A2EC2">
      <w:pPr>
        <w:pStyle w:val="FootnoteText"/>
        <w:spacing w:after="240" w:line="240" w:lineRule="auto"/>
        <w:ind w:left="360" w:hanging="360"/>
        <w:jc w:val="both"/>
      </w:pPr>
      <w:r>
        <w:rPr>
          <w:rStyle w:val="FootnoteReference"/>
        </w:rPr>
        <w:footnoteRef/>
      </w:r>
      <w:r>
        <w:t xml:space="preserve"> </w:t>
      </w:r>
      <w:r>
        <w:tab/>
      </w:r>
      <w:r w:rsidRPr="00EE5D9E">
        <w:rPr>
          <w:i/>
        </w:rPr>
        <w:t xml:space="preserve">Kong </w:t>
      </w:r>
      <w:proofErr w:type="spellStart"/>
      <w:r w:rsidRPr="00EE5D9E">
        <w:rPr>
          <w:i/>
        </w:rPr>
        <w:t>Yunming</w:t>
      </w:r>
      <w:proofErr w:type="spellEnd"/>
      <w:r>
        <w:t xml:space="preserve">, [41] (Ribeiro PJ); </w:t>
      </w:r>
      <w:proofErr w:type="spellStart"/>
      <w:r w:rsidRPr="00EE5D9E">
        <w:rPr>
          <w:i/>
        </w:rPr>
        <w:t>Fok</w:t>
      </w:r>
      <w:proofErr w:type="spellEnd"/>
      <w:r w:rsidRPr="00EE5D9E">
        <w:rPr>
          <w:i/>
        </w:rPr>
        <w:t xml:space="preserve"> Chun </w:t>
      </w:r>
      <w:proofErr w:type="spellStart"/>
      <w:proofErr w:type="gramStart"/>
      <w:r w:rsidRPr="00EE5D9E">
        <w:rPr>
          <w:i/>
        </w:rPr>
        <w:t>Wa</w:t>
      </w:r>
      <w:proofErr w:type="spellEnd"/>
      <w:proofErr w:type="gramEnd"/>
      <w:r>
        <w:t>, [70] - [73] (Ma CJ).</w:t>
      </w:r>
    </w:p>
  </w:footnote>
  <w:footnote w:id="153">
    <w:p w:rsidR="004C57FC" w:rsidRPr="004648FA" w:rsidRDefault="004C57FC" w:rsidP="001A2EC2">
      <w:pPr>
        <w:pStyle w:val="FootnoteText"/>
        <w:snapToGrid w:val="0"/>
        <w:spacing w:after="240" w:line="240" w:lineRule="auto"/>
        <w:ind w:left="360" w:hanging="360"/>
        <w:jc w:val="both"/>
        <w:rPr>
          <w:lang w:val="en-GB"/>
        </w:rPr>
      </w:pPr>
      <w:r w:rsidRPr="004648FA">
        <w:rPr>
          <w:rStyle w:val="FootnoteReference"/>
          <w:lang w:val="en-GB"/>
        </w:rPr>
        <w:footnoteRef/>
      </w:r>
      <w:r>
        <w:rPr>
          <w:lang w:val="en-GB"/>
        </w:rPr>
        <w:tab/>
      </w:r>
      <w:r w:rsidRPr="004648FA">
        <w:rPr>
          <w:i/>
          <w:lang w:val="en-GB"/>
        </w:rPr>
        <w:t>Hysan</w:t>
      </w:r>
      <w:r w:rsidRPr="004648FA">
        <w:rPr>
          <w:lang w:val="en-GB"/>
        </w:rPr>
        <w:t xml:space="preserve">, [120] (Ribeiro PJ); </w:t>
      </w:r>
      <w:r w:rsidRPr="004648FA">
        <w:rPr>
          <w:i/>
          <w:lang w:val="en-GB"/>
        </w:rPr>
        <w:t xml:space="preserve">Kong </w:t>
      </w:r>
      <w:proofErr w:type="spellStart"/>
      <w:r w:rsidRPr="004648FA">
        <w:rPr>
          <w:i/>
          <w:lang w:val="en-GB"/>
        </w:rPr>
        <w:t>Yunming</w:t>
      </w:r>
      <w:proofErr w:type="spellEnd"/>
      <w:r w:rsidRPr="004648FA">
        <w:rPr>
          <w:lang w:val="en-GB"/>
        </w:rPr>
        <w:t xml:space="preserve">, [42] (Ribeiro PJ); </w:t>
      </w:r>
      <w:proofErr w:type="spellStart"/>
      <w:r w:rsidRPr="004648FA">
        <w:rPr>
          <w:i/>
          <w:lang w:val="en-GB"/>
        </w:rPr>
        <w:t>Fok</w:t>
      </w:r>
      <w:proofErr w:type="spellEnd"/>
      <w:r w:rsidRPr="004648FA">
        <w:rPr>
          <w:i/>
          <w:lang w:val="en-GB"/>
        </w:rPr>
        <w:t xml:space="preserve"> Chun </w:t>
      </w:r>
      <w:proofErr w:type="spellStart"/>
      <w:proofErr w:type="gramStart"/>
      <w:r w:rsidRPr="004648FA">
        <w:rPr>
          <w:i/>
          <w:lang w:val="en-GB"/>
        </w:rPr>
        <w:t>Wa</w:t>
      </w:r>
      <w:proofErr w:type="spellEnd"/>
      <w:proofErr w:type="gramEnd"/>
      <w:r w:rsidRPr="004648FA">
        <w:rPr>
          <w:lang w:val="en-GB"/>
        </w:rPr>
        <w:t>, [72] (Ma CJ).</w:t>
      </w:r>
    </w:p>
  </w:footnote>
  <w:footnote w:id="154">
    <w:p w:rsidR="004C57FC" w:rsidRPr="004648FA" w:rsidRDefault="004C57FC" w:rsidP="001A2EC2">
      <w:pPr>
        <w:pStyle w:val="FootnoteText"/>
        <w:snapToGrid w:val="0"/>
        <w:spacing w:after="240" w:line="240" w:lineRule="auto"/>
        <w:ind w:left="360" w:hanging="360"/>
        <w:jc w:val="both"/>
        <w:rPr>
          <w:lang w:val="en-GB"/>
        </w:rPr>
      </w:pPr>
      <w:r w:rsidRPr="004648FA">
        <w:rPr>
          <w:rStyle w:val="FootnoteReference"/>
          <w:lang w:val="en-GB"/>
        </w:rPr>
        <w:footnoteRef/>
      </w:r>
      <w:r>
        <w:rPr>
          <w:lang w:val="en-GB"/>
        </w:rPr>
        <w:tab/>
      </w:r>
      <w:r w:rsidRPr="00833975">
        <w:rPr>
          <w:lang w:val="en-GB"/>
        </w:rPr>
        <w:t>CA Judgment,</w:t>
      </w:r>
      <w:r w:rsidRPr="004648FA">
        <w:rPr>
          <w:lang w:val="en-GB"/>
        </w:rPr>
        <w:t xml:space="preserve"> [152] - [156].</w:t>
      </w:r>
    </w:p>
  </w:footnote>
  <w:footnote w:id="155">
    <w:p w:rsidR="004C57FC" w:rsidRPr="00833975" w:rsidRDefault="004C57FC" w:rsidP="001A2EC2">
      <w:pPr>
        <w:pStyle w:val="FootnoteText"/>
        <w:snapToGrid w:val="0"/>
        <w:spacing w:after="240" w:line="240" w:lineRule="auto"/>
        <w:ind w:left="360" w:hanging="360"/>
        <w:jc w:val="both"/>
        <w:rPr>
          <w:sz w:val="12"/>
          <w:szCs w:val="12"/>
          <w:lang w:val="en-GB"/>
        </w:rPr>
      </w:pPr>
      <w:r w:rsidRPr="004648FA">
        <w:rPr>
          <w:rStyle w:val="FootnoteReference"/>
          <w:lang w:val="en-GB"/>
        </w:rPr>
        <w:footnoteRef/>
      </w:r>
      <w:r w:rsidRPr="004648FA">
        <w:rPr>
          <w:lang w:val="en-GB"/>
        </w:rPr>
        <w:t xml:space="preserve"> </w:t>
      </w:r>
      <w:r>
        <w:rPr>
          <w:lang w:val="en-GB"/>
        </w:rPr>
        <w:tab/>
      </w:r>
      <w:r w:rsidRPr="004648FA">
        <w:rPr>
          <w:i/>
          <w:lang w:val="en-GB"/>
        </w:rPr>
        <w:t>Ibid</w:t>
      </w:r>
      <w:r w:rsidRPr="00833975">
        <w:rPr>
          <w:lang w:val="en-GB"/>
        </w:rPr>
        <w:t>,</w:t>
      </w:r>
      <w:r w:rsidRPr="004648FA">
        <w:rPr>
          <w:lang w:val="en-GB"/>
        </w:rPr>
        <w:t xml:space="preserve"> [153] - [156], [161] - [162].</w:t>
      </w:r>
    </w:p>
  </w:footnote>
  <w:footnote w:id="156">
    <w:p w:rsidR="004C57FC" w:rsidRPr="00833975" w:rsidRDefault="004C57FC" w:rsidP="001A2EC2">
      <w:pPr>
        <w:pStyle w:val="FootnoteText"/>
        <w:snapToGrid w:val="0"/>
        <w:spacing w:after="240" w:line="240" w:lineRule="auto"/>
        <w:ind w:left="360" w:hanging="360"/>
        <w:jc w:val="both"/>
        <w:rPr>
          <w:sz w:val="12"/>
          <w:szCs w:val="12"/>
          <w:lang w:val="en-GB"/>
        </w:rPr>
      </w:pPr>
      <w:r w:rsidRPr="004648FA">
        <w:rPr>
          <w:rStyle w:val="FootnoteReference"/>
          <w:lang w:val="en-GB"/>
        </w:rPr>
        <w:footnoteRef/>
      </w:r>
      <w:r w:rsidRPr="004648FA">
        <w:rPr>
          <w:lang w:val="en-GB"/>
        </w:rPr>
        <w:t xml:space="preserve"> </w:t>
      </w:r>
      <w:r>
        <w:rPr>
          <w:lang w:val="en-GB"/>
        </w:rPr>
        <w:tab/>
      </w:r>
      <w:r w:rsidRPr="004648FA">
        <w:rPr>
          <w:lang w:val="en-GB"/>
        </w:rPr>
        <w:t xml:space="preserve">HA’s </w:t>
      </w:r>
      <w:r>
        <w:rPr>
          <w:lang w:val="en-GB"/>
        </w:rPr>
        <w:t>written</w:t>
      </w:r>
      <w:r w:rsidRPr="004648FA">
        <w:rPr>
          <w:lang w:val="en-GB"/>
        </w:rPr>
        <w:t xml:space="preserve"> case, [99] - [100].</w:t>
      </w:r>
    </w:p>
  </w:footnote>
  <w:footnote w:id="157">
    <w:p w:rsidR="004C57FC" w:rsidRPr="00833975" w:rsidRDefault="004C57FC" w:rsidP="001A2EC2">
      <w:pPr>
        <w:pStyle w:val="FootnoteText"/>
        <w:snapToGrid w:val="0"/>
        <w:spacing w:after="240" w:line="240" w:lineRule="auto"/>
        <w:ind w:left="360" w:hanging="360"/>
        <w:jc w:val="both"/>
        <w:rPr>
          <w:sz w:val="12"/>
          <w:szCs w:val="12"/>
          <w:lang w:val="en-GB"/>
        </w:rPr>
      </w:pPr>
      <w:r w:rsidRPr="004648FA">
        <w:rPr>
          <w:rStyle w:val="FootnoteReference"/>
          <w:lang w:val="en-GB"/>
        </w:rPr>
        <w:footnoteRef/>
      </w:r>
      <w:r w:rsidRPr="004648FA">
        <w:rPr>
          <w:lang w:val="en-GB"/>
        </w:rPr>
        <w:t xml:space="preserve"> </w:t>
      </w:r>
      <w:r>
        <w:rPr>
          <w:lang w:val="en-GB"/>
        </w:rPr>
        <w:tab/>
      </w:r>
      <w:r w:rsidRPr="004648FA">
        <w:rPr>
          <w:i/>
          <w:lang w:val="en-GB"/>
        </w:rPr>
        <w:t>Ibid</w:t>
      </w:r>
      <w:r w:rsidRPr="004648FA">
        <w:rPr>
          <w:lang w:val="en-GB"/>
        </w:rPr>
        <w:t xml:space="preserve">, </w:t>
      </w:r>
      <w:r w:rsidR="00306CB0">
        <w:rPr>
          <w:lang w:val="en-GB"/>
        </w:rPr>
        <w:t>[120(1)]</w:t>
      </w:r>
      <w:r w:rsidRPr="004648FA">
        <w:rPr>
          <w:lang w:val="en-GB"/>
        </w:rPr>
        <w:t>.</w:t>
      </w:r>
    </w:p>
  </w:footnote>
  <w:footnote w:id="158">
    <w:p w:rsidR="004C57FC" w:rsidRPr="00833975" w:rsidRDefault="004C57FC" w:rsidP="001A2EC2">
      <w:pPr>
        <w:pStyle w:val="FootnoteText"/>
        <w:snapToGrid w:val="0"/>
        <w:spacing w:after="240" w:line="240" w:lineRule="auto"/>
        <w:ind w:left="360" w:hanging="360"/>
        <w:jc w:val="both"/>
        <w:rPr>
          <w:sz w:val="12"/>
          <w:szCs w:val="12"/>
          <w:lang w:val="en-GB"/>
        </w:rPr>
      </w:pPr>
      <w:r w:rsidRPr="004648FA">
        <w:rPr>
          <w:rStyle w:val="FootnoteReference"/>
          <w:lang w:val="en-GB"/>
        </w:rPr>
        <w:footnoteRef/>
      </w:r>
      <w:r w:rsidRPr="004648FA">
        <w:rPr>
          <w:lang w:val="en-GB"/>
        </w:rPr>
        <w:t xml:space="preserve"> </w:t>
      </w:r>
      <w:r>
        <w:rPr>
          <w:lang w:val="en-GB"/>
        </w:rPr>
        <w:tab/>
      </w:r>
      <w:r w:rsidRPr="004648FA">
        <w:rPr>
          <w:i/>
          <w:lang w:val="en-GB"/>
        </w:rPr>
        <w:t>Ibid</w:t>
      </w:r>
      <w:r w:rsidRPr="004648FA">
        <w:rPr>
          <w:lang w:val="en-GB"/>
        </w:rPr>
        <w:t>, [92] - [97].</w:t>
      </w:r>
    </w:p>
  </w:footnote>
  <w:footnote w:id="159">
    <w:p w:rsidR="004C57FC" w:rsidRPr="00833975" w:rsidRDefault="004C57FC" w:rsidP="001A2EC2">
      <w:pPr>
        <w:pStyle w:val="FootnoteText"/>
        <w:snapToGrid w:val="0"/>
        <w:spacing w:after="240" w:line="240" w:lineRule="auto"/>
        <w:ind w:left="360" w:hangingChars="180" w:hanging="360"/>
        <w:jc w:val="both"/>
        <w:rPr>
          <w:sz w:val="12"/>
          <w:szCs w:val="12"/>
          <w:lang w:val="en-GB"/>
        </w:rPr>
      </w:pPr>
      <w:r w:rsidRPr="004648FA">
        <w:rPr>
          <w:rStyle w:val="FootnoteReference"/>
          <w:lang w:val="en-GB"/>
        </w:rPr>
        <w:footnoteRef/>
      </w:r>
      <w:r w:rsidRPr="004648FA">
        <w:rPr>
          <w:lang w:val="en-GB"/>
        </w:rPr>
        <w:t xml:space="preserve"> </w:t>
      </w:r>
      <w:r>
        <w:rPr>
          <w:lang w:val="en-GB"/>
        </w:rPr>
        <w:tab/>
      </w:r>
      <w:r w:rsidRPr="004648FA">
        <w:rPr>
          <w:i/>
          <w:lang w:val="en-GB"/>
        </w:rPr>
        <w:t>Ibid</w:t>
      </w:r>
      <w:r w:rsidRPr="004648FA">
        <w:rPr>
          <w:lang w:val="en-GB"/>
        </w:rPr>
        <w:t>, [86] - [91].</w:t>
      </w:r>
    </w:p>
  </w:footnote>
  <w:footnote w:id="160">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proofErr w:type="spellStart"/>
      <w:r w:rsidRPr="004648FA">
        <w:rPr>
          <w:i/>
          <w:lang w:val="en-GB"/>
        </w:rPr>
        <w:t>Beghal</w:t>
      </w:r>
      <w:proofErr w:type="spellEnd"/>
      <w:r w:rsidRPr="004648FA">
        <w:rPr>
          <w:i/>
          <w:lang w:val="en-GB"/>
        </w:rPr>
        <w:t xml:space="preserve"> v Director of Public Prosecutions (Secretary of State for the Home Department &amp; </w:t>
      </w:r>
      <w:proofErr w:type="spellStart"/>
      <w:r w:rsidRPr="004648FA">
        <w:rPr>
          <w:i/>
          <w:lang w:val="en-GB"/>
        </w:rPr>
        <w:t>Ors</w:t>
      </w:r>
      <w:proofErr w:type="spellEnd"/>
      <w:r w:rsidRPr="004648FA">
        <w:rPr>
          <w:i/>
          <w:lang w:val="en-GB"/>
        </w:rPr>
        <w:t xml:space="preserve"> intervening)</w:t>
      </w:r>
      <w:r w:rsidRPr="004648FA">
        <w:rPr>
          <w:lang w:val="en-GB"/>
        </w:rPr>
        <w:t xml:space="preserve"> [2016] AC 88, [76] (Lord Neuberger PSC and Lord Dyson MR)</w:t>
      </w:r>
      <w:r>
        <w:rPr>
          <w:lang w:val="en-GB"/>
        </w:rPr>
        <w:t>,</w:t>
      </w:r>
      <w:r w:rsidRPr="004648FA">
        <w:rPr>
          <w:lang w:val="en-GB"/>
        </w:rPr>
        <w:t xml:space="preserve"> citing </w:t>
      </w:r>
      <w:r w:rsidRPr="004648FA">
        <w:rPr>
          <w:i/>
          <w:lang w:val="en-GB"/>
        </w:rPr>
        <w:t>R (</w:t>
      </w:r>
      <w:r w:rsidRPr="00BC7EF3">
        <w:rPr>
          <w:i/>
          <w:lang w:val="en-GB"/>
        </w:rPr>
        <w:t>Aguilar</w:t>
      </w:r>
      <w:r w:rsidRPr="004648FA">
        <w:rPr>
          <w:i/>
          <w:lang w:val="en-GB"/>
        </w:rPr>
        <w:t xml:space="preserve"> </w:t>
      </w:r>
      <w:proofErr w:type="spellStart"/>
      <w:r w:rsidRPr="004648FA">
        <w:rPr>
          <w:i/>
          <w:lang w:val="en-GB"/>
        </w:rPr>
        <w:t>Quila</w:t>
      </w:r>
      <w:proofErr w:type="spellEnd"/>
      <w:r w:rsidRPr="004648FA">
        <w:rPr>
          <w:i/>
          <w:lang w:val="en-GB"/>
        </w:rPr>
        <w:t xml:space="preserve"> &amp; Anor) v Secretary of State for the Home Department (AIRE Centre &amp; </w:t>
      </w:r>
      <w:proofErr w:type="spellStart"/>
      <w:r w:rsidRPr="004648FA">
        <w:rPr>
          <w:i/>
          <w:lang w:val="en-GB"/>
        </w:rPr>
        <w:t>Ors</w:t>
      </w:r>
      <w:proofErr w:type="spellEnd"/>
      <w:r w:rsidRPr="004648FA">
        <w:rPr>
          <w:i/>
          <w:lang w:val="en-GB"/>
        </w:rPr>
        <w:t xml:space="preserve"> intervening)</w:t>
      </w:r>
      <w:r w:rsidRPr="004648FA">
        <w:rPr>
          <w:lang w:val="en-GB"/>
        </w:rPr>
        <w:t xml:space="preserve"> [2012] </w:t>
      </w:r>
      <w:proofErr w:type="gramStart"/>
      <w:r w:rsidRPr="004648FA">
        <w:rPr>
          <w:lang w:val="en-GB"/>
        </w:rPr>
        <w:t>1</w:t>
      </w:r>
      <w:proofErr w:type="gramEnd"/>
      <w:r w:rsidRPr="004648FA">
        <w:rPr>
          <w:lang w:val="en-GB"/>
        </w:rPr>
        <w:t xml:space="preserve"> AC 621 and </w:t>
      </w:r>
      <w:r w:rsidRPr="004648FA">
        <w:rPr>
          <w:i/>
          <w:lang w:val="en-GB"/>
        </w:rPr>
        <w:t xml:space="preserve">Bank </w:t>
      </w:r>
      <w:proofErr w:type="spellStart"/>
      <w:r w:rsidRPr="004648FA">
        <w:rPr>
          <w:i/>
          <w:lang w:val="en-GB"/>
        </w:rPr>
        <w:t>Mellat</w:t>
      </w:r>
      <w:proofErr w:type="spellEnd"/>
      <w:r>
        <w:rPr>
          <w:lang w:val="en-GB"/>
        </w:rPr>
        <w:t>, [75] (Lord Reed JSC)</w:t>
      </w:r>
      <w:r w:rsidRPr="004648FA">
        <w:rPr>
          <w:lang w:val="en-GB"/>
        </w:rPr>
        <w:t>.</w:t>
      </w:r>
    </w:p>
  </w:footnote>
  <w:footnote w:id="161">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5C2760">
        <w:rPr>
          <w:i/>
          <w:lang w:val="en-GB"/>
        </w:rPr>
        <w:t>R (</w:t>
      </w:r>
      <w:proofErr w:type="spellStart"/>
      <w:r w:rsidRPr="005C2760">
        <w:rPr>
          <w:i/>
          <w:lang w:val="en-GB"/>
        </w:rPr>
        <w:t>Simonis</w:t>
      </w:r>
      <w:proofErr w:type="spellEnd"/>
      <w:r w:rsidRPr="005C2760">
        <w:rPr>
          <w:i/>
          <w:lang w:val="en-GB"/>
        </w:rPr>
        <w:t>) v Arts Council England</w:t>
      </w:r>
      <w:r w:rsidRPr="005C2760">
        <w:rPr>
          <w:lang w:val="en-GB"/>
        </w:rPr>
        <w:t xml:space="preserve"> [2020] EWCA </w:t>
      </w:r>
      <w:proofErr w:type="spellStart"/>
      <w:r w:rsidRPr="005C2760">
        <w:rPr>
          <w:lang w:val="en-GB"/>
        </w:rPr>
        <w:t>C</w:t>
      </w:r>
      <w:r>
        <w:rPr>
          <w:lang w:val="en-GB"/>
        </w:rPr>
        <w:t>iv</w:t>
      </w:r>
      <w:proofErr w:type="spellEnd"/>
      <w:r>
        <w:rPr>
          <w:lang w:val="en-GB"/>
        </w:rPr>
        <w:t xml:space="preserve"> 374, [99] - [100] (Green LJ); </w:t>
      </w:r>
      <w:r w:rsidRPr="004648FA">
        <w:rPr>
          <w:i/>
          <w:lang w:val="en-GB"/>
        </w:rPr>
        <w:t>R (</w:t>
      </w:r>
      <w:proofErr w:type="spellStart"/>
      <w:r w:rsidRPr="004648FA">
        <w:rPr>
          <w:i/>
          <w:lang w:val="en-GB"/>
        </w:rPr>
        <w:t>Lumsdon</w:t>
      </w:r>
      <w:proofErr w:type="spellEnd"/>
      <w:r w:rsidRPr="004648FA">
        <w:rPr>
          <w:i/>
          <w:lang w:val="en-GB"/>
        </w:rPr>
        <w:t xml:space="preserve"> &amp; </w:t>
      </w:r>
      <w:proofErr w:type="spellStart"/>
      <w:r w:rsidRPr="004648FA">
        <w:rPr>
          <w:i/>
          <w:lang w:val="en-GB"/>
        </w:rPr>
        <w:t>Ors</w:t>
      </w:r>
      <w:proofErr w:type="spellEnd"/>
      <w:r w:rsidRPr="004648FA">
        <w:rPr>
          <w:i/>
          <w:lang w:val="en-GB"/>
        </w:rPr>
        <w:t>) v Legal Services Board</w:t>
      </w:r>
      <w:r w:rsidRPr="004648FA">
        <w:rPr>
          <w:lang w:val="en-GB"/>
        </w:rPr>
        <w:t xml:space="preserve"> [2016] AC 697, [56] (Lord</w:t>
      </w:r>
      <w:r>
        <w:rPr>
          <w:lang w:val="en-GB"/>
        </w:rPr>
        <w:t xml:space="preserve"> Reed and Lord </w:t>
      </w:r>
      <w:proofErr w:type="spellStart"/>
      <w:r>
        <w:rPr>
          <w:lang w:val="en-GB"/>
        </w:rPr>
        <w:t>Toulson</w:t>
      </w:r>
      <w:proofErr w:type="spellEnd"/>
      <w:r>
        <w:rPr>
          <w:lang w:val="en-GB"/>
        </w:rPr>
        <w:t xml:space="preserve"> </w:t>
      </w:r>
      <w:r w:rsidR="001C1BC3">
        <w:rPr>
          <w:lang w:val="en-GB"/>
        </w:rPr>
        <w:t>J</w:t>
      </w:r>
      <w:r>
        <w:rPr>
          <w:lang w:val="en-GB"/>
        </w:rPr>
        <w:t>JSC).</w:t>
      </w:r>
      <w:r w:rsidRPr="004648FA">
        <w:rPr>
          <w:lang w:val="en-GB"/>
        </w:rPr>
        <w:t xml:space="preserve"> </w:t>
      </w:r>
    </w:p>
  </w:footnote>
  <w:footnote w:id="162">
    <w:p w:rsidR="004C57FC" w:rsidRPr="00DF180D" w:rsidRDefault="004C57FC" w:rsidP="009C541F">
      <w:pPr>
        <w:pStyle w:val="FootnoteText"/>
        <w:spacing w:after="240" w:line="240" w:lineRule="auto"/>
        <w:ind w:left="360" w:hangingChars="180" w:hanging="360"/>
        <w:jc w:val="both"/>
      </w:pPr>
      <w:r>
        <w:rPr>
          <w:rStyle w:val="FootnoteReference"/>
        </w:rPr>
        <w:footnoteRef/>
      </w:r>
      <w:r>
        <w:t xml:space="preserve">  </w:t>
      </w:r>
      <w:r>
        <w:tab/>
      </w:r>
      <w:r w:rsidRPr="00DF180D">
        <w:rPr>
          <w:i/>
          <w:lang w:val="en-GB"/>
        </w:rPr>
        <w:t>R (</w:t>
      </w:r>
      <w:proofErr w:type="spellStart"/>
      <w:r w:rsidRPr="00DF180D">
        <w:rPr>
          <w:i/>
          <w:lang w:val="en-GB"/>
        </w:rPr>
        <w:t>Simonis</w:t>
      </w:r>
      <w:proofErr w:type="spellEnd"/>
      <w:r w:rsidRPr="00DF180D">
        <w:rPr>
          <w:i/>
          <w:lang w:val="en-GB"/>
        </w:rPr>
        <w:t>)</w:t>
      </w:r>
      <w:r>
        <w:rPr>
          <w:lang w:val="en-GB"/>
        </w:rPr>
        <w:t>, [100] (Green LJ).</w:t>
      </w:r>
    </w:p>
  </w:footnote>
  <w:footnote w:id="163">
    <w:p w:rsidR="004C57FC" w:rsidRPr="002E0692" w:rsidRDefault="004C57FC" w:rsidP="009C541F">
      <w:pPr>
        <w:pStyle w:val="FootnoteText"/>
        <w:spacing w:after="240" w:line="240" w:lineRule="auto"/>
        <w:ind w:left="360" w:hangingChars="180" w:hanging="360"/>
        <w:jc w:val="both"/>
      </w:pPr>
      <w:r>
        <w:rPr>
          <w:rStyle w:val="FootnoteReference"/>
        </w:rPr>
        <w:footnoteRef/>
      </w:r>
      <w:r>
        <w:rPr>
          <w:i/>
        </w:rPr>
        <w:t xml:space="preserve">  </w:t>
      </w:r>
      <w:r>
        <w:rPr>
          <w:i/>
        </w:rPr>
        <w:tab/>
        <w:t xml:space="preserve">R (Lord </w:t>
      </w:r>
      <w:proofErr w:type="spellStart"/>
      <w:r>
        <w:rPr>
          <w:i/>
        </w:rPr>
        <w:t>Carlile</w:t>
      </w:r>
      <w:proofErr w:type="spellEnd"/>
      <w:r>
        <w:rPr>
          <w:i/>
        </w:rPr>
        <w:t xml:space="preserve"> </w:t>
      </w:r>
      <w:r w:rsidRPr="00DB3C09">
        <w:rPr>
          <w:i/>
        </w:rPr>
        <w:t xml:space="preserve">of </w:t>
      </w:r>
      <w:proofErr w:type="spellStart"/>
      <w:r w:rsidRPr="00DB3C09">
        <w:rPr>
          <w:i/>
        </w:rPr>
        <w:t>Berriew</w:t>
      </w:r>
      <w:proofErr w:type="spellEnd"/>
      <w:r>
        <w:rPr>
          <w:i/>
        </w:rPr>
        <w:t>)</w:t>
      </w:r>
      <w:r>
        <w:t xml:space="preserve">, [32] (Lord </w:t>
      </w:r>
      <w:proofErr w:type="spellStart"/>
      <w:r>
        <w:t>Sumption</w:t>
      </w:r>
      <w:proofErr w:type="spellEnd"/>
      <w:r>
        <w:t xml:space="preserve"> JSC).</w:t>
      </w:r>
    </w:p>
  </w:footnote>
  <w:footnote w:id="164">
    <w:p w:rsidR="004C57FC" w:rsidRPr="001D0951" w:rsidRDefault="004C57FC" w:rsidP="009C541F">
      <w:pPr>
        <w:pStyle w:val="FootnoteText"/>
        <w:spacing w:after="240" w:line="240" w:lineRule="auto"/>
        <w:ind w:left="360" w:hangingChars="180" w:hanging="360"/>
        <w:jc w:val="both"/>
      </w:pPr>
      <w:r>
        <w:rPr>
          <w:rStyle w:val="FootnoteReference"/>
        </w:rPr>
        <w:footnoteRef/>
      </w:r>
      <w:r>
        <w:t xml:space="preserve">  </w:t>
      </w:r>
      <w:r>
        <w:tab/>
      </w:r>
      <w:r>
        <w:rPr>
          <w:i/>
        </w:rPr>
        <w:t>R (</w:t>
      </w:r>
      <w:proofErr w:type="spellStart"/>
      <w:r>
        <w:rPr>
          <w:i/>
        </w:rPr>
        <w:t>Lumsdon</w:t>
      </w:r>
      <w:proofErr w:type="spellEnd"/>
      <w:r>
        <w:rPr>
          <w:i/>
        </w:rPr>
        <w:t>)</w:t>
      </w:r>
      <w:r>
        <w:t xml:space="preserve">, </w:t>
      </w:r>
      <w:r w:rsidRPr="001D0951">
        <w:rPr>
          <w:lang w:val="en-GB"/>
        </w:rPr>
        <w:t xml:space="preserve">[56] (Lord Reed and Lord </w:t>
      </w:r>
      <w:proofErr w:type="spellStart"/>
      <w:r w:rsidRPr="001D0951">
        <w:rPr>
          <w:lang w:val="en-GB"/>
        </w:rPr>
        <w:t>Toulson</w:t>
      </w:r>
      <w:proofErr w:type="spellEnd"/>
      <w:r w:rsidRPr="001D0951">
        <w:rPr>
          <w:lang w:val="en-GB"/>
        </w:rPr>
        <w:t xml:space="preserve"> </w:t>
      </w:r>
      <w:r w:rsidR="001C1BC3">
        <w:rPr>
          <w:lang w:val="en-GB"/>
        </w:rPr>
        <w:t>J</w:t>
      </w:r>
      <w:r w:rsidRPr="001D0951">
        <w:rPr>
          <w:lang w:val="en-GB"/>
        </w:rPr>
        <w:t>JSC).</w:t>
      </w:r>
    </w:p>
  </w:footnote>
  <w:footnote w:id="165">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i/>
          <w:lang w:val="en-GB"/>
        </w:rPr>
        <w:t>R (</w:t>
      </w:r>
      <w:proofErr w:type="spellStart"/>
      <w:r w:rsidRPr="004648FA">
        <w:rPr>
          <w:i/>
          <w:lang w:val="en-GB"/>
        </w:rPr>
        <w:t>Nicklinson</w:t>
      </w:r>
      <w:proofErr w:type="spellEnd"/>
      <w:r w:rsidRPr="004648FA">
        <w:rPr>
          <w:i/>
          <w:lang w:val="en-GB"/>
        </w:rPr>
        <w:t xml:space="preserve">) &amp; Anor v Ministry of Justice &amp; </w:t>
      </w:r>
      <w:proofErr w:type="spellStart"/>
      <w:r w:rsidRPr="004648FA">
        <w:rPr>
          <w:i/>
          <w:lang w:val="en-GB"/>
        </w:rPr>
        <w:t>Ors</w:t>
      </w:r>
      <w:proofErr w:type="spellEnd"/>
      <w:r w:rsidRPr="004648FA">
        <w:rPr>
          <w:i/>
          <w:lang w:val="en-GB"/>
        </w:rPr>
        <w:t xml:space="preserve"> (CNK Alliance Ltd &amp; </w:t>
      </w:r>
      <w:proofErr w:type="spellStart"/>
      <w:r w:rsidRPr="004648FA">
        <w:rPr>
          <w:i/>
          <w:lang w:val="en-GB"/>
        </w:rPr>
        <w:t>Ors</w:t>
      </w:r>
      <w:proofErr w:type="spellEnd"/>
      <w:r w:rsidRPr="004648FA">
        <w:rPr>
          <w:i/>
          <w:lang w:val="en-GB"/>
        </w:rPr>
        <w:t xml:space="preserve"> intervening)</w:t>
      </w:r>
      <w:r w:rsidRPr="004648FA">
        <w:rPr>
          <w:lang w:val="en-GB"/>
        </w:rPr>
        <w:t xml:space="preserve"> [2015] AC 657, [232] (Lord </w:t>
      </w:r>
      <w:proofErr w:type="spellStart"/>
      <w:r w:rsidRPr="004648FA">
        <w:rPr>
          <w:lang w:val="en-GB"/>
        </w:rPr>
        <w:t>Sumption</w:t>
      </w:r>
      <w:proofErr w:type="spellEnd"/>
      <w:r w:rsidRPr="004648FA">
        <w:rPr>
          <w:lang w:val="en-GB"/>
        </w:rPr>
        <w:t xml:space="preserve"> JSC)</w:t>
      </w:r>
      <w:r>
        <w:rPr>
          <w:lang w:val="en-GB"/>
        </w:rPr>
        <w:t>, citing</w:t>
      </w:r>
      <w:r w:rsidRPr="004648FA">
        <w:rPr>
          <w:lang w:val="en-GB"/>
        </w:rPr>
        <w:t xml:space="preserve"> </w:t>
      </w:r>
      <w:r w:rsidRPr="004648FA">
        <w:rPr>
          <w:i/>
          <w:lang w:val="en-GB"/>
        </w:rPr>
        <w:t>R (Sinclair Collis Ltd)</w:t>
      </w:r>
      <w:r w:rsidRPr="004648FA">
        <w:rPr>
          <w:lang w:val="en-GB"/>
        </w:rPr>
        <w:t xml:space="preserve">, [239] (Lord Neuberger MR); </w:t>
      </w:r>
      <w:r w:rsidRPr="004648FA">
        <w:rPr>
          <w:i/>
          <w:lang w:val="en-GB"/>
        </w:rPr>
        <w:t xml:space="preserve">Bank </w:t>
      </w:r>
      <w:proofErr w:type="spellStart"/>
      <w:r w:rsidRPr="004648FA">
        <w:rPr>
          <w:i/>
          <w:lang w:val="en-GB"/>
        </w:rPr>
        <w:t>Mellat</w:t>
      </w:r>
      <w:proofErr w:type="spellEnd"/>
      <w:r w:rsidRPr="004648FA">
        <w:rPr>
          <w:lang w:val="en-GB"/>
        </w:rPr>
        <w:t xml:space="preserve">, [93] - [94] (Lord Reed JSC); </w:t>
      </w:r>
      <w:r w:rsidRPr="004648FA">
        <w:rPr>
          <w:i/>
          <w:lang w:val="en-GB"/>
        </w:rPr>
        <w:t xml:space="preserve">R (Countryside Alliance &amp; </w:t>
      </w:r>
      <w:proofErr w:type="spellStart"/>
      <w:r w:rsidRPr="004648FA">
        <w:rPr>
          <w:i/>
          <w:lang w:val="en-GB"/>
        </w:rPr>
        <w:t>Ors</w:t>
      </w:r>
      <w:proofErr w:type="spellEnd"/>
      <w:r w:rsidRPr="004648FA">
        <w:rPr>
          <w:i/>
          <w:lang w:val="en-GB"/>
        </w:rPr>
        <w:t xml:space="preserve">) v Attorney </w:t>
      </w:r>
      <w:proofErr w:type="gramStart"/>
      <w:r w:rsidRPr="004648FA">
        <w:rPr>
          <w:i/>
          <w:lang w:val="en-GB"/>
        </w:rPr>
        <w:t>General &amp;</w:t>
      </w:r>
      <w:proofErr w:type="gramEnd"/>
      <w:r w:rsidRPr="004648FA">
        <w:rPr>
          <w:i/>
          <w:lang w:val="en-GB"/>
        </w:rPr>
        <w:t xml:space="preserve"> Anor</w:t>
      </w:r>
      <w:r w:rsidRPr="004648FA">
        <w:rPr>
          <w:lang w:val="en-GB"/>
        </w:rPr>
        <w:t xml:space="preserve"> [2008] 1 AC 719, [42] (Lord Bingham).</w:t>
      </w:r>
      <w:r>
        <w:rPr>
          <w:lang w:val="en-GB"/>
        </w:rPr>
        <w:t xml:space="preserve">  In </w:t>
      </w:r>
      <w:r>
        <w:rPr>
          <w:i/>
          <w:lang w:val="en-GB"/>
        </w:rPr>
        <w:t>R (</w:t>
      </w:r>
      <w:proofErr w:type="spellStart"/>
      <w:r>
        <w:rPr>
          <w:i/>
          <w:lang w:val="en-GB"/>
        </w:rPr>
        <w:t>N</w:t>
      </w:r>
      <w:r w:rsidRPr="00EC76CC">
        <w:rPr>
          <w:i/>
          <w:lang w:val="en-GB"/>
        </w:rPr>
        <w:t>icklinson</w:t>
      </w:r>
      <w:proofErr w:type="spellEnd"/>
      <w:r>
        <w:rPr>
          <w:i/>
          <w:lang w:val="en-GB"/>
        </w:rPr>
        <w:t>)</w:t>
      </w:r>
      <w:r>
        <w:rPr>
          <w:lang w:val="en-GB"/>
        </w:rPr>
        <w:t xml:space="preserve">, Lord </w:t>
      </w:r>
      <w:proofErr w:type="spellStart"/>
      <w:r>
        <w:rPr>
          <w:lang w:val="en-GB"/>
        </w:rPr>
        <w:t>Sumption</w:t>
      </w:r>
      <w:proofErr w:type="spellEnd"/>
      <w:r>
        <w:rPr>
          <w:lang w:val="en-GB"/>
        </w:rPr>
        <w:t xml:space="preserve"> was concerned with a slightly different issue, namely whether the parliamentary process was a better way of resolving issues involving controversial and complex questions of fact arising out of moral and social dilemmas (such as assisted suicide).</w:t>
      </w:r>
    </w:p>
  </w:footnote>
  <w:footnote w:id="166">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Pr>
          <w:lang w:val="en-GB"/>
        </w:rPr>
        <w:t xml:space="preserve">  </w:t>
      </w:r>
      <w:r>
        <w:rPr>
          <w:lang w:val="en-GB"/>
        </w:rPr>
        <w:tab/>
      </w:r>
      <w:r w:rsidRPr="004648FA">
        <w:rPr>
          <w:lang w:val="en-GB"/>
        </w:rPr>
        <w:t xml:space="preserve">[56] (Lord Reed and Lord </w:t>
      </w:r>
      <w:proofErr w:type="spellStart"/>
      <w:r w:rsidRPr="004648FA">
        <w:rPr>
          <w:lang w:val="en-GB"/>
        </w:rPr>
        <w:t>Toulson</w:t>
      </w:r>
      <w:proofErr w:type="spellEnd"/>
      <w:r w:rsidRPr="004648FA">
        <w:rPr>
          <w:lang w:val="en-GB"/>
        </w:rPr>
        <w:t xml:space="preserve"> </w:t>
      </w:r>
      <w:r w:rsidR="001C1BC3">
        <w:rPr>
          <w:lang w:val="en-GB"/>
        </w:rPr>
        <w:t>J</w:t>
      </w:r>
      <w:r w:rsidRPr="004648FA">
        <w:rPr>
          <w:lang w:val="en-GB"/>
        </w:rPr>
        <w:t>JSC).</w:t>
      </w:r>
    </w:p>
  </w:footnote>
  <w:footnote w:id="167">
    <w:p w:rsidR="004C57FC" w:rsidRPr="00C56C8D" w:rsidRDefault="004C57FC" w:rsidP="00775883">
      <w:pPr>
        <w:pStyle w:val="FootnoteText"/>
        <w:spacing w:after="280" w:line="240" w:lineRule="auto"/>
        <w:ind w:left="360" w:hangingChars="180" w:hanging="360"/>
        <w:jc w:val="both"/>
      </w:pPr>
      <w:r>
        <w:rPr>
          <w:rStyle w:val="FootnoteReference"/>
        </w:rPr>
        <w:footnoteRef/>
      </w:r>
      <w:r>
        <w:t xml:space="preserve"> </w:t>
      </w:r>
      <w:r>
        <w:tab/>
        <w:t xml:space="preserve">Save for a bare, unelaborate assertion by counsel during argument that </w:t>
      </w:r>
      <w:r w:rsidRPr="00C56C8D">
        <w:rPr>
          <w:lang w:val="en-GB"/>
        </w:rPr>
        <w:t>there was inherent difficulty in procuring accurate and meaningful predictive studies</w:t>
      </w:r>
      <w:r>
        <w:rPr>
          <w:lang w:val="en-GB"/>
        </w:rPr>
        <w:t>.</w:t>
      </w:r>
      <w:r>
        <w:t xml:space="preserve"> </w:t>
      </w:r>
    </w:p>
  </w:footnote>
  <w:footnote w:id="168">
    <w:p w:rsidR="004C57FC" w:rsidRPr="004648FA" w:rsidRDefault="004C57FC" w:rsidP="009C541F">
      <w:pPr>
        <w:pStyle w:val="FootnoteText"/>
        <w:spacing w:after="240" w:line="240" w:lineRule="auto"/>
        <w:ind w:left="360" w:hangingChars="180" w:hanging="360"/>
        <w:jc w:val="both"/>
        <w:rPr>
          <w:lang w:val="en-GB"/>
        </w:rPr>
      </w:pPr>
      <w:r w:rsidRPr="004648FA">
        <w:rPr>
          <w:rStyle w:val="FootnoteReference"/>
          <w:lang w:val="en-GB"/>
        </w:rPr>
        <w:footnoteRef/>
      </w:r>
      <w:r>
        <w:rPr>
          <w:lang w:val="en-GB"/>
        </w:rPr>
        <w:tab/>
      </w:r>
      <w:r w:rsidRPr="0032247A">
        <w:rPr>
          <w:lang w:val="en-GB"/>
        </w:rPr>
        <w:t>PRH Judgment, [51</w:t>
      </w:r>
      <w:r>
        <w:rPr>
          <w:lang w:val="en-GB"/>
        </w:rPr>
        <w:t>(3)</w:t>
      </w:r>
      <w:r w:rsidRPr="0032247A">
        <w:rPr>
          <w:lang w:val="en-GB"/>
        </w:rPr>
        <w:t>]; HOS Judgment, [67] - [68]; CA Judgment,</w:t>
      </w:r>
      <w:r w:rsidRPr="004648FA">
        <w:rPr>
          <w:lang w:val="en-GB"/>
        </w:rPr>
        <w:t xml:space="preserve"> [78], </w:t>
      </w:r>
      <w:r>
        <w:rPr>
          <w:lang w:val="en-GB"/>
        </w:rPr>
        <w:t>[152] - [156]</w:t>
      </w:r>
      <w:r w:rsidRPr="004648FA">
        <w:rPr>
          <w:lang w:val="en-GB"/>
        </w:rPr>
        <w:t>.</w:t>
      </w:r>
    </w:p>
  </w:footnote>
  <w:footnote w:id="169">
    <w:p w:rsidR="004C57FC" w:rsidRPr="004648FA" w:rsidRDefault="004C57FC" w:rsidP="009C541F">
      <w:pPr>
        <w:pStyle w:val="FootnoteText"/>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lang w:val="en-GB"/>
        </w:rPr>
        <w:t xml:space="preserve">[2017] </w:t>
      </w:r>
      <w:proofErr w:type="gramStart"/>
      <w:r w:rsidRPr="004648FA">
        <w:rPr>
          <w:lang w:val="en-GB"/>
        </w:rPr>
        <w:t>1</w:t>
      </w:r>
      <w:proofErr w:type="gramEnd"/>
      <w:r w:rsidRPr="004648FA">
        <w:rPr>
          <w:lang w:val="en-GB"/>
        </w:rPr>
        <w:t xml:space="preserve"> WLR 519, [64] (Lord Kerr JSC).</w:t>
      </w:r>
    </w:p>
  </w:footnote>
  <w:footnote w:id="170">
    <w:p w:rsidR="004C57FC" w:rsidRDefault="004C57FC" w:rsidP="009C541F">
      <w:pPr>
        <w:pStyle w:val="FootnoteText"/>
        <w:spacing w:after="240" w:line="240" w:lineRule="auto"/>
        <w:ind w:left="360" w:hangingChars="180" w:hanging="360"/>
        <w:jc w:val="both"/>
      </w:pPr>
      <w:r>
        <w:rPr>
          <w:rStyle w:val="FootnoteReference"/>
        </w:rPr>
        <w:footnoteRef/>
      </w:r>
      <w:r>
        <w:t xml:space="preserve"> </w:t>
      </w:r>
      <w:r>
        <w:tab/>
      </w:r>
      <w:r>
        <w:rPr>
          <w:rFonts w:hint="eastAsia"/>
        </w:rPr>
        <w:t>I</w:t>
      </w:r>
      <w:r>
        <w:t xml:space="preserve">ndeed, as noted in footnote </w:t>
      </w:r>
      <w:r w:rsidRPr="006276A1">
        <w:t>118</w:t>
      </w:r>
      <w:r>
        <w:t xml:space="preserve"> above, priority is now given to opposite-sex married couples with babies aged one or below over all other couples in relation to PRH applications.</w:t>
      </w:r>
    </w:p>
  </w:footnote>
  <w:footnote w:id="171">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i/>
          <w:lang w:val="en-GB"/>
        </w:rPr>
        <w:t>Hysan</w:t>
      </w:r>
      <w:r w:rsidRPr="004648FA">
        <w:rPr>
          <w:lang w:val="en-GB"/>
        </w:rPr>
        <w:t>, [53], [135] (Ribeiro PJ).</w:t>
      </w:r>
    </w:p>
  </w:footnote>
  <w:footnote w:id="172">
    <w:p w:rsidR="004C57FC" w:rsidRDefault="004C57FC" w:rsidP="009C541F">
      <w:pPr>
        <w:pStyle w:val="FootnoteText"/>
        <w:spacing w:after="240" w:line="240" w:lineRule="auto"/>
        <w:ind w:left="360" w:hangingChars="180" w:hanging="360"/>
        <w:jc w:val="both"/>
      </w:pPr>
      <w:r>
        <w:rPr>
          <w:rStyle w:val="FootnoteReference"/>
        </w:rPr>
        <w:footnoteRef/>
      </w:r>
      <w:r>
        <w:t xml:space="preserve"> </w:t>
      </w:r>
      <w:r>
        <w:tab/>
      </w:r>
      <w:r w:rsidRPr="00EB0EC3">
        <w:t>A</w:t>
      </w:r>
      <w:proofErr w:type="spellStart"/>
      <w:r w:rsidRPr="00EB0EC3">
        <w:rPr>
          <w:lang w:val="en-GB"/>
        </w:rPr>
        <w:t>lbeit</w:t>
      </w:r>
      <w:proofErr w:type="spellEnd"/>
      <w:r w:rsidRPr="00EB0EC3">
        <w:rPr>
          <w:lang w:val="en-GB"/>
        </w:rPr>
        <w:t xml:space="preserve"> that the</w:t>
      </w:r>
      <w:r>
        <w:rPr>
          <w:lang w:val="en-GB"/>
        </w:rPr>
        <w:t>ir</w:t>
      </w:r>
      <w:r w:rsidRPr="00EB0EC3">
        <w:rPr>
          <w:lang w:val="en-GB"/>
        </w:rPr>
        <w:t xml:space="preserve"> foreign marriage</w:t>
      </w:r>
      <w:r>
        <w:rPr>
          <w:lang w:val="en-GB"/>
        </w:rPr>
        <w:t>s are</w:t>
      </w:r>
      <w:r w:rsidRPr="00EB0EC3">
        <w:rPr>
          <w:lang w:val="en-GB"/>
        </w:rPr>
        <w:t xml:space="preserve"> not legally recognised in Hong Kong. </w:t>
      </w:r>
      <w:r>
        <w:t xml:space="preserve"> </w:t>
      </w:r>
      <w:r>
        <w:rPr>
          <w:lang w:val="en-GB"/>
        </w:rPr>
        <w:t xml:space="preserve">If both parties to a same-sex overseas marriage are aged 58 or above, they may jointly apply, not as spouses but as two elderly persons agreeing to live together in the same PRH unit, under the “Elderly Persons Priority Scheme”, which enjoys priority over those applying under the “Ordinary Families” sub-category.   </w:t>
      </w:r>
    </w:p>
  </w:footnote>
  <w:footnote w:id="173">
    <w:p w:rsidR="004C57FC" w:rsidRPr="004648FA" w:rsidRDefault="004C57FC" w:rsidP="001A2EC2">
      <w:pPr>
        <w:pStyle w:val="FootnoteText"/>
        <w:snapToGrid w:val="0"/>
        <w:spacing w:after="240" w:line="240" w:lineRule="auto"/>
        <w:ind w:left="360" w:hangingChars="180" w:hanging="360"/>
        <w:jc w:val="both"/>
        <w:rPr>
          <w:lang w:val="en-GB"/>
        </w:rPr>
      </w:pPr>
      <w:r w:rsidRPr="004648FA">
        <w:rPr>
          <w:rStyle w:val="FootnoteReference"/>
          <w:lang w:val="en-GB"/>
        </w:rPr>
        <w:footnoteRef/>
      </w:r>
      <w:r w:rsidRPr="004648FA">
        <w:rPr>
          <w:lang w:val="en-GB"/>
        </w:rPr>
        <w:t xml:space="preserve"> </w:t>
      </w:r>
      <w:r>
        <w:rPr>
          <w:lang w:val="en-GB"/>
        </w:rPr>
        <w:tab/>
      </w:r>
      <w:r w:rsidRPr="004648FA">
        <w:rPr>
          <w:lang w:val="en-GB"/>
        </w:rPr>
        <w:t xml:space="preserve">See </w:t>
      </w:r>
      <w:r w:rsidRPr="006276A1">
        <w:rPr>
          <w:lang w:val="en-GB"/>
        </w:rPr>
        <w:t>[28] to [34]</w:t>
      </w:r>
      <w:r w:rsidRPr="00EE5D9E">
        <w:rPr>
          <w:lang w:val="en-GB"/>
        </w:rPr>
        <w:t xml:space="preserve"> above.</w:t>
      </w:r>
    </w:p>
  </w:footnote>
  <w:footnote w:id="174">
    <w:p w:rsidR="004C57FC" w:rsidRDefault="004C57FC" w:rsidP="001A2EC2">
      <w:pPr>
        <w:pStyle w:val="FootnoteText"/>
        <w:snapToGrid w:val="0"/>
        <w:spacing w:after="240" w:line="240" w:lineRule="auto"/>
        <w:ind w:left="360" w:hangingChars="180" w:hanging="360"/>
        <w:jc w:val="both"/>
      </w:pPr>
      <w:r>
        <w:rPr>
          <w:rStyle w:val="FootnoteReference"/>
        </w:rPr>
        <w:footnoteRef/>
      </w:r>
      <w:r>
        <w:t xml:space="preserve"> </w:t>
      </w:r>
      <w:r>
        <w:tab/>
      </w:r>
      <w:r>
        <w:rPr>
          <w:rFonts w:hint="eastAsia"/>
        </w:rPr>
        <w:t>Q</w:t>
      </w:r>
      <w:r>
        <w:t>uestion 5:  Appendix, [5].</w:t>
      </w:r>
    </w:p>
  </w:footnote>
  <w:footnote w:id="175">
    <w:p w:rsidR="004C57FC" w:rsidRDefault="004C57FC" w:rsidP="009C541F">
      <w:pPr>
        <w:pStyle w:val="FootnoteText"/>
        <w:spacing w:after="240" w:line="240" w:lineRule="auto"/>
        <w:ind w:left="360" w:hanging="360"/>
        <w:jc w:val="both"/>
      </w:pPr>
      <w:r>
        <w:rPr>
          <w:rStyle w:val="FootnoteReference"/>
        </w:rPr>
        <w:footnoteRef/>
      </w:r>
      <w:r>
        <w:t xml:space="preserve"> </w:t>
      </w:r>
      <w:r>
        <w:tab/>
        <w:t>HA’s written case, [86] - [91].</w:t>
      </w:r>
    </w:p>
  </w:footnote>
  <w:footnote w:id="176">
    <w:p w:rsidR="004C57FC" w:rsidRDefault="004C57FC" w:rsidP="009C541F">
      <w:pPr>
        <w:pStyle w:val="FootnoteText"/>
        <w:spacing w:after="240" w:line="240" w:lineRule="auto"/>
        <w:ind w:left="360" w:hangingChars="180" w:hanging="360"/>
        <w:jc w:val="both"/>
      </w:pPr>
      <w:r>
        <w:rPr>
          <w:rStyle w:val="FootnoteReference"/>
        </w:rPr>
        <w:footnoteRef/>
      </w:r>
      <w:r>
        <w:t xml:space="preserve"> </w:t>
      </w:r>
      <w:r>
        <w:tab/>
        <w:t xml:space="preserve">See </w:t>
      </w:r>
      <w:r w:rsidRPr="006276A1">
        <w:t>[63]</w:t>
      </w:r>
      <w:r>
        <w:t xml:space="preserve"> above.</w:t>
      </w:r>
    </w:p>
  </w:footnote>
  <w:footnote w:id="177">
    <w:p w:rsidR="004C57FC" w:rsidRDefault="004C57FC" w:rsidP="009C541F">
      <w:pPr>
        <w:pStyle w:val="FootnoteText"/>
        <w:spacing w:after="240" w:line="240" w:lineRule="auto"/>
        <w:ind w:left="360" w:hangingChars="180" w:hanging="360"/>
        <w:jc w:val="both"/>
      </w:pPr>
      <w:r>
        <w:rPr>
          <w:rStyle w:val="FootnoteReference"/>
        </w:rPr>
        <w:footnoteRef/>
      </w:r>
      <w:r>
        <w:t xml:space="preserve"> </w:t>
      </w:r>
      <w:r>
        <w:rPr>
          <w:rFonts w:hint="eastAsia"/>
        </w:rPr>
        <w:t xml:space="preserve"> </w:t>
      </w:r>
      <w:r>
        <w:tab/>
        <w:t>The court is not seized of the matter in these appeals and I do not wish to express any definite view on it.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45B" w:rsidRDefault="00FE14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7FC" w:rsidRPr="00EE5D9E" w:rsidRDefault="004C57FC">
    <w:pPr>
      <w:pStyle w:val="Header"/>
      <w:jc w:val="center"/>
      <w:rPr>
        <w:sz w:val="28"/>
        <w:szCs w:val="28"/>
      </w:rPr>
    </w:pPr>
    <w:r w:rsidRPr="00EE5D9E">
      <w:rPr>
        <w:sz w:val="28"/>
        <w:szCs w:val="28"/>
      </w:rPr>
      <w:t xml:space="preserve">- </w:t>
    </w:r>
    <w:r w:rsidRPr="00EE5D9E">
      <w:rPr>
        <w:sz w:val="28"/>
        <w:szCs w:val="28"/>
      </w:rPr>
      <w:fldChar w:fldCharType="begin"/>
    </w:r>
    <w:r w:rsidRPr="00EE5D9E">
      <w:rPr>
        <w:sz w:val="28"/>
        <w:szCs w:val="28"/>
      </w:rPr>
      <w:instrText xml:space="preserve"> PAGE   \* MERGEFORMAT </w:instrText>
    </w:r>
    <w:r w:rsidRPr="00EE5D9E">
      <w:rPr>
        <w:sz w:val="28"/>
        <w:szCs w:val="28"/>
      </w:rPr>
      <w:fldChar w:fldCharType="separate"/>
    </w:r>
    <w:r w:rsidR="00915DD9">
      <w:rPr>
        <w:noProof/>
        <w:sz w:val="28"/>
        <w:szCs w:val="28"/>
      </w:rPr>
      <w:t>48</w:t>
    </w:r>
    <w:r w:rsidRPr="00EE5D9E">
      <w:rPr>
        <w:noProof/>
        <w:sz w:val="28"/>
        <w:szCs w:val="28"/>
      </w:rPr>
      <w:fldChar w:fldCharType="end"/>
    </w:r>
    <w:r w:rsidRPr="00EE5D9E">
      <w:rPr>
        <w:noProof/>
        <w:sz w:val="28"/>
        <w:szCs w:val="28"/>
      </w:rPr>
      <w:t xml:space="preserve"> -</w:t>
    </w:r>
  </w:p>
  <w:p w:rsidR="004C57FC" w:rsidRDefault="004C57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45B" w:rsidRDefault="00FE14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C2857"/>
    <w:multiLevelType w:val="hybridMultilevel"/>
    <w:tmpl w:val="4E44FF00"/>
    <w:lvl w:ilvl="0" w:tplc="2A8ECEE8">
      <w:start w:val="60"/>
      <w:numFmt w:val="decimal"/>
      <w:lvlText w:val="%1."/>
      <w:lvlJc w:val="left"/>
      <w:pPr>
        <w:ind w:left="810" w:hanging="360"/>
      </w:pPr>
      <w:rPr>
        <w:rFonts w:hint="default"/>
        <w:b w:val="0"/>
        <w:i w:val="0"/>
      </w:rPr>
    </w:lvl>
    <w:lvl w:ilvl="1" w:tplc="04090019">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24284230"/>
    <w:multiLevelType w:val="multilevel"/>
    <w:tmpl w:val="18A84F58"/>
    <w:lvl w:ilvl="0">
      <w:start w:val="1"/>
      <w:numFmt w:val="decimal"/>
      <w:pStyle w:val="Bob1"/>
      <w:lvlText w:val="%1."/>
      <w:lvlJc w:val="left"/>
      <w:pPr>
        <w:tabs>
          <w:tab w:val="num" w:pos="720"/>
        </w:tabs>
        <w:ind w:left="720" w:hanging="720"/>
      </w:pPr>
      <w:rPr>
        <w:rFonts w:ascii="Times New Roman" w:hAnsi="Times New Roman" w:hint="default"/>
        <w:b w:val="0"/>
        <w:i w:val="0"/>
        <w:sz w:val="28"/>
        <w:szCs w:val="28"/>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 w15:restartNumberingAfterBreak="0">
    <w:nsid w:val="35B34654"/>
    <w:multiLevelType w:val="hybridMultilevel"/>
    <w:tmpl w:val="7CB6D3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2B5E3A"/>
    <w:multiLevelType w:val="hybridMultilevel"/>
    <w:tmpl w:val="4D1A71D6"/>
    <w:lvl w:ilvl="0" w:tplc="0409000F">
      <w:start w:val="1"/>
      <w:numFmt w:val="decimal"/>
      <w:lvlText w:val="%1."/>
      <w:lvlJc w:val="left"/>
      <w:pPr>
        <w:ind w:left="720" w:hanging="360"/>
      </w:pPr>
    </w:lvl>
    <w:lvl w:ilvl="1" w:tplc="AEA4417A">
      <w:start w:val="57"/>
      <w:numFmt w:val="bullet"/>
      <w:lvlText w:val=""/>
      <w:lvlJc w:val="left"/>
      <w:pPr>
        <w:ind w:left="1440" w:hanging="360"/>
      </w:pPr>
      <w:rPr>
        <w:rFonts w:ascii="Wingdings" w:eastAsia="等线" w:hAnsi="Wingdings"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B823EF"/>
    <w:multiLevelType w:val="hybridMultilevel"/>
    <w:tmpl w:val="D69EE9AA"/>
    <w:lvl w:ilvl="0" w:tplc="0FD80E5A">
      <w:start w:val="1"/>
      <w:numFmt w:val="decimal"/>
      <w:lvlText w:val="%1."/>
      <w:lvlJc w:val="left"/>
      <w:pPr>
        <w:ind w:left="630" w:hanging="360"/>
      </w:pPr>
      <w:rPr>
        <w:rFonts w:hint="eastAsia"/>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D54508"/>
    <w:multiLevelType w:val="hybridMultilevel"/>
    <w:tmpl w:val="FEE4FFE2"/>
    <w:lvl w:ilvl="0" w:tplc="0890B768">
      <w:start w:val="94"/>
      <w:numFmt w:val="decimal"/>
      <w:lvlText w:val="%1."/>
      <w:lvlJc w:val="left"/>
      <w:pPr>
        <w:ind w:left="630" w:hanging="360"/>
      </w:pPr>
      <w:rPr>
        <w:rFonts w:hint="eastAsia"/>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A66EF2"/>
    <w:multiLevelType w:val="hybridMultilevel"/>
    <w:tmpl w:val="30DA6956"/>
    <w:lvl w:ilvl="0" w:tplc="1F32084E">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03A2BA8"/>
    <w:multiLevelType w:val="hybridMultilevel"/>
    <w:tmpl w:val="A0962494"/>
    <w:lvl w:ilvl="0" w:tplc="86D63870">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5F6410E"/>
    <w:multiLevelType w:val="hybridMultilevel"/>
    <w:tmpl w:val="1B387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4"/>
  </w:num>
  <w:num w:numId="5">
    <w:abstractNumId w:val="1"/>
  </w:num>
  <w:num w:numId="6">
    <w:abstractNumId w:val="7"/>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GB" w:vendorID="64" w:dllVersion="131078" w:nlCheck="1" w:checkStyle="0"/>
  <w:activeWritingStyle w:appName="MSWord" w:lang="en-US" w:vendorID="64" w:dllVersion="131078" w:nlCheck="1" w:checkStyle="1"/>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5B8"/>
    <w:rsid w:val="00001766"/>
    <w:rsid w:val="00003976"/>
    <w:rsid w:val="00005B43"/>
    <w:rsid w:val="00006400"/>
    <w:rsid w:val="00006B64"/>
    <w:rsid w:val="00011C89"/>
    <w:rsid w:val="00012047"/>
    <w:rsid w:val="000149B7"/>
    <w:rsid w:val="00016D5F"/>
    <w:rsid w:val="00017534"/>
    <w:rsid w:val="00025A5B"/>
    <w:rsid w:val="000274A0"/>
    <w:rsid w:val="00032524"/>
    <w:rsid w:val="00032A22"/>
    <w:rsid w:val="00032EB8"/>
    <w:rsid w:val="000349E6"/>
    <w:rsid w:val="000353DE"/>
    <w:rsid w:val="000362F7"/>
    <w:rsid w:val="000407EB"/>
    <w:rsid w:val="000427DF"/>
    <w:rsid w:val="0004636D"/>
    <w:rsid w:val="00047807"/>
    <w:rsid w:val="000520E0"/>
    <w:rsid w:val="00054646"/>
    <w:rsid w:val="000563D0"/>
    <w:rsid w:val="00057D9F"/>
    <w:rsid w:val="00060C46"/>
    <w:rsid w:val="0006320A"/>
    <w:rsid w:val="00071C1A"/>
    <w:rsid w:val="00071DF4"/>
    <w:rsid w:val="00087B75"/>
    <w:rsid w:val="00087E5A"/>
    <w:rsid w:val="000950AD"/>
    <w:rsid w:val="000968EC"/>
    <w:rsid w:val="000A2CF6"/>
    <w:rsid w:val="000A5480"/>
    <w:rsid w:val="000B20F9"/>
    <w:rsid w:val="000B2DEB"/>
    <w:rsid w:val="000B600E"/>
    <w:rsid w:val="000C2F4A"/>
    <w:rsid w:val="000C3AF1"/>
    <w:rsid w:val="000C3FEC"/>
    <w:rsid w:val="000D1B8A"/>
    <w:rsid w:val="000D26E1"/>
    <w:rsid w:val="000D42FE"/>
    <w:rsid w:val="000D5C34"/>
    <w:rsid w:val="000E0AED"/>
    <w:rsid w:val="000E1062"/>
    <w:rsid w:val="000E1506"/>
    <w:rsid w:val="000E1E01"/>
    <w:rsid w:val="000E369E"/>
    <w:rsid w:val="000E49B5"/>
    <w:rsid w:val="000F62C8"/>
    <w:rsid w:val="001022CC"/>
    <w:rsid w:val="001037CA"/>
    <w:rsid w:val="00104926"/>
    <w:rsid w:val="00105ECF"/>
    <w:rsid w:val="0011373D"/>
    <w:rsid w:val="00114122"/>
    <w:rsid w:val="001248AC"/>
    <w:rsid w:val="0013142F"/>
    <w:rsid w:val="00133599"/>
    <w:rsid w:val="00137906"/>
    <w:rsid w:val="00142AF7"/>
    <w:rsid w:val="0014469F"/>
    <w:rsid w:val="001446CA"/>
    <w:rsid w:val="001503D1"/>
    <w:rsid w:val="00150ECF"/>
    <w:rsid w:val="001514E6"/>
    <w:rsid w:val="00155980"/>
    <w:rsid w:val="00161C9F"/>
    <w:rsid w:val="001648EF"/>
    <w:rsid w:val="00172B93"/>
    <w:rsid w:val="001730A1"/>
    <w:rsid w:val="00174ADD"/>
    <w:rsid w:val="00175CEB"/>
    <w:rsid w:val="00175E13"/>
    <w:rsid w:val="00182351"/>
    <w:rsid w:val="0018264B"/>
    <w:rsid w:val="00182D4A"/>
    <w:rsid w:val="00184C80"/>
    <w:rsid w:val="001862E2"/>
    <w:rsid w:val="001922C6"/>
    <w:rsid w:val="00192AFC"/>
    <w:rsid w:val="00195494"/>
    <w:rsid w:val="00196B14"/>
    <w:rsid w:val="00196E8F"/>
    <w:rsid w:val="00197758"/>
    <w:rsid w:val="001A018B"/>
    <w:rsid w:val="001A0C60"/>
    <w:rsid w:val="001A0FB7"/>
    <w:rsid w:val="001A1001"/>
    <w:rsid w:val="001A1362"/>
    <w:rsid w:val="001A2EC2"/>
    <w:rsid w:val="001A3933"/>
    <w:rsid w:val="001A39B1"/>
    <w:rsid w:val="001B27AE"/>
    <w:rsid w:val="001B6819"/>
    <w:rsid w:val="001B71B8"/>
    <w:rsid w:val="001C120E"/>
    <w:rsid w:val="001C17F8"/>
    <w:rsid w:val="001C1BC3"/>
    <w:rsid w:val="001C2C09"/>
    <w:rsid w:val="001D0951"/>
    <w:rsid w:val="001D331A"/>
    <w:rsid w:val="001D37DF"/>
    <w:rsid w:val="001D68EA"/>
    <w:rsid w:val="001D70F1"/>
    <w:rsid w:val="001E0C08"/>
    <w:rsid w:val="001E2086"/>
    <w:rsid w:val="001E25C4"/>
    <w:rsid w:val="001E3A1B"/>
    <w:rsid w:val="001E69F9"/>
    <w:rsid w:val="001E717D"/>
    <w:rsid w:val="001E7459"/>
    <w:rsid w:val="001F3127"/>
    <w:rsid w:val="001F7221"/>
    <w:rsid w:val="00201DEF"/>
    <w:rsid w:val="00202656"/>
    <w:rsid w:val="00202DBF"/>
    <w:rsid w:val="00205D9B"/>
    <w:rsid w:val="0020632F"/>
    <w:rsid w:val="0021114B"/>
    <w:rsid w:val="00213276"/>
    <w:rsid w:val="002175AF"/>
    <w:rsid w:val="00217796"/>
    <w:rsid w:val="00223EE3"/>
    <w:rsid w:val="0022729E"/>
    <w:rsid w:val="0023120B"/>
    <w:rsid w:val="00234B49"/>
    <w:rsid w:val="00234C56"/>
    <w:rsid w:val="00236988"/>
    <w:rsid w:val="00237883"/>
    <w:rsid w:val="00251277"/>
    <w:rsid w:val="00254F30"/>
    <w:rsid w:val="0025532C"/>
    <w:rsid w:val="002553F4"/>
    <w:rsid w:val="00256985"/>
    <w:rsid w:val="00257195"/>
    <w:rsid w:val="00262EE4"/>
    <w:rsid w:val="00263EDF"/>
    <w:rsid w:val="00264CEA"/>
    <w:rsid w:val="00265203"/>
    <w:rsid w:val="002653BA"/>
    <w:rsid w:val="00266E15"/>
    <w:rsid w:val="00270DDC"/>
    <w:rsid w:val="00272191"/>
    <w:rsid w:val="00275588"/>
    <w:rsid w:val="00275BDA"/>
    <w:rsid w:val="00277934"/>
    <w:rsid w:val="002801C1"/>
    <w:rsid w:val="00280DD2"/>
    <w:rsid w:val="00281CD4"/>
    <w:rsid w:val="00283F14"/>
    <w:rsid w:val="00284826"/>
    <w:rsid w:val="00286ED0"/>
    <w:rsid w:val="00290C42"/>
    <w:rsid w:val="002933E5"/>
    <w:rsid w:val="00294C50"/>
    <w:rsid w:val="0029628C"/>
    <w:rsid w:val="002A2A38"/>
    <w:rsid w:val="002A440C"/>
    <w:rsid w:val="002A4A20"/>
    <w:rsid w:val="002A5923"/>
    <w:rsid w:val="002A6AD2"/>
    <w:rsid w:val="002B26ED"/>
    <w:rsid w:val="002B334F"/>
    <w:rsid w:val="002B33AF"/>
    <w:rsid w:val="002B4DA9"/>
    <w:rsid w:val="002B57C7"/>
    <w:rsid w:val="002B712F"/>
    <w:rsid w:val="002B7B52"/>
    <w:rsid w:val="002C07B0"/>
    <w:rsid w:val="002C0DDB"/>
    <w:rsid w:val="002C0E9A"/>
    <w:rsid w:val="002C3ADB"/>
    <w:rsid w:val="002C64D9"/>
    <w:rsid w:val="002C6706"/>
    <w:rsid w:val="002D1F20"/>
    <w:rsid w:val="002D31E9"/>
    <w:rsid w:val="002D3674"/>
    <w:rsid w:val="002D42BD"/>
    <w:rsid w:val="002D6403"/>
    <w:rsid w:val="002D7E99"/>
    <w:rsid w:val="002E01C3"/>
    <w:rsid w:val="002E0692"/>
    <w:rsid w:val="002E1414"/>
    <w:rsid w:val="002E2A81"/>
    <w:rsid w:val="002E4F96"/>
    <w:rsid w:val="002E6A8D"/>
    <w:rsid w:val="002E76E2"/>
    <w:rsid w:val="002F2B54"/>
    <w:rsid w:val="002F4679"/>
    <w:rsid w:val="002F7A63"/>
    <w:rsid w:val="00301A41"/>
    <w:rsid w:val="00306CB0"/>
    <w:rsid w:val="00307E17"/>
    <w:rsid w:val="003114ED"/>
    <w:rsid w:val="0031426C"/>
    <w:rsid w:val="00314F32"/>
    <w:rsid w:val="00315EC4"/>
    <w:rsid w:val="003161FB"/>
    <w:rsid w:val="00316C09"/>
    <w:rsid w:val="00317E88"/>
    <w:rsid w:val="0032247A"/>
    <w:rsid w:val="00322853"/>
    <w:rsid w:val="00324B1B"/>
    <w:rsid w:val="00325E90"/>
    <w:rsid w:val="0032783B"/>
    <w:rsid w:val="00330C4D"/>
    <w:rsid w:val="00330C89"/>
    <w:rsid w:val="00331297"/>
    <w:rsid w:val="00332085"/>
    <w:rsid w:val="003340E9"/>
    <w:rsid w:val="00336846"/>
    <w:rsid w:val="00341505"/>
    <w:rsid w:val="00341E3C"/>
    <w:rsid w:val="003440DA"/>
    <w:rsid w:val="00345E37"/>
    <w:rsid w:val="00352E6D"/>
    <w:rsid w:val="00355A8E"/>
    <w:rsid w:val="0035614A"/>
    <w:rsid w:val="003642A2"/>
    <w:rsid w:val="0036482A"/>
    <w:rsid w:val="00366643"/>
    <w:rsid w:val="00370DEA"/>
    <w:rsid w:val="00373164"/>
    <w:rsid w:val="00373863"/>
    <w:rsid w:val="00374857"/>
    <w:rsid w:val="00375C14"/>
    <w:rsid w:val="003805D1"/>
    <w:rsid w:val="00380C02"/>
    <w:rsid w:val="00381D6E"/>
    <w:rsid w:val="003843AD"/>
    <w:rsid w:val="0038687C"/>
    <w:rsid w:val="003869E4"/>
    <w:rsid w:val="00394B81"/>
    <w:rsid w:val="00394D27"/>
    <w:rsid w:val="003959B2"/>
    <w:rsid w:val="0039660D"/>
    <w:rsid w:val="003973DA"/>
    <w:rsid w:val="00397817"/>
    <w:rsid w:val="003A0737"/>
    <w:rsid w:val="003A0F6E"/>
    <w:rsid w:val="003A43F6"/>
    <w:rsid w:val="003A4EFB"/>
    <w:rsid w:val="003A60E8"/>
    <w:rsid w:val="003B05AE"/>
    <w:rsid w:val="003B7BF1"/>
    <w:rsid w:val="003C177F"/>
    <w:rsid w:val="003C2699"/>
    <w:rsid w:val="003C2AEA"/>
    <w:rsid w:val="003C40D1"/>
    <w:rsid w:val="003D30F3"/>
    <w:rsid w:val="003D3258"/>
    <w:rsid w:val="003D6492"/>
    <w:rsid w:val="003D7967"/>
    <w:rsid w:val="003E563A"/>
    <w:rsid w:val="003E5FE5"/>
    <w:rsid w:val="003F0AA3"/>
    <w:rsid w:val="003F2A56"/>
    <w:rsid w:val="003F380B"/>
    <w:rsid w:val="003F46C4"/>
    <w:rsid w:val="003F6EA1"/>
    <w:rsid w:val="00400EAB"/>
    <w:rsid w:val="0040129F"/>
    <w:rsid w:val="00403FC0"/>
    <w:rsid w:val="00410A6B"/>
    <w:rsid w:val="00412858"/>
    <w:rsid w:val="00415A8D"/>
    <w:rsid w:val="0041658F"/>
    <w:rsid w:val="00420910"/>
    <w:rsid w:val="004277F8"/>
    <w:rsid w:val="00430B33"/>
    <w:rsid w:val="00430D7D"/>
    <w:rsid w:val="00430DF6"/>
    <w:rsid w:val="004326EC"/>
    <w:rsid w:val="00434AB9"/>
    <w:rsid w:val="00443BCD"/>
    <w:rsid w:val="00446D01"/>
    <w:rsid w:val="00447CAC"/>
    <w:rsid w:val="004506C8"/>
    <w:rsid w:val="00453964"/>
    <w:rsid w:val="00456D8B"/>
    <w:rsid w:val="0046329C"/>
    <w:rsid w:val="00463B60"/>
    <w:rsid w:val="004648FA"/>
    <w:rsid w:val="00466496"/>
    <w:rsid w:val="00470346"/>
    <w:rsid w:val="00472D3B"/>
    <w:rsid w:val="004731F7"/>
    <w:rsid w:val="004740AB"/>
    <w:rsid w:val="00474BA7"/>
    <w:rsid w:val="00477A5F"/>
    <w:rsid w:val="00480668"/>
    <w:rsid w:val="00481CAE"/>
    <w:rsid w:val="004823D0"/>
    <w:rsid w:val="00482CA4"/>
    <w:rsid w:val="004837CC"/>
    <w:rsid w:val="00486364"/>
    <w:rsid w:val="00486C5D"/>
    <w:rsid w:val="0048730A"/>
    <w:rsid w:val="00490BDE"/>
    <w:rsid w:val="00490C29"/>
    <w:rsid w:val="00491ED2"/>
    <w:rsid w:val="004B0807"/>
    <w:rsid w:val="004B0A8F"/>
    <w:rsid w:val="004B3E39"/>
    <w:rsid w:val="004B54B1"/>
    <w:rsid w:val="004B6766"/>
    <w:rsid w:val="004C57FC"/>
    <w:rsid w:val="004C5DE3"/>
    <w:rsid w:val="004C664A"/>
    <w:rsid w:val="004D1D7A"/>
    <w:rsid w:val="004D492B"/>
    <w:rsid w:val="004D5FF8"/>
    <w:rsid w:val="004D6454"/>
    <w:rsid w:val="004D7119"/>
    <w:rsid w:val="004F2242"/>
    <w:rsid w:val="004F5D05"/>
    <w:rsid w:val="004F63D7"/>
    <w:rsid w:val="00500F52"/>
    <w:rsid w:val="00503B84"/>
    <w:rsid w:val="005048B9"/>
    <w:rsid w:val="005065A9"/>
    <w:rsid w:val="00510675"/>
    <w:rsid w:val="00510E67"/>
    <w:rsid w:val="00510F4F"/>
    <w:rsid w:val="00511FE9"/>
    <w:rsid w:val="00515E53"/>
    <w:rsid w:val="00517936"/>
    <w:rsid w:val="0052218E"/>
    <w:rsid w:val="00524F65"/>
    <w:rsid w:val="0052566D"/>
    <w:rsid w:val="00526773"/>
    <w:rsid w:val="00527A3D"/>
    <w:rsid w:val="005307FC"/>
    <w:rsid w:val="00531827"/>
    <w:rsid w:val="00531DE7"/>
    <w:rsid w:val="005347EB"/>
    <w:rsid w:val="0053491D"/>
    <w:rsid w:val="00535AC3"/>
    <w:rsid w:val="005377E6"/>
    <w:rsid w:val="005379E7"/>
    <w:rsid w:val="0054247C"/>
    <w:rsid w:val="00542C12"/>
    <w:rsid w:val="005444EA"/>
    <w:rsid w:val="00547ED7"/>
    <w:rsid w:val="00556651"/>
    <w:rsid w:val="00561ABA"/>
    <w:rsid w:val="00565D97"/>
    <w:rsid w:val="00567CFD"/>
    <w:rsid w:val="00571753"/>
    <w:rsid w:val="005727D1"/>
    <w:rsid w:val="00575252"/>
    <w:rsid w:val="00575FB2"/>
    <w:rsid w:val="00576417"/>
    <w:rsid w:val="00580EBA"/>
    <w:rsid w:val="00581A44"/>
    <w:rsid w:val="005A1A88"/>
    <w:rsid w:val="005B19BB"/>
    <w:rsid w:val="005B21DE"/>
    <w:rsid w:val="005B4091"/>
    <w:rsid w:val="005C06B5"/>
    <w:rsid w:val="005C1B4F"/>
    <w:rsid w:val="005C2760"/>
    <w:rsid w:val="005C349F"/>
    <w:rsid w:val="005D2859"/>
    <w:rsid w:val="005D4D50"/>
    <w:rsid w:val="005E4B73"/>
    <w:rsid w:val="005E7C4F"/>
    <w:rsid w:val="005F6870"/>
    <w:rsid w:val="005F6F2A"/>
    <w:rsid w:val="005F762A"/>
    <w:rsid w:val="006003FC"/>
    <w:rsid w:val="006022C2"/>
    <w:rsid w:val="006030BD"/>
    <w:rsid w:val="00603AA2"/>
    <w:rsid w:val="00610742"/>
    <w:rsid w:val="00614AC9"/>
    <w:rsid w:val="00621C1A"/>
    <w:rsid w:val="00621E67"/>
    <w:rsid w:val="00626947"/>
    <w:rsid w:val="006276A1"/>
    <w:rsid w:val="00631ECF"/>
    <w:rsid w:val="0063566F"/>
    <w:rsid w:val="00635D71"/>
    <w:rsid w:val="0063643D"/>
    <w:rsid w:val="0063691F"/>
    <w:rsid w:val="00641F57"/>
    <w:rsid w:val="00645A72"/>
    <w:rsid w:val="00646A4B"/>
    <w:rsid w:val="00646A70"/>
    <w:rsid w:val="00650570"/>
    <w:rsid w:val="006510D5"/>
    <w:rsid w:val="006519ED"/>
    <w:rsid w:val="00653C47"/>
    <w:rsid w:val="0066042E"/>
    <w:rsid w:val="00664898"/>
    <w:rsid w:val="0067036B"/>
    <w:rsid w:val="0067156F"/>
    <w:rsid w:val="006752C9"/>
    <w:rsid w:val="0068038B"/>
    <w:rsid w:val="00681956"/>
    <w:rsid w:val="00681EDA"/>
    <w:rsid w:val="00683071"/>
    <w:rsid w:val="00686189"/>
    <w:rsid w:val="00691D80"/>
    <w:rsid w:val="006929AB"/>
    <w:rsid w:val="00693AEE"/>
    <w:rsid w:val="006A2EFE"/>
    <w:rsid w:val="006B080A"/>
    <w:rsid w:val="006B177B"/>
    <w:rsid w:val="006B39EA"/>
    <w:rsid w:val="006B410F"/>
    <w:rsid w:val="006C08EF"/>
    <w:rsid w:val="006C3A67"/>
    <w:rsid w:val="006C4390"/>
    <w:rsid w:val="006C7FF1"/>
    <w:rsid w:val="006D2AD3"/>
    <w:rsid w:val="006D325E"/>
    <w:rsid w:val="006D4CFE"/>
    <w:rsid w:val="006D677C"/>
    <w:rsid w:val="006D74C4"/>
    <w:rsid w:val="006D7F7E"/>
    <w:rsid w:val="006E0589"/>
    <w:rsid w:val="006E23B8"/>
    <w:rsid w:val="006E4427"/>
    <w:rsid w:val="006F0F41"/>
    <w:rsid w:val="006F5BF3"/>
    <w:rsid w:val="006F7DF3"/>
    <w:rsid w:val="00700636"/>
    <w:rsid w:val="007013FA"/>
    <w:rsid w:val="00702A81"/>
    <w:rsid w:val="00712A14"/>
    <w:rsid w:val="0071478A"/>
    <w:rsid w:val="00716A6B"/>
    <w:rsid w:val="007208F9"/>
    <w:rsid w:val="00727A76"/>
    <w:rsid w:val="00730109"/>
    <w:rsid w:val="0073482C"/>
    <w:rsid w:val="00735A5E"/>
    <w:rsid w:val="00737040"/>
    <w:rsid w:val="007420A7"/>
    <w:rsid w:val="00744044"/>
    <w:rsid w:val="00745725"/>
    <w:rsid w:val="00745DFB"/>
    <w:rsid w:val="00747D99"/>
    <w:rsid w:val="0075210B"/>
    <w:rsid w:val="007543A0"/>
    <w:rsid w:val="007574DE"/>
    <w:rsid w:val="00761997"/>
    <w:rsid w:val="007636FA"/>
    <w:rsid w:val="007649EC"/>
    <w:rsid w:val="00764B0D"/>
    <w:rsid w:val="00766DCE"/>
    <w:rsid w:val="007703C0"/>
    <w:rsid w:val="007717EA"/>
    <w:rsid w:val="00775883"/>
    <w:rsid w:val="00776578"/>
    <w:rsid w:val="007825F5"/>
    <w:rsid w:val="00782A0B"/>
    <w:rsid w:val="00790CDF"/>
    <w:rsid w:val="00792EF9"/>
    <w:rsid w:val="00794587"/>
    <w:rsid w:val="007950D3"/>
    <w:rsid w:val="007A4006"/>
    <w:rsid w:val="007A4634"/>
    <w:rsid w:val="007A4CD0"/>
    <w:rsid w:val="007A55CD"/>
    <w:rsid w:val="007B5106"/>
    <w:rsid w:val="007B5ED2"/>
    <w:rsid w:val="007C0E66"/>
    <w:rsid w:val="007C357E"/>
    <w:rsid w:val="007C3686"/>
    <w:rsid w:val="007C4C5D"/>
    <w:rsid w:val="007C50C0"/>
    <w:rsid w:val="007D0E27"/>
    <w:rsid w:val="007D22C5"/>
    <w:rsid w:val="007D3BEE"/>
    <w:rsid w:val="007D6311"/>
    <w:rsid w:val="007D7BFB"/>
    <w:rsid w:val="007E2793"/>
    <w:rsid w:val="007E294A"/>
    <w:rsid w:val="007E429C"/>
    <w:rsid w:val="007E4FB6"/>
    <w:rsid w:val="007E509D"/>
    <w:rsid w:val="007E6F03"/>
    <w:rsid w:val="007F08D6"/>
    <w:rsid w:val="007F1B80"/>
    <w:rsid w:val="007F2025"/>
    <w:rsid w:val="007F26EF"/>
    <w:rsid w:val="007F2C67"/>
    <w:rsid w:val="007F3AF9"/>
    <w:rsid w:val="007F4E03"/>
    <w:rsid w:val="007F7939"/>
    <w:rsid w:val="0080048D"/>
    <w:rsid w:val="008009A8"/>
    <w:rsid w:val="00804D54"/>
    <w:rsid w:val="00811F37"/>
    <w:rsid w:val="00812185"/>
    <w:rsid w:val="00813CF5"/>
    <w:rsid w:val="00814F51"/>
    <w:rsid w:val="00821876"/>
    <w:rsid w:val="008224A4"/>
    <w:rsid w:val="008225B8"/>
    <w:rsid w:val="00826E37"/>
    <w:rsid w:val="00827761"/>
    <w:rsid w:val="0082788D"/>
    <w:rsid w:val="00831AAE"/>
    <w:rsid w:val="00832AFD"/>
    <w:rsid w:val="00833753"/>
    <w:rsid w:val="00833975"/>
    <w:rsid w:val="00833D49"/>
    <w:rsid w:val="0083432D"/>
    <w:rsid w:val="008343B0"/>
    <w:rsid w:val="00836C39"/>
    <w:rsid w:val="00851DA7"/>
    <w:rsid w:val="008528E7"/>
    <w:rsid w:val="008544AB"/>
    <w:rsid w:val="00857E19"/>
    <w:rsid w:val="008627FD"/>
    <w:rsid w:val="0086311A"/>
    <w:rsid w:val="00863E24"/>
    <w:rsid w:val="00866D59"/>
    <w:rsid w:val="0086738D"/>
    <w:rsid w:val="00867BF0"/>
    <w:rsid w:val="00870680"/>
    <w:rsid w:val="0087224E"/>
    <w:rsid w:val="00872DBD"/>
    <w:rsid w:val="00873130"/>
    <w:rsid w:val="0088037B"/>
    <w:rsid w:val="00881BE5"/>
    <w:rsid w:val="00883B7E"/>
    <w:rsid w:val="00887047"/>
    <w:rsid w:val="00894007"/>
    <w:rsid w:val="008B259E"/>
    <w:rsid w:val="008B4DE6"/>
    <w:rsid w:val="008B56E5"/>
    <w:rsid w:val="008C2027"/>
    <w:rsid w:val="008C273E"/>
    <w:rsid w:val="008C2EFB"/>
    <w:rsid w:val="008C628C"/>
    <w:rsid w:val="008C736B"/>
    <w:rsid w:val="008D095A"/>
    <w:rsid w:val="008D0D81"/>
    <w:rsid w:val="008D26FD"/>
    <w:rsid w:val="008D31DE"/>
    <w:rsid w:val="008D4BEF"/>
    <w:rsid w:val="008E3959"/>
    <w:rsid w:val="008E39A6"/>
    <w:rsid w:val="008E5218"/>
    <w:rsid w:val="008F0C7C"/>
    <w:rsid w:val="008F482C"/>
    <w:rsid w:val="008F6226"/>
    <w:rsid w:val="00904542"/>
    <w:rsid w:val="00905DD7"/>
    <w:rsid w:val="00907D17"/>
    <w:rsid w:val="00911AE2"/>
    <w:rsid w:val="00913B26"/>
    <w:rsid w:val="009154E0"/>
    <w:rsid w:val="00915DD9"/>
    <w:rsid w:val="009171AC"/>
    <w:rsid w:val="009231A3"/>
    <w:rsid w:val="0092476D"/>
    <w:rsid w:val="00926118"/>
    <w:rsid w:val="0092706F"/>
    <w:rsid w:val="00927500"/>
    <w:rsid w:val="009318E6"/>
    <w:rsid w:val="00931FC6"/>
    <w:rsid w:val="00933AE0"/>
    <w:rsid w:val="00934765"/>
    <w:rsid w:val="00934BDB"/>
    <w:rsid w:val="00934EAB"/>
    <w:rsid w:val="00944D38"/>
    <w:rsid w:val="009458C8"/>
    <w:rsid w:val="00953FAA"/>
    <w:rsid w:val="009553A4"/>
    <w:rsid w:val="00956471"/>
    <w:rsid w:val="009567C9"/>
    <w:rsid w:val="00961F98"/>
    <w:rsid w:val="009625C9"/>
    <w:rsid w:val="009626E2"/>
    <w:rsid w:val="00964797"/>
    <w:rsid w:val="0096497C"/>
    <w:rsid w:val="00965F03"/>
    <w:rsid w:val="00966FDC"/>
    <w:rsid w:val="00971D7B"/>
    <w:rsid w:val="00972564"/>
    <w:rsid w:val="009776C4"/>
    <w:rsid w:val="00977867"/>
    <w:rsid w:val="00980CBE"/>
    <w:rsid w:val="00981467"/>
    <w:rsid w:val="00990EF8"/>
    <w:rsid w:val="0099398D"/>
    <w:rsid w:val="00994540"/>
    <w:rsid w:val="00997998"/>
    <w:rsid w:val="009A1018"/>
    <w:rsid w:val="009A4A95"/>
    <w:rsid w:val="009A7EE2"/>
    <w:rsid w:val="009B072C"/>
    <w:rsid w:val="009B0BEA"/>
    <w:rsid w:val="009B3BEC"/>
    <w:rsid w:val="009C00B3"/>
    <w:rsid w:val="009C3FDA"/>
    <w:rsid w:val="009C541F"/>
    <w:rsid w:val="009C6C90"/>
    <w:rsid w:val="009C7891"/>
    <w:rsid w:val="009D6731"/>
    <w:rsid w:val="009D78D5"/>
    <w:rsid w:val="009E10D6"/>
    <w:rsid w:val="009E2AE4"/>
    <w:rsid w:val="009E4739"/>
    <w:rsid w:val="009F15A3"/>
    <w:rsid w:val="009F33B5"/>
    <w:rsid w:val="009F364C"/>
    <w:rsid w:val="009F7757"/>
    <w:rsid w:val="00A00596"/>
    <w:rsid w:val="00A020A4"/>
    <w:rsid w:val="00A06368"/>
    <w:rsid w:val="00A1058F"/>
    <w:rsid w:val="00A157B6"/>
    <w:rsid w:val="00A167B2"/>
    <w:rsid w:val="00A24A08"/>
    <w:rsid w:val="00A2524A"/>
    <w:rsid w:val="00A3058A"/>
    <w:rsid w:val="00A314BE"/>
    <w:rsid w:val="00A3693F"/>
    <w:rsid w:val="00A409F7"/>
    <w:rsid w:val="00A4334B"/>
    <w:rsid w:val="00A50D8A"/>
    <w:rsid w:val="00A5278C"/>
    <w:rsid w:val="00A53668"/>
    <w:rsid w:val="00A54886"/>
    <w:rsid w:val="00A56524"/>
    <w:rsid w:val="00A57C5B"/>
    <w:rsid w:val="00A61D1E"/>
    <w:rsid w:val="00A65BC7"/>
    <w:rsid w:val="00A73EB2"/>
    <w:rsid w:val="00A76C69"/>
    <w:rsid w:val="00A7714A"/>
    <w:rsid w:val="00A839C1"/>
    <w:rsid w:val="00A93A63"/>
    <w:rsid w:val="00A9599B"/>
    <w:rsid w:val="00AA03EF"/>
    <w:rsid w:val="00AA1757"/>
    <w:rsid w:val="00AA6658"/>
    <w:rsid w:val="00AC5DA7"/>
    <w:rsid w:val="00AD14D7"/>
    <w:rsid w:val="00AD2801"/>
    <w:rsid w:val="00AD2EA6"/>
    <w:rsid w:val="00AD33BA"/>
    <w:rsid w:val="00AD676E"/>
    <w:rsid w:val="00AD789F"/>
    <w:rsid w:val="00AF2A30"/>
    <w:rsid w:val="00AF4D00"/>
    <w:rsid w:val="00AF61BB"/>
    <w:rsid w:val="00AF74B5"/>
    <w:rsid w:val="00AF74F9"/>
    <w:rsid w:val="00B01393"/>
    <w:rsid w:val="00B03987"/>
    <w:rsid w:val="00B04E47"/>
    <w:rsid w:val="00B053C3"/>
    <w:rsid w:val="00B12084"/>
    <w:rsid w:val="00B2486D"/>
    <w:rsid w:val="00B24E0B"/>
    <w:rsid w:val="00B25F3D"/>
    <w:rsid w:val="00B30220"/>
    <w:rsid w:val="00B34480"/>
    <w:rsid w:val="00B345C4"/>
    <w:rsid w:val="00B35DD9"/>
    <w:rsid w:val="00B36EAF"/>
    <w:rsid w:val="00B36F04"/>
    <w:rsid w:val="00B445B2"/>
    <w:rsid w:val="00B4531E"/>
    <w:rsid w:val="00B45848"/>
    <w:rsid w:val="00B511AF"/>
    <w:rsid w:val="00B51587"/>
    <w:rsid w:val="00B53A8C"/>
    <w:rsid w:val="00B65BE8"/>
    <w:rsid w:val="00B71F3B"/>
    <w:rsid w:val="00B733C0"/>
    <w:rsid w:val="00B7602C"/>
    <w:rsid w:val="00B76289"/>
    <w:rsid w:val="00B813CD"/>
    <w:rsid w:val="00B81447"/>
    <w:rsid w:val="00B85210"/>
    <w:rsid w:val="00B9407F"/>
    <w:rsid w:val="00BA1101"/>
    <w:rsid w:val="00BA40AB"/>
    <w:rsid w:val="00BA46C6"/>
    <w:rsid w:val="00BA4ACF"/>
    <w:rsid w:val="00BA4CBD"/>
    <w:rsid w:val="00BA573B"/>
    <w:rsid w:val="00BA69AF"/>
    <w:rsid w:val="00BB0423"/>
    <w:rsid w:val="00BB32BF"/>
    <w:rsid w:val="00BC0631"/>
    <w:rsid w:val="00BC3AA0"/>
    <w:rsid w:val="00BC4402"/>
    <w:rsid w:val="00BC7EF3"/>
    <w:rsid w:val="00BD28BD"/>
    <w:rsid w:val="00BD58FD"/>
    <w:rsid w:val="00BD7965"/>
    <w:rsid w:val="00BD7F0A"/>
    <w:rsid w:val="00BE01A5"/>
    <w:rsid w:val="00BE47E0"/>
    <w:rsid w:val="00BE7F20"/>
    <w:rsid w:val="00BF55F5"/>
    <w:rsid w:val="00BF5A48"/>
    <w:rsid w:val="00BF5E36"/>
    <w:rsid w:val="00BF77AE"/>
    <w:rsid w:val="00BF7C08"/>
    <w:rsid w:val="00C00322"/>
    <w:rsid w:val="00C022F8"/>
    <w:rsid w:val="00C05E39"/>
    <w:rsid w:val="00C06933"/>
    <w:rsid w:val="00C06A8D"/>
    <w:rsid w:val="00C07454"/>
    <w:rsid w:val="00C1077A"/>
    <w:rsid w:val="00C1165E"/>
    <w:rsid w:val="00C12F2D"/>
    <w:rsid w:val="00C144A0"/>
    <w:rsid w:val="00C21296"/>
    <w:rsid w:val="00C23F1D"/>
    <w:rsid w:val="00C24862"/>
    <w:rsid w:val="00C25A08"/>
    <w:rsid w:val="00C3116E"/>
    <w:rsid w:val="00C32BBF"/>
    <w:rsid w:val="00C33E30"/>
    <w:rsid w:val="00C345D1"/>
    <w:rsid w:val="00C3527E"/>
    <w:rsid w:val="00C35DFE"/>
    <w:rsid w:val="00C45AA5"/>
    <w:rsid w:val="00C45D54"/>
    <w:rsid w:val="00C47283"/>
    <w:rsid w:val="00C51FDB"/>
    <w:rsid w:val="00C55E59"/>
    <w:rsid w:val="00C56C8D"/>
    <w:rsid w:val="00C57830"/>
    <w:rsid w:val="00C65ECC"/>
    <w:rsid w:val="00C75D4F"/>
    <w:rsid w:val="00C761EC"/>
    <w:rsid w:val="00C80AC8"/>
    <w:rsid w:val="00C82F6C"/>
    <w:rsid w:val="00C83F94"/>
    <w:rsid w:val="00C8619B"/>
    <w:rsid w:val="00C879E5"/>
    <w:rsid w:val="00C93A47"/>
    <w:rsid w:val="00C955E9"/>
    <w:rsid w:val="00C966D4"/>
    <w:rsid w:val="00C966E0"/>
    <w:rsid w:val="00C97174"/>
    <w:rsid w:val="00CA7D2C"/>
    <w:rsid w:val="00CB4EAD"/>
    <w:rsid w:val="00CB5F66"/>
    <w:rsid w:val="00CC7502"/>
    <w:rsid w:val="00CC7660"/>
    <w:rsid w:val="00CD0433"/>
    <w:rsid w:val="00CD08DB"/>
    <w:rsid w:val="00CD266F"/>
    <w:rsid w:val="00CD3423"/>
    <w:rsid w:val="00CD5FF2"/>
    <w:rsid w:val="00CD6562"/>
    <w:rsid w:val="00CE2B91"/>
    <w:rsid w:val="00CE6B89"/>
    <w:rsid w:val="00CE74D3"/>
    <w:rsid w:val="00CF3270"/>
    <w:rsid w:val="00CF3D5A"/>
    <w:rsid w:val="00CF67B7"/>
    <w:rsid w:val="00D00681"/>
    <w:rsid w:val="00D03383"/>
    <w:rsid w:val="00D03824"/>
    <w:rsid w:val="00D05B24"/>
    <w:rsid w:val="00D060A0"/>
    <w:rsid w:val="00D06CA2"/>
    <w:rsid w:val="00D10336"/>
    <w:rsid w:val="00D12F00"/>
    <w:rsid w:val="00D13CE4"/>
    <w:rsid w:val="00D16BD8"/>
    <w:rsid w:val="00D23239"/>
    <w:rsid w:val="00D26BC6"/>
    <w:rsid w:val="00D2784C"/>
    <w:rsid w:val="00D338E4"/>
    <w:rsid w:val="00D3432D"/>
    <w:rsid w:val="00D34B58"/>
    <w:rsid w:val="00D35632"/>
    <w:rsid w:val="00D423AF"/>
    <w:rsid w:val="00D43DE0"/>
    <w:rsid w:val="00D44484"/>
    <w:rsid w:val="00D476AF"/>
    <w:rsid w:val="00D5150F"/>
    <w:rsid w:val="00D53052"/>
    <w:rsid w:val="00D545E9"/>
    <w:rsid w:val="00D55B65"/>
    <w:rsid w:val="00D60A8F"/>
    <w:rsid w:val="00D6695B"/>
    <w:rsid w:val="00D67A78"/>
    <w:rsid w:val="00D760A5"/>
    <w:rsid w:val="00D84CD8"/>
    <w:rsid w:val="00D87498"/>
    <w:rsid w:val="00D87967"/>
    <w:rsid w:val="00D9394D"/>
    <w:rsid w:val="00DA1A8B"/>
    <w:rsid w:val="00DA244B"/>
    <w:rsid w:val="00DA53D0"/>
    <w:rsid w:val="00DA54F6"/>
    <w:rsid w:val="00DA5BFC"/>
    <w:rsid w:val="00DA7001"/>
    <w:rsid w:val="00DB3C09"/>
    <w:rsid w:val="00DC1325"/>
    <w:rsid w:val="00DC27A9"/>
    <w:rsid w:val="00DC5159"/>
    <w:rsid w:val="00DC6261"/>
    <w:rsid w:val="00DC6285"/>
    <w:rsid w:val="00DC641C"/>
    <w:rsid w:val="00DC7B36"/>
    <w:rsid w:val="00DD04C2"/>
    <w:rsid w:val="00DD4E2C"/>
    <w:rsid w:val="00DD519D"/>
    <w:rsid w:val="00DD55EE"/>
    <w:rsid w:val="00DD5BED"/>
    <w:rsid w:val="00DD7D2F"/>
    <w:rsid w:val="00DE0376"/>
    <w:rsid w:val="00DE0612"/>
    <w:rsid w:val="00DE2593"/>
    <w:rsid w:val="00DE2FA4"/>
    <w:rsid w:val="00DE6BB7"/>
    <w:rsid w:val="00DE7C9E"/>
    <w:rsid w:val="00DF180D"/>
    <w:rsid w:val="00DF206C"/>
    <w:rsid w:val="00DF6018"/>
    <w:rsid w:val="00DF70BF"/>
    <w:rsid w:val="00DF71E1"/>
    <w:rsid w:val="00DF7D58"/>
    <w:rsid w:val="00E04F2D"/>
    <w:rsid w:val="00E1022F"/>
    <w:rsid w:val="00E10443"/>
    <w:rsid w:val="00E12B3E"/>
    <w:rsid w:val="00E16453"/>
    <w:rsid w:val="00E20B89"/>
    <w:rsid w:val="00E214BC"/>
    <w:rsid w:val="00E22222"/>
    <w:rsid w:val="00E22C42"/>
    <w:rsid w:val="00E23492"/>
    <w:rsid w:val="00E24A42"/>
    <w:rsid w:val="00E32407"/>
    <w:rsid w:val="00E32992"/>
    <w:rsid w:val="00E372DA"/>
    <w:rsid w:val="00E3749B"/>
    <w:rsid w:val="00E379C2"/>
    <w:rsid w:val="00E40971"/>
    <w:rsid w:val="00E423C1"/>
    <w:rsid w:val="00E42818"/>
    <w:rsid w:val="00E44243"/>
    <w:rsid w:val="00E55B0D"/>
    <w:rsid w:val="00E703B5"/>
    <w:rsid w:val="00E729E2"/>
    <w:rsid w:val="00E7531E"/>
    <w:rsid w:val="00E759C6"/>
    <w:rsid w:val="00E76895"/>
    <w:rsid w:val="00E7691D"/>
    <w:rsid w:val="00E85A5B"/>
    <w:rsid w:val="00E919EA"/>
    <w:rsid w:val="00E92CA7"/>
    <w:rsid w:val="00E9589E"/>
    <w:rsid w:val="00EA6308"/>
    <w:rsid w:val="00EA6EED"/>
    <w:rsid w:val="00EB0EC3"/>
    <w:rsid w:val="00EB27A4"/>
    <w:rsid w:val="00EB47F4"/>
    <w:rsid w:val="00EB5535"/>
    <w:rsid w:val="00EB6634"/>
    <w:rsid w:val="00EC1848"/>
    <w:rsid w:val="00EC76CC"/>
    <w:rsid w:val="00ED48B0"/>
    <w:rsid w:val="00ED67FC"/>
    <w:rsid w:val="00EE5643"/>
    <w:rsid w:val="00EE5D9E"/>
    <w:rsid w:val="00EE7C54"/>
    <w:rsid w:val="00F03933"/>
    <w:rsid w:val="00F11A21"/>
    <w:rsid w:val="00F14732"/>
    <w:rsid w:val="00F21385"/>
    <w:rsid w:val="00F2184A"/>
    <w:rsid w:val="00F2534A"/>
    <w:rsid w:val="00F304DE"/>
    <w:rsid w:val="00F320E6"/>
    <w:rsid w:val="00F35C5A"/>
    <w:rsid w:val="00F4089F"/>
    <w:rsid w:val="00F415A9"/>
    <w:rsid w:val="00F4161C"/>
    <w:rsid w:val="00F42D45"/>
    <w:rsid w:val="00F44F5B"/>
    <w:rsid w:val="00F46E39"/>
    <w:rsid w:val="00F50603"/>
    <w:rsid w:val="00F51B5C"/>
    <w:rsid w:val="00F55F37"/>
    <w:rsid w:val="00F56248"/>
    <w:rsid w:val="00F61303"/>
    <w:rsid w:val="00F6290C"/>
    <w:rsid w:val="00F65357"/>
    <w:rsid w:val="00F65A8B"/>
    <w:rsid w:val="00F65D06"/>
    <w:rsid w:val="00F66678"/>
    <w:rsid w:val="00F67F98"/>
    <w:rsid w:val="00F710CA"/>
    <w:rsid w:val="00F76538"/>
    <w:rsid w:val="00F76CE4"/>
    <w:rsid w:val="00F80FB5"/>
    <w:rsid w:val="00F85A2D"/>
    <w:rsid w:val="00F90D7E"/>
    <w:rsid w:val="00F92315"/>
    <w:rsid w:val="00F963B7"/>
    <w:rsid w:val="00F9665E"/>
    <w:rsid w:val="00F97CE4"/>
    <w:rsid w:val="00FA197F"/>
    <w:rsid w:val="00FA4144"/>
    <w:rsid w:val="00FA6DEB"/>
    <w:rsid w:val="00FB1FEE"/>
    <w:rsid w:val="00FB388D"/>
    <w:rsid w:val="00FB5496"/>
    <w:rsid w:val="00FB5700"/>
    <w:rsid w:val="00FB67E5"/>
    <w:rsid w:val="00FB6908"/>
    <w:rsid w:val="00FC1055"/>
    <w:rsid w:val="00FC2A29"/>
    <w:rsid w:val="00FC390B"/>
    <w:rsid w:val="00FC4570"/>
    <w:rsid w:val="00FC7DB7"/>
    <w:rsid w:val="00FD1FE9"/>
    <w:rsid w:val="00FE043A"/>
    <w:rsid w:val="00FE145B"/>
    <w:rsid w:val="00FE18A4"/>
    <w:rsid w:val="00FE1F5C"/>
    <w:rsid w:val="00FE38C6"/>
    <w:rsid w:val="00FE3B65"/>
    <w:rsid w:val="00FE6B2A"/>
    <w:rsid w:val="00FF17C3"/>
    <w:rsid w:val="00FF17CE"/>
    <w:rsid w:val="00FF1F7D"/>
    <w:rsid w:val="00FF27C9"/>
    <w:rsid w:val="00FF3DC7"/>
    <w:rsid w:val="00FF5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AB4D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等线"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540"/>
    <w:pPr>
      <w:spacing w:after="160" w:line="259" w:lineRule="auto"/>
    </w:pPr>
    <w:rPr>
      <w:rFonts w:ascii="Times New Roman" w:hAnsi="Times New Roman"/>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3AF"/>
    <w:pPr>
      <w:ind w:left="720"/>
    </w:pPr>
  </w:style>
  <w:style w:type="paragraph" w:styleId="FootnoteText">
    <w:name w:val="footnote text"/>
    <w:basedOn w:val="Normal"/>
    <w:link w:val="FootnoteTextChar"/>
    <w:uiPriority w:val="99"/>
    <w:semiHidden/>
    <w:unhideWhenUsed/>
    <w:rsid w:val="004D1D7A"/>
    <w:rPr>
      <w:sz w:val="20"/>
      <w:szCs w:val="20"/>
    </w:rPr>
  </w:style>
  <w:style w:type="character" w:customStyle="1" w:styleId="FootnoteTextChar">
    <w:name w:val="Footnote Text Char"/>
    <w:link w:val="FootnoteText"/>
    <w:uiPriority w:val="99"/>
    <w:semiHidden/>
    <w:rsid w:val="004D1D7A"/>
    <w:rPr>
      <w:rFonts w:ascii="Times New Roman" w:hAnsi="Times New Roman"/>
    </w:rPr>
  </w:style>
  <w:style w:type="character" w:styleId="FootnoteReference">
    <w:name w:val="footnote reference"/>
    <w:uiPriority w:val="99"/>
    <w:unhideWhenUsed/>
    <w:rsid w:val="004D1D7A"/>
    <w:rPr>
      <w:vertAlign w:val="superscript"/>
    </w:rPr>
  </w:style>
  <w:style w:type="paragraph" w:styleId="Header">
    <w:name w:val="header"/>
    <w:basedOn w:val="Normal"/>
    <w:link w:val="HeaderChar"/>
    <w:uiPriority w:val="99"/>
    <w:unhideWhenUsed/>
    <w:rsid w:val="00237883"/>
    <w:pPr>
      <w:tabs>
        <w:tab w:val="center" w:pos="4320"/>
        <w:tab w:val="right" w:pos="8640"/>
      </w:tabs>
    </w:pPr>
  </w:style>
  <w:style w:type="character" w:customStyle="1" w:styleId="HeaderChar">
    <w:name w:val="Header Char"/>
    <w:link w:val="Header"/>
    <w:uiPriority w:val="99"/>
    <w:rsid w:val="00237883"/>
    <w:rPr>
      <w:rFonts w:ascii="Times New Roman" w:hAnsi="Times New Roman"/>
      <w:sz w:val="24"/>
      <w:szCs w:val="22"/>
    </w:rPr>
  </w:style>
  <w:style w:type="paragraph" w:styleId="Footer">
    <w:name w:val="footer"/>
    <w:basedOn w:val="Normal"/>
    <w:link w:val="FooterChar"/>
    <w:uiPriority w:val="99"/>
    <w:unhideWhenUsed/>
    <w:rsid w:val="00237883"/>
    <w:pPr>
      <w:tabs>
        <w:tab w:val="center" w:pos="4320"/>
        <w:tab w:val="right" w:pos="8640"/>
      </w:tabs>
    </w:pPr>
  </w:style>
  <w:style w:type="character" w:customStyle="1" w:styleId="FooterChar">
    <w:name w:val="Footer Char"/>
    <w:link w:val="Footer"/>
    <w:uiPriority w:val="99"/>
    <w:rsid w:val="00237883"/>
    <w:rPr>
      <w:rFonts w:ascii="Times New Roman" w:hAnsi="Times New Roman"/>
      <w:sz w:val="24"/>
      <w:szCs w:val="22"/>
    </w:rPr>
  </w:style>
  <w:style w:type="character" w:styleId="CommentReference">
    <w:name w:val="annotation reference"/>
    <w:uiPriority w:val="99"/>
    <w:semiHidden/>
    <w:unhideWhenUsed/>
    <w:rsid w:val="00944D38"/>
    <w:rPr>
      <w:sz w:val="16"/>
      <w:szCs w:val="16"/>
    </w:rPr>
  </w:style>
  <w:style w:type="paragraph" w:styleId="CommentText">
    <w:name w:val="annotation text"/>
    <w:basedOn w:val="Normal"/>
    <w:link w:val="CommentTextChar"/>
    <w:uiPriority w:val="99"/>
    <w:semiHidden/>
    <w:unhideWhenUsed/>
    <w:rsid w:val="00944D38"/>
    <w:rPr>
      <w:sz w:val="20"/>
      <w:szCs w:val="20"/>
    </w:rPr>
  </w:style>
  <w:style w:type="character" w:customStyle="1" w:styleId="CommentTextChar">
    <w:name w:val="Comment Text Char"/>
    <w:link w:val="CommentText"/>
    <w:uiPriority w:val="99"/>
    <w:semiHidden/>
    <w:rsid w:val="00944D38"/>
    <w:rPr>
      <w:rFonts w:ascii="Times New Roman" w:hAnsi="Times New Roman"/>
    </w:rPr>
  </w:style>
  <w:style w:type="paragraph" w:styleId="CommentSubject">
    <w:name w:val="annotation subject"/>
    <w:basedOn w:val="CommentText"/>
    <w:next w:val="CommentText"/>
    <w:link w:val="CommentSubjectChar"/>
    <w:uiPriority w:val="99"/>
    <w:semiHidden/>
    <w:unhideWhenUsed/>
    <w:rsid w:val="00944D38"/>
    <w:rPr>
      <w:b/>
      <w:bCs/>
    </w:rPr>
  </w:style>
  <w:style w:type="character" w:customStyle="1" w:styleId="CommentSubjectChar">
    <w:name w:val="Comment Subject Char"/>
    <w:link w:val="CommentSubject"/>
    <w:uiPriority w:val="99"/>
    <w:semiHidden/>
    <w:rsid w:val="00944D38"/>
    <w:rPr>
      <w:rFonts w:ascii="Times New Roman" w:hAnsi="Times New Roman"/>
      <w:b/>
      <w:bCs/>
    </w:rPr>
  </w:style>
  <w:style w:type="paragraph" w:styleId="Revision">
    <w:name w:val="Revision"/>
    <w:hidden/>
    <w:uiPriority w:val="99"/>
    <w:semiHidden/>
    <w:rsid w:val="00944D38"/>
    <w:rPr>
      <w:rFonts w:ascii="Times New Roman" w:hAnsi="Times New Roman"/>
      <w:sz w:val="24"/>
      <w:szCs w:val="22"/>
    </w:rPr>
  </w:style>
  <w:style w:type="paragraph" w:styleId="BalloonText">
    <w:name w:val="Balloon Text"/>
    <w:basedOn w:val="Normal"/>
    <w:link w:val="BalloonTextChar"/>
    <w:uiPriority w:val="99"/>
    <w:semiHidden/>
    <w:unhideWhenUsed/>
    <w:rsid w:val="00944D38"/>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944D38"/>
    <w:rPr>
      <w:rFonts w:ascii="Segoe UI" w:hAnsi="Segoe UI" w:cs="Segoe UI"/>
      <w:sz w:val="18"/>
      <w:szCs w:val="18"/>
    </w:rPr>
  </w:style>
  <w:style w:type="paragraph" w:customStyle="1" w:styleId="Bob1">
    <w:name w:val="Bob 1"/>
    <w:qFormat/>
    <w:rsid w:val="00C12F2D"/>
    <w:pPr>
      <w:numPr>
        <w:numId w:val="5"/>
      </w:numPr>
      <w:kinsoku w:val="0"/>
      <w:autoSpaceDE w:val="0"/>
      <w:autoSpaceDN w:val="0"/>
      <w:snapToGrid w:val="0"/>
      <w:spacing w:after="240" w:line="360" w:lineRule="auto"/>
    </w:pPr>
    <w:rPr>
      <w:rFonts w:ascii="Times New Roman" w:eastAsia="宋体" w:hAnsi="Times New Roman"/>
      <w:sz w:val="28"/>
      <w:szCs w:val="28"/>
      <w:lang w:val="en-GB"/>
    </w:rPr>
  </w:style>
  <w:style w:type="paragraph" w:customStyle="1" w:styleId="coram">
    <w:name w:val="coram"/>
    <w:basedOn w:val="Signature"/>
    <w:rsid w:val="003F2A56"/>
    <w:pPr>
      <w:tabs>
        <w:tab w:val="left" w:pos="2880"/>
      </w:tabs>
      <w:overflowPunct w:val="0"/>
      <w:autoSpaceDE w:val="0"/>
      <w:autoSpaceDN w:val="0"/>
      <w:adjustRightInd w:val="0"/>
      <w:snapToGrid w:val="0"/>
      <w:spacing w:after="240" w:line="240" w:lineRule="auto"/>
      <w:ind w:leftChars="0" w:left="2880" w:hanging="2880"/>
      <w:textAlignment w:val="baseline"/>
    </w:pPr>
    <w:rPr>
      <w:rFonts w:eastAsia="MingLiU"/>
      <w:sz w:val="28"/>
      <w:szCs w:val="20"/>
      <w:lang w:val="en-GB" w:eastAsia="zh-TW"/>
    </w:rPr>
  </w:style>
  <w:style w:type="paragraph" w:styleId="BodyTextIndent">
    <w:name w:val="Body Text Indent"/>
    <w:basedOn w:val="Normal"/>
    <w:link w:val="BodyTextIndentChar"/>
    <w:semiHidden/>
    <w:rsid w:val="003F2A56"/>
    <w:pPr>
      <w:widowControl w:val="0"/>
      <w:spacing w:after="0" w:line="240" w:lineRule="auto"/>
      <w:ind w:left="284" w:hanging="284"/>
      <w:jc w:val="both"/>
    </w:pPr>
    <w:rPr>
      <w:rFonts w:eastAsia="宋体"/>
      <w:kern w:val="2"/>
      <w:szCs w:val="20"/>
    </w:rPr>
  </w:style>
  <w:style w:type="character" w:customStyle="1" w:styleId="BodyTextIndentChar">
    <w:name w:val="Body Text Indent Char"/>
    <w:link w:val="BodyTextIndent"/>
    <w:semiHidden/>
    <w:rsid w:val="003F2A56"/>
    <w:rPr>
      <w:rFonts w:ascii="Times New Roman" w:eastAsia="宋体" w:hAnsi="Times New Roman"/>
      <w:kern w:val="2"/>
      <w:sz w:val="24"/>
      <w:lang w:eastAsia="zh-CN"/>
    </w:rPr>
  </w:style>
  <w:style w:type="paragraph" w:customStyle="1" w:styleId="sh">
    <w:name w:val="sh"/>
    <w:basedOn w:val="Normal"/>
    <w:rsid w:val="003F2A56"/>
    <w:pPr>
      <w:tabs>
        <w:tab w:val="left" w:pos="720"/>
        <w:tab w:val="left" w:pos="1440"/>
        <w:tab w:val="center" w:pos="4320"/>
        <w:tab w:val="right" w:pos="9072"/>
      </w:tabs>
      <w:spacing w:after="0" w:line="240" w:lineRule="auto"/>
    </w:pPr>
    <w:rPr>
      <w:rFonts w:eastAsia="宋体"/>
      <w:sz w:val="28"/>
      <w:szCs w:val="20"/>
    </w:rPr>
  </w:style>
  <w:style w:type="paragraph" w:styleId="Signature">
    <w:name w:val="Signature"/>
    <w:basedOn w:val="Normal"/>
    <w:link w:val="SignatureChar"/>
    <w:uiPriority w:val="99"/>
    <w:semiHidden/>
    <w:unhideWhenUsed/>
    <w:rsid w:val="003F2A56"/>
    <w:pPr>
      <w:ind w:leftChars="1800" w:left="100"/>
    </w:pPr>
  </w:style>
  <w:style w:type="character" w:customStyle="1" w:styleId="SignatureChar">
    <w:name w:val="Signature Char"/>
    <w:link w:val="Signature"/>
    <w:uiPriority w:val="99"/>
    <w:semiHidden/>
    <w:rsid w:val="003F2A56"/>
    <w:rPr>
      <w:rFonts w:ascii="Times New Roman" w:hAnsi="Times New Roman"/>
      <w:sz w:val="24"/>
      <w:szCs w:val="22"/>
      <w:lang w:eastAsia="zh-CN"/>
    </w:rPr>
  </w:style>
  <w:style w:type="paragraph" w:styleId="EndnoteText">
    <w:name w:val="endnote text"/>
    <w:basedOn w:val="Normal"/>
    <w:link w:val="EndnoteTextChar"/>
    <w:uiPriority w:val="99"/>
    <w:semiHidden/>
    <w:unhideWhenUsed/>
    <w:rsid w:val="00D44484"/>
    <w:pPr>
      <w:snapToGrid w:val="0"/>
    </w:pPr>
  </w:style>
  <w:style w:type="character" w:customStyle="1" w:styleId="EndnoteTextChar">
    <w:name w:val="Endnote Text Char"/>
    <w:link w:val="EndnoteText"/>
    <w:uiPriority w:val="99"/>
    <w:semiHidden/>
    <w:rsid w:val="00D44484"/>
    <w:rPr>
      <w:rFonts w:ascii="Times New Roman" w:hAnsi="Times New Roman"/>
      <w:sz w:val="24"/>
      <w:szCs w:val="22"/>
      <w:lang w:eastAsia="zh-CN"/>
    </w:rPr>
  </w:style>
  <w:style w:type="character" w:styleId="EndnoteReference">
    <w:name w:val="endnote reference"/>
    <w:uiPriority w:val="99"/>
    <w:semiHidden/>
    <w:unhideWhenUsed/>
    <w:rsid w:val="00D444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6FA76-DA84-4B74-87F6-DBE65E4F3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8631</Words>
  <Characters>49200</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2024-11-26T07:36:00Z</dcterms:created>
  <dcterms:modified xsi:type="dcterms:W3CDTF">2024-11-26T07:36:00Z</dcterms:modified>
</cp:coreProperties>
</file>