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BD6C7" w14:textId="77777777" w:rsidR="00E559DE" w:rsidRPr="00FE350C" w:rsidRDefault="00E559DE" w:rsidP="00E559DE">
      <w:pPr>
        <w:pStyle w:val="Heading3"/>
        <w:spacing w:before="0" w:after="0" w:line="240" w:lineRule="auto"/>
        <w:ind w:right="-43"/>
        <w:jc w:val="right"/>
        <w:rPr>
          <w:rFonts w:ascii="Times New Roman" w:hAnsi="Times New Roman" w:cs="Times New Roman"/>
          <w:b/>
          <w:color w:val="000000" w:themeColor="text1"/>
        </w:rPr>
      </w:pPr>
      <w:r w:rsidRPr="00FE350C">
        <w:rPr>
          <w:rFonts w:ascii="Times New Roman" w:hAnsi="Times New Roman" w:cs="Times New Roman"/>
          <w:b/>
          <w:color w:val="000000" w:themeColor="text1"/>
        </w:rPr>
        <w:t>FACV No. 7 of 2023</w:t>
      </w:r>
    </w:p>
    <w:p w14:paraId="1F1B5860" w14:textId="54A1246A" w:rsidR="00E559DE" w:rsidRPr="00FE350C" w:rsidRDefault="00E559DE" w:rsidP="00E559DE">
      <w:pPr>
        <w:spacing w:after="0"/>
        <w:ind w:left="5760"/>
        <w:jc w:val="right"/>
        <w:rPr>
          <w:b/>
          <w:color w:val="000000" w:themeColor="text1"/>
        </w:rPr>
      </w:pPr>
      <w:r w:rsidRPr="00FE350C">
        <w:rPr>
          <w:b/>
          <w:color w:val="000000" w:themeColor="text1"/>
        </w:rPr>
        <w:t xml:space="preserve">      [2024] HKCFA </w:t>
      </w:r>
      <w:r w:rsidR="00312D91" w:rsidRPr="00312D91">
        <w:rPr>
          <w:b/>
        </w:rPr>
        <w:t>16</w:t>
      </w:r>
    </w:p>
    <w:p w14:paraId="771A2AAC" w14:textId="77777777" w:rsidR="00E559DE" w:rsidRPr="00E559DE" w:rsidRDefault="00E559DE" w:rsidP="00E559DE">
      <w:pPr>
        <w:spacing w:after="0"/>
        <w:ind w:left="5760"/>
        <w:jc w:val="right"/>
      </w:pPr>
    </w:p>
    <w:p w14:paraId="41E3F37B" w14:textId="77777777" w:rsidR="00E559DE" w:rsidRPr="00E559DE" w:rsidRDefault="00E559DE" w:rsidP="00E559DE">
      <w:pPr>
        <w:pStyle w:val="NormalMF"/>
        <w:rPr>
          <w:sz w:val="28"/>
          <w:szCs w:val="28"/>
        </w:rPr>
      </w:pPr>
      <w:r w:rsidRPr="00E559DE">
        <w:rPr>
          <w:sz w:val="28"/>
          <w:szCs w:val="28"/>
        </w:rPr>
        <w:t>IN THE COURT OF FINAL APPEAL OF THE</w:t>
      </w:r>
    </w:p>
    <w:p w14:paraId="61009E35" w14:textId="77777777" w:rsidR="00E559DE" w:rsidRPr="00E559DE" w:rsidRDefault="00E559DE" w:rsidP="00E559DE">
      <w:pPr>
        <w:pStyle w:val="NormalMF"/>
        <w:rPr>
          <w:sz w:val="28"/>
          <w:szCs w:val="28"/>
        </w:rPr>
      </w:pPr>
      <w:r w:rsidRPr="00E559DE">
        <w:rPr>
          <w:sz w:val="28"/>
          <w:szCs w:val="28"/>
        </w:rPr>
        <w:t>HONG KONG SPECIAL ADMINISTRATIVE REGION</w:t>
      </w:r>
    </w:p>
    <w:p w14:paraId="6FC24000" w14:textId="77777777" w:rsidR="00E559DE" w:rsidRPr="00E559DE" w:rsidRDefault="00E559DE" w:rsidP="00E559DE">
      <w:pPr>
        <w:pStyle w:val="NormalMF"/>
        <w:rPr>
          <w:sz w:val="28"/>
          <w:szCs w:val="28"/>
        </w:rPr>
      </w:pPr>
    </w:p>
    <w:p w14:paraId="0A1E3DA9" w14:textId="77777777" w:rsidR="00E559DE" w:rsidRPr="00E559DE" w:rsidRDefault="00E559DE" w:rsidP="00E559DE">
      <w:pPr>
        <w:pStyle w:val="MF"/>
        <w:rPr>
          <w:b/>
          <w:bCs/>
          <w:szCs w:val="28"/>
        </w:rPr>
      </w:pPr>
      <w:r w:rsidRPr="00E559DE">
        <w:rPr>
          <w:rFonts w:eastAsia="宋体"/>
          <w:b/>
          <w:bCs/>
          <w:szCs w:val="28"/>
        </w:rPr>
        <w:t>FINAL APPEAL nO. 7</w:t>
      </w:r>
      <w:r w:rsidRPr="00E559DE">
        <w:rPr>
          <w:b/>
          <w:bCs/>
          <w:szCs w:val="28"/>
        </w:rPr>
        <w:t xml:space="preserve"> OF 2023 (CiVIL)</w:t>
      </w:r>
    </w:p>
    <w:p w14:paraId="45302109" w14:textId="77777777" w:rsidR="00E559DE" w:rsidRPr="00E559DE" w:rsidRDefault="00E559DE" w:rsidP="00E559DE">
      <w:pPr>
        <w:pStyle w:val="MF"/>
        <w:tabs>
          <w:tab w:val="clear" w:pos="1440"/>
        </w:tabs>
        <w:rPr>
          <w:szCs w:val="28"/>
        </w:rPr>
      </w:pPr>
      <w:r w:rsidRPr="00E559DE">
        <w:rPr>
          <w:szCs w:val="28"/>
        </w:rPr>
        <w:t xml:space="preserve">(ON </w:t>
      </w:r>
      <w:r w:rsidRPr="00E559DE">
        <w:rPr>
          <w:rFonts w:eastAsia="宋体"/>
          <w:szCs w:val="28"/>
        </w:rPr>
        <w:t>APPEAL FROM CACV NO. 152 OF 2022</w:t>
      </w:r>
      <w:r w:rsidRPr="00E559DE">
        <w:rPr>
          <w:szCs w:val="28"/>
        </w:rPr>
        <w:t>)</w:t>
      </w:r>
    </w:p>
    <w:p w14:paraId="6270294A" w14:textId="77777777" w:rsidR="00E559DE" w:rsidRPr="00E559DE" w:rsidRDefault="00E559DE" w:rsidP="00E559DE">
      <w:pPr>
        <w:pStyle w:val="MF"/>
        <w:rPr>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tblGrid>
      <w:tr w:rsidR="00E559DE" w:rsidRPr="00E559DE" w14:paraId="314B5ACF" w14:textId="77777777" w:rsidTr="00CC5E2D">
        <w:trPr>
          <w:jc w:val="center"/>
        </w:trPr>
        <w:tc>
          <w:tcPr>
            <w:tcW w:w="4320" w:type="dxa"/>
            <w:tcBorders>
              <w:top w:val="nil"/>
              <w:left w:val="nil"/>
              <w:right w:val="nil"/>
            </w:tcBorders>
            <w:shd w:val="clear" w:color="auto" w:fill="auto"/>
          </w:tcPr>
          <w:p w14:paraId="03ECDF9E" w14:textId="77777777" w:rsidR="00E559DE" w:rsidRPr="00E559DE" w:rsidRDefault="00E559DE" w:rsidP="00CC5E2D">
            <w:pPr>
              <w:pStyle w:val="MF"/>
              <w:rPr>
                <w:szCs w:val="28"/>
                <w:lang w:eastAsia="zh-TW"/>
              </w:rPr>
            </w:pPr>
          </w:p>
        </w:tc>
      </w:tr>
    </w:tbl>
    <w:p w14:paraId="32E789B2" w14:textId="77777777" w:rsidR="00E559DE" w:rsidRPr="00E559DE" w:rsidRDefault="00E559DE" w:rsidP="00E559DE">
      <w:pPr>
        <w:pStyle w:val="MF"/>
        <w:rPr>
          <w:szCs w:val="28"/>
          <w:lang w:eastAsia="zh-TW"/>
        </w:rPr>
      </w:pPr>
    </w:p>
    <w:p w14:paraId="779A4AFA" w14:textId="77777777" w:rsidR="00E559DE" w:rsidRPr="00E559DE" w:rsidRDefault="00E559DE" w:rsidP="00E559DE">
      <w:pPr>
        <w:spacing w:after="0" w:line="240" w:lineRule="auto"/>
        <w:rPr>
          <w:color w:val="000000"/>
        </w:rPr>
      </w:pPr>
      <w:r w:rsidRPr="00E559DE">
        <w:rPr>
          <w:rFonts w:eastAsia="宋体"/>
        </w:rPr>
        <w:t>BETWEEN</w:t>
      </w:r>
      <w:r w:rsidRPr="00E559DE">
        <w:rPr>
          <w:color w:val="000000"/>
        </w:rPr>
        <w:t xml:space="preserve"> </w:t>
      </w:r>
    </w:p>
    <w:p w14:paraId="753B4670" w14:textId="77777777" w:rsidR="00E559DE" w:rsidRPr="00E559DE" w:rsidRDefault="00E559DE" w:rsidP="00E559DE">
      <w:pPr>
        <w:spacing w:after="0" w:line="240" w:lineRule="auto"/>
        <w:rPr>
          <w:color w:val="000000"/>
        </w:rPr>
      </w:pPr>
    </w:p>
    <w:tbl>
      <w:tblPr>
        <w:tblW w:w="8928" w:type="dxa"/>
        <w:tblLook w:val="04A0" w:firstRow="1" w:lastRow="0" w:firstColumn="1" w:lastColumn="0" w:noHBand="0" w:noVBand="1"/>
      </w:tblPr>
      <w:tblGrid>
        <w:gridCol w:w="1728"/>
        <w:gridCol w:w="4927"/>
        <w:gridCol w:w="2273"/>
      </w:tblGrid>
      <w:tr w:rsidR="00E559DE" w:rsidRPr="00FE350C" w14:paraId="57E48839" w14:textId="77777777" w:rsidTr="00FE350C">
        <w:tc>
          <w:tcPr>
            <w:tcW w:w="1728" w:type="dxa"/>
            <w:shd w:val="clear" w:color="auto" w:fill="auto"/>
          </w:tcPr>
          <w:p w14:paraId="7E0A2CFF" w14:textId="77777777" w:rsidR="00E559DE" w:rsidRPr="00FE350C" w:rsidRDefault="00E559DE" w:rsidP="00CC5E2D">
            <w:pPr>
              <w:spacing w:after="0" w:line="240" w:lineRule="auto"/>
              <w:jc w:val="center"/>
              <w:rPr>
                <w:rFonts w:eastAsia="PMingLiU"/>
                <w:b/>
                <w:color w:val="000000"/>
              </w:rPr>
            </w:pPr>
          </w:p>
        </w:tc>
        <w:tc>
          <w:tcPr>
            <w:tcW w:w="4927" w:type="dxa"/>
            <w:shd w:val="clear" w:color="auto" w:fill="auto"/>
          </w:tcPr>
          <w:p w14:paraId="676D2BA5" w14:textId="77777777" w:rsidR="00E559DE" w:rsidRPr="00FE350C" w:rsidRDefault="00E559DE" w:rsidP="00CC5E2D">
            <w:pPr>
              <w:spacing w:after="0" w:line="240" w:lineRule="auto"/>
              <w:jc w:val="center"/>
              <w:rPr>
                <w:rFonts w:eastAsia="宋体"/>
                <w:b/>
              </w:rPr>
            </w:pPr>
            <w:r w:rsidRPr="00FE350C">
              <w:rPr>
                <w:rFonts w:eastAsia="宋体"/>
                <w:b/>
              </w:rPr>
              <w:t>TAM SZE LEUNG</w:t>
            </w:r>
          </w:p>
        </w:tc>
        <w:tc>
          <w:tcPr>
            <w:tcW w:w="2273" w:type="dxa"/>
            <w:shd w:val="clear" w:color="auto" w:fill="auto"/>
          </w:tcPr>
          <w:p w14:paraId="62304044" w14:textId="77777777" w:rsidR="00E559DE" w:rsidRPr="00FE350C" w:rsidRDefault="00E559DE" w:rsidP="00CC5E2D">
            <w:pPr>
              <w:spacing w:after="0"/>
              <w:jc w:val="right"/>
              <w:rPr>
                <w:rFonts w:eastAsia="宋体"/>
                <w:b/>
                <w:lang w:val="en-US"/>
              </w:rPr>
            </w:pPr>
            <w:r w:rsidRPr="00FE350C">
              <w:rPr>
                <w:rFonts w:eastAsia="宋体"/>
                <w:b/>
                <w:lang w:val="en-US"/>
              </w:rPr>
              <w:t>1</w:t>
            </w:r>
            <w:r w:rsidRPr="00FE350C">
              <w:rPr>
                <w:rFonts w:eastAsia="宋体"/>
                <w:b/>
                <w:vertAlign w:val="superscript"/>
                <w:lang w:val="en-US"/>
              </w:rPr>
              <w:t>st</w:t>
            </w:r>
            <w:r w:rsidRPr="00FE350C">
              <w:rPr>
                <w:rFonts w:eastAsia="宋体"/>
                <w:b/>
                <w:lang w:val="en-US"/>
              </w:rPr>
              <w:t xml:space="preserve"> Applicant</w:t>
            </w:r>
          </w:p>
          <w:p w14:paraId="701E5D0C" w14:textId="77777777" w:rsidR="00E559DE" w:rsidRPr="00FE350C" w:rsidRDefault="00E559DE" w:rsidP="00CC5E2D">
            <w:pPr>
              <w:spacing w:after="0"/>
              <w:jc w:val="right"/>
              <w:rPr>
                <w:rFonts w:eastAsia="宋体"/>
                <w:b/>
                <w:lang w:val="en-US"/>
              </w:rPr>
            </w:pPr>
            <w:r w:rsidRPr="00FE350C">
              <w:rPr>
                <w:rFonts w:eastAsia="宋体"/>
                <w:b/>
                <w:lang w:val="en-US"/>
              </w:rPr>
              <w:t xml:space="preserve"> (1</w:t>
            </w:r>
            <w:r w:rsidRPr="00FE350C">
              <w:rPr>
                <w:rFonts w:eastAsia="宋体"/>
                <w:b/>
                <w:vertAlign w:val="superscript"/>
                <w:lang w:val="en-US"/>
              </w:rPr>
              <w:t>st</w:t>
            </w:r>
            <w:r w:rsidRPr="00FE350C">
              <w:rPr>
                <w:rFonts w:eastAsia="宋体"/>
                <w:b/>
                <w:lang w:val="en-US"/>
              </w:rPr>
              <w:t xml:space="preserve"> Appellant)</w:t>
            </w:r>
          </w:p>
        </w:tc>
      </w:tr>
      <w:tr w:rsidR="00E559DE" w:rsidRPr="00FE350C" w14:paraId="01367D58" w14:textId="77777777" w:rsidTr="00FE350C">
        <w:tc>
          <w:tcPr>
            <w:tcW w:w="1728" w:type="dxa"/>
            <w:shd w:val="clear" w:color="auto" w:fill="auto"/>
          </w:tcPr>
          <w:p w14:paraId="754ADE14" w14:textId="77777777" w:rsidR="00E559DE" w:rsidRPr="00FE350C" w:rsidRDefault="00E559DE" w:rsidP="00CC5E2D">
            <w:pPr>
              <w:spacing w:after="0" w:line="240" w:lineRule="auto"/>
              <w:jc w:val="center"/>
              <w:rPr>
                <w:rFonts w:eastAsia="PMingLiU"/>
                <w:b/>
                <w:color w:val="000000"/>
              </w:rPr>
            </w:pPr>
          </w:p>
        </w:tc>
        <w:tc>
          <w:tcPr>
            <w:tcW w:w="4927" w:type="dxa"/>
            <w:shd w:val="clear" w:color="auto" w:fill="auto"/>
          </w:tcPr>
          <w:p w14:paraId="54368A45" w14:textId="77777777" w:rsidR="00E559DE" w:rsidRPr="00FE350C" w:rsidRDefault="00E559DE" w:rsidP="00CC5E2D">
            <w:pPr>
              <w:spacing w:after="0" w:line="240" w:lineRule="auto"/>
              <w:jc w:val="center"/>
              <w:rPr>
                <w:rFonts w:eastAsia="宋体"/>
                <w:b/>
              </w:rPr>
            </w:pPr>
            <w:r w:rsidRPr="00FE350C">
              <w:rPr>
                <w:rFonts w:eastAsia="宋体"/>
                <w:b/>
              </w:rPr>
              <w:t>TAM CHUNG WAI</w:t>
            </w:r>
          </w:p>
        </w:tc>
        <w:tc>
          <w:tcPr>
            <w:tcW w:w="2273" w:type="dxa"/>
            <w:shd w:val="clear" w:color="auto" w:fill="auto"/>
          </w:tcPr>
          <w:p w14:paraId="4B634D36" w14:textId="77777777" w:rsidR="00E559DE" w:rsidRPr="00FE350C" w:rsidRDefault="00E559DE" w:rsidP="00CC5E2D">
            <w:pPr>
              <w:spacing w:after="0"/>
              <w:jc w:val="right"/>
              <w:rPr>
                <w:rFonts w:eastAsia="宋体"/>
                <w:b/>
                <w:lang w:val="en-US"/>
              </w:rPr>
            </w:pPr>
            <w:r w:rsidRPr="00FE350C">
              <w:rPr>
                <w:rFonts w:eastAsia="宋体"/>
                <w:b/>
                <w:lang w:val="en-US"/>
              </w:rPr>
              <w:t>2</w:t>
            </w:r>
            <w:r w:rsidRPr="00FE350C">
              <w:rPr>
                <w:rFonts w:eastAsia="宋体"/>
                <w:b/>
                <w:vertAlign w:val="superscript"/>
                <w:lang w:val="en-US"/>
              </w:rPr>
              <w:t>nd</w:t>
            </w:r>
            <w:r w:rsidRPr="00FE350C">
              <w:rPr>
                <w:rFonts w:eastAsia="宋体"/>
                <w:b/>
                <w:lang w:val="en-US"/>
              </w:rPr>
              <w:t xml:space="preserve"> Applicant</w:t>
            </w:r>
          </w:p>
          <w:p w14:paraId="3B95E9C8" w14:textId="77777777" w:rsidR="00E559DE" w:rsidRPr="00FE350C" w:rsidRDefault="00E559DE" w:rsidP="00CC5E2D">
            <w:pPr>
              <w:spacing w:after="0"/>
              <w:jc w:val="right"/>
              <w:rPr>
                <w:rFonts w:eastAsia="宋体"/>
                <w:b/>
                <w:lang w:val="en-US"/>
              </w:rPr>
            </w:pPr>
            <w:r w:rsidRPr="00FE350C">
              <w:rPr>
                <w:rFonts w:eastAsia="宋体"/>
                <w:b/>
                <w:lang w:val="en-US"/>
              </w:rPr>
              <w:t xml:space="preserve"> (2</w:t>
            </w:r>
            <w:r w:rsidRPr="00FE350C">
              <w:rPr>
                <w:rFonts w:eastAsia="宋体"/>
                <w:b/>
                <w:vertAlign w:val="superscript"/>
                <w:lang w:val="en-US"/>
              </w:rPr>
              <w:t>nd</w:t>
            </w:r>
            <w:r w:rsidRPr="00FE350C">
              <w:rPr>
                <w:rFonts w:eastAsia="宋体"/>
                <w:b/>
                <w:lang w:val="en-US"/>
              </w:rPr>
              <w:t xml:space="preserve"> Appellant)</w:t>
            </w:r>
          </w:p>
        </w:tc>
      </w:tr>
      <w:tr w:rsidR="00E559DE" w:rsidRPr="00FE350C" w14:paraId="223B4A91" w14:textId="77777777" w:rsidTr="00FE350C">
        <w:tc>
          <w:tcPr>
            <w:tcW w:w="1728" w:type="dxa"/>
            <w:shd w:val="clear" w:color="auto" w:fill="auto"/>
          </w:tcPr>
          <w:p w14:paraId="22734AB9" w14:textId="77777777" w:rsidR="00E559DE" w:rsidRPr="00FE350C" w:rsidRDefault="00E559DE" w:rsidP="00CC5E2D">
            <w:pPr>
              <w:spacing w:after="0" w:line="240" w:lineRule="auto"/>
              <w:jc w:val="center"/>
              <w:rPr>
                <w:rFonts w:eastAsia="PMingLiU"/>
                <w:b/>
                <w:color w:val="000000"/>
              </w:rPr>
            </w:pPr>
          </w:p>
        </w:tc>
        <w:tc>
          <w:tcPr>
            <w:tcW w:w="4927" w:type="dxa"/>
            <w:shd w:val="clear" w:color="auto" w:fill="auto"/>
          </w:tcPr>
          <w:p w14:paraId="3C066610" w14:textId="77777777" w:rsidR="00E559DE" w:rsidRPr="00FE350C" w:rsidRDefault="00E559DE" w:rsidP="00CC5E2D">
            <w:pPr>
              <w:spacing w:after="0" w:line="240" w:lineRule="auto"/>
              <w:jc w:val="center"/>
              <w:rPr>
                <w:rFonts w:eastAsia="宋体"/>
                <w:b/>
              </w:rPr>
            </w:pPr>
            <w:r w:rsidRPr="00FE350C">
              <w:rPr>
                <w:rFonts w:eastAsia="宋体"/>
                <w:b/>
              </w:rPr>
              <w:t>KONG CHAN</w:t>
            </w:r>
          </w:p>
        </w:tc>
        <w:tc>
          <w:tcPr>
            <w:tcW w:w="2273" w:type="dxa"/>
            <w:shd w:val="clear" w:color="auto" w:fill="auto"/>
          </w:tcPr>
          <w:p w14:paraId="5C864465" w14:textId="77777777" w:rsidR="00E559DE" w:rsidRPr="00FE350C" w:rsidRDefault="00E559DE" w:rsidP="00CC5E2D">
            <w:pPr>
              <w:spacing w:after="0"/>
              <w:jc w:val="right"/>
              <w:rPr>
                <w:rFonts w:eastAsia="宋体"/>
                <w:b/>
                <w:lang w:val="en-US"/>
              </w:rPr>
            </w:pPr>
            <w:r w:rsidRPr="00FE350C">
              <w:rPr>
                <w:rFonts w:eastAsia="宋体"/>
                <w:b/>
                <w:lang w:val="en-US"/>
              </w:rPr>
              <w:t>3</w:t>
            </w:r>
            <w:r w:rsidRPr="00FE350C">
              <w:rPr>
                <w:rFonts w:eastAsia="宋体"/>
                <w:b/>
                <w:vertAlign w:val="superscript"/>
                <w:lang w:val="en-US"/>
              </w:rPr>
              <w:t>rd</w:t>
            </w:r>
            <w:r w:rsidRPr="00FE350C">
              <w:rPr>
                <w:rFonts w:eastAsia="宋体"/>
                <w:b/>
                <w:lang w:val="en-US"/>
              </w:rPr>
              <w:t xml:space="preserve"> Applicant</w:t>
            </w:r>
          </w:p>
          <w:p w14:paraId="25FAD147" w14:textId="77777777" w:rsidR="00E559DE" w:rsidRPr="00FE350C" w:rsidRDefault="00E559DE" w:rsidP="00CC5E2D">
            <w:pPr>
              <w:spacing w:after="0"/>
              <w:jc w:val="right"/>
              <w:rPr>
                <w:rFonts w:eastAsia="宋体"/>
                <w:b/>
                <w:lang w:val="en-US"/>
              </w:rPr>
            </w:pPr>
            <w:r w:rsidRPr="00FE350C">
              <w:rPr>
                <w:rFonts w:eastAsia="宋体"/>
                <w:b/>
                <w:lang w:val="en-US"/>
              </w:rPr>
              <w:t xml:space="preserve"> (3</w:t>
            </w:r>
            <w:r w:rsidRPr="00FE350C">
              <w:rPr>
                <w:rFonts w:eastAsia="宋体"/>
                <w:b/>
                <w:vertAlign w:val="superscript"/>
                <w:lang w:val="en-US"/>
              </w:rPr>
              <w:t>rd</w:t>
            </w:r>
            <w:r w:rsidRPr="00FE350C">
              <w:rPr>
                <w:rFonts w:eastAsia="宋体"/>
                <w:b/>
                <w:lang w:val="en-US"/>
              </w:rPr>
              <w:t xml:space="preserve"> Appellant)</w:t>
            </w:r>
          </w:p>
        </w:tc>
      </w:tr>
      <w:tr w:rsidR="00E559DE" w:rsidRPr="00FE350C" w14:paraId="41D0C906" w14:textId="77777777" w:rsidTr="00FE350C">
        <w:tc>
          <w:tcPr>
            <w:tcW w:w="1728" w:type="dxa"/>
            <w:shd w:val="clear" w:color="auto" w:fill="auto"/>
          </w:tcPr>
          <w:p w14:paraId="57A851E0" w14:textId="77777777" w:rsidR="00E559DE" w:rsidRPr="00FE350C" w:rsidRDefault="00E559DE" w:rsidP="00CC5E2D">
            <w:pPr>
              <w:spacing w:after="0" w:line="240" w:lineRule="auto"/>
              <w:jc w:val="center"/>
              <w:rPr>
                <w:rFonts w:eastAsia="PMingLiU"/>
                <w:b/>
                <w:color w:val="000000"/>
              </w:rPr>
            </w:pPr>
          </w:p>
        </w:tc>
        <w:tc>
          <w:tcPr>
            <w:tcW w:w="4927" w:type="dxa"/>
            <w:shd w:val="clear" w:color="auto" w:fill="auto"/>
          </w:tcPr>
          <w:p w14:paraId="6F59D6DD" w14:textId="77777777" w:rsidR="00E559DE" w:rsidRPr="00FE350C" w:rsidRDefault="00E559DE" w:rsidP="00CC5E2D">
            <w:pPr>
              <w:spacing w:after="0" w:line="240" w:lineRule="auto"/>
              <w:jc w:val="center"/>
              <w:rPr>
                <w:rFonts w:eastAsia="PMingLiU"/>
                <w:b/>
                <w:color w:val="000000"/>
              </w:rPr>
            </w:pPr>
            <w:r w:rsidRPr="00FE350C">
              <w:rPr>
                <w:rFonts w:eastAsia="PMingLiU"/>
                <w:b/>
                <w:color w:val="000000"/>
              </w:rPr>
              <w:t>LEE KA LO</w:t>
            </w:r>
          </w:p>
        </w:tc>
        <w:tc>
          <w:tcPr>
            <w:tcW w:w="2273" w:type="dxa"/>
            <w:shd w:val="clear" w:color="auto" w:fill="auto"/>
          </w:tcPr>
          <w:p w14:paraId="6494C9FA" w14:textId="77777777" w:rsidR="00E559DE" w:rsidRPr="00FE350C" w:rsidRDefault="00E559DE" w:rsidP="00CC5E2D">
            <w:pPr>
              <w:spacing w:after="0"/>
              <w:jc w:val="right"/>
              <w:rPr>
                <w:rFonts w:eastAsia="宋体"/>
                <w:b/>
                <w:lang w:val="en-US"/>
              </w:rPr>
            </w:pPr>
            <w:r w:rsidRPr="00FE350C">
              <w:rPr>
                <w:rFonts w:eastAsia="宋体"/>
                <w:b/>
                <w:lang w:val="en-US"/>
              </w:rPr>
              <w:t>4</w:t>
            </w:r>
            <w:r w:rsidRPr="00FE350C">
              <w:rPr>
                <w:rFonts w:eastAsia="宋体"/>
                <w:b/>
                <w:vertAlign w:val="superscript"/>
                <w:lang w:val="en-US"/>
              </w:rPr>
              <w:t>th</w:t>
            </w:r>
            <w:r w:rsidRPr="00FE350C">
              <w:rPr>
                <w:rFonts w:eastAsia="宋体"/>
                <w:b/>
                <w:lang w:val="en-US"/>
              </w:rPr>
              <w:t xml:space="preserve"> Applicant</w:t>
            </w:r>
          </w:p>
          <w:p w14:paraId="3B157907" w14:textId="77777777" w:rsidR="00E559DE" w:rsidRPr="00FE350C" w:rsidRDefault="00E559DE" w:rsidP="00CC5E2D">
            <w:pPr>
              <w:spacing w:after="0"/>
              <w:jc w:val="right"/>
              <w:rPr>
                <w:rFonts w:eastAsia="宋体"/>
                <w:b/>
                <w:lang w:val="en-US"/>
              </w:rPr>
            </w:pPr>
            <w:r w:rsidRPr="00FE350C">
              <w:rPr>
                <w:rFonts w:eastAsia="宋体"/>
                <w:b/>
                <w:lang w:val="en-US"/>
              </w:rPr>
              <w:t xml:space="preserve"> (4</w:t>
            </w:r>
            <w:r w:rsidRPr="00FE350C">
              <w:rPr>
                <w:rFonts w:eastAsia="宋体"/>
                <w:b/>
                <w:vertAlign w:val="superscript"/>
                <w:lang w:val="en-US"/>
              </w:rPr>
              <w:t>th</w:t>
            </w:r>
            <w:r w:rsidRPr="00FE350C">
              <w:rPr>
                <w:rFonts w:eastAsia="宋体"/>
                <w:b/>
                <w:lang w:val="en-US"/>
              </w:rPr>
              <w:t xml:space="preserve"> Appellant)</w:t>
            </w:r>
          </w:p>
        </w:tc>
      </w:tr>
      <w:tr w:rsidR="00E559DE" w:rsidRPr="00FE350C" w14:paraId="650376F3" w14:textId="77777777" w:rsidTr="00FE350C">
        <w:tc>
          <w:tcPr>
            <w:tcW w:w="1728" w:type="dxa"/>
            <w:shd w:val="clear" w:color="auto" w:fill="auto"/>
          </w:tcPr>
          <w:p w14:paraId="01BCCFF6" w14:textId="77777777" w:rsidR="00E559DE" w:rsidRPr="00FE350C" w:rsidRDefault="00E559DE" w:rsidP="00CC5E2D">
            <w:pPr>
              <w:spacing w:after="0" w:line="240" w:lineRule="auto"/>
              <w:rPr>
                <w:rFonts w:eastAsia="PMingLiU"/>
                <w:b/>
                <w:color w:val="000000"/>
              </w:rPr>
            </w:pPr>
          </w:p>
        </w:tc>
        <w:tc>
          <w:tcPr>
            <w:tcW w:w="4927" w:type="dxa"/>
            <w:shd w:val="clear" w:color="auto" w:fill="auto"/>
          </w:tcPr>
          <w:p w14:paraId="4382CF9B" w14:textId="77777777" w:rsidR="00E559DE" w:rsidRPr="00FE350C" w:rsidRDefault="00E559DE" w:rsidP="00CC5E2D">
            <w:pPr>
              <w:spacing w:after="0" w:line="240" w:lineRule="auto"/>
              <w:jc w:val="center"/>
              <w:rPr>
                <w:rFonts w:eastAsia="PMingLiU"/>
                <w:b/>
                <w:color w:val="000000"/>
              </w:rPr>
            </w:pPr>
            <w:r w:rsidRPr="00FE350C">
              <w:rPr>
                <w:rFonts w:eastAsia="PMingLiU"/>
                <w:b/>
                <w:color w:val="000000"/>
              </w:rPr>
              <w:t>and</w:t>
            </w:r>
          </w:p>
          <w:p w14:paraId="0C6352D8" w14:textId="77777777" w:rsidR="00E559DE" w:rsidRPr="00FE350C" w:rsidRDefault="00E559DE" w:rsidP="00CC5E2D">
            <w:pPr>
              <w:spacing w:after="0" w:line="240" w:lineRule="auto"/>
              <w:jc w:val="center"/>
              <w:rPr>
                <w:rFonts w:eastAsia="PMingLiU"/>
                <w:b/>
                <w:color w:val="000000"/>
              </w:rPr>
            </w:pPr>
          </w:p>
        </w:tc>
        <w:tc>
          <w:tcPr>
            <w:tcW w:w="2273" w:type="dxa"/>
            <w:shd w:val="clear" w:color="auto" w:fill="auto"/>
          </w:tcPr>
          <w:p w14:paraId="596DD14E" w14:textId="77777777" w:rsidR="00E559DE" w:rsidRPr="00FE350C" w:rsidRDefault="00E559DE" w:rsidP="00CC5E2D">
            <w:pPr>
              <w:jc w:val="right"/>
              <w:rPr>
                <w:rFonts w:eastAsia="PMingLiU"/>
                <w:b/>
              </w:rPr>
            </w:pPr>
          </w:p>
        </w:tc>
      </w:tr>
      <w:tr w:rsidR="00E559DE" w:rsidRPr="00FE350C" w14:paraId="1D592F55" w14:textId="77777777" w:rsidTr="00FE350C">
        <w:tc>
          <w:tcPr>
            <w:tcW w:w="1728" w:type="dxa"/>
            <w:shd w:val="clear" w:color="auto" w:fill="auto"/>
          </w:tcPr>
          <w:p w14:paraId="50F72B68" w14:textId="77777777" w:rsidR="00E559DE" w:rsidRPr="00FE350C" w:rsidRDefault="00E559DE" w:rsidP="00CC5E2D">
            <w:pPr>
              <w:spacing w:after="0" w:line="240" w:lineRule="auto"/>
              <w:jc w:val="center"/>
              <w:rPr>
                <w:rFonts w:eastAsia="PMingLiU"/>
                <w:b/>
                <w:color w:val="000000"/>
              </w:rPr>
            </w:pPr>
          </w:p>
        </w:tc>
        <w:tc>
          <w:tcPr>
            <w:tcW w:w="4927" w:type="dxa"/>
            <w:shd w:val="clear" w:color="auto" w:fill="auto"/>
          </w:tcPr>
          <w:p w14:paraId="35491A89" w14:textId="77777777" w:rsidR="00E559DE" w:rsidRPr="00FE350C" w:rsidRDefault="00E559DE" w:rsidP="00CC5E2D">
            <w:pPr>
              <w:spacing w:after="0" w:line="240" w:lineRule="auto"/>
              <w:jc w:val="center"/>
              <w:rPr>
                <w:rFonts w:eastAsia="PMingLiU"/>
                <w:b/>
                <w:color w:val="000000"/>
              </w:rPr>
            </w:pPr>
            <w:r w:rsidRPr="00FE350C">
              <w:rPr>
                <w:rFonts w:eastAsia="宋体"/>
                <w:b/>
              </w:rPr>
              <w:t>COMMISSIONER OF POLICE</w:t>
            </w:r>
          </w:p>
        </w:tc>
        <w:tc>
          <w:tcPr>
            <w:tcW w:w="2273" w:type="dxa"/>
            <w:shd w:val="clear" w:color="auto" w:fill="auto"/>
          </w:tcPr>
          <w:p w14:paraId="508BC6DF" w14:textId="77777777" w:rsidR="00E559DE" w:rsidRPr="00FE350C" w:rsidRDefault="00E559DE" w:rsidP="00CC5E2D">
            <w:pPr>
              <w:jc w:val="right"/>
              <w:rPr>
                <w:rFonts w:eastAsia="宋体"/>
                <w:b/>
                <w:lang w:val="en-US"/>
              </w:rPr>
            </w:pPr>
            <w:r w:rsidRPr="00FE350C">
              <w:rPr>
                <w:rFonts w:eastAsia="宋体"/>
                <w:b/>
                <w:lang w:val="en-US"/>
              </w:rPr>
              <w:t>Respondent</w:t>
            </w:r>
          </w:p>
        </w:tc>
      </w:tr>
    </w:tbl>
    <w:p w14:paraId="01798CF3" w14:textId="77777777" w:rsidR="00E559DE" w:rsidRPr="00E559DE" w:rsidRDefault="00E559DE" w:rsidP="00E559DE">
      <w:pPr>
        <w:spacing w:after="0"/>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tblGrid>
      <w:tr w:rsidR="00E559DE" w:rsidRPr="00E559DE" w14:paraId="1F50D055" w14:textId="77777777" w:rsidTr="00CC5E2D">
        <w:trPr>
          <w:jc w:val="center"/>
        </w:trPr>
        <w:tc>
          <w:tcPr>
            <w:tcW w:w="4320" w:type="dxa"/>
            <w:tcBorders>
              <w:top w:val="nil"/>
              <w:left w:val="nil"/>
              <w:right w:val="nil"/>
            </w:tcBorders>
            <w:shd w:val="clear" w:color="auto" w:fill="auto"/>
          </w:tcPr>
          <w:p w14:paraId="2F20FB2E" w14:textId="77777777" w:rsidR="00E559DE" w:rsidRPr="00E559DE" w:rsidRDefault="00E559DE" w:rsidP="00CC5E2D">
            <w:pPr>
              <w:pStyle w:val="MF"/>
              <w:rPr>
                <w:szCs w:val="28"/>
                <w:lang w:eastAsia="zh-TW"/>
              </w:rPr>
            </w:pPr>
          </w:p>
        </w:tc>
      </w:tr>
    </w:tbl>
    <w:p w14:paraId="7A5509D4" w14:textId="77777777" w:rsidR="00E559DE" w:rsidRPr="00E559DE" w:rsidRDefault="00E559DE" w:rsidP="00E559DE">
      <w:pPr>
        <w:spacing w:after="0" w:line="240" w:lineRule="auto"/>
        <w:jc w:val="center"/>
        <w:rPr>
          <w:color w:val="000000"/>
          <w:lang w:eastAsia="zh-TW"/>
        </w:rPr>
      </w:pPr>
    </w:p>
    <w:p w14:paraId="2B67145F" w14:textId="77777777" w:rsidR="00E559DE" w:rsidRPr="00E559DE" w:rsidRDefault="00E559DE" w:rsidP="00E559DE">
      <w:pPr>
        <w:spacing w:after="0" w:line="240" w:lineRule="auto"/>
        <w:jc w:val="center"/>
        <w:rPr>
          <w:color w:val="000000"/>
          <w:lang w:eastAsia="zh-TW"/>
        </w:rPr>
      </w:pPr>
    </w:p>
    <w:tbl>
      <w:tblPr>
        <w:tblW w:w="0" w:type="auto"/>
        <w:tblLook w:val="04A0" w:firstRow="1" w:lastRow="0" w:firstColumn="1" w:lastColumn="0" w:noHBand="0" w:noVBand="1"/>
      </w:tblPr>
      <w:tblGrid>
        <w:gridCol w:w="2340"/>
        <w:gridCol w:w="6686"/>
      </w:tblGrid>
      <w:tr w:rsidR="00E559DE" w:rsidRPr="00E559DE" w14:paraId="3D6337BA" w14:textId="77777777" w:rsidTr="00CC5E2D">
        <w:trPr>
          <w:trHeight w:val="1008"/>
        </w:trPr>
        <w:tc>
          <w:tcPr>
            <w:tcW w:w="2340" w:type="dxa"/>
            <w:shd w:val="clear" w:color="auto" w:fill="auto"/>
          </w:tcPr>
          <w:p w14:paraId="2C85569B" w14:textId="77777777" w:rsidR="00E559DE" w:rsidRPr="00E559DE" w:rsidRDefault="00E559DE" w:rsidP="00CC5E2D">
            <w:pPr>
              <w:spacing w:after="0" w:line="240" w:lineRule="auto"/>
              <w:rPr>
                <w:rFonts w:eastAsia="宋体"/>
                <w:color w:val="FF0000"/>
                <w:lang w:val="en-US"/>
              </w:rPr>
            </w:pPr>
            <w:r w:rsidRPr="00E559DE">
              <w:rPr>
                <w:rFonts w:eastAsia="宋体"/>
              </w:rPr>
              <w:t>Before</w:t>
            </w:r>
            <w:r w:rsidRPr="00E559DE">
              <w:rPr>
                <w:rFonts w:eastAsia="宋体"/>
                <w:lang w:val="en-US"/>
              </w:rPr>
              <w:t>:</w:t>
            </w:r>
          </w:p>
        </w:tc>
        <w:tc>
          <w:tcPr>
            <w:tcW w:w="6686" w:type="dxa"/>
            <w:shd w:val="clear" w:color="auto" w:fill="auto"/>
          </w:tcPr>
          <w:p w14:paraId="125846D6" w14:textId="77777777" w:rsidR="00E559DE" w:rsidRPr="00E559DE" w:rsidRDefault="00E559DE" w:rsidP="00CC5E2D">
            <w:pPr>
              <w:adjustRightInd w:val="0"/>
              <w:snapToGrid w:val="0"/>
              <w:spacing w:after="0" w:line="240" w:lineRule="auto"/>
              <w:rPr>
                <w:rFonts w:eastAsia="宋体"/>
                <w:lang w:val="en-US"/>
              </w:rPr>
            </w:pPr>
            <w:r w:rsidRPr="00E559DE">
              <w:rPr>
                <w:rFonts w:eastAsia="宋体"/>
                <w:lang w:val="en-US"/>
              </w:rPr>
              <w:t xml:space="preserve">Chief Justice Cheung, </w:t>
            </w:r>
            <w:proofErr w:type="spellStart"/>
            <w:r w:rsidRPr="00E559DE">
              <w:rPr>
                <w:rFonts w:eastAsia="宋体"/>
                <w:lang w:val="en-US"/>
              </w:rPr>
              <w:t>Mr</w:t>
            </w:r>
            <w:proofErr w:type="spellEnd"/>
            <w:r w:rsidRPr="00E559DE">
              <w:rPr>
                <w:rFonts w:eastAsia="宋体"/>
                <w:lang w:val="en-US"/>
              </w:rPr>
              <w:t xml:space="preserve"> Justice Ribeiro PJ, </w:t>
            </w:r>
          </w:p>
          <w:p w14:paraId="5FA24101" w14:textId="77777777" w:rsidR="00E559DE" w:rsidRPr="00E559DE" w:rsidRDefault="00E559DE" w:rsidP="00CC5E2D">
            <w:pPr>
              <w:adjustRightInd w:val="0"/>
              <w:snapToGrid w:val="0"/>
              <w:spacing w:after="0" w:line="240" w:lineRule="auto"/>
              <w:rPr>
                <w:rFonts w:eastAsia="宋体"/>
                <w:lang w:val="en-US"/>
              </w:rPr>
            </w:pPr>
            <w:proofErr w:type="spellStart"/>
            <w:r w:rsidRPr="00E559DE">
              <w:rPr>
                <w:rFonts w:eastAsia="宋体"/>
                <w:lang w:val="en-US"/>
              </w:rPr>
              <w:t>Mr</w:t>
            </w:r>
            <w:proofErr w:type="spellEnd"/>
            <w:r w:rsidRPr="00E559DE">
              <w:rPr>
                <w:rFonts w:eastAsia="宋体"/>
                <w:lang w:val="en-US"/>
              </w:rPr>
              <w:t xml:space="preserve"> Justice </w:t>
            </w:r>
            <w:proofErr w:type="spellStart"/>
            <w:r w:rsidRPr="00E559DE">
              <w:rPr>
                <w:rFonts w:eastAsia="宋体"/>
                <w:lang w:val="en-US"/>
              </w:rPr>
              <w:t>Fok</w:t>
            </w:r>
            <w:proofErr w:type="spellEnd"/>
            <w:r w:rsidRPr="00E559DE">
              <w:rPr>
                <w:rFonts w:eastAsia="宋体"/>
                <w:lang w:val="en-US"/>
              </w:rPr>
              <w:t xml:space="preserve"> PJ, </w:t>
            </w:r>
            <w:proofErr w:type="spellStart"/>
            <w:r w:rsidRPr="00E559DE">
              <w:rPr>
                <w:rFonts w:eastAsia="宋体"/>
                <w:lang w:val="en-US"/>
              </w:rPr>
              <w:t>Mr</w:t>
            </w:r>
            <w:proofErr w:type="spellEnd"/>
            <w:r w:rsidRPr="00E559DE">
              <w:rPr>
                <w:rFonts w:eastAsia="宋体"/>
                <w:lang w:val="en-US"/>
              </w:rPr>
              <w:t xml:space="preserve"> Justice Lam PJ and </w:t>
            </w:r>
          </w:p>
          <w:p w14:paraId="6EA4A538" w14:textId="77777777" w:rsidR="00E559DE" w:rsidRPr="00E559DE" w:rsidRDefault="00E559DE" w:rsidP="00CC5E2D">
            <w:pPr>
              <w:adjustRightInd w:val="0"/>
              <w:snapToGrid w:val="0"/>
              <w:spacing w:after="0" w:line="240" w:lineRule="auto"/>
              <w:rPr>
                <w:rFonts w:eastAsia="宋体"/>
                <w:lang w:val="en-US"/>
              </w:rPr>
            </w:pPr>
            <w:r w:rsidRPr="00E559DE">
              <w:rPr>
                <w:rFonts w:eastAsia="宋体"/>
                <w:color w:val="000000"/>
                <w:kern w:val="0"/>
                <w:lang w:val="en-US"/>
              </w:rPr>
              <w:t xml:space="preserve">Lord Collins of </w:t>
            </w:r>
            <w:proofErr w:type="spellStart"/>
            <w:r w:rsidRPr="00E559DE">
              <w:rPr>
                <w:rFonts w:eastAsia="宋体"/>
                <w:color w:val="000000"/>
                <w:kern w:val="0"/>
                <w:lang w:val="en-US"/>
              </w:rPr>
              <w:t>Mapesbury</w:t>
            </w:r>
            <w:proofErr w:type="spellEnd"/>
            <w:r w:rsidRPr="00E559DE">
              <w:rPr>
                <w:rFonts w:eastAsia="宋体"/>
                <w:color w:val="000000"/>
                <w:kern w:val="0"/>
                <w:lang w:val="en-US"/>
              </w:rPr>
              <w:t xml:space="preserve"> NPJ</w:t>
            </w:r>
          </w:p>
        </w:tc>
      </w:tr>
      <w:tr w:rsidR="00E559DE" w:rsidRPr="00E559DE" w14:paraId="4DF4AA17" w14:textId="77777777" w:rsidTr="00CC5E2D">
        <w:trPr>
          <w:trHeight w:val="963"/>
        </w:trPr>
        <w:tc>
          <w:tcPr>
            <w:tcW w:w="2340" w:type="dxa"/>
            <w:shd w:val="clear" w:color="auto" w:fill="auto"/>
          </w:tcPr>
          <w:p w14:paraId="225DA114" w14:textId="77777777" w:rsidR="00E559DE" w:rsidRPr="00E559DE" w:rsidRDefault="00E559DE" w:rsidP="00CC5E2D">
            <w:pPr>
              <w:spacing w:after="0" w:line="240" w:lineRule="auto"/>
              <w:rPr>
                <w:rFonts w:eastAsia="宋体"/>
                <w:color w:val="FF0000"/>
                <w:lang w:val="en-US"/>
              </w:rPr>
            </w:pPr>
          </w:p>
          <w:p w14:paraId="7CF9532E" w14:textId="77777777" w:rsidR="00E559DE" w:rsidRPr="00E559DE" w:rsidRDefault="00E559DE" w:rsidP="00CC5E2D">
            <w:pPr>
              <w:spacing w:after="0" w:line="240" w:lineRule="auto"/>
              <w:rPr>
                <w:rFonts w:eastAsia="宋体"/>
                <w:color w:val="FF0000"/>
                <w:lang w:val="en-US"/>
              </w:rPr>
            </w:pPr>
            <w:r w:rsidRPr="00E559DE">
              <w:rPr>
                <w:rFonts w:eastAsia="宋体"/>
                <w:lang w:val="en-US"/>
              </w:rPr>
              <w:t>Date of Judgment:</w:t>
            </w:r>
          </w:p>
        </w:tc>
        <w:tc>
          <w:tcPr>
            <w:tcW w:w="6686" w:type="dxa"/>
            <w:shd w:val="clear" w:color="auto" w:fill="auto"/>
          </w:tcPr>
          <w:p w14:paraId="03F90087" w14:textId="77777777" w:rsidR="00E559DE" w:rsidRPr="00E559DE" w:rsidRDefault="00E559DE" w:rsidP="00CC5E2D">
            <w:pPr>
              <w:adjustRightInd w:val="0"/>
              <w:snapToGrid w:val="0"/>
              <w:spacing w:after="0" w:line="240" w:lineRule="auto"/>
              <w:rPr>
                <w:rFonts w:eastAsia="宋体"/>
                <w:lang w:val="en-US"/>
              </w:rPr>
            </w:pPr>
          </w:p>
          <w:p w14:paraId="0295F56B" w14:textId="6A862AF4" w:rsidR="00E559DE" w:rsidRPr="00E559DE" w:rsidRDefault="0099296B" w:rsidP="00CC5E2D">
            <w:pPr>
              <w:adjustRightInd w:val="0"/>
              <w:snapToGrid w:val="0"/>
              <w:spacing w:after="0" w:line="240" w:lineRule="auto"/>
              <w:rPr>
                <w:rFonts w:eastAsia="宋体"/>
                <w:lang w:val="en-US"/>
              </w:rPr>
            </w:pPr>
            <w:bookmarkStart w:id="0" w:name="_GoBack"/>
            <w:r w:rsidRPr="0099296B">
              <w:rPr>
                <w:rFonts w:eastAsia="宋体"/>
                <w:lang w:val="en-US"/>
              </w:rPr>
              <w:t>20</w:t>
            </w:r>
            <w:bookmarkEnd w:id="0"/>
            <w:r w:rsidR="00E559DE" w:rsidRPr="00E559DE">
              <w:rPr>
                <w:rFonts w:eastAsia="宋体"/>
                <w:color w:val="FF0000"/>
                <w:lang w:val="en-US"/>
              </w:rPr>
              <w:t xml:space="preserve"> </w:t>
            </w:r>
            <w:r w:rsidR="00E559DE" w:rsidRPr="00E559DE">
              <w:rPr>
                <w:rFonts w:eastAsia="宋体"/>
                <w:lang w:val="en-US"/>
              </w:rPr>
              <w:t>June 2024</w:t>
            </w:r>
          </w:p>
        </w:tc>
      </w:tr>
    </w:tbl>
    <w:p w14:paraId="3E2E123E" w14:textId="77777777" w:rsidR="00E559DE" w:rsidRPr="00E559DE" w:rsidRDefault="00E559DE" w:rsidP="00E559DE">
      <w:pPr>
        <w:pStyle w:val="BodyTextIndent"/>
        <w:tabs>
          <w:tab w:val="left" w:pos="0"/>
          <w:tab w:val="left" w:pos="540"/>
        </w:tabs>
        <w:ind w:left="0" w:right="118" w:firstLine="0"/>
        <w:rPr>
          <w:sz w:val="28"/>
          <w:szCs w:val="28"/>
        </w:rPr>
      </w:pPr>
      <w:r w:rsidRPr="00E559DE">
        <w:rPr>
          <w:sz w:val="28"/>
          <w:szCs w:val="28"/>
        </w:rPr>
        <w:tab/>
      </w:r>
      <w:r w:rsidRPr="00E559DE">
        <w:rPr>
          <w:sz w:val="28"/>
          <w:szCs w:val="28"/>
        </w:rPr>
        <w:tab/>
      </w:r>
      <w:r w:rsidRPr="00E559DE">
        <w:rPr>
          <w:sz w:val="28"/>
          <w:szCs w:val="28"/>
        </w:rPr>
        <w:tab/>
      </w:r>
      <w:r w:rsidRPr="00E559DE">
        <w:rPr>
          <w:sz w:val="28"/>
          <w:szCs w:val="28"/>
        </w:rPr>
        <w:tab/>
      </w:r>
      <w:r w:rsidRPr="00E559DE">
        <w:rPr>
          <w:sz w:val="28"/>
          <w:szCs w:val="28"/>
        </w:rPr>
        <w:tab/>
      </w:r>
    </w:p>
    <w:tbl>
      <w:tblPr>
        <w:tblW w:w="0" w:type="auto"/>
        <w:jc w:val="center"/>
        <w:tblBorders>
          <w:top w:val="single" w:sz="4" w:space="0" w:color="auto"/>
          <w:bottom w:val="single" w:sz="4" w:space="0" w:color="auto"/>
        </w:tblBorders>
        <w:tblLook w:val="04A0" w:firstRow="1" w:lastRow="0" w:firstColumn="1" w:lastColumn="0" w:noHBand="0" w:noVBand="1"/>
      </w:tblPr>
      <w:tblGrid>
        <w:gridCol w:w="4320"/>
      </w:tblGrid>
      <w:tr w:rsidR="00E559DE" w:rsidRPr="00FE350C" w14:paraId="00136A87" w14:textId="77777777" w:rsidTr="00CC5E2D">
        <w:trPr>
          <w:jc w:val="center"/>
        </w:trPr>
        <w:tc>
          <w:tcPr>
            <w:tcW w:w="4320" w:type="dxa"/>
          </w:tcPr>
          <w:p w14:paraId="087EB5DC" w14:textId="77777777" w:rsidR="00E559DE" w:rsidRPr="00FE350C" w:rsidRDefault="00E559DE" w:rsidP="00CC5E2D">
            <w:pPr>
              <w:pStyle w:val="sh"/>
              <w:tabs>
                <w:tab w:val="clear" w:pos="720"/>
              </w:tabs>
              <w:snapToGrid w:val="0"/>
              <w:spacing w:before="240" w:after="240"/>
              <w:jc w:val="center"/>
              <w:rPr>
                <w:rFonts w:ascii="Times New Roman Bold" w:hAnsi="Times New Roman Bold" w:hint="eastAsia"/>
                <w:b/>
                <w:spacing w:val="22"/>
                <w:szCs w:val="28"/>
              </w:rPr>
            </w:pPr>
            <w:r w:rsidRPr="00FE350C">
              <w:rPr>
                <w:rFonts w:ascii="Times New Roman Bold" w:hAnsi="Times New Roman Bold"/>
                <w:b/>
                <w:spacing w:val="22"/>
                <w:szCs w:val="28"/>
              </w:rPr>
              <w:t>JUDGMENT ON COSTS</w:t>
            </w:r>
          </w:p>
        </w:tc>
      </w:tr>
    </w:tbl>
    <w:p w14:paraId="03EA79F7" w14:textId="77777777" w:rsidR="00E559DE" w:rsidRPr="00E559DE" w:rsidRDefault="00E559DE" w:rsidP="00E559DE"/>
    <w:p w14:paraId="55559FB2" w14:textId="77777777" w:rsidR="00E559DE" w:rsidRPr="00E559DE" w:rsidRDefault="00E559DE" w:rsidP="00E559DE">
      <w:pPr>
        <w:spacing w:after="0" w:line="240" w:lineRule="auto"/>
        <w:rPr>
          <w:b/>
          <w:lang w:eastAsia="zh-TW"/>
        </w:rPr>
      </w:pPr>
      <w:r w:rsidRPr="00E559DE">
        <w:rPr>
          <w:b/>
          <w:lang w:eastAsia="zh-TW"/>
        </w:rPr>
        <w:br w:type="page"/>
      </w:r>
    </w:p>
    <w:p w14:paraId="4C04A9E5" w14:textId="77777777" w:rsidR="00B76271" w:rsidRPr="00E559DE" w:rsidRDefault="00B76271"/>
    <w:p w14:paraId="108196AF" w14:textId="101C746D" w:rsidR="00105987" w:rsidRPr="00E559DE" w:rsidRDefault="00105987">
      <w:r w:rsidRPr="00E559DE">
        <w:rPr>
          <w:b/>
          <w:bCs/>
        </w:rPr>
        <w:t xml:space="preserve">Chief Justice Cheung and </w:t>
      </w:r>
      <w:r w:rsidR="00307D27" w:rsidRPr="00E559DE">
        <w:rPr>
          <w:b/>
          <w:bCs/>
        </w:rPr>
        <w:t xml:space="preserve">Mr Justice Ribeiro </w:t>
      </w:r>
      <w:r w:rsidR="009E534E" w:rsidRPr="00E559DE">
        <w:rPr>
          <w:b/>
          <w:bCs/>
        </w:rPr>
        <w:t>PJ</w:t>
      </w:r>
      <w:r w:rsidR="00FE350C">
        <w:rPr>
          <w:b/>
          <w:bCs/>
        </w:rPr>
        <w:t>:</w:t>
      </w:r>
    </w:p>
    <w:p w14:paraId="0D324424" w14:textId="3BD9A8A1" w:rsidR="00307D27" w:rsidRDefault="001F1F7D" w:rsidP="00FE350C">
      <w:pPr>
        <w:pStyle w:val="Bob1"/>
        <w:tabs>
          <w:tab w:val="clear" w:pos="720"/>
          <w:tab w:val="left" w:pos="1440"/>
        </w:tabs>
        <w:ind w:left="0" w:firstLine="0"/>
        <w:jc w:val="both"/>
      </w:pPr>
      <w:r w:rsidRPr="00E559DE">
        <w:t xml:space="preserve">This is the Court’s judgment on costs.  </w:t>
      </w:r>
      <w:r w:rsidR="00307D27" w:rsidRPr="00E559DE">
        <w:t xml:space="preserve">By </w:t>
      </w:r>
      <w:r w:rsidR="003B631F" w:rsidRPr="00E559DE">
        <w:t xml:space="preserve">its </w:t>
      </w:r>
      <w:r w:rsidRPr="00E559DE">
        <w:t xml:space="preserve">main </w:t>
      </w:r>
      <w:r w:rsidR="00307D27" w:rsidRPr="00E559DE">
        <w:t>judgment</w:t>
      </w:r>
      <w:r w:rsidR="003B631F" w:rsidRPr="00E559DE">
        <w:t xml:space="preserve"> dated 10 April 2024,</w:t>
      </w:r>
      <w:r w:rsidR="003B631F" w:rsidRPr="00E559DE">
        <w:rPr>
          <w:rStyle w:val="FootnoteReference"/>
        </w:rPr>
        <w:footnoteReference w:id="1"/>
      </w:r>
      <w:r w:rsidR="00307D27" w:rsidRPr="00E559DE">
        <w:t xml:space="preserve"> the Court </w:t>
      </w:r>
      <w:r w:rsidR="003B631F" w:rsidRPr="00E559DE">
        <w:t xml:space="preserve">unanimously </w:t>
      </w:r>
      <w:r w:rsidR="00307D27" w:rsidRPr="00E559DE">
        <w:t>dismissed the appellants’ appeal in which they had sought to challenge the practice of the CP involving the issue of LNCs to banks regarding their dealing with property suspected to represent the proceeds of indictable offence</w:t>
      </w:r>
      <w:r w:rsidR="003B631F" w:rsidRPr="00E559DE">
        <w:t>s</w:t>
      </w:r>
      <w:r w:rsidR="00307D27" w:rsidRPr="00E559DE">
        <w:t xml:space="preserve"> in the context of OSCO.</w:t>
      </w:r>
      <w:r w:rsidR="003B631F" w:rsidRPr="00E559DE">
        <w:t xml:space="preserve">  The abbreviations used in that judgment </w:t>
      </w:r>
      <w:proofErr w:type="gramStart"/>
      <w:r w:rsidR="003B631F" w:rsidRPr="00E559DE">
        <w:t>are adopted</w:t>
      </w:r>
      <w:proofErr w:type="gramEnd"/>
      <w:r w:rsidR="003B631F" w:rsidRPr="00E559DE">
        <w:t xml:space="preserve"> here.</w:t>
      </w:r>
    </w:p>
    <w:p w14:paraId="763BB6C3" w14:textId="3566CE6F" w:rsidR="003B631F" w:rsidRDefault="003B631F" w:rsidP="00FE350C">
      <w:pPr>
        <w:pStyle w:val="Bob1"/>
        <w:tabs>
          <w:tab w:val="clear" w:pos="720"/>
          <w:tab w:val="left" w:pos="1440"/>
        </w:tabs>
        <w:ind w:left="0" w:firstLine="0"/>
        <w:jc w:val="both"/>
      </w:pPr>
      <w:r w:rsidRPr="00E559DE">
        <w:t>The respondent CP submits that costs should follow the event and seeks an order that the appellants pay his costs here and below</w:t>
      </w:r>
      <w:r w:rsidR="001F1F7D" w:rsidRPr="00E559DE">
        <w:t>,</w:t>
      </w:r>
      <w:r w:rsidRPr="00E559DE">
        <w:t xml:space="preserve"> certified fit for three counsel.  </w:t>
      </w:r>
    </w:p>
    <w:p w14:paraId="5C04AFBC" w14:textId="395CA4B0" w:rsidR="008E0748" w:rsidRDefault="008E0748" w:rsidP="00FE350C">
      <w:pPr>
        <w:pStyle w:val="Bob1"/>
        <w:tabs>
          <w:tab w:val="clear" w:pos="720"/>
          <w:tab w:val="left" w:pos="1440"/>
        </w:tabs>
        <w:ind w:left="0" w:firstLine="0"/>
        <w:jc w:val="both"/>
      </w:pPr>
      <w:r w:rsidRPr="00E559DE">
        <w:t xml:space="preserve">The appellants, on the other hand, submit that </w:t>
      </w:r>
      <w:proofErr w:type="gramStart"/>
      <w:r w:rsidRPr="00E559DE">
        <w:t>there should either</w:t>
      </w:r>
      <w:proofErr w:type="gramEnd"/>
      <w:r w:rsidRPr="00E559DE">
        <w:t xml:space="preserve"> be no order as to costs or that any costs awarded to the CP should be substantially discounted.  This is because, they argue, the Court decided the appeal “fundamentally” on a basis “contrary to the parties’ common position”, holding that the constitutional </w:t>
      </w:r>
      <w:r w:rsidR="00AE44E2" w:rsidRPr="00E559DE">
        <w:t xml:space="preserve">and other </w:t>
      </w:r>
      <w:r w:rsidRPr="00E559DE">
        <w:t xml:space="preserve">rights </w:t>
      </w:r>
      <w:r w:rsidR="00AE44E2" w:rsidRPr="00E559DE">
        <w:t xml:space="preserve">relied on </w:t>
      </w:r>
      <w:r w:rsidRPr="00E559DE">
        <w:t xml:space="preserve">were not engaged.  They also argue that the case was not of such complexity as to justify </w:t>
      </w:r>
      <w:r w:rsidR="00AE44E2" w:rsidRPr="00E559DE">
        <w:t xml:space="preserve">instructing </w:t>
      </w:r>
      <w:r w:rsidRPr="00E559DE">
        <w:t>three counsel.</w:t>
      </w:r>
    </w:p>
    <w:p w14:paraId="223E3EF9" w14:textId="388CD0E5" w:rsidR="00A724A7" w:rsidRDefault="008E0748" w:rsidP="00FE350C">
      <w:pPr>
        <w:pStyle w:val="Bob1"/>
        <w:tabs>
          <w:tab w:val="clear" w:pos="720"/>
          <w:tab w:val="left" w:pos="1440"/>
        </w:tabs>
        <w:ind w:left="0" w:firstLine="0"/>
        <w:jc w:val="both"/>
      </w:pPr>
      <w:r w:rsidRPr="00E559DE">
        <w:t xml:space="preserve">In our view, costs here and below should clearly follow the event.  </w:t>
      </w:r>
      <w:r w:rsidR="002D6099" w:rsidRPr="00E559DE">
        <w:t>The appellants launched an attack on what they called the “No Consent Regime”, alleging that by their actions the police “</w:t>
      </w:r>
      <w:r w:rsidR="002D6099" w:rsidRPr="00E559DE">
        <w:rPr>
          <w:lang w:eastAsia="zh-TW"/>
        </w:rPr>
        <w:t xml:space="preserve">froze </w:t>
      </w:r>
      <w:r w:rsidR="001F1F7D" w:rsidRPr="00E559DE">
        <w:rPr>
          <w:lang w:eastAsia="zh-TW"/>
        </w:rPr>
        <w:t xml:space="preserve">the appellants’ </w:t>
      </w:r>
      <w:r w:rsidR="002D6099" w:rsidRPr="00E559DE">
        <w:rPr>
          <w:lang w:eastAsia="zh-TW"/>
        </w:rPr>
        <w:t>assets, infringing their protected rights”.  The</w:t>
      </w:r>
      <w:r w:rsidR="00592056" w:rsidRPr="00E559DE">
        <w:rPr>
          <w:lang w:eastAsia="zh-TW"/>
        </w:rPr>
        <w:t>y</w:t>
      </w:r>
      <w:r w:rsidR="002D6099" w:rsidRPr="00E559DE">
        <w:rPr>
          <w:lang w:eastAsia="zh-TW"/>
        </w:rPr>
        <w:t xml:space="preserve"> contended that the conduct of the police was ultra vires, unconstitutional (not “prescribed by law” and disproportionate), involved </w:t>
      </w:r>
      <w:r w:rsidR="002D6099" w:rsidRPr="00E559DE">
        <w:rPr>
          <w:lang w:eastAsia="zh-TW"/>
        </w:rPr>
        <w:lastRenderedPageBreak/>
        <w:t>misuse of a statutory power for improper purposes and deprived the appellants of their rights to private and family life and to a fair hearing.</w:t>
      </w:r>
      <w:r w:rsidR="002D6099" w:rsidRPr="00E559DE">
        <w:rPr>
          <w:rStyle w:val="FootnoteReference"/>
          <w:lang w:eastAsia="zh-TW"/>
        </w:rPr>
        <w:footnoteReference w:id="2"/>
      </w:r>
      <w:r w:rsidR="002D6099" w:rsidRPr="00E559DE">
        <w:rPr>
          <w:lang w:eastAsia="zh-TW"/>
        </w:rPr>
        <w:t xml:space="preserve">  </w:t>
      </w:r>
    </w:p>
    <w:p w14:paraId="77A2F1DA" w14:textId="39EDA940" w:rsidR="008E0748" w:rsidRDefault="002D6099" w:rsidP="00FE350C">
      <w:pPr>
        <w:pStyle w:val="Bob1"/>
        <w:tabs>
          <w:tab w:val="clear" w:pos="720"/>
          <w:tab w:val="left" w:pos="1440"/>
        </w:tabs>
        <w:ind w:left="0" w:firstLine="0"/>
        <w:jc w:val="both"/>
      </w:pPr>
      <w:r w:rsidRPr="00E559DE">
        <w:rPr>
          <w:lang w:eastAsia="zh-TW"/>
        </w:rPr>
        <w:t>T</w:t>
      </w:r>
      <w:r w:rsidR="00A724A7" w:rsidRPr="00E559DE">
        <w:rPr>
          <w:lang w:eastAsia="zh-TW"/>
        </w:rPr>
        <w:t>he appellants failed on every one of those arguments, a</w:t>
      </w:r>
      <w:r w:rsidR="00592056" w:rsidRPr="00E559DE">
        <w:rPr>
          <w:lang w:eastAsia="zh-TW"/>
        </w:rPr>
        <w:t xml:space="preserve"> crucial</w:t>
      </w:r>
      <w:r w:rsidR="00A724A7" w:rsidRPr="00E559DE">
        <w:rPr>
          <w:lang w:eastAsia="zh-TW"/>
        </w:rPr>
        <w:t xml:space="preserve"> reason being that </w:t>
      </w:r>
      <w:r w:rsidR="00A724A7" w:rsidRPr="00E559DE">
        <w:t>the</w:t>
      </w:r>
      <w:r w:rsidR="001F1F7D" w:rsidRPr="00E559DE">
        <w:t>y</w:t>
      </w:r>
      <w:r w:rsidRPr="00E559DE">
        <w:t xml:space="preserve"> had erroneously attributed the “freezing” of their bank accounts to the police when</w:t>
      </w:r>
      <w:r w:rsidR="00A724A7" w:rsidRPr="00E559DE">
        <w:t>, on a proper understanding of the law and the facts,</w:t>
      </w:r>
      <w:r w:rsidRPr="00E559DE">
        <w:t xml:space="preserve"> </w:t>
      </w:r>
      <w:r w:rsidR="00A724A7" w:rsidRPr="00E559DE">
        <w:t xml:space="preserve">it was clear that </w:t>
      </w:r>
      <w:r w:rsidRPr="00E559DE">
        <w:t>such act</w:t>
      </w:r>
      <w:r w:rsidR="00A724A7" w:rsidRPr="00E559DE">
        <w:t>ion had</w:t>
      </w:r>
      <w:r w:rsidRPr="00E559DE">
        <w:t xml:space="preserve"> actually </w:t>
      </w:r>
      <w:r w:rsidR="00A724A7" w:rsidRPr="00E559DE">
        <w:t xml:space="preserve">been taken by </w:t>
      </w:r>
      <w:r w:rsidRPr="00E559DE">
        <w:t xml:space="preserve">the banks.  </w:t>
      </w:r>
      <w:r w:rsidR="00A724A7" w:rsidRPr="00E559DE">
        <w:t xml:space="preserve">The </w:t>
      </w:r>
      <w:r w:rsidRPr="00E559DE">
        <w:t>Court held that in consequence, the</w:t>
      </w:r>
      <w:r w:rsidR="00A724A7" w:rsidRPr="00E559DE">
        <w:t xml:space="preserve"> constitutional and certain other </w:t>
      </w:r>
      <w:r w:rsidRPr="00E559DE">
        <w:t>rights relied on by the appellants were not engaged</w:t>
      </w:r>
      <w:r w:rsidR="00A724A7" w:rsidRPr="00E559DE">
        <w:t xml:space="preserve">, which, it is true, was not a point </w:t>
      </w:r>
      <w:r w:rsidR="001F1F7D" w:rsidRPr="00E559DE">
        <w:t>made</w:t>
      </w:r>
      <w:r w:rsidR="00A724A7" w:rsidRPr="00E559DE">
        <w:t xml:space="preserve"> by either side below</w:t>
      </w:r>
      <w:r w:rsidRPr="00E559DE">
        <w:t>.</w:t>
      </w:r>
      <w:r w:rsidR="00A724A7" w:rsidRPr="00E559DE">
        <w:t xml:space="preserve">  However, th</w:t>
      </w:r>
      <w:r w:rsidR="00C25604" w:rsidRPr="00E559DE">
        <w:t xml:space="preserve">ere were </w:t>
      </w:r>
      <w:r w:rsidR="004657C7" w:rsidRPr="00E559DE">
        <w:t xml:space="preserve">substantial </w:t>
      </w:r>
      <w:r w:rsidR="00C25604" w:rsidRPr="00E559DE">
        <w:t xml:space="preserve">additional reasons </w:t>
      </w:r>
      <w:r w:rsidR="00A724A7" w:rsidRPr="00E559DE">
        <w:t>for rejecti</w:t>
      </w:r>
      <w:r w:rsidR="00C25604" w:rsidRPr="00E559DE">
        <w:t>ng</w:t>
      </w:r>
      <w:r w:rsidR="00A724A7" w:rsidRPr="00E559DE">
        <w:t xml:space="preserve"> the appellants’ case, as </w:t>
      </w:r>
      <w:r w:rsidR="00074D4F" w:rsidRPr="00E559DE">
        <w:t>held</w:t>
      </w:r>
      <w:r w:rsidR="00A724A7" w:rsidRPr="00E559DE">
        <w:t xml:space="preserve"> </w:t>
      </w:r>
      <w:r w:rsidR="00592056" w:rsidRPr="00E559DE">
        <w:t xml:space="preserve">by the Court of Appeal and </w:t>
      </w:r>
      <w:r w:rsidR="00A724A7" w:rsidRPr="00E559DE">
        <w:t>in Sections G, H and I of th</w:t>
      </w:r>
      <w:r w:rsidR="00592056" w:rsidRPr="00E559DE">
        <w:t>is Court’s</w:t>
      </w:r>
      <w:r w:rsidR="00A724A7" w:rsidRPr="00E559DE">
        <w:t xml:space="preserve"> judgment.  The </w:t>
      </w:r>
      <w:r w:rsidR="004657C7" w:rsidRPr="00E559DE">
        <w:t xml:space="preserve">appeal </w:t>
      </w:r>
      <w:proofErr w:type="gramStart"/>
      <w:r w:rsidR="004657C7" w:rsidRPr="00E559DE">
        <w:t>was dismissed</w:t>
      </w:r>
      <w:proofErr w:type="gramEnd"/>
      <w:r w:rsidR="004657C7" w:rsidRPr="00E559DE">
        <w:t xml:space="preserve"> because the </w:t>
      </w:r>
      <w:r w:rsidR="00A724A7" w:rsidRPr="00E559DE">
        <w:t>appellants’ challenge was fundamentally flawed</w:t>
      </w:r>
      <w:r w:rsidR="00592056" w:rsidRPr="00E559DE">
        <w:t xml:space="preserve"> and it </w:t>
      </w:r>
      <w:r w:rsidR="00074D4F" w:rsidRPr="00E559DE">
        <w:t xml:space="preserve">does not affect </w:t>
      </w:r>
      <w:r w:rsidR="00592056" w:rsidRPr="00E559DE">
        <w:t>the costs order that this Court identified a basis not raised below for so concluding</w:t>
      </w:r>
      <w:r w:rsidR="0040566A" w:rsidRPr="00E559DE">
        <w:t>.</w:t>
      </w:r>
    </w:p>
    <w:p w14:paraId="57DE44E1" w14:textId="66ECF27A" w:rsidR="002D6099" w:rsidRPr="00E559DE" w:rsidRDefault="0040566A" w:rsidP="00FE350C">
      <w:pPr>
        <w:pStyle w:val="Bob1"/>
        <w:tabs>
          <w:tab w:val="clear" w:pos="720"/>
          <w:tab w:val="left" w:pos="1440"/>
        </w:tabs>
        <w:ind w:left="0" w:firstLine="0"/>
        <w:jc w:val="both"/>
      </w:pPr>
      <w:r w:rsidRPr="00E559DE">
        <w:t>Moreover, by the time the case came up for trial at first instance, the challenge to the LNCs had become academic, as pointed out by the Court of Appeal:</w:t>
      </w:r>
    </w:p>
    <w:p w14:paraId="19F23F9D" w14:textId="620F2569" w:rsidR="0040566A" w:rsidRPr="00FE350C" w:rsidRDefault="0040566A" w:rsidP="00FE350C">
      <w:pPr>
        <w:pStyle w:val="Bob1"/>
        <w:numPr>
          <w:ilvl w:val="0"/>
          <w:numId w:val="0"/>
        </w:numPr>
        <w:spacing w:line="240" w:lineRule="auto"/>
        <w:ind w:left="720"/>
        <w:jc w:val="both"/>
        <w:rPr>
          <w:sz w:val="24"/>
          <w:szCs w:val="24"/>
        </w:rPr>
      </w:pPr>
      <w:r w:rsidRPr="00FE350C">
        <w:rPr>
          <w:sz w:val="24"/>
          <w:szCs w:val="24"/>
        </w:rPr>
        <w:t>“As mentioned above, by the time of the hearing below, the Restraint Order had been granted and the LNCs issued to the Banks had in effect been withdrawn.  It would be pointless for the court to quash the LNCs or the decision to issue them or the refusal to consent to the withdrawal of funds, which were among the orders sought in the Form 86.”</w:t>
      </w:r>
      <w:r w:rsidRPr="00FE350C">
        <w:rPr>
          <w:rStyle w:val="FootnoteReference"/>
          <w:sz w:val="24"/>
          <w:szCs w:val="24"/>
        </w:rPr>
        <w:footnoteReference w:id="3"/>
      </w:r>
    </w:p>
    <w:p w14:paraId="2280F905" w14:textId="0DD82607" w:rsidR="0040566A" w:rsidRDefault="00C25604" w:rsidP="00FE350C">
      <w:pPr>
        <w:pStyle w:val="Bob1"/>
        <w:tabs>
          <w:tab w:val="clear" w:pos="720"/>
          <w:tab w:val="left" w:pos="1440"/>
        </w:tabs>
        <w:ind w:left="0" w:firstLine="0"/>
        <w:jc w:val="both"/>
      </w:pPr>
      <w:r w:rsidRPr="00E559DE">
        <w:t>The Courts have nonetheless dealt with the legal issues raised because of their general importance, but it is difficult to see what practical relief the appellants were hoping to gain in the</w:t>
      </w:r>
      <w:r w:rsidR="001F1F7D" w:rsidRPr="00E559DE">
        <w:t>ir</w:t>
      </w:r>
      <w:r w:rsidRPr="00E559DE">
        <w:t xml:space="preserve"> pursuit of the proceedings.   </w:t>
      </w:r>
    </w:p>
    <w:p w14:paraId="64ADD41F" w14:textId="127E2771" w:rsidR="00C25604" w:rsidRDefault="00C25604" w:rsidP="00FE350C">
      <w:pPr>
        <w:pStyle w:val="Bob1"/>
        <w:tabs>
          <w:tab w:val="clear" w:pos="720"/>
          <w:tab w:val="left" w:pos="1440"/>
        </w:tabs>
        <w:ind w:left="0" w:firstLine="0"/>
        <w:jc w:val="both"/>
      </w:pPr>
      <w:r w:rsidRPr="00E559DE">
        <w:t xml:space="preserve">We therefore see no basis for departing from the general rule that costs should follow the event.  We consider a certificate for three counsel justified </w:t>
      </w:r>
      <w:r w:rsidRPr="00E559DE">
        <w:lastRenderedPageBreak/>
        <w:t>given the range of issues raised by the appellants and the fact that they have themselves instructed three counsel.</w:t>
      </w:r>
    </w:p>
    <w:p w14:paraId="27538E86" w14:textId="6A29A188" w:rsidR="00C25604" w:rsidRPr="00E559DE" w:rsidRDefault="00C25604" w:rsidP="00FE350C">
      <w:pPr>
        <w:pStyle w:val="Bob1"/>
        <w:tabs>
          <w:tab w:val="clear" w:pos="720"/>
          <w:tab w:val="left" w:pos="1440"/>
        </w:tabs>
        <w:ind w:left="0" w:firstLine="0"/>
        <w:jc w:val="both"/>
      </w:pPr>
      <w:r w:rsidRPr="00E559DE">
        <w:t>Accordingly, we order that the appellants pay to the respondent the costs of the appeal and of the proceedings below, certified fit for three counsel.</w:t>
      </w:r>
    </w:p>
    <w:p w14:paraId="7E348AB8" w14:textId="71888814" w:rsidR="00E559DE" w:rsidRPr="00E559DE" w:rsidRDefault="00E559DE" w:rsidP="00E559DE">
      <w:pPr>
        <w:pStyle w:val="Bob1"/>
        <w:numPr>
          <w:ilvl w:val="0"/>
          <w:numId w:val="0"/>
        </w:numPr>
      </w:pPr>
    </w:p>
    <w:p w14:paraId="1DD962E6" w14:textId="3F87B85B" w:rsidR="00E559DE" w:rsidRPr="00E559DE" w:rsidRDefault="00E559DE" w:rsidP="00E559DE">
      <w:pPr>
        <w:pStyle w:val="Bob1"/>
        <w:numPr>
          <w:ilvl w:val="0"/>
          <w:numId w:val="0"/>
        </w:numPr>
      </w:pPr>
    </w:p>
    <w:tbl>
      <w:tblPr>
        <w:tblW w:w="9188" w:type="dxa"/>
        <w:jc w:val="center"/>
        <w:tblLook w:val="0000" w:firstRow="0" w:lastRow="0" w:firstColumn="0" w:lastColumn="0" w:noHBand="0" w:noVBand="0"/>
      </w:tblPr>
      <w:tblGrid>
        <w:gridCol w:w="3062"/>
        <w:gridCol w:w="3063"/>
        <w:gridCol w:w="3063"/>
      </w:tblGrid>
      <w:tr w:rsidR="00E559DE" w:rsidRPr="00E559DE" w14:paraId="1FC106B5" w14:textId="77777777" w:rsidTr="00CC5E2D">
        <w:trPr>
          <w:trHeight w:val="576"/>
          <w:jc w:val="center"/>
        </w:trPr>
        <w:tc>
          <w:tcPr>
            <w:tcW w:w="3062" w:type="dxa"/>
            <w:vAlign w:val="bottom"/>
          </w:tcPr>
          <w:p w14:paraId="6B20FE3F"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(Andrew Cheung)</w:t>
            </w:r>
          </w:p>
        </w:tc>
        <w:tc>
          <w:tcPr>
            <w:tcW w:w="3063" w:type="dxa"/>
            <w:vAlign w:val="bottom"/>
          </w:tcPr>
          <w:p w14:paraId="6BC6AF12"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(R A V Ribeiro)</w:t>
            </w:r>
          </w:p>
        </w:tc>
        <w:tc>
          <w:tcPr>
            <w:tcW w:w="3063" w:type="dxa"/>
            <w:vAlign w:val="bottom"/>
          </w:tcPr>
          <w:p w14:paraId="40372CDE"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 xml:space="preserve">(Joseph </w:t>
            </w:r>
            <w:proofErr w:type="spellStart"/>
            <w:r w:rsidRPr="00E559DE">
              <w:rPr>
                <w:sz w:val="28"/>
                <w:szCs w:val="28"/>
              </w:rPr>
              <w:t>Fok</w:t>
            </w:r>
            <w:proofErr w:type="spellEnd"/>
            <w:r w:rsidRPr="00E559DE">
              <w:rPr>
                <w:sz w:val="28"/>
                <w:szCs w:val="28"/>
              </w:rPr>
              <w:t>)</w:t>
            </w:r>
          </w:p>
        </w:tc>
      </w:tr>
      <w:tr w:rsidR="00E559DE" w:rsidRPr="00E559DE" w14:paraId="2EE52056" w14:textId="77777777" w:rsidTr="00CC5E2D">
        <w:trPr>
          <w:trHeight w:val="288"/>
          <w:jc w:val="center"/>
        </w:trPr>
        <w:tc>
          <w:tcPr>
            <w:tcW w:w="3062" w:type="dxa"/>
            <w:vAlign w:val="center"/>
          </w:tcPr>
          <w:p w14:paraId="4B2B2139"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Chief Justice</w:t>
            </w:r>
          </w:p>
        </w:tc>
        <w:tc>
          <w:tcPr>
            <w:tcW w:w="3063" w:type="dxa"/>
            <w:vAlign w:val="center"/>
          </w:tcPr>
          <w:p w14:paraId="50A66EE2"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Permanent Judge</w:t>
            </w:r>
          </w:p>
        </w:tc>
        <w:tc>
          <w:tcPr>
            <w:tcW w:w="3063" w:type="dxa"/>
            <w:vAlign w:val="center"/>
          </w:tcPr>
          <w:p w14:paraId="1BF8B284"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Permanent Judge</w:t>
            </w:r>
          </w:p>
        </w:tc>
      </w:tr>
    </w:tbl>
    <w:p w14:paraId="2716476E" w14:textId="77777777" w:rsidR="00E559DE" w:rsidRPr="00E559DE" w:rsidRDefault="00E559DE" w:rsidP="00E559DE">
      <w:pPr>
        <w:pStyle w:val="BodyTextIndent"/>
        <w:tabs>
          <w:tab w:val="left" w:pos="540"/>
        </w:tabs>
        <w:ind w:left="450" w:right="118" w:hanging="450"/>
        <w:rPr>
          <w:kern w:val="0"/>
          <w:sz w:val="28"/>
          <w:szCs w:val="28"/>
          <w:lang w:val="en-GB"/>
        </w:rPr>
      </w:pPr>
    </w:p>
    <w:p w14:paraId="1CBF05AE" w14:textId="77777777" w:rsidR="00E559DE" w:rsidRPr="00E559DE" w:rsidRDefault="00E559DE" w:rsidP="00E559DE">
      <w:pPr>
        <w:pStyle w:val="BodyTextIndent"/>
        <w:tabs>
          <w:tab w:val="left" w:pos="540"/>
        </w:tabs>
        <w:ind w:left="450" w:right="118" w:hanging="450"/>
        <w:rPr>
          <w:kern w:val="0"/>
          <w:sz w:val="28"/>
          <w:szCs w:val="28"/>
          <w:lang w:val="en-GB"/>
        </w:rPr>
      </w:pPr>
    </w:p>
    <w:p w14:paraId="674998F5" w14:textId="77777777" w:rsidR="00E559DE" w:rsidRPr="00E559DE" w:rsidRDefault="00E559DE" w:rsidP="00E559DE">
      <w:pPr>
        <w:pStyle w:val="BodyTextIndent"/>
        <w:tabs>
          <w:tab w:val="left" w:pos="540"/>
        </w:tabs>
        <w:ind w:left="450" w:right="118" w:hanging="450"/>
        <w:rPr>
          <w:kern w:val="0"/>
          <w:sz w:val="28"/>
          <w:szCs w:val="28"/>
          <w:lang w:val="en-GB"/>
        </w:rPr>
      </w:pPr>
    </w:p>
    <w:p w14:paraId="0D7DEA6A" w14:textId="77777777" w:rsidR="00E559DE" w:rsidRPr="00E559DE" w:rsidRDefault="00E559DE" w:rsidP="00E559DE">
      <w:pPr>
        <w:pStyle w:val="BodyTextIndent"/>
        <w:tabs>
          <w:tab w:val="left" w:pos="540"/>
        </w:tabs>
        <w:ind w:left="450" w:right="118" w:hanging="450"/>
        <w:rPr>
          <w:kern w:val="0"/>
          <w:sz w:val="28"/>
          <w:szCs w:val="28"/>
          <w:lang w:val="en-GB"/>
        </w:rPr>
      </w:pPr>
    </w:p>
    <w:tbl>
      <w:tblPr>
        <w:tblW w:w="9188" w:type="dxa"/>
        <w:jc w:val="center"/>
        <w:tblLook w:val="0000" w:firstRow="0" w:lastRow="0" w:firstColumn="0" w:lastColumn="0" w:noHBand="0" w:noVBand="0"/>
      </w:tblPr>
      <w:tblGrid>
        <w:gridCol w:w="4594"/>
        <w:gridCol w:w="4594"/>
      </w:tblGrid>
      <w:tr w:rsidR="00E559DE" w:rsidRPr="00E559DE" w14:paraId="4E1F42A8" w14:textId="77777777" w:rsidTr="00CC5E2D">
        <w:trPr>
          <w:trHeight w:val="576"/>
          <w:jc w:val="center"/>
        </w:trPr>
        <w:tc>
          <w:tcPr>
            <w:tcW w:w="4594" w:type="dxa"/>
            <w:vAlign w:val="bottom"/>
          </w:tcPr>
          <w:p w14:paraId="32969E34"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(M H Lam)</w:t>
            </w:r>
          </w:p>
        </w:tc>
        <w:tc>
          <w:tcPr>
            <w:tcW w:w="4594" w:type="dxa"/>
            <w:vAlign w:val="bottom"/>
          </w:tcPr>
          <w:p w14:paraId="5740057C"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w:t>
            </w:r>
            <w:r w:rsidRPr="00E559DE">
              <w:rPr>
                <w:color w:val="000000"/>
                <w:kern w:val="0"/>
                <w:sz w:val="28"/>
                <w:szCs w:val="28"/>
              </w:rPr>
              <w:t xml:space="preserve">Lord Collins of </w:t>
            </w:r>
            <w:proofErr w:type="spellStart"/>
            <w:r w:rsidRPr="00E559DE">
              <w:rPr>
                <w:color w:val="000000"/>
                <w:kern w:val="0"/>
                <w:sz w:val="28"/>
                <w:szCs w:val="28"/>
              </w:rPr>
              <w:t>Mapesbury</w:t>
            </w:r>
            <w:proofErr w:type="spellEnd"/>
            <w:r w:rsidRPr="00E559DE">
              <w:rPr>
                <w:sz w:val="28"/>
                <w:szCs w:val="28"/>
              </w:rPr>
              <w:t>)</w:t>
            </w:r>
          </w:p>
        </w:tc>
      </w:tr>
      <w:tr w:rsidR="00E559DE" w:rsidRPr="00E559DE" w14:paraId="0CD36A8A" w14:textId="77777777" w:rsidTr="00CC5E2D">
        <w:trPr>
          <w:trHeight w:val="288"/>
          <w:jc w:val="center"/>
        </w:trPr>
        <w:tc>
          <w:tcPr>
            <w:tcW w:w="4594" w:type="dxa"/>
            <w:vAlign w:val="center"/>
          </w:tcPr>
          <w:p w14:paraId="204D145B"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Permanent Judge</w:t>
            </w:r>
          </w:p>
        </w:tc>
        <w:tc>
          <w:tcPr>
            <w:tcW w:w="4594" w:type="dxa"/>
            <w:vAlign w:val="center"/>
          </w:tcPr>
          <w:p w14:paraId="48129B0F" w14:textId="77777777" w:rsidR="00E559DE" w:rsidRPr="00E559DE" w:rsidRDefault="00E559DE" w:rsidP="00CC5E2D">
            <w:pPr>
              <w:pStyle w:val="BodyTextIndent"/>
              <w:tabs>
                <w:tab w:val="left" w:pos="540"/>
              </w:tabs>
              <w:ind w:left="450" w:right="118" w:hanging="450"/>
              <w:jc w:val="center"/>
              <w:rPr>
                <w:sz w:val="28"/>
                <w:szCs w:val="28"/>
              </w:rPr>
            </w:pPr>
            <w:r w:rsidRPr="00E559DE">
              <w:rPr>
                <w:sz w:val="28"/>
                <w:szCs w:val="28"/>
              </w:rPr>
              <w:t>Non-Permanent Judge</w:t>
            </w:r>
          </w:p>
        </w:tc>
      </w:tr>
    </w:tbl>
    <w:p w14:paraId="25AAECAD" w14:textId="77777777" w:rsidR="00E559DE" w:rsidRPr="00E559DE" w:rsidRDefault="00E559DE" w:rsidP="00E559DE">
      <w:pPr>
        <w:pStyle w:val="BodyTextIndent"/>
        <w:tabs>
          <w:tab w:val="left" w:pos="540"/>
        </w:tabs>
        <w:ind w:left="450" w:right="118" w:hanging="450"/>
        <w:rPr>
          <w:kern w:val="0"/>
          <w:sz w:val="28"/>
          <w:szCs w:val="28"/>
          <w:lang w:val="en-GB"/>
        </w:rPr>
      </w:pPr>
    </w:p>
    <w:p w14:paraId="294679B2" w14:textId="77777777" w:rsidR="00E559DE" w:rsidRPr="00E559DE" w:rsidRDefault="00E559DE" w:rsidP="00E559DE">
      <w:pPr>
        <w:pStyle w:val="BodyTextIndent"/>
        <w:tabs>
          <w:tab w:val="left" w:pos="540"/>
        </w:tabs>
        <w:ind w:left="450" w:right="118" w:hanging="450"/>
        <w:rPr>
          <w:kern w:val="0"/>
          <w:sz w:val="28"/>
          <w:szCs w:val="28"/>
          <w:lang w:val="en-GB"/>
        </w:rPr>
      </w:pPr>
    </w:p>
    <w:p w14:paraId="25F1B0B5" w14:textId="77777777" w:rsidR="00E559DE" w:rsidRPr="00E559DE" w:rsidRDefault="00E559DE" w:rsidP="00E559DE">
      <w:pPr>
        <w:pStyle w:val="BodyTextIndent"/>
        <w:tabs>
          <w:tab w:val="left" w:pos="540"/>
        </w:tabs>
        <w:ind w:left="450" w:right="118" w:hanging="450"/>
        <w:rPr>
          <w:kern w:val="0"/>
          <w:sz w:val="28"/>
          <w:szCs w:val="28"/>
          <w:lang w:val="en-GB"/>
        </w:rPr>
      </w:pPr>
    </w:p>
    <w:p w14:paraId="4414DC1B" w14:textId="77777777" w:rsidR="00E559DE" w:rsidRPr="00E559DE" w:rsidRDefault="00E559DE" w:rsidP="00E559DE">
      <w:pPr>
        <w:pStyle w:val="BodyTextIndent"/>
        <w:tabs>
          <w:tab w:val="left" w:pos="540"/>
        </w:tabs>
        <w:ind w:left="450" w:right="118" w:hanging="450"/>
        <w:rPr>
          <w:kern w:val="0"/>
          <w:sz w:val="28"/>
          <w:szCs w:val="28"/>
          <w:lang w:val="en-GB"/>
        </w:rPr>
      </w:pPr>
    </w:p>
    <w:p w14:paraId="6F4CD52B" w14:textId="169E9AE8" w:rsidR="00E559DE" w:rsidRPr="00DF4CE9" w:rsidRDefault="0083245F" w:rsidP="00E559DE">
      <w:pPr>
        <w:pStyle w:val="BodyTextIndent"/>
        <w:tabs>
          <w:tab w:val="left" w:pos="540"/>
        </w:tabs>
        <w:ind w:left="450" w:right="118" w:hanging="450"/>
        <w:rPr>
          <w:kern w:val="0"/>
          <w:sz w:val="28"/>
          <w:szCs w:val="28"/>
        </w:rPr>
      </w:pPr>
      <w:r>
        <w:rPr>
          <w:kern w:val="0"/>
          <w:sz w:val="28"/>
          <w:szCs w:val="28"/>
          <w:lang w:val="en-GB"/>
        </w:rPr>
        <w:t>W</w:t>
      </w:r>
      <w:r w:rsidR="00DF4CE9">
        <w:rPr>
          <w:kern w:val="0"/>
          <w:sz w:val="28"/>
          <w:szCs w:val="28"/>
          <w:lang w:val="en-GB"/>
        </w:rPr>
        <w:t>ritten submission</w:t>
      </w:r>
      <w:r w:rsidR="00CF113D">
        <w:rPr>
          <w:kern w:val="0"/>
          <w:sz w:val="28"/>
          <w:szCs w:val="28"/>
          <w:lang w:val="en-GB"/>
        </w:rPr>
        <w:t>s</w:t>
      </w:r>
      <w:r w:rsidR="00DF4CE9">
        <w:rPr>
          <w:kern w:val="0"/>
          <w:sz w:val="28"/>
          <w:szCs w:val="28"/>
          <w:lang w:val="en-GB"/>
        </w:rPr>
        <w:t xml:space="preserve"> by </w:t>
      </w:r>
      <w:r w:rsidR="00E559DE" w:rsidRPr="00E559DE">
        <w:rPr>
          <w:kern w:val="0"/>
          <w:sz w:val="28"/>
          <w:szCs w:val="28"/>
          <w:lang w:val="en-GB"/>
        </w:rPr>
        <w:t xml:space="preserve">Mr Abraham Chan SC, Mr Timothy Parker and Mr Geoffrey Yeung, instructed by O </w:t>
      </w:r>
      <w:proofErr w:type="spellStart"/>
      <w:r w:rsidR="00E559DE" w:rsidRPr="00E559DE">
        <w:rPr>
          <w:kern w:val="0"/>
          <w:sz w:val="28"/>
          <w:szCs w:val="28"/>
          <w:lang w:val="en-GB"/>
        </w:rPr>
        <w:t>Tse</w:t>
      </w:r>
      <w:proofErr w:type="spellEnd"/>
      <w:r w:rsidR="00E559DE" w:rsidRPr="00E559DE">
        <w:rPr>
          <w:kern w:val="0"/>
          <w:sz w:val="28"/>
          <w:szCs w:val="28"/>
          <w:lang w:val="en-GB"/>
        </w:rPr>
        <w:t xml:space="preserve"> &amp; Co., for the 1</w:t>
      </w:r>
      <w:r w:rsidR="00E559DE" w:rsidRPr="00E559DE">
        <w:rPr>
          <w:kern w:val="0"/>
          <w:sz w:val="28"/>
          <w:szCs w:val="28"/>
          <w:vertAlign w:val="superscript"/>
          <w:lang w:val="en-GB"/>
        </w:rPr>
        <w:t>st</w:t>
      </w:r>
      <w:r w:rsidR="00E559DE" w:rsidRPr="00E559DE">
        <w:rPr>
          <w:kern w:val="0"/>
          <w:sz w:val="28"/>
          <w:szCs w:val="28"/>
          <w:lang w:val="en-GB"/>
        </w:rPr>
        <w:t xml:space="preserve"> to 4</w:t>
      </w:r>
      <w:r w:rsidR="00E559DE" w:rsidRPr="00E559DE">
        <w:rPr>
          <w:kern w:val="0"/>
          <w:sz w:val="28"/>
          <w:szCs w:val="28"/>
          <w:vertAlign w:val="superscript"/>
          <w:lang w:val="en-GB"/>
        </w:rPr>
        <w:t>th</w:t>
      </w:r>
      <w:r w:rsidR="00E559DE" w:rsidRPr="00E559DE">
        <w:rPr>
          <w:kern w:val="0"/>
          <w:sz w:val="28"/>
          <w:szCs w:val="28"/>
          <w:lang w:val="en-GB"/>
        </w:rPr>
        <w:t xml:space="preserve"> Applicants (Appellants)</w:t>
      </w:r>
    </w:p>
    <w:p w14:paraId="719AB8E5" w14:textId="77777777" w:rsidR="00E559DE" w:rsidRPr="00E559DE" w:rsidRDefault="00E559DE" w:rsidP="00E559DE">
      <w:pPr>
        <w:pStyle w:val="BodyTextIndent"/>
        <w:tabs>
          <w:tab w:val="left" w:pos="540"/>
        </w:tabs>
        <w:ind w:left="450" w:right="118" w:hanging="450"/>
        <w:rPr>
          <w:kern w:val="0"/>
          <w:sz w:val="28"/>
          <w:szCs w:val="28"/>
          <w:lang w:val="en-GB"/>
        </w:rPr>
      </w:pPr>
    </w:p>
    <w:p w14:paraId="57B42725" w14:textId="4D477074" w:rsidR="00E559DE" w:rsidRPr="00E559DE" w:rsidRDefault="00CF113D" w:rsidP="00E559DE">
      <w:pPr>
        <w:pStyle w:val="BodyTextIndent"/>
        <w:tabs>
          <w:tab w:val="left" w:pos="540"/>
        </w:tabs>
        <w:ind w:left="450" w:right="118" w:hanging="450"/>
        <w:rPr>
          <w:kern w:val="0"/>
          <w:sz w:val="28"/>
          <w:szCs w:val="28"/>
          <w:lang w:val="en-GB"/>
        </w:rPr>
      </w:pPr>
      <w:r>
        <w:rPr>
          <w:kern w:val="0"/>
          <w:sz w:val="28"/>
          <w:szCs w:val="28"/>
          <w:lang w:val="en-GB"/>
        </w:rPr>
        <w:t xml:space="preserve">Written submissions by </w:t>
      </w:r>
      <w:r w:rsidR="00E559DE" w:rsidRPr="00E559DE">
        <w:rPr>
          <w:kern w:val="0"/>
          <w:sz w:val="28"/>
          <w:szCs w:val="28"/>
          <w:lang w:val="en-GB"/>
        </w:rPr>
        <w:t xml:space="preserve">Mr Jenkin </w:t>
      </w:r>
      <w:proofErr w:type="spellStart"/>
      <w:r w:rsidR="00E559DE" w:rsidRPr="00E559DE">
        <w:rPr>
          <w:kern w:val="0"/>
          <w:sz w:val="28"/>
          <w:szCs w:val="28"/>
          <w:lang w:val="en-GB"/>
        </w:rPr>
        <w:t>Suen</w:t>
      </w:r>
      <w:proofErr w:type="spellEnd"/>
      <w:r w:rsidR="00E559DE" w:rsidRPr="00E559DE">
        <w:rPr>
          <w:kern w:val="0"/>
          <w:sz w:val="28"/>
          <w:szCs w:val="28"/>
          <w:lang w:val="en-GB"/>
        </w:rPr>
        <w:t xml:space="preserve"> SC and Mr Peter Dong, instructed by the Department of Justice, for the Respondent</w:t>
      </w:r>
    </w:p>
    <w:p w14:paraId="54B85E90" w14:textId="77777777" w:rsidR="00E559DE" w:rsidRPr="00E559DE" w:rsidRDefault="00E559DE" w:rsidP="00E559DE">
      <w:pPr>
        <w:pStyle w:val="Bob1"/>
        <w:numPr>
          <w:ilvl w:val="0"/>
          <w:numId w:val="0"/>
        </w:numPr>
      </w:pPr>
    </w:p>
    <w:sectPr w:rsidR="00E559DE" w:rsidRPr="00E559DE" w:rsidSect="007D106B">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D7567" w14:textId="77777777" w:rsidR="00180B9D" w:rsidRDefault="00180B9D" w:rsidP="00CC0407">
      <w:pPr>
        <w:spacing w:after="0" w:line="240" w:lineRule="auto"/>
      </w:pPr>
      <w:r>
        <w:separator/>
      </w:r>
    </w:p>
  </w:endnote>
  <w:endnote w:type="continuationSeparator" w:id="0">
    <w:p w14:paraId="3F680E39" w14:textId="77777777" w:rsidR="00180B9D" w:rsidRDefault="00180B9D"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altName w:val="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DBC38" w14:textId="77777777" w:rsidR="003121DA" w:rsidRDefault="00312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A9FB" w14:textId="77777777" w:rsidR="003121DA" w:rsidRDefault="003121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8471" w14:textId="77777777" w:rsidR="003121DA" w:rsidRDefault="00312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2D1B6" w14:textId="77777777" w:rsidR="00180B9D" w:rsidRDefault="00180B9D" w:rsidP="00CC0407">
      <w:pPr>
        <w:spacing w:after="0" w:line="240" w:lineRule="auto"/>
      </w:pPr>
      <w:r>
        <w:separator/>
      </w:r>
    </w:p>
  </w:footnote>
  <w:footnote w:type="continuationSeparator" w:id="0">
    <w:p w14:paraId="49C04407" w14:textId="77777777" w:rsidR="00180B9D" w:rsidRDefault="00180B9D" w:rsidP="00CC0407">
      <w:pPr>
        <w:spacing w:after="0" w:line="240" w:lineRule="auto"/>
      </w:pPr>
      <w:r>
        <w:continuationSeparator/>
      </w:r>
    </w:p>
  </w:footnote>
  <w:footnote w:id="1">
    <w:p w14:paraId="4809CF30" w14:textId="77777777" w:rsidR="003B631F" w:rsidRPr="001D17C6" w:rsidRDefault="003B631F" w:rsidP="00FE350C">
      <w:pPr>
        <w:pStyle w:val="FootnoteText"/>
        <w:tabs>
          <w:tab w:val="left" w:pos="360"/>
        </w:tabs>
        <w:rPr>
          <w:sz w:val="24"/>
          <w:szCs w:val="24"/>
          <w:lang w:val="en-GB"/>
        </w:rPr>
      </w:pPr>
      <w:r w:rsidRPr="001D17C6">
        <w:rPr>
          <w:rStyle w:val="FootnoteReference"/>
          <w:sz w:val="24"/>
          <w:szCs w:val="24"/>
          <w:lang w:val="en-GB"/>
        </w:rPr>
        <w:footnoteRef/>
      </w:r>
      <w:r w:rsidRPr="001D17C6">
        <w:rPr>
          <w:sz w:val="24"/>
          <w:szCs w:val="24"/>
          <w:lang w:val="en-GB"/>
        </w:rPr>
        <w:t xml:space="preserve"> </w:t>
      </w:r>
      <w:r w:rsidRPr="001D17C6">
        <w:rPr>
          <w:sz w:val="24"/>
          <w:szCs w:val="24"/>
          <w:lang w:val="en-GB"/>
        </w:rPr>
        <w:tab/>
        <w:t>[2024] HKCFA 8.</w:t>
      </w:r>
    </w:p>
  </w:footnote>
  <w:footnote w:id="2">
    <w:p w14:paraId="7236D463" w14:textId="07206BED" w:rsidR="002D6099" w:rsidRPr="001D17C6" w:rsidRDefault="002D6099" w:rsidP="00FE350C">
      <w:pPr>
        <w:pStyle w:val="FootnoteText"/>
        <w:tabs>
          <w:tab w:val="left" w:pos="360"/>
        </w:tabs>
        <w:rPr>
          <w:sz w:val="24"/>
          <w:szCs w:val="24"/>
          <w:lang w:val="en-GB"/>
        </w:rPr>
      </w:pPr>
      <w:r w:rsidRPr="001D17C6">
        <w:rPr>
          <w:rStyle w:val="FootnoteReference"/>
          <w:sz w:val="24"/>
          <w:szCs w:val="24"/>
          <w:lang w:val="en-GB"/>
        </w:rPr>
        <w:footnoteRef/>
      </w:r>
      <w:r w:rsidRPr="001D17C6">
        <w:rPr>
          <w:sz w:val="24"/>
          <w:szCs w:val="24"/>
          <w:lang w:val="en-GB"/>
        </w:rPr>
        <w:t xml:space="preserve"> </w:t>
      </w:r>
      <w:r w:rsidRPr="001D17C6">
        <w:rPr>
          <w:sz w:val="24"/>
          <w:szCs w:val="24"/>
          <w:lang w:val="en-GB"/>
        </w:rPr>
        <w:tab/>
        <w:t>Judgment §15.</w:t>
      </w:r>
    </w:p>
  </w:footnote>
  <w:footnote w:id="3">
    <w:p w14:paraId="7A1B0D93" w14:textId="518E415F" w:rsidR="0040566A" w:rsidRPr="001D17C6" w:rsidRDefault="0040566A" w:rsidP="00FE350C">
      <w:pPr>
        <w:pStyle w:val="FootnoteText"/>
        <w:tabs>
          <w:tab w:val="left" w:pos="360"/>
        </w:tabs>
        <w:rPr>
          <w:sz w:val="24"/>
          <w:szCs w:val="24"/>
          <w:lang w:val="en-GB"/>
        </w:rPr>
      </w:pPr>
      <w:r w:rsidRPr="001D17C6">
        <w:rPr>
          <w:rStyle w:val="FootnoteReference"/>
          <w:sz w:val="24"/>
          <w:szCs w:val="24"/>
          <w:lang w:val="en-GB"/>
        </w:rPr>
        <w:footnoteRef/>
      </w:r>
      <w:r w:rsidRPr="001D17C6">
        <w:rPr>
          <w:sz w:val="24"/>
          <w:szCs w:val="24"/>
          <w:lang w:val="en-GB"/>
        </w:rPr>
        <w:t xml:space="preserve"> </w:t>
      </w:r>
      <w:r w:rsidRPr="001D17C6">
        <w:rPr>
          <w:sz w:val="24"/>
          <w:szCs w:val="24"/>
          <w:lang w:val="en-GB"/>
        </w:rPr>
        <w:tab/>
        <w:t>CA§41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DA62A" w14:textId="77777777" w:rsidR="003121DA" w:rsidRDefault="003121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14:paraId="2B97F1B7" w14:textId="154E765C" w:rsidR="0079601A" w:rsidRDefault="0079601A">
        <w:pPr>
          <w:pStyle w:val="Header"/>
          <w:jc w:val="center"/>
        </w:pPr>
        <w:r>
          <w:t>-</w:t>
        </w:r>
        <w:r>
          <w:fldChar w:fldCharType="begin"/>
        </w:r>
        <w:r>
          <w:instrText xml:space="preserve"> PAGE   \* MERGEFORMAT </w:instrText>
        </w:r>
        <w:r>
          <w:fldChar w:fldCharType="separate"/>
        </w:r>
        <w:r w:rsidR="0099296B">
          <w:rPr>
            <w:noProof/>
          </w:rPr>
          <w:t>2</w:t>
        </w:r>
        <w:r>
          <w:rPr>
            <w:noProof/>
          </w:rPr>
          <w:fldChar w:fldCharType="end"/>
        </w:r>
        <w:r>
          <w:t>-</w:t>
        </w:r>
      </w:p>
    </w:sdtContent>
  </w:sdt>
  <w:p w14:paraId="7F20C3CE" w14:textId="77777777" w:rsidR="0079601A" w:rsidRDefault="007960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79592" w14:textId="77777777" w:rsidR="003121DA" w:rsidRDefault="00312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70"/>
    <w:rsid w:val="000073F3"/>
    <w:rsid w:val="00016FC9"/>
    <w:rsid w:val="0004068A"/>
    <w:rsid w:val="000473AD"/>
    <w:rsid w:val="0005384A"/>
    <w:rsid w:val="00054BFB"/>
    <w:rsid w:val="00074D4F"/>
    <w:rsid w:val="000B7069"/>
    <w:rsid w:val="000C516E"/>
    <w:rsid w:val="000D259B"/>
    <w:rsid w:val="000D4169"/>
    <w:rsid w:val="000D501A"/>
    <w:rsid w:val="000E18EF"/>
    <w:rsid w:val="0010345D"/>
    <w:rsid w:val="00105987"/>
    <w:rsid w:val="00124090"/>
    <w:rsid w:val="001421D8"/>
    <w:rsid w:val="00143E48"/>
    <w:rsid w:val="00155EFA"/>
    <w:rsid w:val="00180B9D"/>
    <w:rsid w:val="001A2838"/>
    <w:rsid w:val="001B3700"/>
    <w:rsid w:val="001D17C6"/>
    <w:rsid w:val="001D3173"/>
    <w:rsid w:val="001D3883"/>
    <w:rsid w:val="001F1F7D"/>
    <w:rsid w:val="001F4B36"/>
    <w:rsid w:val="002324C2"/>
    <w:rsid w:val="002848B9"/>
    <w:rsid w:val="002D024F"/>
    <w:rsid w:val="002D6099"/>
    <w:rsid w:val="002F219F"/>
    <w:rsid w:val="00307D27"/>
    <w:rsid w:val="003121DA"/>
    <w:rsid w:val="00312D91"/>
    <w:rsid w:val="00332436"/>
    <w:rsid w:val="003359A1"/>
    <w:rsid w:val="00352D4B"/>
    <w:rsid w:val="0036124A"/>
    <w:rsid w:val="00371A31"/>
    <w:rsid w:val="00387231"/>
    <w:rsid w:val="003A38F9"/>
    <w:rsid w:val="003B631F"/>
    <w:rsid w:val="003B6FE7"/>
    <w:rsid w:val="003E4170"/>
    <w:rsid w:val="003F04B1"/>
    <w:rsid w:val="003F124C"/>
    <w:rsid w:val="003F3D77"/>
    <w:rsid w:val="003F7894"/>
    <w:rsid w:val="0040566A"/>
    <w:rsid w:val="0041075D"/>
    <w:rsid w:val="0041338E"/>
    <w:rsid w:val="00436137"/>
    <w:rsid w:val="00455241"/>
    <w:rsid w:val="004657C7"/>
    <w:rsid w:val="0046781C"/>
    <w:rsid w:val="004767F3"/>
    <w:rsid w:val="00497FF4"/>
    <w:rsid w:val="004E2477"/>
    <w:rsid w:val="004F1232"/>
    <w:rsid w:val="00500E4F"/>
    <w:rsid w:val="00501FE1"/>
    <w:rsid w:val="00504253"/>
    <w:rsid w:val="00553079"/>
    <w:rsid w:val="005607A5"/>
    <w:rsid w:val="005742C8"/>
    <w:rsid w:val="00592056"/>
    <w:rsid w:val="005A4AD0"/>
    <w:rsid w:val="005A6AF6"/>
    <w:rsid w:val="005A7B9F"/>
    <w:rsid w:val="005B51FA"/>
    <w:rsid w:val="005C618B"/>
    <w:rsid w:val="005C7FDD"/>
    <w:rsid w:val="005E7939"/>
    <w:rsid w:val="00603597"/>
    <w:rsid w:val="00617A16"/>
    <w:rsid w:val="006417C4"/>
    <w:rsid w:val="00672D80"/>
    <w:rsid w:val="00694648"/>
    <w:rsid w:val="006F6C50"/>
    <w:rsid w:val="007049E6"/>
    <w:rsid w:val="007201D2"/>
    <w:rsid w:val="007363BA"/>
    <w:rsid w:val="00761EC7"/>
    <w:rsid w:val="007721FF"/>
    <w:rsid w:val="0079601A"/>
    <w:rsid w:val="007A1FBA"/>
    <w:rsid w:val="007A29C8"/>
    <w:rsid w:val="007D106B"/>
    <w:rsid w:val="007D27AB"/>
    <w:rsid w:val="007E0AC6"/>
    <w:rsid w:val="007F40F5"/>
    <w:rsid w:val="0080748E"/>
    <w:rsid w:val="00811081"/>
    <w:rsid w:val="0083245F"/>
    <w:rsid w:val="0087557C"/>
    <w:rsid w:val="00884713"/>
    <w:rsid w:val="008A1593"/>
    <w:rsid w:val="008A3F41"/>
    <w:rsid w:val="008D16B9"/>
    <w:rsid w:val="008E0748"/>
    <w:rsid w:val="008F0568"/>
    <w:rsid w:val="008F13AC"/>
    <w:rsid w:val="00904D2E"/>
    <w:rsid w:val="00921389"/>
    <w:rsid w:val="009470B6"/>
    <w:rsid w:val="0095110A"/>
    <w:rsid w:val="00970DE3"/>
    <w:rsid w:val="00983A3D"/>
    <w:rsid w:val="0099296B"/>
    <w:rsid w:val="009A0D4B"/>
    <w:rsid w:val="009C402A"/>
    <w:rsid w:val="009C4291"/>
    <w:rsid w:val="009C7992"/>
    <w:rsid w:val="009D13AA"/>
    <w:rsid w:val="009E534E"/>
    <w:rsid w:val="00A12ACC"/>
    <w:rsid w:val="00A63673"/>
    <w:rsid w:val="00A724A7"/>
    <w:rsid w:val="00A87B14"/>
    <w:rsid w:val="00A9521F"/>
    <w:rsid w:val="00AB0343"/>
    <w:rsid w:val="00AB2A09"/>
    <w:rsid w:val="00AB3DC4"/>
    <w:rsid w:val="00AB691F"/>
    <w:rsid w:val="00AC7218"/>
    <w:rsid w:val="00AE44E2"/>
    <w:rsid w:val="00AE51B8"/>
    <w:rsid w:val="00AF60C7"/>
    <w:rsid w:val="00B205BD"/>
    <w:rsid w:val="00B23689"/>
    <w:rsid w:val="00B24875"/>
    <w:rsid w:val="00B32973"/>
    <w:rsid w:val="00B35981"/>
    <w:rsid w:val="00B35B88"/>
    <w:rsid w:val="00B37A8B"/>
    <w:rsid w:val="00B441AA"/>
    <w:rsid w:val="00B76271"/>
    <w:rsid w:val="00BA2DC0"/>
    <w:rsid w:val="00BA71B0"/>
    <w:rsid w:val="00BB1F52"/>
    <w:rsid w:val="00BD6C49"/>
    <w:rsid w:val="00C079A9"/>
    <w:rsid w:val="00C1117B"/>
    <w:rsid w:val="00C25604"/>
    <w:rsid w:val="00C36A10"/>
    <w:rsid w:val="00C80468"/>
    <w:rsid w:val="00CB21DD"/>
    <w:rsid w:val="00CC0407"/>
    <w:rsid w:val="00CC281E"/>
    <w:rsid w:val="00CF113D"/>
    <w:rsid w:val="00D01FCE"/>
    <w:rsid w:val="00D2349E"/>
    <w:rsid w:val="00D2753D"/>
    <w:rsid w:val="00D5500F"/>
    <w:rsid w:val="00D74AC7"/>
    <w:rsid w:val="00D778D4"/>
    <w:rsid w:val="00D83A62"/>
    <w:rsid w:val="00DE003C"/>
    <w:rsid w:val="00DE0B52"/>
    <w:rsid w:val="00DE3982"/>
    <w:rsid w:val="00DF2C04"/>
    <w:rsid w:val="00DF4CE9"/>
    <w:rsid w:val="00DF7559"/>
    <w:rsid w:val="00E04A29"/>
    <w:rsid w:val="00E23949"/>
    <w:rsid w:val="00E559DE"/>
    <w:rsid w:val="00E60E45"/>
    <w:rsid w:val="00E60FD7"/>
    <w:rsid w:val="00E869BC"/>
    <w:rsid w:val="00E87E3F"/>
    <w:rsid w:val="00EA4A24"/>
    <w:rsid w:val="00ED297B"/>
    <w:rsid w:val="00F01E6F"/>
    <w:rsid w:val="00F06941"/>
    <w:rsid w:val="00F0712F"/>
    <w:rsid w:val="00F6375C"/>
    <w:rsid w:val="00F67927"/>
    <w:rsid w:val="00F915C7"/>
    <w:rsid w:val="00FE35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F17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宋体" w:hAnsi="Times New Roman" w:cs="Times New Roman"/>
        <w:kern w:val="2"/>
        <w:sz w:val="28"/>
        <w:szCs w:val="28"/>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3E417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4170"/>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3E4170"/>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E417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3E41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417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417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417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style>
  <w:style w:type="character" w:customStyle="1" w:styleId="Bob1Char">
    <w:name w:val="Bob 1 Char"/>
    <w:basedOn w:val="DefaultParagraphFont"/>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C402A"/>
    <w:rPr>
      <w:rFonts w:asciiTheme="majorHAnsi" w:eastAsia="PMingLiU" w:hAnsiTheme="majorHAnsi" w:cs="Times New Roman"/>
      <w:i/>
      <w:iCs/>
      <w:color w:val="4F81BD" w:themeColor="accent1"/>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2848B9"/>
    <w:pPr>
      <w:spacing w:after="120" w:line="240" w:lineRule="auto"/>
    </w:pPr>
    <w:rPr>
      <w:lang w:val="en-US"/>
    </w:rPr>
  </w:style>
  <w:style w:type="character" w:customStyle="1" w:styleId="FootnoteTextChar">
    <w:name w:val="Footnote Text Char"/>
    <w:link w:val="FootnoteText"/>
    <w:uiPriority w:val="99"/>
    <w:semiHidden/>
    <w:rsid w:val="002848B9"/>
    <w:rPr>
      <w:sz w:val="24"/>
    </w:rPr>
  </w:style>
  <w:style w:type="paragraph" w:customStyle="1" w:styleId="footnotes">
    <w:name w:val="footnotes"/>
    <w:basedOn w:val="FootnoteText"/>
    <w:link w:val="footnotesChar"/>
    <w:qFormat/>
    <w:rsid w:val="00455241"/>
    <w:rPr>
      <w:sz w:val="24"/>
      <w:lang w:val="en-GB"/>
    </w:rPr>
  </w:style>
  <w:style w:type="character" w:customStyle="1" w:styleId="footnotesChar">
    <w:name w:val="footnotes Char"/>
    <w:basedOn w:val="FootnoteTextChar"/>
    <w:link w:val="footnotes"/>
    <w:rsid w:val="00455241"/>
    <w:rPr>
      <w:sz w:val="24"/>
    </w:rPr>
  </w:style>
  <w:style w:type="character" w:customStyle="1" w:styleId="Heading2Char">
    <w:name w:val="Heading 2 Char"/>
    <w:basedOn w:val="DefaultParagraphFont"/>
    <w:link w:val="Heading2"/>
    <w:uiPriority w:val="9"/>
    <w:semiHidden/>
    <w:rsid w:val="003E417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4170"/>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3E4170"/>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3E4170"/>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3E41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41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41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41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4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70"/>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3E4170"/>
    <w:pPr>
      <w:spacing w:before="160"/>
      <w:jc w:val="center"/>
    </w:pPr>
    <w:rPr>
      <w:i/>
      <w:iCs/>
      <w:color w:val="404040" w:themeColor="text1" w:themeTint="BF"/>
    </w:rPr>
  </w:style>
  <w:style w:type="character" w:customStyle="1" w:styleId="QuoteChar">
    <w:name w:val="Quote Char"/>
    <w:basedOn w:val="DefaultParagraphFont"/>
    <w:link w:val="Quote"/>
    <w:uiPriority w:val="29"/>
    <w:rsid w:val="003E4170"/>
    <w:rPr>
      <w:i/>
      <w:iCs/>
      <w:color w:val="404040" w:themeColor="text1" w:themeTint="BF"/>
    </w:rPr>
  </w:style>
  <w:style w:type="paragraph" w:styleId="ListParagraph">
    <w:name w:val="List Paragraph"/>
    <w:basedOn w:val="Normal"/>
    <w:uiPriority w:val="34"/>
    <w:qFormat/>
    <w:rsid w:val="003E4170"/>
    <w:pPr>
      <w:ind w:left="720"/>
      <w:contextualSpacing/>
    </w:pPr>
  </w:style>
  <w:style w:type="character" w:styleId="IntenseEmphasis">
    <w:name w:val="Intense Emphasis"/>
    <w:basedOn w:val="DefaultParagraphFont"/>
    <w:uiPriority w:val="21"/>
    <w:qFormat/>
    <w:rsid w:val="003E4170"/>
    <w:rPr>
      <w:i/>
      <w:iCs/>
      <w:color w:val="365F91" w:themeColor="accent1" w:themeShade="BF"/>
    </w:rPr>
  </w:style>
  <w:style w:type="paragraph" w:styleId="IntenseQuote">
    <w:name w:val="Intense Quote"/>
    <w:basedOn w:val="Normal"/>
    <w:next w:val="Normal"/>
    <w:link w:val="IntenseQuoteChar"/>
    <w:uiPriority w:val="30"/>
    <w:qFormat/>
    <w:rsid w:val="003E417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4170"/>
    <w:rPr>
      <w:i/>
      <w:iCs/>
      <w:color w:val="365F91" w:themeColor="accent1" w:themeShade="BF"/>
    </w:rPr>
  </w:style>
  <w:style w:type="character" w:styleId="IntenseReference">
    <w:name w:val="Intense Reference"/>
    <w:basedOn w:val="DefaultParagraphFont"/>
    <w:uiPriority w:val="32"/>
    <w:qFormat/>
    <w:rsid w:val="003E4170"/>
    <w:rPr>
      <w:b/>
      <w:bCs/>
      <w:smallCaps/>
      <w:color w:val="365F91" w:themeColor="accent1" w:themeShade="BF"/>
      <w:spacing w:val="5"/>
    </w:rPr>
  </w:style>
  <w:style w:type="character" w:styleId="FootnoteReference">
    <w:name w:val="footnote reference"/>
    <w:unhideWhenUsed/>
    <w:qFormat/>
    <w:rsid w:val="00307D27"/>
    <w:rPr>
      <w:vertAlign w:val="superscript"/>
    </w:rPr>
  </w:style>
  <w:style w:type="paragraph" w:customStyle="1" w:styleId="NormalMF">
    <w:name w:val="NormalMF"/>
    <w:basedOn w:val="Normal"/>
    <w:rsid w:val="00E559DE"/>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b/>
      <w:caps/>
      <w:kern w:val="0"/>
      <w:sz w:val="32"/>
      <w:szCs w:val="20"/>
      <w:lang w:eastAsia="zh-CN"/>
      <w14:ligatures w14:val="none"/>
    </w:rPr>
  </w:style>
  <w:style w:type="paragraph" w:customStyle="1" w:styleId="MF">
    <w:name w:val="MF"/>
    <w:basedOn w:val="NormalMF"/>
    <w:rsid w:val="00E559DE"/>
    <w:rPr>
      <w:b w:val="0"/>
      <w:sz w:val="28"/>
    </w:rPr>
  </w:style>
  <w:style w:type="paragraph" w:styleId="BodyTextIndent">
    <w:name w:val="Body Text Indent"/>
    <w:basedOn w:val="Normal"/>
    <w:link w:val="BodyTextIndentChar"/>
    <w:semiHidden/>
    <w:rsid w:val="00E559DE"/>
    <w:pPr>
      <w:widowControl w:val="0"/>
      <w:spacing w:after="0" w:line="240" w:lineRule="auto"/>
      <w:ind w:left="284" w:hanging="284"/>
      <w:jc w:val="both"/>
    </w:pPr>
    <w:rPr>
      <w:rFonts w:eastAsia="宋体"/>
      <w:sz w:val="24"/>
      <w:szCs w:val="20"/>
      <w:lang w:val="en-US" w:eastAsia="zh-CN"/>
      <w14:ligatures w14:val="none"/>
    </w:rPr>
  </w:style>
  <w:style w:type="character" w:customStyle="1" w:styleId="BodyTextIndentChar">
    <w:name w:val="Body Text Indent Char"/>
    <w:basedOn w:val="DefaultParagraphFont"/>
    <w:link w:val="BodyTextIndent"/>
    <w:semiHidden/>
    <w:rsid w:val="00E559DE"/>
    <w:rPr>
      <w:rFonts w:eastAsia="宋体"/>
      <w:sz w:val="24"/>
      <w:szCs w:val="20"/>
      <w:lang w:val="en-US" w:eastAsia="zh-CN"/>
      <w14:ligatures w14:val="none"/>
    </w:rPr>
  </w:style>
  <w:style w:type="paragraph" w:customStyle="1" w:styleId="sh">
    <w:name w:val="sh"/>
    <w:basedOn w:val="Normal"/>
    <w:rsid w:val="00E559DE"/>
    <w:pPr>
      <w:tabs>
        <w:tab w:val="left" w:pos="720"/>
        <w:tab w:val="left" w:pos="1440"/>
        <w:tab w:val="center" w:pos="4320"/>
        <w:tab w:val="right" w:pos="9072"/>
      </w:tabs>
      <w:spacing w:after="0" w:line="240" w:lineRule="auto"/>
    </w:pPr>
    <w:rPr>
      <w:rFonts w:eastAsia="宋体"/>
      <w:kern w:val="0"/>
      <w:szCs w:val="20"/>
      <w:lang w:val="en-US" w:eastAsia="zh-CN"/>
      <w14:ligatures w14:val="none"/>
    </w:rPr>
  </w:style>
  <w:style w:type="paragraph" w:styleId="BalloonText">
    <w:name w:val="Balloon Text"/>
    <w:basedOn w:val="Normal"/>
    <w:link w:val="BalloonTextChar"/>
    <w:uiPriority w:val="99"/>
    <w:semiHidden/>
    <w:unhideWhenUsed/>
    <w:rsid w:val="00CF1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C318D-C130-43B1-B2C2-DCE57420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2024-06-14T03:08:00Z</dcterms:created>
  <dcterms:modified xsi:type="dcterms:W3CDTF">2024-06-17T03:03:00Z</dcterms:modified>
</cp:coreProperties>
</file>