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9E" w:rsidRPr="00941BB0" w:rsidRDefault="000F409E" w:rsidP="000F409E">
      <w:pPr>
        <w:pStyle w:val="Heading3"/>
        <w:spacing w:before="0" w:after="0" w:line="240" w:lineRule="auto"/>
        <w:ind w:right="-43"/>
        <w:jc w:val="right"/>
        <w:rPr>
          <w:rFonts w:ascii="Times New Roman" w:hAnsi="Times New Roman"/>
          <w:b w:val="0"/>
          <w:sz w:val="28"/>
          <w:szCs w:val="28"/>
        </w:rPr>
      </w:pPr>
      <w:bookmarkStart w:id="0" w:name="_GoBack"/>
      <w:r w:rsidRPr="00941BB0">
        <w:rPr>
          <w:rFonts w:ascii="Times New Roman" w:hAnsi="Times New Roman" w:hint="eastAsia"/>
          <w:b w:val="0"/>
          <w:sz w:val="28"/>
          <w:szCs w:val="28"/>
        </w:rPr>
        <w:t>FA</w:t>
      </w:r>
      <w:r>
        <w:rPr>
          <w:rFonts w:ascii="Times New Roman" w:hAnsi="Times New Roman"/>
          <w:b w:val="0"/>
          <w:sz w:val="28"/>
          <w:szCs w:val="28"/>
        </w:rPr>
        <w:t>CV</w:t>
      </w:r>
      <w:r w:rsidRPr="00941BB0">
        <w:rPr>
          <w:rFonts w:ascii="Times New Roman" w:hAnsi="Times New Roman" w:hint="eastAsia"/>
          <w:b w:val="0"/>
          <w:sz w:val="28"/>
          <w:szCs w:val="28"/>
        </w:rPr>
        <w:t xml:space="preserve"> No.</w:t>
      </w:r>
      <w:r w:rsidRPr="00941BB0">
        <w:rPr>
          <w:rFonts w:ascii="Times New Roman" w:hAnsi="Times New Roman"/>
          <w:b w:val="0"/>
          <w:sz w:val="28"/>
          <w:szCs w:val="28"/>
        </w:rPr>
        <w:t xml:space="preserve"> </w:t>
      </w:r>
      <w:r>
        <w:rPr>
          <w:rFonts w:ascii="Times New Roman" w:hAnsi="Times New Roman"/>
          <w:b w:val="0"/>
          <w:sz w:val="28"/>
          <w:szCs w:val="28"/>
        </w:rPr>
        <w:t>7</w:t>
      </w:r>
      <w:r w:rsidRPr="00941BB0">
        <w:rPr>
          <w:rFonts w:ascii="Times New Roman" w:hAnsi="Times New Roman"/>
          <w:b w:val="0"/>
          <w:sz w:val="28"/>
          <w:szCs w:val="28"/>
        </w:rPr>
        <w:t xml:space="preserve"> of 20</w:t>
      </w:r>
      <w:r>
        <w:rPr>
          <w:rFonts w:ascii="Times New Roman" w:hAnsi="Times New Roman"/>
          <w:b w:val="0"/>
          <w:sz w:val="28"/>
          <w:szCs w:val="28"/>
        </w:rPr>
        <w:t>23</w:t>
      </w:r>
    </w:p>
    <w:bookmarkEnd w:id="0"/>
    <w:p w:rsidR="000F409E" w:rsidRDefault="000F409E" w:rsidP="000F409E">
      <w:pPr>
        <w:spacing w:after="0"/>
        <w:ind w:left="5760"/>
        <w:jc w:val="right"/>
        <w:rPr>
          <w:color w:val="FF0000"/>
        </w:rPr>
      </w:pPr>
      <w:r w:rsidRPr="00941BB0">
        <w:t xml:space="preserve">      [202</w:t>
      </w:r>
      <w:r>
        <w:t>4</w:t>
      </w:r>
      <w:r w:rsidRPr="00941BB0">
        <w:t xml:space="preserve">] HKCFA </w:t>
      </w:r>
      <w:r w:rsidR="009011D3" w:rsidRPr="00A16E3A">
        <w:t>8</w:t>
      </w:r>
    </w:p>
    <w:p w:rsidR="000F409E" w:rsidRPr="00941BB0" w:rsidRDefault="000F409E" w:rsidP="000F409E">
      <w:pPr>
        <w:spacing w:after="0"/>
        <w:ind w:left="5760"/>
        <w:jc w:val="right"/>
      </w:pPr>
    </w:p>
    <w:p w:rsidR="000F409E" w:rsidRPr="00702CBB" w:rsidRDefault="000F409E" w:rsidP="000F409E">
      <w:pPr>
        <w:pStyle w:val="NormalMF"/>
        <w:rPr>
          <w:sz w:val="28"/>
          <w:szCs w:val="28"/>
        </w:rPr>
      </w:pPr>
      <w:r w:rsidRPr="00702CBB">
        <w:rPr>
          <w:sz w:val="28"/>
          <w:szCs w:val="28"/>
        </w:rPr>
        <w:t>IN THE COURT OF FINAL APPEAL OF THE</w:t>
      </w:r>
    </w:p>
    <w:p w:rsidR="000F409E" w:rsidRDefault="000F409E" w:rsidP="000F409E">
      <w:pPr>
        <w:pStyle w:val="NormalMF"/>
        <w:rPr>
          <w:sz w:val="28"/>
          <w:szCs w:val="28"/>
        </w:rPr>
      </w:pPr>
      <w:r w:rsidRPr="00702CBB">
        <w:rPr>
          <w:sz w:val="28"/>
          <w:szCs w:val="28"/>
        </w:rPr>
        <w:t>HONG KON</w:t>
      </w:r>
      <w:r>
        <w:rPr>
          <w:sz w:val="28"/>
          <w:szCs w:val="28"/>
        </w:rPr>
        <w:t>G SPECIAL ADMINISTRATIVE REGION</w:t>
      </w:r>
    </w:p>
    <w:p w:rsidR="000F409E" w:rsidRPr="00702CBB" w:rsidRDefault="000F409E" w:rsidP="000F409E">
      <w:pPr>
        <w:pStyle w:val="NormalMF"/>
        <w:rPr>
          <w:sz w:val="28"/>
          <w:szCs w:val="28"/>
        </w:rPr>
      </w:pPr>
    </w:p>
    <w:p w:rsidR="000F409E" w:rsidRPr="000F409E" w:rsidRDefault="000F409E" w:rsidP="000F409E">
      <w:pPr>
        <w:pStyle w:val="MF"/>
        <w:rPr>
          <w:b/>
          <w:bCs/>
          <w:szCs w:val="28"/>
        </w:rPr>
      </w:pPr>
      <w:r w:rsidRPr="000F409E">
        <w:rPr>
          <w:rFonts w:eastAsia="宋体"/>
          <w:b/>
          <w:bCs/>
          <w:szCs w:val="28"/>
        </w:rPr>
        <w:t xml:space="preserve">FINAL APPEAL </w:t>
      </w:r>
      <w:r w:rsidRPr="000F409E">
        <w:rPr>
          <w:rFonts w:eastAsia="宋体" w:hint="eastAsia"/>
          <w:b/>
          <w:bCs/>
          <w:szCs w:val="28"/>
        </w:rPr>
        <w:t>nO.</w:t>
      </w:r>
      <w:r w:rsidRPr="000F409E">
        <w:rPr>
          <w:rFonts w:eastAsia="宋体"/>
          <w:b/>
          <w:bCs/>
          <w:szCs w:val="28"/>
        </w:rPr>
        <w:t xml:space="preserve"> 7</w:t>
      </w:r>
      <w:r w:rsidRPr="000F409E">
        <w:rPr>
          <w:b/>
          <w:bCs/>
          <w:szCs w:val="28"/>
        </w:rPr>
        <w:t xml:space="preserve"> OF 2023 (CiVIL)</w:t>
      </w:r>
    </w:p>
    <w:p w:rsidR="000F409E" w:rsidRPr="003015D9" w:rsidRDefault="000F409E" w:rsidP="000F409E">
      <w:pPr>
        <w:pStyle w:val="MF"/>
        <w:tabs>
          <w:tab w:val="clear" w:pos="1440"/>
        </w:tabs>
        <w:rPr>
          <w:szCs w:val="28"/>
        </w:rPr>
      </w:pPr>
      <w:r w:rsidRPr="003015D9">
        <w:rPr>
          <w:szCs w:val="28"/>
        </w:rPr>
        <w:t xml:space="preserve">(ON </w:t>
      </w:r>
      <w:r>
        <w:rPr>
          <w:rFonts w:eastAsia="宋体" w:hint="eastAsia"/>
          <w:szCs w:val="28"/>
        </w:rPr>
        <w:t xml:space="preserve">APPEAL FROM </w:t>
      </w:r>
      <w:r>
        <w:rPr>
          <w:rFonts w:eastAsia="宋体"/>
          <w:szCs w:val="28"/>
        </w:rPr>
        <w:t xml:space="preserve">CACV </w:t>
      </w:r>
      <w:r>
        <w:rPr>
          <w:rFonts w:eastAsia="宋体" w:hint="eastAsia"/>
          <w:szCs w:val="28"/>
        </w:rPr>
        <w:t>NO.</w:t>
      </w:r>
      <w:r>
        <w:rPr>
          <w:rFonts w:eastAsia="宋体"/>
          <w:szCs w:val="28"/>
        </w:rPr>
        <w:t xml:space="preserve"> 152</w:t>
      </w:r>
      <w:r>
        <w:rPr>
          <w:rFonts w:eastAsia="宋体" w:hint="eastAsia"/>
          <w:szCs w:val="28"/>
        </w:rPr>
        <w:t xml:space="preserve"> OF 20</w:t>
      </w:r>
      <w:r>
        <w:rPr>
          <w:rFonts w:eastAsia="宋体"/>
          <w:szCs w:val="28"/>
        </w:rPr>
        <w:t>22</w:t>
      </w:r>
      <w:r w:rsidRPr="003015D9">
        <w:rPr>
          <w:szCs w:val="28"/>
        </w:rPr>
        <w:t>)</w:t>
      </w:r>
    </w:p>
    <w:p w:rsidR="000F409E" w:rsidRDefault="000F409E" w:rsidP="000F409E">
      <w:pPr>
        <w:pStyle w:val="MF"/>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tblGrid>
      <w:tr w:rsidR="000F409E" w:rsidTr="00987F4A">
        <w:trPr>
          <w:jc w:val="center"/>
        </w:trPr>
        <w:tc>
          <w:tcPr>
            <w:tcW w:w="4320" w:type="dxa"/>
            <w:tcBorders>
              <w:top w:val="nil"/>
              <w:left w:val="nil"/>
              <w:right w:val="nil"/>
            </w:tcBorders>
            <w:shd w:val="clear" w:color="auto" w:fill="auto"/>
          </w:tcPr>
          <w:p w:rsidR="000F409E" w:rsidRPr="00557267" w:rsidRDefault="000F409E" w:rsidP="00987F4A">
            <w:pPr>
              <w:pStyle w:val="MF"/>
              <w:rPr>
                <w:szCs w:val="28"/>
                <w:lang w:eastAsia="zh-TW"/>
              </w:rPr>
            </w:pPr>
          </w:p>
        </w:tc>
      </w:tr>
    </w:tbl>
    <w:p w:rsidR="000F409E" w:rsidRPr="003015D9" w:rsidRDefault="000F409E" w:rsidP="000F409E">
      <w:pPr>
        <w:pStyle w:val="MF"/>
        <w:rPr>
          <w:szCs w:val="28"/>
          <w:lang w:eastAsia="zh-TW"/>
        </w:rPr>
      </w:pPr>
    </w:p>
    <w:p w:rsidR="000F409E" w:rsidRDefault="000F409E" w:rsidP="000F409E">
      <w:pPr>
        <w:spacing w:after="0" w:line="240" w:lineRule="auto"/>
        <w:rPr>
          <w:color w:val="000000"/>
        </w:rPr>
      </w:pPr>
      <w:r w:rsidRPr="00073749">
        <w:rPr>
          <w:rFonts w:eastAsia="宋体"/>
        </w:rPr>
        <w:t>B</w:t>
      </w:r>
      <w:r w:rsidRPr="00073749">
        <w:rPr>
          <w:rFonts w:eastAsia="宋体" w:hint="eastAsia"/>
        </w:rPr>
        <w:t>ETWEEN</w:t>
      </w:r>
      <w:r w:rsidRPr="00103340">
        <w:rPr>
          <w:color w:val="000000"/>
        </w:rPr>
        <w:t xml:space="preserve"> </w:t>
      </w:r>
    </w:p>
    <w:p w:rsidR="000F409E" w:rsidRDefault="000F409E" w:rsidP="000F409E">
      <w:pPr>
        <w:spacing w:after="0" w:line="240" w:lineRule="auto"/>
        <w:rPr>
          <w:color w:val="000000"/>
        </w:rPr>
      </w:pPr>
    </w:p>
    <w:tbl>
      <w:tblPr>
        <w:tblW w:w="8928" w:type="dxa"/>
        <w:tblLook w:val="04A0" w:firstRow="1" w:lastRow="0" w:firstColumn="1" w:lastColumn="0" w:noHBand="0" w:noVBand="1"/>
      </w:tblPr>
      <w:tblGrid>
        <w:gridCol w:w="1728"/>
        <w:gridCol w:w="5202"/>
        <w:gridCol w:w="1998"/>
      </w:tblGrid>
      <w:tr w:rsidR="000F409E" w:rsidTr="00987F4A">
        <w:tc>
          <w:tcPr>
            <w:tcW w:w="1728" w:type="dxa"/>
            <w:shd w:val="clear" w:color="auto" w:fill="auto"/>
          </w:tcPr>
          <w:p w:rsidR="000F409E" w:rsidRPr="00987F4A" w:rsidRDefault="000F409E" w:rsidP="00987F4A">
            <w:pPr>
              <w:spacing w:after="0" w:line="240" w:lineRule="auto"/>
              <w:jc w:val="center"/>
              <w:rPr>
                <w:rFonts w:eastAsia="PMingLiU"/>
                <w:color w:val="000000"/>
              </w:rPr>
            </w:pPr>
          </w:p>
        </w:tc>
        <w:tc>
          <w:tcPr>
            <w:tcW w:w="5202" w:type="dxa"/>
            <w:shd w:val="clear" w:color="auto" w:fill="auto"/>
          </w:tcPr>
          <w:p w:rsidR="000F409E" w:rsidRPr="00987F4A" w:rsidRDefault="000F409E" w:rsidP="00987F4A">
            <w:pPr>
              <w:spacing w:after="0" w:line="240" w:lineRule="auto"/>
              <w:jc w:val="center"/>
              <w:rPr>
                <w:rFonts w:eastAsia="宋体"/>
              </w:rPr>
            </w:pPr>
            <w:r w:rsidRPr="00987F4A">
              <w:rPr>
                <w:rFonts w:eastAsia="宋体"/>
              </w:rPr>
              <w:t>TAM SZE LEUNG</w:t>
            </w:r>
          </w:p>
        </w:tc>
        <w:tc>
          <w:tcPr>
            <w:tcW w:w="1998" w:type="dxa"/>
            <w:shd w:val="clear" w:color="auto" w:fill="auto"/>
          </w:tcPr>
          <w:p w:rsidR="000F409E" w:rsidRPr="00987F4A" w:rsidRDefault="000F409E" w:rsidP="00987F4A">
            <w:pPr>
              <w:spacing w:after="0"/>
              <w:jc w:val="right"/>
              <w:rPr>
                <w:rFonts w:eastAsia="宋体"/>
                <w:lang w:val="en-US"/>
              </w:rPr>
            </w:pPr>
            <w:r w:rsidRPr="00987F4A">
              <w:rPr>
                <w:rFonts w:eastAsia="宋体"/>
                <w:lang w:val="en-US"/>
              </w:rPr>
              <w:t>1</w:t>
            </w:r>
            <w:r w:rsidRPr="00987F4A">
              <w:rPr>
                <w:rFonts w:eastAsia="宋体"/>
                <w:vertAlign w:val="superscript"/>
                <w:lang w:val="en-US"/>
              </w:rPr>
              <w:t>st</w:t>
            </w:r>
            <w:r w:rsidRPr="00987F4A">
              <w:rPr>
                <w:rFonts w:eastAsia="宋体"/>
                <w:lang w:val="en-US"/>
              </w:rPr>
              <w:t xml:space="preserve"> Applicant</w:t>
            </w:r>
          </w:p>
          <w:p w:rsidR="000F409E" w:rsidRPr="00987F4A" w:rsidRDefault="000F409E" w:rsidP="00987F4A">
            <w:pPr>
              <w:spacing w:after="0"/>
              <w:jc w:val="right"/>
              <w:rPr>
                <w:rFonts w:eastAsia="宋体"/>
                <w:lang w:val="en-US"/>
              </w:rPr>
            </w:pPr>
            <w:r w:rsidRPr="00987F4A">
              <w:rPr>
                <w:rFonts w:eastAsia="宋体"/>
                <w:lang w:val="en-US"/>
              </w:rPr>
              <w:t xml:space="preserve"> (1</w:t>
            </w:r>
            <w:r w:rsidRPr="00987F4A">
              <w:rPr>
                <w:rFonts w:eastAsia="宋体"/>
                <w:vertAlign w:val="superscript"/>
                <w:lang w:val="en-US"/>
              </w:rPr>
              <w:t>st</w:t>
            </w:r>
            <w:r w:rsidRPr="00987F4A">
              <w:rPr>
                <w:rFonts w:eastAsia="宋体"/>
                <w:lang w:val="en-US"/>
              </w:rPr>
              <w:t xml:space="preserve"> Appellant)</w:t>
            </w:r>
          </w:p>
        </w:tc>
      </w:tr>
      <w:tr w:rsidR="000F409E" w:rsidTr="00987F4A">
        <w:tc>
          <w:tcPr>
            <w:tcW w:w="1728" w:type="dxa"/>
            <w:shd w:val="clear" w:color="auto" w:fill="auto"/>
          </w:tcPr>
          <w:p w:rsidR="000F409E" w:rsidRPr="00987F4A" w:rsidRDefault="000F409E" w:rsidP="00987F4A">
            <w:pPr>
              <w:spacing w:after="0" w:line="240" w:lineRule="auto"/>
              <w:jc w:val="center"/>
              <w:rPr>
                <w:rFonts w:eastAsia="PMingLiU"/>
                <w:color w:val="000000"/>
              </w:rPr>
            </w:pPr>
          </w:p>
        </w:tc>
        <w:tc>
          <w:tcPr>
            <w:tcW w:w="5202" w:type="dxa"/>
            <w:shd w:val="clear" w:color="auto" w:fill="auto"/>
          </w:tcPr>
          <w:p w:rsidR="000F409E" w:rsidRPr="00987F4A" w:rsidRDefault="000F409E" w:rsidP="00987F4A">
            <w:pPr>
              <w:spacing w:after="0" w:line="240" w:lineRule="auto"/>
              <w:jc w:val="center"/>
              <w:rPr>
                <w:rFonts w:eastAsia="宋体"/>
              </w:rPr>
            </w:pPr>
            <w:r w:rsidRPr="00987F4A">
              <w:rPr>
                <w:rFonts w:eastAsia="宋体"/>
              </w:rPr>
              <w:t>TAM CHUNG WAI</w:t>
            </w:r>
          </w:p>
        </w:tc>
        <w:tc>
          <w:tcPr>
            <w:tcW w:w="1998" w:type="dxa"/>
            <w:shd w:val="clear" w:color="auto" w:fill="auto"/>
          </w:tcPr>
          <w:p w:rsidR="000F409E" w:rsidRPr="00987F4A" w:rsidRDefault="000F409E" w:rsidP="00987F4A">
            <w:pPr>
              <w:spacing w:after="0"/>
              <w:jc w:val="right"/>
              <w:rPr>
                <w:rFonts w:eastAsia="宋体"/>
                <w:lang w:val="en-US"/>
              </w:rPr>
            </w:pPr>
            <w:r w:rsidRPr="00987F4A">
              <w:rPr>
                <w:rFonts w:eastAsia="宋体"/>
                <w:lang w:val="en-US"/>
              </w:rPr>
              <w:t>2</w:t>
            </w:r>
            <w:r w:rsidRPr="00987F4A">
              <w:rPr>
                <w:rFonts w:eastAsia="宋体"/>
                <w:vertAlign w:val="superscript"/>
                <w:lang w:val="en-US"/>
              </w:rPr>
              <w:t>nd</w:t>
            </w:r>
            <w:r w:rsidRPr="00987F4A">
              <w:rPr>
                <w:rFonts w:eastAsia="宋体"/>
                <w:lang w:val="en-US"/>
              </w:rPr>
              <w:t xml:space="preserve"> Applicant</w:t>
            </w:r>
          </w:p>
          <w:p w:rsidR="000F409E" w:rsidRPr="00987F4A" w:rsidRDefault="000F409E" w:rsidP="00987F4A">
            <w:pPr>
              <w:spacing w:after="0"/>
              <w:jc w:val="right"/>
              <w:rPr>
                <w:rFonts w:eastAsia="宋体"/>
                <w:lang w:val="en-US"/>
              </w:rPr>
            </w:pPr>
            <w:r w:rsidRPr="00987F4A">
              <w:rPr>
                <w:rFonts w:eastAsia="宋体"/>
                <w:lang w:val="en-US"/>
              </w:rPr>
              <w:t xml:space="preserve"> (2</w:t>
            </w:r>
            <w:r w:rsidRPr="00987F4A">
              <w:rPr>
                <w:rFonts w:eastAsia="宋体"/>
                <w:vertAlign w:val="superscript"/>
                <w:lang w:val="en-US"/>
              </w:rPr>
              <w:t>nd</w:t>
            </w:r>
            <w:r w:rsidRPr="00987F4A">
              <w:rPr>
                <w:rFonts w:eastAsia="宋体"/>
                <w:lang w:val="en-US"/>
              </w:rPr>
              <w:t xml:space="preserve"> Appellant)</w:t>
            </w:r>
          </w:p>
        </w:tc>
      </w:tr>
      <w:tr w:rsidR="000F409E" w:rsidTr="00987F4A">
        <w:tc>
          <w:tcPr>
            <w:tcW w:w="1728" w:type="dxa"/>
            <w:shd w:val="clear" w:color="auto" w:fill="auto"/>
          </w:tcPr>
          <w:p w:rsidR="000F409E" w:rsidRPr="00987F4A" w:rsidRDefault="000F409E" w:rsidP="00987F4A">
            <w:pPr>
              <w:spacing w:after="0" w:line="240" w:lineRule="auto"/>
              <w:jc w:val="center"/>
              <w:rPr>
                <w:rFonts w:eastAsia="PMingLiU"/>
                <w:color w:val="000000"/>
              </w:rPr>
            </w:pPr>
          </w:p>
        </w:tc>
        <w:tc>
          <w:tcPr>
            <w:tcW w:w="5202" w:type="dxa"/>
            <w:shd w:val="clear" w:color="auto" w:fill="auto"/>
          </w:tcPr>
          <w:p w:rsidR="000F409E" w:rsidRPr="00987F4A" w:rsidRDefault="000F409E" w:rsidP="00987F4A">
            <w:pPr>
              <w:spacing w:after="0" w:line="240" w:lineRule="auto"/>
              <w:jc w:val="center"/>
              <w:rPr>
                <w:rFonts w:eastAsia="宋体"/>
              </w:rPr>
            </w:pPr>
            <w:r w:rsidRPr="00987F4A">
              <w:rPr>
                <w:rFonts w:eastAsia="宋体"/>
              </w:rPr>
              <w:t>KONG CHAN</w:t>
            </w:r>
          </w:p>
        </w:tc>
        <w:tc>
          <w:tcPr>
            <w:tcW w:w="1998" w:type="dxa"/>
            <w:shd w:val="clear" w:color="auto" w:fill="auto"/>
          </w:tcPr>
          <w:p w:rsidR="000F409E" w:rsidRPr="00987F4A" w:rsidRDefault="000F409E" w:rsidP="00987F4A">
            <w:pPr>
              <w:spacing w:after="0"/>
              <w:jc w:val="right"/>
              <w:rPr>
                <w:rFonts w:eastAsia="宋体"/>
                <w:lang w:val="en-US"/>
              </w:rPr>
            </w:pPr>
            <w:r w:rsidRPr="00987F4A">
              <w:rPr>
                <w:rFonts w:eastAsia="宋体"/>
                <w:lang w:val="en-US"/>
              </w:rPr>
              <w:t>3</w:t>
            </w:r>
            <w:r w:rsidRPr="00987F4A">
              <w:rPr>
                <w:rFonts w:eastAsia="宋体"/>
                <w:vertAlign w:val="superscript"/>
                <w:lang w:val="en-US"/>
              </w:rPr>
              <w:t>rd</w:t>
            </w:r>
            <w:r w:rsidRPr="00987F4A">
              <w:rPr>
                <w:rFonts w:eastAsia="宋体"/>
                <w:lang w:val="en-US"/>
              </w:rPr>
              <w:t xml:space="preserve"> Applicant</w:t>
            </w:r>
          </w:p>
          <w:p w:rsidR="000F409E" w:rsidRPr="00987F4A" w:rsidRDefault="000F409E" w:rsidP="00987F4A">
            <w:pPr>
              <w:spacing w:after="0"/>
              <w:jc w:val="right"/>
              <w:rPr>
                <w:rFonts w:eastAsia="宋体"/>
                <w:lang w:val="en-US"/>
              </w:rPr>
            </w:pPr>
            <w:r w:rsidRPr="00987F4A">
              <w:rPr>
                <w:rFonts w:eastAsia="宋体"/>
                <w:lang w:val="en-US"/>
              </w:rPr>
              <w:t xml:space="preserve"> (3</w:t>
            </w:r>
            <w:r w:rsidRPr="00987F4A">
              <w:rPr>
                <w:rFonts w:eastAsia="宋体"/>
                <w:vertAlign w:val="superscript"/>
                <w:lang w:val="en-US"/>
              </w:rPr>
              <w:t>rd</w:t>
            </w:r>
            <w:r w:rsidRPr="00987F4A">
              <w:rPr>
                <w:rFonts w:eastAsia="宋体"/>
                <w:lang w:val="en-US"/>
              </w:rPr>
              <w:t xml:space="preserve"> Appellant)</w:t>
            </w:r>
          </w:p>
        </w:tc>
      </w:tr>
      <w:tr w:rsidR="000F409E" w:rsidTr="00987F4A">
        <w:tc>
          <w:tcPr>
            <w:tcW w:w="1728" w:type="dxa"/>
            <w:shd w:val="clear" w:color="auto" w:fill="auto"/>
          </w:tcPr>
          <w:p w:rsidR="000F409E" w:rsidRPr="00987F4A" w:rsidRDefault="000F409E" w:rsidP="00987F4A">
            <w:pPr>
              <w:spacing w:after="0" w:line="240" w:lineRule="auto"/>
              <w:jc w:val="center"/>
              <w:rPr>
                <w:rFonts w:eastAsia="PMingLiU"/>
                <w:color w:val="000000"/>
              </w:rPr>
            </w:pPr>
          </w:p>
        </w:tc>
        <w:tc>
          <w:tcPr>
            <w:tcW w:w="5202" w:type="dxa"/>
            <w:shd w:val="clear" w:color="auto" w:fill="auto"/>
          </w:tcPr>
          <w:p w:rsidR="000F409E" w:rsidRPr="00987F4A" w:rsidRDefault="000F409E" w:rsidP="00987F4A">
            <w:pPr>
              <w:spacing w:after="0" w:line="240" w:lineRule="auto"/>
              <w:jc w:val="center"/>
              <w:rPr>
                <w:rFonts w:eastAsia="PMingLiU"/>
                <w:color w:val="000000"/>
              </w:rPr>
            </w:pPr>
            <w:r w:rsidRPr="00987F4A">
              <w:rPr>
                <w:rFonts w:eastAsia="PMingLiU"/>
                <w:color w:val="000000"/>
              </w:rPr>
              <w:t>LEE KA LO</w:t>
            </w:r>
          </w:p>
        </w:tc>
        <w:tc>
          <w:tcPr>
            <w:tcW w:w="1998" w:type="dxa"/>
            <w:shd w:val="clear" w:color="auto" w:fill="auto"/>
          </w:tcPr>
          <w:p w:rsidR="000F409E" w:rsidRPr="00987F4A" w:rsidRDefault="000F409E" w:rsidP="00987F4A">
            <w:pPr>
              <w:spacing w:after="0"/>
              <w:jc w:val="right"/>
              <w:rPr>
                <w:rFonts w:eastAsia="宋体"/>
                <w:lang w:val="en-US"/>
              </w:rPr>
            </w:pPr>
            <w:r w:rsidRPr="00987F4A">
              <w:rPr>
                <w:rFonts w:eastAsia="宋体"/>
                <w:lang w:val="en-US"/>
              </w:rPr>
              <w:t>4</w:t>
            </w:r>
            <w:r w:rsidRPr="00987F4A">
              <w:rPr>
                <w:rFonts w:eastAsia="宋体"/>
                <w:vertAlign w:val="superscript"/>
                <w:lang w:val="en-US"/>
              </w:rPr>
              <w:t>th</w:t>
            </w:r>
            <w:r w:rsidRPr="00987F4A">
              <w:rPr>
                <w:rFonts w:eastAsia="宋体"/>
                <w:lang w:val="en-US"/>
              </w:rPr>
              <w:t xml:space="preserve"> Applicant</w:t>
            </w:r>
          </w:p>
          <w:p w:rsidR="000F409E" w:rsidRPr="00987F4A" w:rsidRDefault="000F409E" w:rsidP="00987F4A">
            <w:pPr>
              <w:spacing w:after="0"/>
              <w:jc w:val="right"/>
              <w:rPr>
                <w:rFonts w:eastAsia="宋体"/>
                <w:lang w:val="en-US"/>
              </w:rPr>
            </w:pPr>
            <w:r w:rsidRPr="00987F4A">
              <w:rPr>
                <w:rFonts w:eastAsia="宋体"/>
                <w:lang w:val="en-US"/>
              </w:rPr>
              <w:t xml:space="preserve"> (4</w:t>
            </w:r>
            <w:r w:rsidRPr="00987F4A">
              <w:rPr>
                <w:rFonts w:eastAsia="宋体"/>
                <w:vertAlign w:val="superscript"/>
                <w:lang w:val="en-US"/>
              </w:rPr>
              <w:t>th</w:t>
            </w:r>
            <w:r w:rsidRPr="00987F4A">
              <w:rPr>
                <w:rFonts w:eastAsia="宋体"/>
                <w:lang w:val="en-US"/>
              </w:rPr>
              <w:t xml:space="preserve"> Appellant)</w:t>
            </w:r>
          </w:p>
        </w:tc>
      </w:tr>
      <w:tr w:rsidR="000F409E" w:rsidTr="00987F4A">
        <w:tc>
          <w:tcPr>
            <w:tcW w:w="1728" w:type="dxa"/>
            <w:shd w:val="clear" w:color="auto" w:fill="auto"/>
          </w:tcPr>
          <w:p w:rsidR="000F409E" w:rsidRPr="00987F4A" w:rsidRDefault="000F409E" w:rsidP="00987F4A">
            <w:pPr>
              <w:spacing w:after="0" w:line="240" w:lineRule="auto"/>
              <w:rPr>
                <w:rFonts w:eastAsia="PMingLiU"/>
                <w:color w:val="000000"/>
              </w:rPr>
            </w:pPr>
          </w:p>
        </w:tc>
        <w:tc>
          <w:tcPr>
            <w:tcW w:w="5202" w:type="dxa"/>
            <w:shd w:val="clear" w:color="auto" w:fill="auto"/>
          </w:tcPr>
          <w:p w:rsidR="000F409E" w:rsidRPr="00987F4A" w:rsidRDefault="000F409E" w:rsidP="00987F4A">
            <w:pPr>
              <w:spacing w:after="0" w:line="240" w:lineRule="auto"/>
              <w:jc w:val="center"/>
              <w:rPr>
                <w:rFonts w:eastAsia="PMingLiU"/>
                <w:color w:val="000000"/>
              </w:rPr>
            </w:pPr>
            <w:r w:rsidRPr="00987F4A">
              <w:rPr>
                <w:rFonts w:eastAsia="PMingLiU"/>
                <w:color w:val="000000"/>
              </w:rPr>
              <w:t>and</w:t>
            </w:r>
          </w:p>
          <w:p w:rsidR="000F409E" w:rsidRPr="00987F4A" w:rsidRDefault="000F409E" w:rsidP="00987F4A">
            <w:pPr>
              <w:spacing w:after="0" w:line="240" w:lineRule="auto"/>
              <w:jc w:val="center"/>
              <w:rPr>
                <w:rFonts w:eastAsia="PMingLiU"/>
                <w:color w:val="000000"/>
              </w:rPr>
            </w:pPr>
          </w:p>
        </w:tc>
        <w:tc>
          <w:tcPr>
            <w:tcW w:w="1998" w:type="dxa"/>
            <w:shd w:val="clear" w:color="auto" w:fill="auto"/>
          </w:tcPr>
          <w:p w:rsidR="000F409E" w:rsidRPr="00987F4A" w:rsidRDefault="000F409E" w:rsidP="00987F4A">
            <w:pPr>
              <w:jc w:val="right"/>
              <w:rPr>
                <w:rFonts w:eastAsia="PMingLiU"/>
              </w:rPr>
            </w:pPr>
          </w:p>
        </w:tc>
      </w:tr>
      <w:tr w:rsidR="000F409E" w:rsidTr="00987F4A">
        <w:tc>
          <w:tcPr>
            <w:tcW w:w="1728" w:type="dxa"/>
            <w:shd w:val="clear" w:color="auto" w:fill="auto"/>
          </w:tcPr>
          <w:p w:rsidR="000F409E" w:rsidRPr="00987F4A" w:rsidRDefault="000F409E" w:rsidP="00987F4A">
            <w:pPr>
              <w:spacing w:after="0" w:line="240" w:lineRule="auto"/>
              <w:jc w:val="center"/>
              <w:rPr>
                <w:rFonts w:eastAsia="PMingLiU"/>
                <w:color w:val="000000"/>
              </w:rPr>
            </w:pPr>
          </w:p>
        </w:tc>
        <w:tc>
          <w:tcPr>
            <w:tcW w:w="5202" w:type="dxa"/>
            <w:shd w:val="clear" w:color="auto" w:fill="auto"/>
          </w:tcPr>
          <w:p w:rsidR="000F409E" w:rsidRPr="00987F4A" w:rsidRDefault="000F409E" w:rsidP="00987F4A">
            <w:pPr>
              <w:spacing w:after="0" w:line="240" w:lineRule="auto"/>
              <w:jc w:val="center"/>
              <w:rPr>
                <w:rFonts w:eastAsia="PMingLiU"/>
                <w:color w:val="000000"/>
              </w:rPr>
            </w:pPr>
            <w:r w:rsidRPr="00987F4A">
              <w:rPr>
                <w:rFonts w:eastAsia="宋体"/>
              </w:rPr>
              <w:t>COMMISSIONER OF POLICE</w:t>
            </w:r>
          </w:p>
        </w:tc>
        <w:tc>
          <w:tcPr>
            <w:tcW w:w="1998" w:type="dxa"/>
            <w:shd w:val="clear" w:color="auto" w:fill="auto"/>
          </w:tcPr>
          <w:p w:rsidR="000F409E" w:rsidRPr="00987F4A" w:rsidRDefault="000F409E" w:rsidP="00987F4A">
            <w:pPr>
              <w:jc w:val="right"/>
              <w:rPr>
                <w:rFonts w:eastAsia="宋体"/>
                <w:lang w:val="en-US"/>
              </w:rPr>
            </w:pPr>
            <w:r w:rsidRPr="00987F4A">
              <w:rPr>
                <w:rFonts w:eastAsia="宋体"/>
                <w:lang w:val="en-US"/>
              </w:rPr>
              <w:t>Respondent</w:t>
            </w:r>
          </w:p>
        </w:tc>
      </w:tr>
    </w:tbl>
    <w:p w:rsidR="00987F4A" w:rsidRPr="00987F4A" w:rsidRDefault="00987F4A" w:rsidP="00987F4A">
      <w:pPr>
        <w:spacing w:after="0"/>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tblGrid>
      <w:tr w:rsidR="000F409E" w:rsidTr="00987F4A">
        <w:trPr>
          <w:jc w:val="center"/>
        </w:trPr>
        <w:tc>
          <w:tcPr>
            <w:tcW w:w="4320" w:type="dxa"/>
            <w:tcBorders>
              <w:top w:val="nil"/>
              <w:left w:val="nil"/>
              <w:right w:val="nil"/>
            </w:tcBorders>
            <w:shd w:val="clear" w:color="auto" w:fill="auto"/>
          </w:tcPr>
          <w:p w:rsidR="000F409E" w:rsidRPr="00557267" w:rsidRDefault="000F409E" w:rsidP="00987F4A">
            <w:pPr>
              <w:pStyle w:val="MF"/>
              <w:rPr>
                <w:szCs w:val="28"/>
                <w:lang w:eastAsia="zh-TW"/>
              </w:rPr>
            </w:pPr>
          </w:p>
        </w:tc>
      </w:tr>
    </w:tbl>
    <w:p w:rsidR="000F409E" w:rsidRDefault="000F409E" w:rsidP="000F409E">
      <w:pPr>
        <w:spacing w:after="0" w:line="240" w:lineRule="auto"/>
        <w:jc w:val="center"/>
        <w:rPr>
          <w:color w:val="000000"/>
          <w:lang w:eastAsia="zh-TW"/>
        </w:rPr>
      </w:pPr>
    </w:p>
    <w:p w:rsidR="000F409E" w:rsidRDefault="000F409E" w:rsidP="000F409E">
      <w:pPr>
        <w:spacing w:after="0" w:line="240" w:lineRule="auto"/>
        <w:jc w:val="center"/>
        <w:rPr>
          <w:color w:val="000000"/>
          <w:lang w:eastAsia="zh-TW"/>
        </w:rPr>
      </w:pPr>
    </w:p>
    <w:tbl>
      <w:tblPr>
        <w:tblW w:w="0" w:type="auto"/>
        <w:tblLook w:val="04A0" w:firstRow="1" w:lastRow="0" w:firstColumn="1" w:lastColumn="0" w:noHBand="0" w:noVBand="1"/>
      </w:tblPr>
      <w:tblGrid>
        <w:gridCol w:w="2340"/>
        <w:gridCol w:w="6686"/>
      </w:tblGrid>
      <w:tr w:rsidR="000F409E" w:rsidRPr="000707FE" w:rsidTr="00987F4A">
        <w:trPr>
          <w:trHeight w:val="1008"/>
        </w:trPr>
        <w:tc>
          <w:tcPr>
            <w:tcW w:w="2340" w:type="dxa"/>
            <w:shd w:val="clear" w:color="auto" w:fill="auto"/>
          </w:tcPr>
          <w:p w:rsidR="000F409E" w:rsidRPr="004B2AA7" w:rsidRDefault="000F409E" w:rsidP="00987F4A">
            <w:pPr>
              <w:spacing w:after="0" w:line="240" w:lineRule="auto"/>
              <w:rPr>
                <w:rFonts w:eastAsia="宋体"/>
                <w:color w:val="FF0000"/>
                <w:lang w:val="en-US"/>
              </w:rPr>
            </w:pPr>
            <w:r>
              <w:rPr>
                <w:rFonts w:eastAsia="宋体"/>
                <w:szCs w:val="22"/>
              </w:rPr>
              <w:t>Before</w:t>
            </w:r>
            <w:r w:rsidRPr="000707FE">
              <w:rPr>
                <w:rFonts w:eastAsia="宋体"/>
                <w:lang w:val="en-US"/>
              </w:rPr>
              <w:t>:</w:t>
            </w:r>
          </w:p>
        </w:tc>
        <w:tc>
          <w:tcPr>
            <w:tcW w:w="6689" w:type="dxa"/>
            <w:shd w:val="clear" w:color="auto" w:fill="auto"/>
          </w:tcPr>
          <w:p w:rsidR="000F409E" w:rsidRDefault="000F409E" w:rsidP="00987F4A">
            <w:pPr>
              <w:adjustRightInd w:val="0"/>
              <w:snapToGrid w:val="0"/>
              <w:spacing w:after="0" w:line="240" w:lineRule="auto"/>
              <w:rPr>
                <w:rFonts w:eastAsia="宋体"/>
                <w:lang w:val="en-US"/>
              </w:rPr>
            </w:pPr>
            <w:r w:rsidRPr="009F7B92">
              <w:rPr>
                <w:rFonts w:eastAsia="宋体"/>
                <w:lang w:val="en-US"/>
              </w:rPr>
              <w:t xml:space="preserve">Chief Justice Cheung, </w:t>
            </w:r>
            <w:proofErr w:type="spellStart"/>
            <w:r w:rsidRPr="009F7B92">
              <w:rPr>
                <w:rFonts w:eastAsia="宋体"/>
                <w:lang w:val="en-US"/>
              </w:rPr>
              <w:t>Mr</w:t>
            </w:r>
            <w:proofErr w:type="spellEnd"/>
            <w:r w:rsidRPr="009F7B92">
              <w:rPr>
                <w:rFonts w:eastAsia="宋体"/>
                <w:lang w:val="en-US"/>
              </w:rPr>
              <w:t xml:space="preserve"> Justice Ribeiro PJ, </w:t>
            </w:r>
          </w:p>
          <w:p w:rsidR="000F409E" w:rsidRDefault="000F409E" w:rsidP="00987F4A">
            <w:pPr>
              <w:adjustRightInd w:val="0"/>
              <w:snapToGrid w:val="0"/>
              <w:spacing w:after="0" w:line="240" w:lineRule="auto"/>
              <w:rPr>
                <w:rFonts w:eastAsia="宋体"/>
                <w:lang w:val="en-US"/>
              </w:rPr>
            </w:pPr>
            <w:proofErr w:type="spellStart"/>
            <w:r>
              <w:rPr>
                <w:rFonts w:eastAsia="宋体"/>
                <w:lang w:val="en-US"/>
              </w:rPr>
              <w:t>Mr</w:t>
            </w:r>
            <w:proofErr w:type="spellEnd"/>
            <w:r>
              <w:rPr>
                <w:rFonts w:eastAsia="宋体"/>
                <w:lang w:val="en-US"/>
              </w:rPr>
              <w:t xml:space="preserve"> Justice </w:t>
            </w:r>
            <w:proofErr w:type="spellStart"/>
            <w:r>
              <w:rPr>
                <w:rFonts w:eastAsia="宋体"/>
                <w:lang w:val="en-US"/>
              </w:rPr>
              <w:t>Fok</w:t>
            </w:r>
            <w:proofErr w:type="spellEnd"/>
            <w:r>
              <w:rPr>
                <w:rFonts w:eastAsia="宋体"/>
                <w:lang w:val="en-US"/>
              </w:rPr>
              <w:t xml:space="preserve"> PJ, </w:t>
            </w:r>
            <w:proofErr w:type="spellStart"/>
            <w:r>
              <w:rPr>
                <w:rFonts w:eastAsia="宋体"/>
                <w:lang w:val="en-US"/>
              </w:rPr>
              <w:t>Mr</w:t>
            </w:r>
            <w:proofErr w:type="spellEnd"/>
            <w:r>
              <w:rPr>
                <w:rFonts w:eastAsia="宋体"/>
                <w:lang w:val="en-US"/>
              </w:rPr>
              <w:t xml:space="preserve"> Justice Lam </w:t>
            </w:r>
            <w:r w:rsidRPr="009F7B92">
              <w:rPr>
                <w:rFonts w:eastAsia="宋体"/>
                <w:lang w:val="en-US"/>
              </w:rPr>
              <w:t xml:space="preserve">PJ and </w:t>
            </w:r>
          </w:p>
          <w:p w:rsidR="000F409E" w:rsidRDefault="00FD56AC" w:rsidP="00987F4A">
            <w:pPr>
              <w:adjustRightInd w:val="0"/>
              <w:snapToGrid w:val="0"/>
              <w:spacing w:after="0" w:line="240" w:lineRule="auto"/>
              <w:rPr>
                <w:rFonts w:eastAsia="宋体"/>
                <w:lang w:val="en-US"/>
              </w:rPr>
            </w:pPr>
            <w:r>
              <w:rPr>
                <w:rFonts w:eastAsia="宋体"/>
                <w:color w:val="000000"/>
                <w:kern w:val="0"/>
                <w:szCs w:val="28"/>
                <w:lang w:val="en-US"/>
              </w:rPr>
              <w:t xml:space="preserve">Lord Collins of </w:t>
            </w:r>
            <w:proofErr w:type="spellStart"/>
            <w:r>
              <w:rPr>
                <w:rFonts w:eastAsia="宋体"/>
                <w:color w:val="000000"/>
                <w:kern w:val="0"/>
                <w:szCs w:val="28"/>
                <w:lang w:val="en-US"/>
              </w:rPr>
              <w:t>Mapesbury</w:t>
            </w:r>
            <w:proofErr w:type="spellEnd"/>
            <w:r>
              <w:rPr>
                <w:rFonts w:eastAsia="宋体"/>
                <w:color w:val="000000"/>
                <w:kern w:val="0"/>
                <w:szCs w:val="28"/>
                <w:lang w:val="en-US"/>
              </w:rPr>
              <w:t xml:space="preserve"> NPJ</w:t>
            </w:r>
          </w:p>
        </w:tc>
      </w:tr>
      <w:tr w:rsidR="000F409E" w:rsidRPr="000707FE" w:rsidTr="00987F4A">
        <w:trPr>
          <w:trHeight w:val="1008"/>
        </w:trPr>
        <w:tc>
          <w:tcPr>
            <w:tcW w:w="2340" w:type="dxa"/>
            <w:shd w:val="clear" w:color="auto" w:fill="auto"/>
          </w:tcPr>
          <w:p w:rsidR="000F409E" w:rsidRPr="00E772D9" w:rsidRDefault="000F409E" w:rsidP="00987F4A">
            <w:pPr>
              <w:spacing w:after="0" w:line="240" w:lineRule="auto"/>
              <w:rPr>
                <w:rFonts w:eastAsia="宋体"/>
                <w:lang w:val="en-US"/>
              </w:rPr>
            </w:pPr>
          </w:p>
          <w:p w:rsidR="000F409E" w:rsidRPr="00E772D9" w:rsidRDefault="000F409E" w:rsidP="00987F4A">
            <w:pPr>
              <w:spacing w:after="0" w:line="240" w:lineRule="auto"/>
              <w:rPr>
                <w:lang w:eastAsia="zh-TW"/>
              </w:rPr>
            </w:pPr>
            <w:r w:rsidRPr="00E772D9">
              <w:rPr>
                <w:rFonts w:eastAsia="宋体"/>
                <w:lang w:val="en-US"/>
              </w:rPr>
              <w:t>Date of Hearing:</w:t>
            </w:r>
          </w:p>
        </w:tc>
        <w:tc>
          <w:tcPr>
            <w:tcW w:w="6689" w:type="dxa"/>
            <w:shd w:val="clear" w:color="auto" w:fill="auto"/>
          </w:tcPr>
          <w:p w:rsidR="000F409E" w:rsidRPr="004C4289" w:rsidRDefault="000F409E" w:rsidP="00987F4A">
            <w:pPr>
              <w:adjustRightInd w:val="0"/>
              <w:snapToGrid w:val="0"/>
              <w:spacing w:after="0" w:line="240" w:lineRule="auto"/>
              <w:rPr>
                <w:rFonts w:eastAsia="宋体"/>
                <w:lang w:val="en-US"/>
              </w:rPr>
            </w:pPr>
          </w:p>
          <w:p w:rsidR="000F409E" w:rsidRPr="004C4289" w:rsidRDefault="00EA0002" w:rsidP="00987F4A">
            <w:pPr>
              <w:adjustRightInd w:val="0"/>
              <w:snapToGrid w:val="0"/>
              <w:spacing w:after="0" w:line="240" w:lineRule="auto"/>
              <w:rPr>
                <w:rFonts w:eastAsia="宋体"/>
                <w:lang w:val="en-US"/>
              </w:rPr>
            </w:pPr>
            <w:r>
              <w:rPr>
                <w:rFonts w:eastAsia="宋体"/>
                <w:lang w:val="en-US"/>
              </w:rPr>
              <w:t>4</w:t>
            </w:r>
            <w:r w:rsidR="000F409E">
              <w:rPr>
                <w:rFonts w:eastAsia="宋体"/>
                <w:lang w:val="en-US"/>
              </w:rPr>
              <w:t xml:space="preserve"> March 2024</w:t>
            </w:r>
          </w:p>
          <w:p w:rsidR="000F409E" w:rsidRPr="004C4289" w:rsidRDefault="000F409E" w:rsidP="00987F4A">
            <w:pPr>
              <w:spacing w:after="0" w:line="240" w:lineRule="auto"/>
              <w:rPr>
                <w:lang w:eastAsia="zh-TW"/>
              </w:rPr>
            </w:pPr>
          </w:p>
        </w:tc>
      </w:tr>
      <w:tr w:rsidR="000F409E" w:rsidRPr="000707FE" w:rsidTr="004D6130">
        <w:trPr>
          <w:trHeight w:val="963"/>
        </w:trPr>
        <w:tc>
          <w:tcPr>
            <w:tcW w:w="2340" w:type="dxa"/>
            <w:shd w:val="clear" w:color="auto" w:fill="auto"/>
          </w:tcPr>
          <w:p w:rsidR="000F409E" w:rsidRPr="00F9078E" w:rsidRDefault="000F409E" w:rsidP="00987F4A">
            <w:pPr>
              <w:spacing w:after="0" w:line="240" w:lineRule="auto"/>
              <w:rPr>
                <w:rFonts w:eastAsia="宋体"/>
                <w:color w:val="FF0000"/>
                <w:lang w:val="en-US"/>
              </w:rPr>
            </w:pPr>
          </w:p>
          <w:p w:rsidR="000F409E" w:rsidRPr="00F9078E" w:rsidRDefault="000F409E" w:rsidP="00987F4A">
            <w:pPr>
              <w:spacing w:after="0" w:line="240" w:lineRule="auto"/>
              <w:rPr>
                <w:rFonts w:eastAsia="宋体"/>
                <w:color w:val="FF0000"/>
                <w:lang w:val="en-US"/>
              </w:rPr>
            </w:pPr>
            <w:r w:rsidRPr="00241126">
              <w:rPr>
                <w:rFonts w:eastAsia="宋体"/>
                <w:lang w:val="en-US"/>
              </w:rPr>
              <w:t>Date of Judgment:</w:t>
            </w:r>
          </w:p>
        </w:tc>
        <w:tc>
          <w:tcPr>
            <w:tcW w:w="6689" w:type="dxa"/>
            <w:shd w:val="clear" w:color="auto" w:fill="auto"/>
          </w:tcPr>
          <w:p w:rsidR="000F409E" w:rsidRDefault="000F409E" w:rsidP="00987F4A">
            <w:pPr>
              <w:adjustRightInd w:val="0"/>
              <w:snapToGrid w:val="0"/>
              <w:spacing w:after="0" w:line="240" w:lineRule="auto"/>
              <w:rPr>
                <w:rFonts w:eastAsia="宋体"/>
                <w:lang w:val="en-US"/>
              </w:rPr>
            </w:pPr>
          </w:p>
          <w:p w:rsidR="000F409E" w:rsidRDefault="009011D3" w:rsidP="00E62AB2">
            <w:pPr>
              <w:adjustRightInd w:val="0"/>
              <w:snapToGrid w:val="0"/>
              <w:spacing w:after="0" w:line="240" w:lineRule="auto"/>
              <w:rPr>
                <w:rFonts w:eastAsia="宋体"/>
                <w:lang w:val="en-US"/>
              </w:rPr>
            </w:pPr>
            <w:r w:rsidRPr="009011D3">
              <w:rPr>
                <w:rFonts w:eastAsia="宋体"/>
                <w:lang w:val="en-US"/>
              </w:rPr>
              <w:t xml:space="preserve">10 </w:t>
            </w:r>
            <w:r w:rsidR="00E62AB2" w:rsidRPr="00E62AB2">
              <w:rPr>
                <w:rFonts w:eastAsia="宋体"/>
                <w:lang w:val="en-US"/>
              </w:rPr>
              <w:t>April</w:t>
            </w:r>
            <w:r w:rsidR="000F409E" w:rsidRPr="00F96162">
              <w:rPr>
                <w:rFonts w:eastAsia="宋体"/>
                <w:color w:val="FF0000"/>
                <w:lang w:val="en-US"/>
              </w:rPr>
              <w:t xml:space="preserve"> </w:t>
            </w:r>
            <w:r w:rsidR="000F409E">
              <w:rPr>
                <w:rFonts w:eastAsia="宋体"/>
                <w:lang w:val="en-US"/>
              </w:rPr>
              <w:t>2024</w:t>
            </w:r>
          </w:p>
        </w:tc>
      </w:tr>
    </w:tbl>
    <w:p w:rsidR="000F409E" w:rsidRPr="008B0CD0" w:rsidRDefault="000F409E" w:rsidP="000F409E">
      <w:pPr>
        <w:pStyle w:val="BodyTextIndent"/>
        <w:tabs>
          <w:tab w:val="left" w:pos="0"/>
          <w:tab w:val="left" w:pos="540"/>
        </w:tabs>
        <w:ind w:left="0" w:right="118" w:firstLine="0"/>
        <w:rPr>
          <w:sz w:val="28"/>
          <w:szCs w:val="28"/>
        </w:rPr>
      </w:pPr>
      <w:r w:rsidRPr="008B0CD0">
        <w:rPr>
          <w:rFonts w:hint="eastAsia"/>
        </w:rPr>
        <w:tab/>
      </w:r>
      <w:r w:rsidRPr="008B0CD0">
        <w:rPr>
          <w:rFonts w:hint="eastAsia"/>
        </w:rPr>
        <w:tab/>
      </w:r>
      <w:r w:rsidRPr="008B0CD0">
        <w:rPr>
          <w:rFonts w:hint="eastAsia"/>
        </w:rPr>
        <w:tab/>
      </w:r>
      <w:r w:rsidRPr="008B0CD0">
        <w:rPr>
          <w:rFonts w:hint="eastAsia"/>
        </w:rPr>
        <w:tab/>
      </w:r>
      <w:r w:rsidRPr="008B0CD0">
        <w:rPr>
          <w:rFonts w:hint="eastAsia"/>
        </w:rPr>
        <w:tab/>
      </w:r>
    </w:p>
    <w:tbl>
      <w:tblPr>
        <w:tblW w:w="0" w:type="auto"/>
        <w:jc w:val="center"/>
        <w:tblBorders>
          <w:top w:val="single" w:sz="4" w:space="0" w:color="auto"/>
          <w:bottom w:val="single" w:sz="4" w:space="0" w:color="auto"/>
        </w:tblBorders>
        <w:tblLook w:val="04A0" w:firstRow="1" w:lastRow="0" w:firstColumn="1" w:lastColumn="0" w:noHBand="0" w:noVBand="1"/>
      </w:tblPr>
      <w:tblGrid>
        <w:gridCol w:w="4320"/>
      </w:tblGrid>
      <w:tr w:rsidR="000F409E" w:rsidRPr="000F409E" w:rsidTr="00987F4A">
        <w:trPr>
          <w:jc w:val="center"/>
        </w:trPr>
        <w:tc>
          <w:tcPr>
            <w:tcW w:w="4320" w:type="dxa"/>
          </w:tcPr>
          <w:p w:rsidR="000F409E" w:rsidRPr="000F409E" w:rsidRDefault="000F409E" w:rsidP="00987F4A">
            <w:pPr>
              <w:pStyle w:val="sh"/>
              <w:tabs>
                <w:tab w:val="clear" w:pos="720"/>
              </w:tabs>
              <w:snapToGrid w:val="0"/>
              <w:spacing w:before="240" w:after="240"/>
              <w:jc w:val="center"/>
              <w:rPr>
                <w:b/>
                <w:spacing w:val="24"/>
                <w:szCs w:val="28"/>
              </w:rPr>
            </w:pPr>
            <w:r w:rsidRPr="000F409E">
              <w:rPr>
                <w:b/>
                <w:spacing w:val="24"/>
                <w:szCs w:val="28"/>
              </w:rPr>
              <w:t>JUDGMENT</w:t>
            </w:r>
          </w:p>
        </w:tc>
      </w:tr>
    </w:tbl>
    <w:p w:rsidR="00197F5F" w:rsidRDefault="00197F5F">
      <w:pPr>
        <w:rPr>
          <w:sz w:val="20"/>
        </w:rPr>
      </w:pPr>
    </w:p>
    <w:p w:rsidR="004219C7" w:rsidRPr="00987F4A" w:rsidRDefault="000F409E" w:rsidP="004D4CDE">
      <w:pPr>
        <w:pStyle w:val="Bob1"/>
        <w:numPr>
          <w:ilvl w:val="0"/>
          <w:numId w:val="0"/>
        </w:numPr>
        <w:rPr>
          <w:rFonts w:eastAsia="等线"/>
          <w:b/>
        </w:rPr>
      </w:pPr>
      <w:r w:rsidRPr="000F409E">
        <w:rPr>
          <w:rFonts w:hint="eastAsia"/>
          <w:b/>
          <w:lang w:eastAsia="zh-TW"/>
        </w:rPr>
        <w:t>Chief Justice Cheung and Mr Justice Ribeiro PJ:</w:t>
      </w:r>
    </w:p>
    <w:p w:rsidR="004219C7" w:rsidRDefault="004219C7" w:rsidP="000F409E">
      <w:pPr>
        <w:pStyle w:val="Bob1"/>
        <w:numPr>
          <w:ilvl w:val="0"/>
          <w:numId w:val="1"/>
        </w:numPr>
        <w:tabs>
          <w:tab w:val="clear" w:pos="720"/>
          <w:tab w:val="left" w:pos="1440"/>
        </w:tabs>
        <w:ind w:left="0" w:firstLine="0"/>
        <w:jc w:val="both"/>
      </w:pPr>
      <w:r>
        <w:t>In this appeal, it falls to the Court to consider constitutional and other legal challenges raised against the practice of the Commissioner of Police (“</w:t>
      </w:r>
      <w:r>
        <w:rPr>
          <w:u w:val="single"/>
        </w:rPr>
        <w:t>CP</w:t>
      </w:r>
      <w:r>
        <w:t>”) involving the issue of “Letters of No Consent” (“</w:t>
      </w:r>
      <w:r>
        <w:rPr>
          <w:u w:val="single"/>
        </w:rPr>
        <w:t>LNCs</w:t>
      </w:r>
      <w:r>
        <w:t xml:space="preserve">”) to </w:t>
      </w:r>
      <w:r w:rsidR="00D575F4">
        <w:t xml:space="preserve">banks </w:t>
      </w:r>
      <w:r>
        <w:t xml:space="preserve">regarding their dealing with property which is suspected to represent the proceeds of an indictable offence in the context of the </w:t>
      </w:r>
      <w:r w:rsidRPr="00E84B00">
        <w:rPr>
          <w:lang w:eastAsia="zh-TW"/>
        </w:rPr>
        <w:t>Organized and Serious Crimes Ordinance</w:t>
      </w:r>
      <w:r w:rsidRPr="00E84B00">
        <w:rPr>
          <w:rStyle w:val="FootnoteReference"/>
          <w:lang w:eastAsia="zh-TW"/>
        </w:rPr>
        <w:footnoteReference w:id="1"/>
      </w:r>
      <w:r w:rsidRPr="00E84B00">
        <w:rPr>
          <w:lang w:eastAsia="zh-TW"/>
        </w:rPr>
        <w:t xml:space="preserve"> (“</w:t>
      </w:r>
      <w:r w:rsidRPr="00E84B00">
        <w:rPr>
          <w:u w:val="single"/>
          <w:lang w:eastAsia="zh-TW"/>
        </w:rPr>
        <w:t>OSCO</w:t>
      </w:r>
      <w:r w:rsidRPr="00E84B00">
        <w:rPr>
          <w:lang w:eastAsia="zh-TW"/>
        </w:rPr>
        <w:t>”)</w:t>
      </w:r>
      <w:r>
        <w:t>.</w:t>
      </w:r>
    </w:p>
    <w:p w:rsidR="004219C7" w:rsidRDefault="004219C7" w:rsidP="004219C7">
      <w:pPr>
        <w:pStyle w:val="docmapheading"/>
      </w:pPr>
      <w:r>
        <w:t>A.</w:t>
      </w:r>
      <w:r>
        <w:tab/>
        <w:t>The factual background</w:t>
      </w:r>
    </w:p>
    <w:p w:rsidR="004219C7" w:rsidRDefault="004219C7" w:rsidP="000F409E">
      <w:pPr>
        <w:pStyle w:val="Bob1"/>
        <w:numPr>
          <w:ilvl w:val="0"/>
          <w:numId w:val="1"/>
        </w:numPr>
        <w:tabs>
          <w:tab w:val="clear" w:pos="720"/>
          <w:tab w:val="left" w:pos="1440"/>
        </w:tabs>
        <w:ind w:left="0" w:firstLine="0"/>
        <w:jc w:val="both"/>
      </w:pPr>
      <w:r>
        <w:t>The appellants are members of the same family who had, since 2019</w:t>
      </w:r>
      <w:r w:rsidRPr="0048775B">
        <w:t xml:space="preserve">, </w:t>
      </w:r>
      <w:r>
        <w:t xml:space="preserve">come </w:t>
      </w:r>
      <w:r w:rsidRPr="0048775B">
        <w:t xml:space="preserve">under suspicion </w:t>
      </w:r>
      <w:r>
        <w:t>of</w:t>
      </w:r>
      <w:r w:rsidRPr="0048775B">
        <w:t xml:space="preserve"> the Securities and Futures Commission (“</w:t>
      </w:r>
      <w:r w:rsidRPr="00BD0FFB">
        <w:rPr>
          <w:u w:val="single"/>
        </w:rPr>
        <w:t>SFC</w:t>
      </w:r>
      <w:r w:rsidRPr="0048775B">
        <w:t xml:space="preserve">”) for having committed </w:t>
      </w:r>
      <w:r>
        <w:t>(with others) offences</w:t>
      </w:r>
      <w:r>
        <w:rPr>
          <w:rStyle w:val="FootnoteReference"/>
        </w:rPr>
        <w:footnoteReference w:id="2"/>
      </w:r>
      <w:r>
        <w:t xml:space="preserve"> involving </w:t>
      </w:r>
      <w:r w:rsidRPr="0048775B">
        <w:t>market manipulation of over 10 different stocks in Hong Kong between September 2018 and November 2020</w:t>
      </w:r>
      <w:r>
        <w:t xml:space="preserve">.  It was suspected that profits of those unlawful transactions had been transferred to </w:t>
      </w:r>
      <w:r w:rsidRPr="00BD0FFB">
        <w:t xml:space="preserve">accounts </w:t>
      </w:r>
      <w:r>
        <w:t xml:space="preserve">maintained by the appellants </w:t>
      </w:r>
      <w:r w:rsidRPr="00BD0FFB">
        <w:t>with four banks</w:t>
      </w:r>
      <w:r>
        <w:t xml:space="preserve"> in Hong Kong.</w:t>
      </w:r>
      <w:r>
        <w:rPr>
          <w:rStyle w:val="FootnoteReference"/>
        </w:rPr>
        <w:footnoteReference w:id="3"/>
      </w:r>
      <w:r w:rsidRPr="00BD0FFB">
        <w:t xml:space="preserve">  </w:t>
      </w:r>
    </w:p>
    <w:p w:rsidR="004219C7" w:rsidRDefault="004219C7" w:rsidP="000F409E">
      <w:pPr>
        <w:pStyle w:val="Bob1"/>
        <w:numPr>
          <w:ilvl w:val="0"/>
          <w:numId w:val="1"/>
        </w:numPr>
        <w:tabs>
          <w:tab w:val="clear" w:pos="720"/>
          <w:tab w:val="left" w:pos="1440"/>
        </w:tabs>
        <w:ind w:left="0" w:firstLine="0"/>
        <w:jc w:val="both"/>
      </w:pPr>
      <w:r>
        <w:t xml:space="preserve">After investigation and searches of the appellants’ premises, the SFC referred the matter to the police who took certain actions which </w:t>
      </w:r>
      <w:r w:rsidR="003701EF">
        <w:t xml:space="preserve">were followed by </w:t>
      </w:r>
      <w:r>
        <w:t xml:space="preserve">the banks disabling </w:t>
      </w:r>
      <w:r w:rsidR="00AF7BB3">
        <w:t>or “freezing” the above-mentioned</w:t>
      </w:r>
      <w:r>
        <w:t xml:space="preserve"> bank accounts. The steps taken by the police and the banks are set out below.  They included the police informing the banks of their suspicion that the funds represented the proceeds of an indictable offence</w:t>
      </w:r>
      <w:r w:rsidR="00057AF6">
        <w:t>,</w:t>
      </w:r>
      <w:r>
        <w:t xml:space="preserve"> their issue of LNCs </w:t>
      </w:r>
      <w:r w:rsidR="00057AF6">
        <w:t xml:space="preserve">and </w:t>
      </w:r>
      <w:r>
        <w:t>the banks</w:t>
      </w:r>
      <w:r w:rsidR="00057AF6">
        <w:t xml:space="preserve">’ subsequent </w:t>
      </w:r>
      <w:r>
        <w:t>maint</w:t>
      </w:r>
      <w:r w:rsidR="00057AF6">
        <w:t>e</w:t>
      </w:r>
      <w:r>
        <w:t>n</w:t>
      </w:r>
      <w:r w:rsidR="00057AF6">
        <w:t>ance of</w:t>
      </w:r>
      <w:r>
        <w:t xml:space="preserve"> the disablement of the accounts.  </w:t>
      </w:r>
    </w:p>
    <w:p w:rsidR="004219C7" w:rsidRDefault="004219C7" w:rsidP="000F409E">
      <w:pPr>
        <w:pStyle w:val="Bob1"/>
        <w:numPr>
          <w:ilvl w:val="0"/>
          <w:numId w:val="1"/>
        </w:numPr>
        <w:tabs>
          <w:tab w:val="clear" w:pos="720"/>
          <w:tab w:val="left" w:pos="1440"/>
        </w:tabs>
        <w:ind w:left="0" w:firstLine="0"/>
        <w:jc w:val="both"/>
      </w:pPr>
      <w:r w:rsidRPr="000166A3">
        <w:lastRenderedPageBreak/>
        <w:t xml:space="preserve">On 18 February 2021, the </w:t>
      </w:r>
      <w:r>
        <w:t>appellants applied for</w:t>
      </w:r>
      <w:r w:rsidRPr="000166A3">
        <w:t xml:space="preserve"> leave to </w:t>
      </w:r>
      <w:r>
        <w:t xml:space="preserve">seek </w:t>
      </w:r>
      <w:r w:rsidRPr="000166A3">
        <w:t xml:space="preserve">judicial review </w:t>
      </w:r>
      <w:r>
        <w:t>of</w:t>
      </w:r>
      <w:r w:rsidRPr="000166A3">
        <w:t xml:space="preserve"> the</w:t>
      </w:r>
      <w:r>
        <w:t xml:space="preserve"> CP’s </w:t>
      </w:r>
      <w:r w:rsidRPr="000166A3">
        <w:t>decision</w:t>
      </w:r>
      <w:r>
        <w:t xml:space="preserve"> to</w:t>
      </w:r>
      <w:r w:rsidRPr="000166A3">
        <w:t xml:space="preserve"> issue and maintain </w:t>
      </w:r>
      <w:r>
        <w:t xml:space="preserve">the </w:t>
      </w:r>
      <w:r w:rsidRPr="000166A3">
        <w:t xml:space="preserve">LNCs in respect of </w:t>
      </w:r>
      <w:r>
        <w:t>the appellants’ bank</w:t>
      </w:r>
      <w:r w:rsidRPr="000166A3">
        <w:t xml:space="preserve"> accounts</w:t>
      </w:r>
      <w:r w:rsidR="00DB08BE">
        <w:t>,</w:t>
      </w:r>
      <w:r w:rsidRPr="000166A3">
        <w:t xml:space="preserve"> and</w:t>
      </w:r>
      <w:r>
        <w:t xml:space="preserve"> to fail or refuse</w:t>
      </w:r>
      <w:r w:rsidRPr="000166A3">
        <w:t xml:space="preserve"> to consent to the withdrawal of any funds from the </w:t>
      </w:r>
      <w:r>
        <w:t>a</w:t>
      </w:r>
      <w:r w:rsidRPr="000166A3">
        <w:t>ccounts</w:t>
      </w:r>
      <w:r w:rsidR="00DB08BE">
        <w:t xml:space="preserve"> </w:t>
      </w:r>
      <w:r w:rsidR="00DB08BE" w:rsidRPr="000166A3">
        <w:t>(</w:t>
      </w:r>
      <w:r w:rsidR="00DB08BE">
        <w:t xml:space="preserve">a practice referred to </w:t>
      </w:r>
      <w:r w:rsidR="00F074B9">
        <w:t xml:space="preserve">by the appellants </w:t>
      </w:r>
      <w:r w:rsidR="00DB08BE">
        <w:t>as “</w:t>
      </w:r>
      <w:r w:rsidR="00DB08BE" w:rsidRPr="000166A3">
        <w:t>the No Consent Regime</w:t>
      </w:r>
      <w:r w:rsidR="00DB08BE">
        <w:t>”</w:t>
      </w:r>
      <w:r w:rsidR="00DB08BE" w:rsidRPr="000166A3">
        <w:t>)</w:t>
      </w:r>
      <w:r w:rsidRPr="000166A3">
        <w:t xml:space="preserve">.  The balances </w:t>
      </w:r>
      <w:r>
        <w:t xml:space="preserve">were said to amount </w:t>
      </w:r>
      <w:r w:rsidRPr="000166A3">
        <w:t xml:space="preserve">to </w:t>
      </w:r>
      <w:r>
        <w:t xml:space="preserve">some </w:t>
      </w:r>
      <w:r w:rsidR="005B0CFE">
        <w:t>$</w:t>
      </w:r>
      <w:r>
        <w:t xml:space="preserve">30 million to </w:t>
      </w:r>
      <w:r w:rsidR="005B0CFE">
        <w:t>$</w:t>
      </w:r>
      <w:r w:rsidRPr="000166A3">
        <w:t>40 million.</w:t>
      </w:r>
    </w:p>
    <w:p w:rsidR="004219C7" w:rsidRDefault="004219C7" w:rsidP="000F409E">
      <w:pPr>
        <w:pStyle w:val="Bob1"/>
        <w:numPr>
          <w:ilvl w:val="0"/>
          <w:numId w:val="1"/>
        </w:numPr>
        <w:tabs>
          <w:tab w:val="clear" w:pos="720"/>
          <w:tab w:val="left" w:pos="1440"/>
        </w:tabs>
        <w:ind w:left="0" w:firstLine="0"/>
        <w:jc w:val="both"/>
      </w:pPr>
      <w:r>
        <w:t>T</w:t>
      </w:r>
      <w:r w:rsidRPr="008F3D0E">
        <w:rPr>
          <w:rFonts w:hint="eastAsia"/>
        </w:rPr>
        <w:t xml:space="preserve">he </w:t>
      </w:r>
      <w:r>
        <w:t xml:space="preserve">appellants </w:t>
      </w:r>
      <w:r w:rsidRPr="008F3D0E">
        <w:rPr>
          <w:rFonts w:hint="eastAsia"/>
        </w:rPr>
        <w:t xml:space="preserve">were arrested </w:t>
      </w:r>
      <w:r>
        <w:rPr>
          <w:rFonts w:hint="eastAsia"/>
        </w:rPr>
        <w:t>o</w:t>
      </w:r>
      <w:r w:rsidRPr="008F3D0E">
        <w:rPr>
          <w:rFonts w:hint="eastAsia"/>
        </w:rPr>
        <w:t xml:space="preserve">n 4 March 2021 for the offence of money-laundering.  They remained silent under caution and refused to answer any questions.  They were released on police bail of </w:t>
      </w:r>
      <w:r w:rsidR="005B0CFE">
        <w:t>$</w:t>
      </w:r>
      <w:r w:rsidRPr="008F3D0E">
        <w:rPr>
          <w:rFonts w:hint="eastAsia"/>
        </w:rPr>
        <w:t>100,000 each with no charges laid.</w:t>
      </w:r>
    </w:p>
    <w:p w:rsidR="004219C7" w:rsidRDefault="004219C7" w:rsidP="000F409E">
      <w:pPr>
        <w:pStyle w:val="Bob1"/>
        <w:numPr>
          <w:ilvl w:val="0"/>
          <w:numId w:val="1"/>
        </w:numPr>
        <w:tabs>
          <w:tab w:val="clear" w:pos="720"/>
          <w:tab w:val="left" w:pos="1440"/>
        </w:tabs>
        <w:ind w:left="0" w:firstLine="0"/>
        <w:jc w:val="both"/>
      </w:pPr>
      <w:r w:rsidRPr="000166A3">
        <w:t xml:space="preserve">On </w:t>
      </w:r>
      <w:r>
        <w:t xml:space="preserve">11 </w:t>
      </w:r>
      <w:r w:rsidRPr="000166A3">
        <w:t>October 2021</w:t>
      </w:r>
      <w:r>
        <w:t>, the Secretary for Justice obtained a restraint order from the Court of First Instance restraining the appellants</w:t>
      </w:r>
      <w:r w:rsidRPr="008F3D0E">
        <w:t xml:space="preserve"> </w:t>
      </w:r>
      <w:r>
        <w:t>from removing</w:t>
      </w:r>
      <w:r w:rsidRPr="008F3D0E">
        <w:t xml:space="preserve"> from Hong Kong or </w:t>
      </w:r>
      <w:r>
        <w:t>disposing</w:t>
      </w:r>
      <w:r w:rsidRPr="008F3D0E">
        <w:t xml:space="preserve"> of, or deal</w:t>
      </w:r>
      <w:r>
        <w:t>ing</w:t>
      </w:r>
      <w:r w:rsidRPr="008F3D0E">
        <w:t xml:space="preserve"> with, or diminish</w:t>
      </w:r>
      <w:r>
        <w:t>ing</w:t>
      </w:r>
      <w:r w:rsidRPr="008F3D0E">
        <w:t xml:space="preserve"> the value of, the</w:t>
      </w:r>
      <w:r>
        <w:t>ir bank funds</w:t>
      </w:r>
      <w:r w:rsidRPr="008F3D0E">
        <w:t>.</w:t>
      </w:r>
    </w:p>
    <w:p w:rsidR="004219C7" w:rsidRDefault="004219C7" w:rsidP="000F409E">
      <w:pPr>
        <w:pStyle w:val="Bob1"/>
        <w:numPr>
          <w:ilvl w:val="0"/>
          <w:numId w:val="1"/>
        </w:numPr>
        <w:tabs>
          <w:tab w:val="clear" w:pos="720"/>
          <w:tab w:val="left" w:pos="1440"/>
        </w:tabs>
        <w:ind w:left="0" w:firstLine="0"/>
        <w:jc w:val="both"/>
      </w:pPr>
      <w:r>
        <w:t>T</w:t>
      </w:r>
      <w:r w:rsidRPr="000166A3">
        <w:t xml:space="preserve">he </w:t>
      </w:r>
      <w:r>
        <w:t>police wrote to the b</w:t>
      </w:r>
      <w:r w:rsidRPr="000166A3">
        <w:t xml:space="preserve">anks </w:t>
      </w:r>
      <w:r>
        <w:t>o</w:t>
      </w:r>
      <w:r w:rsidRPr="000166A3">
        <w:t xml:space="preserve">n </w:t>
      </w:r>
      <w:r>
        <w:t xml:space="preserve">the next day, </w:t>
      </w:r>
      <w:r w:rsidRPr="000166A3">
        <w:t xml:space="preserve">12 October 2021, stating that since the </w:t>
      </w:r>
      <w:r>
        <w:t>r</w:t>
      </w:r>
      <w:r w:rsidRPr="000166A3">
        <w:t xml:space="preserve">estraint </w:t>
      </w:r>
      <w:r>
        <w:t>o</w:t>
      </w:r>
      <w:r w:rsidRPr="000166A3">
        <w:t>rder had been issued, the refusal of consent to deal with funds in the releva</w:t>
      </w:r>
      <w:r>
        <w:t>nt accounts was lifted for the b</w:t>
      </w:r>
      <w:r w:rsidRPr="000166A3">
        <w:t>anks’ compliance with th</w:t>
      </w:r>
      <w:r>
        <w:t>at</w:t>
      </w:r>
      <w:r w:rsidRPr="000166A3">
        <w:t xml:space="preserve"> order.</w:t>
      </w:r>
    </w:p>
    <w:p w:rsidR="004219C7" w:rsidRDefault="004219C7" w:rsidP="000F409E">
      <w:pPr>
        <w:pStyle w:val="Bob1"/>
        <w:numPr>
          <w:ilvl w:val="0"/>
          <w:numId w:val="1"/>
        </w:numPr>
        <w:tabs>
          <w:tab w:val="clear" w:pos="720"/>
          <w:tab w:val="left" w:pos="1440"/>
        </w:tabs>
        <w:ind w:left="0" w:firstLine="0"/>
        <w:jc w:val="both"/>
      </w:pPr>
      <w:r w:rsidRPr="000166A3">
        <w:t xml:space="preserve">The application for leave to </w:t>
      </w:r>
      <w:r>
        <w:t>seek</w:t>
      </w:r>
      <w:r w:rsidRPr="000166A3">
        <w:t xml:space="preserve"> judicial review was heard </w:t>
      </w:r>
      <w:r>
        <w:t xml:space="preserve">by </w:t>
      </w:r>
      <w:r w:rsidRPr="000166A3">
        <w:t>Coleman J</w:t>
      </w:r>
      <w:r>
        <w:rPr>
          <w:rStyle w:val="FootnoteReference"/>
        </w:rPr>
        <w:footnoteReference w:id="4"/>
      </w:r>
      <w:r>
        <w:t xml:space="preserve"> who upheld aspects of the appellants’ challenge on ultra vires and constitutional grounds.  The Court of Appeal</w:t>
      </w:r>
      <w:r>
        <w:rPr>
          <w:rStyle w:val="FootnoteReference"/>
        </w:rPr>
        <w:footnoteReference w:id="5"/>
      </w:r>
      <w:r>
        <w:t xml:space="preserve"> allowed the CP’s appeal, upholding the lawfulness of the police actions concerned.  </w:t>
      </w:r>
    </w:p>
    <w:p w:rsidR="004219C7" w:rsidRPr="00B373CA" w:rsidRDefault="004219C7" w:rsidP="00E062FF">
      <w:pPr>
        <w:pStyle w:val="docmapheading"/>
        <w:keepNext/>
      </w:pPr>
      <w:r>
        <w:rPr>
          <w:lang w:eastAsia="zh-TW"/>
        </w:rPr>
        <w:lastRenderedPageBreak/>
        <w:t>B</w:t>
      </w:r>
      <w:r w:rsidRPr="00B373CA">
        <w:rPr>
          <w:lang w:eastAsia="zh-TW"/>
        </w:rPr>
        <w:t>.</w:t>
      </w:r>
      <w:r w:rsidRPr="00B373CA">
        <w:rPr>
          <w:lang w:eastAsia="zh-TW"/>
        </w:rPr>
        <w:tab/>
        <w:t>The questions arising</w:t>
      </w:r>
      <w:r w:rsidRPr="00B373CA">
        <w:t xml:space="preserve"> on this appeal </w:t>
      </w:r>
    </w:p>
    <w:p w:rsidR="004219C7" w:rsidRPr="00B373CA" w:rsidRDefault="004219C7" w:rsidP="000F409E">
      <w:pPr>
        <w:pStyle w:val="Bob1"/>
        <w:numPr>
          <w:ilvl w:val="0"/>
          <w:numId w:val="1"/>
        </w:numPr>
        <w:tabs>
          <w:tab w:val="clear" w:pos="720"/>
          <w:tab w:val="left" w:pos="1440"/>
        </w:tabs>
        <w:ind w:left="0" w:firstLine="0"/>
        <w:jc w:val="both"/>
      </w:pPr>
      <w:r w:rsidRPr="00B373CA">
        <w:rPr>
          <w:lang w:eastAsia="zh-TW"/>
        </w:rPr>
        <w:t>Leave to appeal was granted by the Court of Appeal</w:t>
      </w:r>
      <w:r w:rsidRPr="00B373CA">
        <w:rPr>
          <w:rStyle w:val="FootnoteReference"/>
        </w:rPr>
        <w:footnoteReference w:id="6"/>
      </w:r>
      <w:r w:rsidRPr="00B373CA">
        <w:rPr>
          <w:lang w:eastAsia="zh-TW"/>
        </w:rPr>
        <w:t xml:space="preserve"> on the following questions of law:</w:t>
      </w:r>
      <w:r w:rsidRPr="00B373CA">
        <w:t xml:space="preserve"> </w:t>
      </w:r>
    </w:p>
    <w:p w:rsidR="004219C7" w:rsidRPr="00B373CA" w:rsidRDefault="004219C7" w:rsidP="004219C7">
      <w:pPr>
        <w:pStyle w:val="Final"/>
        <w:numPr>
          <w:ilvl w:val="1"/>
          <w:numId w:val="1"/>
        </w:numPr>
        <w:spacing w:before="120" w:after="360" w:line="240" w:lineRule="auto"/>
        <w:rPr>
          <w:sz w:val="24"/>
        </w:rPr>
      </w:pPr>
      <w:r w:rsidRPr="00B373CA">
        <w:rPr>
          <w:rFonts w:eastAsia="PMingLiU"/>
          <w:sz w:val="24"/>
          <w:lang w:eastAsia="zh-TW"/>
        </w:rPr>
        <w:t xml:space="preserve">Q1: Whether the No Consent Regime operated by the Commissioner and the </w:t>
      </w:r>
      <w:r w:rsidRPr="00606623">
        <w:rPr>
          <w:rFonts w:eastAsia="PMingLiU"/>
          <w:sz w:val="24"/>
          <w:lang w:eastAsia="zh-TW"/>
        </w:rPr>
        <w:t>LNCs</w:t>
      </w:r>
      <w:r w:rsidRPr="00B373CA">
        <w:rPr>
          <w:rFonts w:eastAsia="PMingLiU"/>
          <w:sz w:val="24"/>
          <w:lang w:eastAsia="zh-TW"/>
        </w:rPr>
        <w:t xml:space="preserve"> issued by the Commissioner in respect of the Applicants’ bank accounts are ultra vires and/or whether the LNCs were issued for an improper purpose. (“</w:t>
      </w:r>
      <w:r>
        <w:rPr>
          <w:rFonts w:eastAsia="PMingLiU"/>
          <w:sz w:val="24"/>
          <w:u w:val="single"/>
          <w:lang w:eastAsia="zh-TW"/>
        </w:rPr>
        <w:t>The u</w:t>
      </w:r>
      <w:r w:rsidRPr="00B373CA">
        <w:rPr>
          <w:rFonts w:eastAsia="PMingLiU"/>
          <w:sz w:val="24"/>
          <w:u w:val="single"/>
          <w:lang w:eastAsia="zh-TW"/>
        </w:rPr>
        <w:t>ltra vires/improper purpose question</w:t>
      </w:r>
      <w:r w:rsidRPr="00B373CA">
        <w:rPr>
          <w:rFonts w:eastAsia="PMingLiU"/>
          <w:sz w:val="24"/>
          <w:lang w:eastAsia="zh-TW"/>
        </w:rPr>
        <w:t>”)</w:t>
      </w:r>
      <w:r w:rsidRPr="00B373CA">
        <w:rPr>
          <w:sz w:val="24"/>
          <w:u w:val="single"/>
        </w:rPr>
        <w:t xml:space="preserve">  </w:t>
      </w:r>
    </w:p>
    <w:p w:rsidR="004219C7" w:rsidRPr="00B373CA" w:rsidRDefault="004219C7" w:rsidP="004219C7">
      <w:pPr>
        <w:pStyle w:val="Final"/>
        <w:numPr>
          <w:ilvl w:val="1"/>
          <w:numId w:val="1"/>
        </w:numPr>
        <w:spacing w:before="120" w:after="360" w:line="240" w:lineRule="auto"/>
        <w:rPr>
          <w:sz w:val="24"/>
        </w:rPr>
      </w:pPr>
      <w:r w:rsidRPr="00B373CA">
        <w:rPr>
          <w:rFonts w:eastAsia="PMingLiU"/>
          <w:sz w:val="24"/>
          <w:lang w:eastAsia="zh-TW"/>
        </w:rPr>
        <w:t>Q2: Whether the No Consent Regime operated by the Commissioner and the LNCs issued by the Commissioner in respect of the Applicants’ bank accounts comply with the constitutional requirements for protection of the fundamental right to property in arts 6 and 105 of the Basic Law, the rights to private and family life in art 14 of the Hong Kong Bill of Rights, and the rights to access to legal advice and to the court in a</w:t>
      </w:r>
      <w:r>
        <w:rPr>
          <w:rFonts w:eastAsia="PMingLiU"/>
          <w:sz w:val="24"/>
          <w:lang w:eastAsia="zh-TW"/>
        </w:rPr>
        <w:t>rt 35 of the Basic Law and art</w:t>
      </w:r>
      <w:r w:rsidRPr="00B373CA">
        <w:rPr>
          <w:rFonts w:eastAsia="PMingLiU"/>
          <w:sz w:val="24"/>
          <w:lang w:eastAsia="zh-TW"/>
        </w:rPr>
        <w:t> 10 of the Hong Kong Bill of Rights (“</w:t>
      </w:r>
      <w:r w:rsidRPr="00B373CA">
        <w:rPr>
          <w:rFonts w:eastAsia="PMingLiU"/>
          <w:sz w:val="24"/>
          <w:u w:val="single"/>
          <w:lang w:eastAsia="zh-TW"/>
        </w:rPr>
        <w:t>The constitutional challenge</w:t>
      </w:r>
      <w:r w:rsidRPr="00B373CA">
        <w:rPr>
          <w:rFonts w:eastAsia="PMingLiU"/>
          <w:sz w:val="24"/>
          <w:lang w:eastAsia="zh-TW"/>
        </w:rPr>
        <w:t>”) including in particular:</w:t>
      </w:r>
    </w:p>
    <w:p w:rsidR="004219C7" w:rsidRPr="00B373CA" w:rsidRDefault="004219C7" w:rsidP="004219C7">
      <w:pPr>
        <w:pStyle w:val="Final"/>
        <w:numPr>
          <w:ilvl w:val="2"/>
          <w:numId w:val="1"/>
        </w:numPr>
        <w:spacing w:before="120" w:after="360" w:line="240" w:lineRule="auto"/>
        <w:rPr>
          <w:sz w:val="24"/>
        </w:rPr>
      </w:pPr>
      <w:r w:rsidRPr="00B373CA">
        <w:rPr>
          <w:rFonts w:eastAsia="PMingLiU"/>
          <w:sz w:val="24"/>
          <w:lang w:eastAsia="zh-TW"/>
        </w:rPr>
        <w:t>Whether they fulfil the requirements of being prescribed by law.  (“‘</w:t>
      </w:r>
      <w:r>
        <w:rPr>
          <w:rFonts w:eastAsia="PMingLiU"/>
          <w:sz w:val="24"/>
          <w:u w:val="single"/>
          <w:lang w:eastAsia="zh-TW"/>
        </w:rPr>
        <w:t>The p</w:t>
      </w:r>
      <w:r w:rsidRPr="00B373CA">
        <w:rPr>
          <w:rFonts w:eastAsia="PMingLiU"/>
          <w:sz w:val="24"/>
          <w:u w:val="single"/>
          <w:lang w:eastAsia="zh-TW"/>
        </w:rPr>
        <w:t>rescribed by law’ question</w:t>
      </w:r>
      <w:r w:rsidRPr="00B373CA">
        <w:rPr>
          <w:rFonts w:eastAsia="PMingLiU"/>
          <w:sz w:val="24"/>
          <w:lang w:eastAsia="zh-TW"/>
        </w:rPr>
        <w:t>”)</w:t>
      </w:r>
    </w:p>
    <w:p w:rsidR="004219C7" w:rsidRPr="00B373CA" w:rsidRDefault="004219C7" w:rsidP="004219C7">
      <w:pPr>
        <w:pStyle w:val="Final"/>
        <w:numPr>
          <w:ilvl w:val="2"/>
          <w:numId w:val="1"/>
        </w:numPr>
        <w:spacing w:before="120" w:after="360" w:line="240" w:lineRule="auto"/>
        <w:rPr>
          <w:sz w:val="24"/>
        </w:rPr>
      </w:pPr>
      <w:r w:rsidRPr="00B373CA">
        <w:rPr>
          <w:rFonts w:eastAsia="PMingLiU"/>
          <w:sz w:val="24"/>
          <w:lang w:eastAsia="zh-TW"/>
        </w:rPr>
        <w:t>Whether they are proportionate restrictions on such fundamental rights. (“</w:t>
      </w:r>
      <w:r>
        <w:rPr>
          <w:rFonts w:eastAsia="PMingLiU"/>
          <w:sz w:val="24"/>
          <w:u w:val="single"/>
          <w:lang w:eastAsia="zh-TW"/>
        </w:rPr>
        <w:t>The p</w:t>
      </w:r>
      <w:r w:rsidRPr="00B373CA">
        <w:rPr>
          <w:rFonts w:eastAsia="PMingLiU"/>
          <w:sz w:val="24"/>
          <w:u w:val="single"/>
          <w:lang w:eastAsia="zh-TW"/>
        </w:rPr>
        <w:t>roportionality question</w:t>
      </w:r>
      <w:r w:rsidRPr="00B373CA">
        <w:rPr>
          <w:rFonts w:eastAsia="PMingLiU"/>
          <w:sz w:val="24"/>
          <w:lang w:eastAsia="zh-TW"/>
        </w:rPr>
        <w:t>”)</w:t>
      </w:r>
    </w:p>
    <w:p w:rsidR="004219C7" w:rsidRPr="00B373CA" w:rsidRDefault="004219C7" w:rsidP="004219C7">
      <w:pPr>
        <w:pStyle w:val="Final"/>
        <w:numPr>
          <w:ilvl w:val="1"/>
          <w:numId w:val="1"/>
        </w:numPr>
        <w:spacing w:before="120" w:after="360" w:line="240" w:lineRule="auto"/>
        <w:rPr>
          <w:sz w:val="24"/>
        </w:rPr>
      </w:pPr>
      <w:r w:rsidRPr="00B373CA">
        <w:rPr>
          <w:rFonts w:eastAsia="PMingLiU"/>
          <w:sz w:val="24"/>
          <w:lang w:eastAsia="zh-TW"/>
        </w:rPr>
        <w:t xml:space="preserve">Q3: Whether the No Consent Regime operated by the Commissioner is and the issue of the LNCs in respect of the Applicants’ bank accounts was procedurally unfair at common law and/or in violation of the </w:t>
      </w:r>
      <w:r>
        <w:rPr>
          <w:rFonts w:eastAsia="PMingLiU"/>
          <w:sz w:val="24"/>
          <w:lang w:eastAsia="zh-TW"/>
        </w:rPr>
        <w:t>right to fair hearing under art</w:t>
      </w:r>
      <w:r w:rsidRPr="00B373CA">
        <w:rPr>
          <w:rFonts w:eastAsia="PMingLiU"/>
          <w:sz w:val="24"/>
          <w:lang w:eastAsia="zh-TW"/>
        </w:rPr>
        <w:t> 10 of the Hong Kong Bill of Rights in that there was (1) no or no adequate notice of the decision to issue the LNCs, before or after the issue; (2) no or no adequate opportunity to provide meaningful representations as to whether the LNCs should be maintained; (3) no or no adequate reasons given for the decision to issue the LNCs; and (4) no hearing before an independent and impartial tribunal in terms of art. 10.  (“</w:t>
      </w:r>
      <w:r>
        <w:rPr>
          <w:rFonts w:eastAsia="PMingLiU"/>
          <w:sz w:val="24"/>
          <w:u w:val="single"/>
          <w:lang w:eastAsia="zh-TW"/>
        </w:rPr>
        <w:t>The f</w:t>
      </w:r>
      <w:r w:rsidRPr="00B373CA">
        <w:rPr>
          <w:rFonts w:eastAsia="PMingLiU"/>
          <w:sz w:val="24"/>
          <w:u w:val="single"/>
          <w:lang w:eastAsia="zh-TW"/>
        </w:rPr>
        <w:t>air hearing question</w:t>
      </w:r>
      <w:r w:rsidRPr="00B373CA">
        <w:rPr>
          <w:rFonts w:eastAsia="PMingLiU"/>
          <w:sz w:val="24"/>
          <w:lang w:eastAsia="zh-TW"/>
        </w:rPr>
        <w:t>”)</w:t>
      </w:r>
    </w:p>
    <w:p w:rsidR="004219C7" w:rsidRPr="00B373CA" w:rsidRDefault="004219C7" w:rsidP="004219C7">
      <w:pPr>
        <w:pStyle w:val="Final"/>
        <w:numPr>
          <w:ilvl w:val="1"/>
          <w:numId w:val="1"/>
        </w:numPr>
        <w:spacing w:before="120" w:line="240" w:lineRule="auto"/>
        <w:rPr>
          <w:sz w:val="24"/>
        </w:rPr>
      </w:pPr>
      <w:r w:rsidRPr="00B373CA">
        <w:rPr>
          <w:rFonts w:eastAsia="PMingLiU"/>
          <w:sz w:val="24"/>
          <w:lang w:eastAsia="zh-TW"/>
        </w:rPr>
        <w:t xml:space="preserve">Q4: Whether the case of </w:t>
      </w:r>
      <w:proofErr w:type="spellStart"/>
      <w:r w:rsidRPr="00B373CA">
        <w:rPr>
          <w:rFonts w:eastAsia="PMingLiU"/>
          <w:i/>
          <w:sz w:val="24"/>
          <w:lang w:eastAsia="zh-TW"/>
        </w:rPr>
        <w:t>Interush</w:t>
      </w:r>
      <w:proofErr w:type="spellEnd"/>
      <w:r w:rsidRPr="00B373CA">
        <w:rPr>
          <w:rFonts w:eastAsia="PMingLiU"/>
          <w:i/>
          <w:sz w:val="24"/>
          <w:lang w:eastAsia="zh-TW"/>
        </w:rPr>
        <w:t xml:space="preserve"> Ltd v Commissioner of Police</w:t>
      </w:r>
      <w:r w:rsidRPr="007126F9">
        <w:rPr>
          <w:rStyle w:val="FootnoteReference"/>
          <w:rFonts w:eastAsia="PMingLiU"/>
          <w:sz w:val="24"/>
          <w:lang w:eastAsia="zh-TW"/>
        </w:rPr>
        <w:footnoteReference w:id="7"/>
      </w:r>
      <w:r w:rsidRPr="00B373CA">
        <w:rPr>
          <w:rFonts w:eastAsia="PMingLiU"/>
          <w:sz w:val="24"/>
          <w:lang w:eastAsia="zh-TW"/>
        </w:rPr>
        <w:t xml:space="preserve"> was correct in holding that the “consent regime” (as defined in that judgment) is a necessary and proportionate restriction on the right to enjoyment of private property under arts 6 and 105 of the Basic Law. (“</w:t>
      </w:r>
      <w:r>
        <w:rPr>
          <w:rFonts w:eastAsia="PMingLiU"/>
          <w:sz w:val="24"/>
          <w:u w:val="single"/>
          <w:lang w:eastAsia="zh-TW"/>
        </w:rPr>
        <w:t xml:space="preserve">The </w:t>
      </w:r>
      <w:proofErr w:type="spellStart"/>
      <w:r>
        <w:rPr>
          <w:rFonts w:eastAsia="PMingLiU"/>
          <w:i/>
          <w:sz w:val="24"/>
          <w:u w:val="single"/>
          <w:lang w:eastAsia="zh-TW"/>
        </w:rPr>
        <w:t>I</w:t>
      </w:r>
      <w:r w:rsidRPr="00B373CA">
        <w:rPr>
          <w:rFonts w:eastAsia="PMingLiU"/>
          <w:i/>
          <w:sz w:val="24"/>
          <w:u w:val="single"/>
          <w:lang w:eastAsia="zh-TW"/>
        </w:rPr>
        <w:t>nterush</w:t>
      </w:r>
      <w:proofErr w:type="spellEnd"/>
      <w:r w:rsidRPr="00B373CA">
        <w:rPr>
          <w:rFonts w:eastAsia="PMingLiU"/>
          <w:i/>
          <w:sz w:val="24"/>
          <w:u w:val="single"/>
          <w:lang w:eastAsia="zh-TW"/>
        </w:rPr>
        <w:t xml:space="preserve"> </w:t>
      </w:r>
      <w:r w:rsidRPr="00B373CA">
        <w:rPr>
          <w:rFonts w:eastAsia="PMingLiU"/>
          <w:sz w:val="24"/>
          <w:u w:val="single"/>
          <w:lang w:eastAsia="zh-TW"/>
        </w:rPr>
        <w:t>question</w:t>
      </w:r>
      <w:r w:rsidRPr="00B373CA">
        <w:rPr>
          <w:rFonts w:eastAsia="PMingLiU"/>
          <w:sz w:val="24"/>
          <w:lang w:eastAsia="zh-TW"/>
        </w:rPr>
        <w:t>”)</w:t>
      </w:r>
    </w:p>
    <w:p w:rsidR="004219C7" w:rsidRDefault="004219C7" w:rsidP="000F409E">
      <w:pPr>
        <w:pStyle w:val="Bob1"/>
        <w:numPr>
          <w:ilvl w:val="0"/>
          <w:numId w:val="1"/>
        </w:numPr>
        <w:tabs>
          <w:tab w:val="clear" w:pos="720"/>
          <w:tab w:val="left" w:pos="1440"/>
        </w:tabs>
        <w:ind w:left="0" w:firstLine="0"/>
        <w:jc w:val="both"/>
      </w:pPr>
      <w:r w:rsidRPr="00E84B00">
        <w:rPr>
          <w:lang w:eastAsia="zh-TW"/>
        </w:rPr>
        <w:lastRenderedPageBreak/>
        <w:t xml:space="preserve">There are doubts as to the scope and intent of the </w:t>
      </w:r>
      <w:proofErr w:type="spellStart"/>
      <w:r w:rsidRPr="00E84B00">
        <w:rPr>
          <w:i/>
          <w:lang w:eastAsia="zh-TW"/>
        </w:rPr>
        <w:t>Interush</w:t>
      </w:r>
      <w:proofErr w:type="spellEnd"/>
      <w:r w:rsidRPr="00E84B00">
        <w:rPr>
          <w:i/>
          <w:lang w:eastAsia="zh-TW"/>
        </w:rPr>
        <w:t xml:space="preserve"> </w:t>
      </w:r>
      <w:r w:rsidRPr="00E84B00">
        <w:rPr>
          <w:lang w:eastAsia="zh-TW"/>
        </w:rPr>
        <w:t>question.  In that case</w:t>
      </w:r>
      <w:r w:rsidRPr="00E84B00">
        <w:rPr>
          <w:i/>
          <w:lang w:eastAsia="zh-TW"/>
        </w:rPr>
        <w:t>,</w:t>
      </w:r>
      <w:r w:rsidRPr="00E84B00">
        <w:rPr>
          <w:lang w:eastAsia="zh-TW"/>
        </w:rPr>
        <w:t xml:space="preserve"> Cheung JA, giving the principal </w:t>
      </w:r>
      <w:r w:rsidR="00FF02DB">
        <w:rPr>
          <w:lang w:eastAsia="zh-TW"/>
        </w:rPr>
        <w:t>judgment in the Court of Appeal</w:t>
      </w:r>
      <w:r w:rsidR="00F074B9">
        <w:rPr>
          <w:lang w:eastAsia="zh-TW"/>
        </w:rPr>
        <w:t>,</w:t>
      </w:r>
      <w:r w:rsidR="00FF02DB">
        <w:rPr>
          <w:lang w:eastAsia="zh-TW"/>
        </w:rPr>
        <w:t xml:space="preserve"> noted</w:t>
      </w:r>
      <w:r w:rsidRPr="00E84B00">
        <w:rPr>
          <w:lang w:eastAsia="zh-TW"/>
        </w:rPr>
        <w:t xml:space="preserve"> that the applicants were seeking a declaration that sections 25(1) and 25A of </w:t>
      </w:r>
      <w:r>
        <w:rPr>
          <w:lang w:eastAsia="zh-TW"/>
        </w:rPr>
        <w:t xml:space="preserve">OSCO </w:t>
      </w:r>
      <w:r w:rsidRPr="00E84B00">
        <w:rPr>
          <w:lang w:eastAsia="zh-TW"/>
        </w:rPr>
        <w:t xml:space="preserve">were unconstitutional because they infringed the appellants’ guaranteed property rights under </w:t>
      </w:r>
      <w:r w:rsidR="003B05C9">
        <w:rPr>
          <w:lang w:eastAsia="zh-TW"/>
        </w:rPr>
        <w:t>Articles 6 and 105 of the Basic Law (“</w:t>
      </w:r>
      <w:r w:rsidRPr="00E84B00">
        <w:rPr>
          <w:lang w:eastAsia="zh-TW"/>
        </w:rPr>
        <w:t>BL6 and BL105</w:t>
      </w:r>
      <w:r w:rsidR="003B05C9">
        <w:rPr>
          <w:lang w:eastAsia="zh-TW"/>
        </w:rPr>
        <w:t>”)</w:t>
      </w:r>
      <w:r w:rsidRPr="00E84B00">
        <w:rPr>
          <w:lang w:eastAsia="zh-TW"/>
        </w:rPr>
        <w:t xml:space="preserve">, as well as their access to court rights under BL35 and BL80 and </w:t>
      </w:r>
      <w:r w:rsidR="003B05C9">
        <w:rPr>
          <w:lang w:eastAsia="zh-TW"/>
        </w:rPr>
        <w:t>Article 10 of the Bill of Rights (“</w:t>
      </w:r>
      <w:r w:rsidRPr="00E84B00">
        <w:rPr>
          <w:lang w:eastAsia="zh-TW"/>
        </w:rPr>
        <w:t>BOR10</w:t>
      </w:r>
      <w:r w:rsidR="003B05C9">
        <w:rPr>
          <w:lang w:eastAsia="zh-TW"/>
        </w:rPr>
        <w:t>”)</w:t>
      </w:r>
      <w:r w:rsidRPr="00E84B00">
        <w:rPr>
          <w:lang w:eastAsia="zh-TW"/>
        </w:rPr>
        <w:t>.</w:t>
      </w:r>
      <w:r w:rsidRPr="00E84B00">
        <w:rPr>
          <w:rStyle w:val="FootnoteReference"/>
          <w:lang w:eastAsia="zh-TW"/>
        </w:rPr>
        <w:footnoteReference w:id="8"/>
      </w:r>
      <w:r w:rsidRPr="00E84B00">
        <w:rPr>
          <w:lang w:eastAsia="zh-TW"/>
        </w:rPr>
        <w:t xml:space="preserve">  It was, as his Lordship put it, a “full frontal constitutional challenge of the empowering statute itself”.</w:t>
      </w:r>
      <w:r w:rsidRPr="00E84B00">
        <w:rPr>
          <w:rStyle w:val="FootnoteReference"/>
          <w:lang w:eastAsia="zh-TW"/>
        </w:rPr>
        <w:footnoteReference w:id="9"/>
      </w:r>
      <w:r w:rsidRPr="00E84B00">
        <w:rPr>
          <w:lang w:eastAsia="zh-TW"/>
        </w:rPr>
        <w:t xml:space="preserve">  We return in Section </w:t>
      </w:r>
      <w:r w:rsidR="00FF02DB">
        <w:rPr>
          <w:lang w:eastAsia="zh-TW"/>
        </w:rPr>
        <w:t xml:space="preserve">K </w:t>
      </w:r>
      <w:r w:rsidRPr="00E84B00">
        <w:rPr>
          <w:lang w:eastAsia="zh-TW"/>
        </w:rPr>
        <w:t xml:space="preserve">of this Judgment to examine the analysis adopted in </w:t>
      </w:r>
      <w:proofErr w:type="spellStart"/>
      <w:r w:rsidRPr="00E84B00">
        <w:rPr>
          <w:i/>
          <w:lang w:eastAsia="zh-TW"/>
        </w:rPr>
        <w:t>Interush</w:t>
      </w:r>
      <w:proofErr w:type="spellEnd"/>
      <w:r w:rsidRPr="00E84B00">
        <w:rPr>
          <w:lang w:eastAsia="zh-TW"/>
        </w:rPr>
        <w:t>.</w:t>
      </w:r>
    </w:p>
    <w:p w:rsidR="004219C7" w:rsidRDefault="004219C7" w:rsidP="000F409E">
      <w:pPr>
        <w:pStyle w:val="Bob1"/>
        <w:numPr>
          <w:ilvl w:val="0"/>
          <w:numId w:val="1"/>
        </w:numPr>
        <w:tabs>
          <w:tab w:val="clear" w:pos="720"/>
          <w:tab w:val="left" w:pos="1440"/>
        </w:tabs>
        <w:ind w:left="0" w:firstLine="0"/>
        <w:jc w:val="both"/>
      </w:pPr>
      <w:r w:rsidRPr="00E84B00">
        <w:rPr>
          <w:lang w:eastAsia="zh-TW"/>
        </w:rPr>
        <w:t xml:space="preserve">When the Court of Appeal below granted leave to challenge the correctness of </w:t>
      </w:r>
      <w:proofErr w:type="spellStart"/>
      <w:r w:rsidRPr="000F409E">
        <w:rPr>
          <w:i/>
          <w:lang w:eastAsia="zh-TW"/>
        </w:rPr>
        <w:t>Interush</w:t>
      </w:r>
      <w:proofErr w:type="spellEnd"/>
      <w:r w:rsidRPr="00E84B00">
        <w:rPr>
          <w:lang w:eastAsia="zh-TW"/>
        </w:rPr>
        <w:t xml:space="preserve">, one might have thought that the appellants were being permitted to </w:t>
      </w:r>
      <w:r w:rsidR="00FF02DB">
        <w:rPr>
          <w:lang w:eastAsia="zh-TW"/>
        </w:rPr>
        <w:t>challenge</w:t>
      </w:r>
      <w:r w:rsidRPr="00E84B00">
        <w:rPr>
          <w:lang w:eastAsia="zh-TW"/>
        </w:rPr>
        <w:t xml:space="preserve"> afresh the constitutionality of those OSCO sections.  However, Q4 attributes to </w:t>
      </w:r>
      <w:proofErr w:type="spellStart"/>
      <w:r w:rsidRPr="000F409E">
        <w:rPr>
          <w:i/>
          <w:lang w:eastAsia="zh-TW"/>
        </w:rPr>
        <w:t>Interush</w:t>
      </w:r>
      <w:proofErr w:type="spellEnd"/>
      <w:r w:rsidRPr="000F409E">
        <w:rPr>
          <w:i/>
          <w:lang w:eastAsia="zh-TW"/>
        </w:rPr>
        <w:t xml:space="preserve"> </w:t>
      </w:r>
      <w:r w:rsidRPr="00E84B00">
        <w:rPr>
          <w:lang w:eastAsia="zh-TW"/>
        </w:rPr>
        <w:t>a holding that the “consent regime” – not the OSCO provisions – was a proportionate and necessary restriction on the guaranteed property rights and grants leave to question the correctness of that holding.  In so doing, it reflects the appellants</w:t>
      </w:r>
      <w:r w:rsidR="00FF02DB">
        <w:rPr>
          <w:lang w:eastAsia="zh-TW"/>
        </w:rPr>
        <w:t>’</w:t>
      </w:r>
      <w:r w:rsidRPr="00E84B00">
        <w:rPr>
          <w:lang w:eastAsia="zh-TW"/>
        </w:rPr>
        <w:t xml:space="preserve"> Amended Form 86</w:t>
      </w:r>
      <w:r w:rsidRPr="00E84B00">
        <w:rPr>
          <w:rStyle w:val="FootnoteReference"/>
          <w:lang w:eastAsia="zh-TW"/>
        </w:rPr>
        <w:footnoteReference w:id="10"/>
      </w:r>
      <w:r w:rsidRPr="00E84B00">
        <w:rPr>
          <w:lang w:eastAsia="zh-TW"/>
        </w:rPr>
        <w:t xml:space="preserve"> </w:t>
      </w:r>
      <w:r w:rsidR="00FF02DB">
        <w:rPr>
          <w:lang w:eastAsia="zh-TW"/>
        </w:rPr>
        <w:t>where</w:t>
      </w:r>
      <w:r w:rsidRPr="00E84B00">
        <w:rPr>
          <w:lang w:eastAsia="zh-TW"/>
        </w:rPr>
        <w:t xml:space="preserve"> </w:t>
      </w:r>
      <w:r w:rsidR="00FF02DB">
        <w:rPr>
          <w:lang w:eastAsia="zh-TW"/>
        </w:rPr>
        <w:t>t</w:t>
      </w:r>
      <w:r w:rsidRPr="00E84B00">
        <w:rPr>
          <w:lang w:eastAsia="zh-TW"/>
        </w:rPr>
        <w:t>hey reserved the right to contend “that the No Consent Regime [not the OSCO sections] disproportionately interferes with property rights contrary to BL6 and BL105</w:t>
      </w:r>
      <w:r w:rsidR="00FF02DB">
        <w:rPr>
          <w:lang w:eastAsia="zh-TW"/>
        </w:rPr>
        <w:t>...</w:t>
      </w:r>
      <w:r w:rsidRPr="00E84B00">
        <w:rPr>
          <w:lang w:eastAsia="zh-TW"/>
        </w:rPr>
        <w:t xml:space="preserve">”  </w:t>
      </w:r>
    </w:p>
    <w:p w:rsidR="004219C7" w:rsidRPr="00E84B00" w:rsidRDefault="004219C7" w:rsidP="000F409E">
      <w:pPr>
        <w:pStyle w:val="Bob1"/>
        <w:numPr>
          <w:ilvl w:val="0"/>
          <w:numId w:val="1"/>
        </w:numPr>
        <w:tabs>
          <w:tab w:val="clear" w:pos="720"/>
          <w:tab w:val="left" w:pos="1440"/>
        </w:tabs>
        <w:ind w:left="0" w:firstLine="0"/>
        <w:jc w:val="both"/>
      </w:pPr>
      <w:r w:rsidRPr="00E84B00">
        <w:rPr>
          <w:lang w:eastAsia="zh-TW"/>
        </w:rPr>
        <w:t xml:space="preserve">A question thus arises as to the </w:t>
      </w:r>
      <w:r w:rsidR="00DB08BE">
        <w:rPr>
          <w:lang w:eastAsia="zh-TW"/>
        </w:rPr>
        <w:t xml:space="preserve">exact </w:t>
      </w:r>
      <w:r w:rsidRPr="00E84B00">
        <w:rPr>
          <w:lang w:eastAsia="zh-TW"/>
        </w:rPr>
        <w:t>scope of Q4, and by extension, the scope of this appeal.  This uncertainty did not go unnoticed.  In its leave judgment,</w:t>
      </w:r>
      <w:r w:rsidRPr="00E84B00">
        <w:rPr>
          <w:rStyle w:val="FootnoteReference"/>
        </w:rPr>
        <w:footnoteReference w:id="11"/>
      </w:r>
      <w:r w:rsidRPr="00E84B00">
        <w:rPr>
          <w:lang w:eastAsia="zh-TW"/>
        </w:rPr>
        <w:t xml:space="preserve"> the Court of Appeal stated:</w:t>
      </w:r>
    </w:p>
    <w:p w:rsidR="004219C7" w:rsidRPr="00E84B00" w:rsidRDefault="004219C7" w:rsidP="000F409E">
      <w:pPr>
        <w:pStyle w:val="Bob1"/>
        <w:numPr>
          <w:ilvl w:val="0"/>
          <w:numId w:val="0"/>
        </w:numPr>
        <w:spacing w:line="240" w:lineRule="auto"/>
        <w:ind w:left="1440"/>
        <w:jc w:val="both"/>
        <w:rPr>
          <w:sz w:val="24"/>
        </w:rPr>
      </w:pPr>
      <w:r w:rsidRPr="00E84B00">
        <w:rPr>
          <w:sz w:val="24"/>
          <w:lang w:eastAsia="zh-TW"/>
        </w:rPr>
        <w:lastRenderedPageBreak/>
        <w:t xml:space="preserve">“... </w:t>
      </w:r>
      <w:proofErr w:type="gramStart"/>
      <w:r w:rsidRPr="00E84B00">
        <w:rPr>
          <w:sz w:val="24"/>
          <w:lang w:eastAsia="zh-TW"/>
        </w:rPr>
        <w:t>the</w:t>
      </w:r>
      <w:proofErr w:type="gramEnd"/>
      <w:r w:rsidRPr="00E84B00">
        <w:rPr>
          <w:sz w:val="24"/>
          <w:lang w:eastAsia="zh-TW"/>
        </w:rPr>
        <w:t xml:space="preserve"> Commissioner has pointed out that although the Applicants wish to challenge </w:t>
      </w:r>
      <w:proofErr w:type="spellStart"/>
      <w:r w:rsidRPr="00E84B00">
        <w:rPr>
          <w:i/>
          <w:sz w:val="24"/>
          <w:lang w:eastAsia="zh-TW"/>
        </w:rPr>
        <w:t>Interush</w:t>
      </w:r>
      <w:proofErr w:type="spellEnd"/>
      <w:r w:rsidRPr="00E84B00">
        <w:rPr>
          <w:sz w:val="24"/>
          <w:lang w:eastAsia="zh-TW"/>
        </w:rPr>
        <w:t xml:space="preserve">, they have not claimed in their Form 86 a declaration, as was sought in </w:t>
      </w:r>
      <w:proofErr w:type="spellStart"/>
      <w:r w:rsidRPr="00E84B00">
        <w:rPr>
          <w:i/>
          <w:sz w:val="24"/>
          <w:lang w:eastAsia="zh-TW"/>
        </w:rPr>
        <w:t>Interush</w:t>
      </w:r>
      <w:proofErr w:type="spellEnd"/>
      <w:r w:rsidRPr="00E84B00">
        <w:rPr>
          <w:sz w:val="24"/>
          <w:lang w:eastAsia="zh-TW"/>
        </w:rPr>
        <w:t>, that sections 25 and 25A of OSCO are unconstitutional and invalid.  In our view this may have an impact on the precise contours of the argument and the ultimate remedies that are available if the Applicant[s] succeed, but is not a reason for refusing to grant leave altogether.  The Court of Final Appeal may itself give directions in that regard to ensure that matters that should be before the Court are properly presented.”</w:t>
      </w:r>
      <w:r w:rsidRPr="00E84B00">
        <w:rPr>
          <w:sz w:val="24"/>
        </w:rPr>
        <w:t xml:space="preserve"> </w:t>
      </w:r>
    </w:p>
    <w:p w:rsidR="004219C7" w:rsidRDefault="004219C7" w:rsidP="00443ECC">
      <w:pPr>
        <w:pStyle w:val="Bob1"/>
        <w:numPr>
          <w:ilvl w:val="0"/>
          <w:numId w:val="1"/>
        </w:numPr>
        <w:tabs>
          <w:tab w:val="clear" w:pos="720"/>
          <w:tab w:val="left" w:pos="1440"/>
        </w:tabs>
        <w:ind w:left="0" w:firstLine="0"/>
        <w:jc w:val="both"/>
      </w:pPr>
      <w:r w:rsidRPr="00E84B00">
        <w:rPr>
          <w:lang w:eastAsia="zh-TW"/>
        </w:rPr>
        <w:t>The appellants have not sought any such directions and in their Written and Supplemental Case</w:t>
      </w:r>
      <w:r w:rsidR="00DB08BE">
        <w:rPr>
          <w:lang w:eastAsia="zh-TW"/>
        </w:rPr>
        <w:t>s</w:t>
      </w:r>
      <w:r>
        <w:rPr>
          <w:lang w:eastAsia="zh-TW"/>
        </w:rPr>
        <w:t>, as well as in the oral submissions of Counsel</w:t>
      </w:r>
      <w:r w:rsidRPr="00E84B00">
        <w:rPr>
          <w:lang w:eastAsia="zh-TW"/>
        </w:rPr>
        <w:t xml:space="preserve">, they have not </w:t>
      </w:r>
      <w:r>
        <w:rPr>
          <w:lang w:eastAsia="zh-TW"/>
        </w:rPr>
        <w:t xml:space="preserve">sought to </w:t>
      </w:r>
      <w:r w:rsidRPr="00E84B00">
        <w:rPr>
          <w:lang w:eastAsia="zh-TW"/>
        </w:rPr>
        <w:t>argue that the two sections are themselves unconstitutional.</w:t>
      </w:r>
      <w:r w:rsidRPr="00E84B00">
        <w:rPr>
          <w:rStyle w:val="FootnoteReference"/>
        </w:rPr>
        <w:footnoteReference w:id="12"/>
      </w:r>
      <w:r w:rsidRPr="00E84B00">
        <w:rPr>
          <w:lang w:eastAsia="zh-TW"/>
        </w:rPr>
        <w:t xml:space="preserve">  They have confined themselves to challenging the use by the CP of LNCs, involving </w:t>
      </w:r>
      <w:r w:rsidR="00AF7BB3">
        <w:rPr>
          <w:lang w:eastAsia="zh-TW"/>
        </w:rPr>
        <w:t>the so-called</w:t>
      </w:r>
      <w:r w:rsidRPr="00E84B00">
        <w:rPr>
          <w:lang w:eastAsia="zh-TW"/>
        </w:rPr>
        <w:t xml:space="preserve"> “the No Consent Regime”.  What then, do the appellants mean by that expression? </w:t>
      </w:r>
    </w:p>
    <w:p w:rsidR="004219C7" w:rsidRDefault="004219C7" w:rsidP="00443ECC">
      <w:pPr>
        <w:pStyle w:val="Bob1"/>
        <w:numPr>
          <w:ilvl w:val="0"/>
          <w:numId w:val="1"/>
        </w:numPr>
        <w:tabs>
          <w:tab w:val="clear" w:pos="720"/>
          <w:tab w:val="left" w:pos="1440"/>
        </w:tabs>
        <w:ind w:left="0" w:firstLine="0"/>
        <w:jc w:val="both"/>
      </w:pPr>
      <w:r w:rsidRPr="00E84B00">
        <w:t>In passage</w:t>
      </w:r>
      <w:r>
        <w:t>s</w:t>
      </w:r>
      <w:r w:rsidRPr="00E84B00">
        <w:t xml:space="preserve"> that come closest to a definition,</w:t>
      </w:r>
      <w:r w:rsidRPr="00E84B00">
        <w:rPr>
          <w:rStyle w:val="FootnoteReference"/>
        </w:rPr>
        <w:footnoteReference w:id="13"/>
      </w:r>
      <w:r w:rsidRPr="00E84B00">
        <w:t xml:space="preserve"> the appellants explain that under that “Regime” (</w:t>
      </w:r>
      <w:proofErr w:type="spellStart"/>
      <w:r w:rsidRPr="00E84B00">
        <w:t>i</w:t>
      </w:r>
      <w:proofErr w:type="spellEnd"/>
      <w:r w:rsidRPr="00B373CA">
        <w:t xml:space="preserve">) LNCs are not mentioned </w:t>
      </w:r>
      <w:r>
        <w:t xml:space="preserve">anywhere </w:t>
      </w:r>
      <w:r w:rsidRPr="00B373CA">
        <w:t xml:space="preserve">in OSCO but are an informal asset freezing mechanism developed by the police; (ii) LNCs are issued with the intention of freezing </w:t>
      </w:r>
      <w:r>
        <w:t>targeted</w:t>
      </w:r>
      <w:r w:rsidRPr="00B373CA">
        <w:t xml:space="preserve"> property; (iii) when issued, </w:t>
      </w:r>
      <w:r>
        <w:t xml:space="preserve">they argue, </w:t>
      </w:r>
      <w:r w:rsidRPr="00B373CA">
        <w:t>LNCs invariably cause the reci</w:t>
      </w:r>
      <w:r>
        <w:t>pient to refuse to deal with that</w:t>
      </w:r>
      <w:r w:rsidRPr="00B373CA">
        <w:t xml:space="preserve"> property for fear of committing an offence under OSCO section 25</w:t>
      </w:r>
      <w:r>
        <w:t>(1)</w:t>
      </w:r>
      <w:r w:rsidRPr="00B373CA">
        <w:t xml:space="preserve">; and (iv) the police are able to </w:t>
      </w:r>
      <w:r>
        <w:t>reverse</w:t>
      </w:r>
      <w:r w:rsidRPr="00B373CA">
        <w:t xml:space="preserve"> the freeze </w:t>
      </w:r>
      <w:r>
        <w:t xml:space="preserve">by withdrawing the LNC or giving consent </w:t>
      </w:r>
      <w:r w:rsidRPr="00B373CA">
        <w:t>at any time.</w:t>
      </w:r>
      <w:r>
        <w:t xml:space="preserve">  </w:t>
      </w:r>
    </w:p>
    <w:p w:rsidR="004219C7" w:rsidRDefault="004219C7" w:rsidP="00443ECC">
      <w:pPr>
        <w:pStyle w:val="Bob1"/>
        <w:numPr>
          <w:ilvl w:val="0"/>
          <w:numId w:val="1"/>
        </w:numPr>
        <w:tabs>
          <w:tab w:val="clear" w:pos="720"/>
          <w:tab w:val="left" w:pos="1440"/>
        </w:tabs>
        <w:ind w:left="0" w:firstLine="0"/>
        <w:jc w:val="both"/>
      </w:pPr>
      <w:r>
        <w:t>T</w:t>
      </w:r>
      <w:r w:rsidRPr="00B373CA">
        <w:t xml:space="preserve">he </w:t>
      </w:r>
      <w:r>
        <w:t xml:space="preserve">attack on the so-called “No Consent Regime” </w:t>
      </w:r>
      <w:r>
        <w:rPr>
          <w:lang w:eastAsia="zh-TW"/>
        </w:rPr>
        <w:t xml:space="preserve">is therefore an attack on </w:t>
      </w:r>
      <w:r w:rsidRPr="00B373CA">
        <w:rPr>
          <w:lang w:eastAsia="zh-TW"/>
        </w:rPr>
        <w:t xml:space="preserve">the </w:t>
      </w:r>
      <w:r>
        <w:rPr>
          <w:lang w:eastAsia="zh-TW"/>
        </w:rPr>
        <w:t>actions taken by the police</w:t>
      </w:r>
      <w:r w:rsidRPr="00B373CA">
        <w:rPr>
          <w:lang w:eastAsia="zh-TW"/>
        </w:rPr>
        <w:t>.</w:t>
      </w:r>
      <w:r w:rsidRPr="00B373CA">
        <w:rPr>
          <w:rStyle w:val="FootnoteReference"/>
          <w:lang w:eastAsia="zh-TW"/>
        </w:rPr>
        <w:footnoteReference w:id="14"/>
      </w:r>
      <w:r w:rsidRPr="00B373CA">
        <w:rPr>
          <w:lang w:eastAsia="zh-TW"/>
        </w:rPr>
        <w:t xml:space="preserve">  </w:t>
      </w:r>
      <w:r w:rsidR="00DB08BE">
        <w:rPr>
          <w:lang w:eastAsia="zh-TW"/>
        </w:rPr>
        <w:t xml:space="preserve">The essential </w:t>
      </w:r>
      <w:r>
        <w:rPr>
          <w:lang w:eastAsia="zh-TW"/>
        </w:rPr>
        <w:t xml:space="preserve">allegation </w:t>
      </w:r>
      <w:r w:rsidR="00057AF6">
        <w:rPr>
          <w:lang w:eastAsia="zh-TW"/>
        </w:rPr>
        <w:t xml:space="preserve">is </w:t>
      </w:r>
      <w:r>
        <w:rPr>
          <w:lang w:eastAsia="zh-TW"/>
        </w:rPr>
        <w:t xml:space="preserve">that by such actions, the </w:t>
      </w:r>
      <w:r w:rsidR="00D83816">
        <w:rPr>
          <w:lang w:eastAsia="zh-TW"/>
        </w:rPr>
        <w:t>police</w:t>
      </w:r>
      <w:r>
        <w:rPr>
          <w:lang w:eastAsia="zh-TW"/>
        </w:rPr>
        <w:t xml:space="preserve"> froze the appellants’ assets, infringing their protected rights.  </w:t>
      </w:r>
      <w:r w:rsidRPr="00B373CA">
        <w:rPr>
          <w:lang w:eastAsia="zh-TW"/>
        </w:rPr>
        <w:t>The</w:t>
      </w:r>
      <w:r>
        <w:rPr>
          <w:lang w:eastAsia="zh-TW"/>
        </w:rPr>
        <w:t xml:space="preserve"> appellants</w:t>
      </w:r>
      <w:r w:rsidRPr="00B373CA">
        <w:rPr>
          <w:lang w:eastAsia="zh-TW"/>
        </w:rPr>
        <w:t xml:space="preserve"> argue that this practice is ultra vires, unconstitutional (not </w:t>
      </w:r>
      <w:r>
        <w:rPr>
          <w:lang w:eastAsia="zh-TW"/>
        </w:rPr>
        <w:t>“</w:t>
      </w:r>
      <w:r w:rsidRPr="00B373CA">
        <w:rPr>
          <w:lang w:eastAsia="zh-TW"/>
        </w:rPr>
        <w:t>prescribed by law</w:t>
      </w:r>
      <w:r>
        <w:rPr>
          <w:lang w:eastAsia="zh-TW"/>
        </w:rPr>
        <w:t>”</w:t>
      </w:r>
      <w:r w:rsidRPr="00B373CA">
        <w:rPr>
          <w:lang w:eastAsia="zh-TW"/>
        </w:rPr>
        <w:t xml:space="preserve"> and disproportionate), involves misuse of a statut</w:t>
      </w:r>
      <w:r>
        <w:rPr>
          <w:lang w:eastAsia="zh-TW"/>
        </w:rPr>
        <w:t xml:space="preserve">ory power for improper purposes and </w:t>
      </w:r>
      <w:r w:rsidRPr="00B373CA">
        <w:rPr>
          <w:lang w:eastAsia="zh-TW"/>
        </w:rPr>
        <w:t>depriv</w:t>
      </w:r>
      <w:r>
        <w:rPr>
          <w:lang w:eastAsia="zh-TW"/>
        </w:rPr>
        <w:t>es</w:t>
      </w:r>
      <w:r w:rsidRPr="00B373CA">
        <w:rPr>
          <w:lang w:eastAsia="zh-TW"/>
        </w:rPr>
        <w:t xml:space="preserve"> the </w:t>
      </w:r>
      <w:r>
        <w:rPr>
          <w:lang w:eastAsia="zh-TW"/>
        </w:rPr>
        <w:t xml:space="preserve">appellants </w:t>
      </w:r>
      <w:r w:rsidRPr="00B373CA">
        <w:rPr>
          <w:lang w:eastAsia="zh-TW"/>
        </w:rPr>
        <w:t>of</w:t>
      </w:r>
      <w:r>
        <w:rPr>
          <w:lang w:eastAsia="zh-TW"/>
        </w:rPr>
        <w:t xml:space="preserve"> their</w:t>
      </w:r>
      <w:r w:rsidRPr="00B373CA">
        <w:rPr>
          <w:lang w:eastAsia="zh-TW"/>
        </w:rPr>
        <w:t xml:space="preserve"> </w:t>
      </w:r>
      <w:r>
        <w:rPr>
          <w:lang w:eastAsia="zh-TW"/>
        </w:rPr>
        <w:t xml:space="preserve">rights to private and </w:t>
      </w:r>
      <w:r>
        <w:rPr>
          <w:lang w:eastAsia="zh-TW"/>
        </w:rPr>
        <w:lastRenderedPageBreak/>
        <w:t xml:space="preserve">family life and to a </w:t>
      </w:r>
      <w:r w:rsidRPr="00B373CA">
        <w:rPr>
          <w:lang w:eastAsia="zh-TW"/>
        </w:rPr>
        <w:t xml:space="preserve">fair hearing.  </w:t>
      </w:r>
      <w:r>
        <w:rPr>
          <w:lang w:eastAsia="zh-TW"/>
        </w:rPr>
        <w:t>T</w:t>
      </w:r>
      <w:r w:rsidR="00FF02DB">
        <w:rPr>
          <w:lang w:eastAsia="zh-TW"/>
        </w:rPr>
        <w:t>o assess th</w:t>
      </w:r>
      <w:r w:rsidR="00924CC7">
        <w:rPr>
          <w:lang w:eastAsia="zh-TW"/>
        </w:rPr>
        <w:t>at</w:t>
      </w:r>
      <w:r w:rsidR="00FF02DB">
        <w:rPr>
          <w:lang w:eastAsia="zh-TW"/>
        </w:rPr>
        <w:t xml:space="preserve"> </w:t>
      </w:r>
      <w:r>
        <w:rPr>
          <w:lang w:eastAsia="zh-TW"/>
        </w:rPr>
        <w:t>challenge</w:t>
      </w:r>
      <w:r w:rsidR="00FF02DB">
        <w:rPr>
          <w:lang w:eastAsia="zh-TW"/>
        </w:rPr>
        <w:t>,</w:t>
      </w:r>
      <w:r w:rsidRPr="00B373CA">
        <w:rPr>
          <w:lang w:eastAsia="zh-TW"/>
        </w:rPr>
        <w:t xml:space="preserve"> it is necessary to plac</w:t>
      </w:r>
      <w:r>
        <w:rPr>
          <w:lang w:eastAsia="zh-TW"/>
        </w:rPr>
        <w:t>e</w:t>
      </w:r>
      <w:r w:rsidRPr="00B373CA">
        <w:rPr>
          <w:lang w:eastAsia="zh-TW"/>
        </w:rPr>
        <w:t xml:space="preserve"> the </w:t>
      </w:r>
      <w:r>
        <w:rPr>
          <w:lang w:eastAsia="zh-TW"/>
        </w:rPr>
        <w:t xml:space="preserve">impugned acts </w:t>
      </w:r>
      <w:r w:rsidRPr="00B373CA">
        <w:rPr>
          <w:lang w:eastAsia="zh-TW"/>
        </w:rPr>
        <w:t xml:space="preserve">in </w:t>
      </w:r>
      <w:r>
        <w:rPr>
          <w:lang w:eastAsia="zh-TW"/>
        </w:rPr>
        <w:t xml:space="preserve">their </w:t>
      </w:r>
      <w:r w:rsidRPr="00B373CA">
        <w:rPr>
          <w:lang w:eastAsia="zh-TW"/>
        </w:rPr>
        <w:t xml:space="preserve">statutory </w:t>
      </w:r>
      <w:r>
        <w:rPr>
          <w:lang w:eastAsia="zh-TW"/>
        </w:rPr>
        <w:t xml:space="preserve">and regulatory </w:t>
      </w:r>
      <w:r w:rsidRPr="00B373CA">
        <w:rPr>
          <w:lang w:eastAsia="zh-TW"/>
        </w:rPr>
        <w:t>context</w:t>
      </w:r>
      <w:r>
        <w:rPr>
          <w:lang w:eastAsia="zh-TW"/>
        </w:rPr>
        <w:t>.</w:t>
      </w:r>
      <w:r w:rsidR="007B30CC">
        <w:rPr>
          <w:lang w:eastAsia="zh-TW"/>
        </w:rPr>
        <w:t xml:space="preserve">  </w:t>
      </w:r>
    </w:p>
    <w:p w:rsidR="004219C7" w:rsidRDefault="004219C7" w:rsidP="004219C7">
      <w:pPr>
        <w:pStyle w:val="docmapheading"/>
      </w:pPr>
      <w:r>
        <w:t>C.</w:t>
      </w:r>
      <w:r>
        <w:tab/>
        <w:t>The international anti-money laundering framework</w:t>
      </w:r>
    </w:p>
    <w:p w:rsidR="00294B0B" w:rsidRDefault="007B30CC" w:rsidP="000F409E">
      <w:pPr>
        <w:pStyle w:val="Bob1"/>
        <w:tabs>
          <w:tab w:val="clear" w:pos="720"/>
          <w:tab w:val="left" w:pos="1440"/>
        </w:tabs>
        <w:ind w:left="0" w:firstLine="0"/>
        <w:jc w:val="both"/>
      </w:pPr>
      <w:r>
        <w:t>I</w:t>
      </w:r>
      <w:r w:rsidR="00294B0B">
        <w:t>nternational conventions</w:t>
      </w:r>
      <w:r w:rsidR="005233ED">
        <w:t>,</w:t>
      </w:r>
      <w:r w:rsidR="00294B0B">
        <w:t xml:space="preserve"> applied to Hong Kong</w:t>
      </w:r>
      <w:r w:rsidR="005233ED">
        <w:t>,</w:t>
      </w:r>
      <w:r w:rsidR="00294B0B">
        <w:t xml:space="preserve"> have provided </w:t>
      </w:r>
      <w:r w:rsidR="00DB08BE">
        <w:t>an</w:t>
      </w:r>
      <w:r w:rsidR="00294B0B">
        <w:t xml:space="preserve"> impetus for establish</w:t>
      </w:r>
      <w:r>
        <w:t>ing</w:t>
      </w:r>
      <w:r w:rsidR="00294B0B">
        <w:t xml:space="preserve"> a legislative and regulatory anti-money laundering framework.</w:t>
      </w:r>
      <w:r w:rsidR="00456AAF">
        <w:rPr>
          <w:rStyle w:val="FootnoteReference"/>
        </w:rPr>
        <w:footnoteReference w:id="15"/>
      </w:r>
      <w:r w:rsidR="00294B0B">
        <w:t xml:space="preserve">  The first </w:t>
      </w:r>
      <w:r>
        <w:t>was</w:t>
      </w:r>
      <w:r w:rsidR="00294B0B">
        <w:t xml:space="preserve"> the </w:t>
      </w:r>
      <w:r w:rsidR="00294B0B" w:rsidRPr="00294B0B">
        <w:t>United Nations Convention against Illicit Traffic</w:t>
      </w:r>
      <w:r w:rsidR="007126F9">
        <w:t xml:space="preserve"> in Narcotic Drugs and Psychotropic</w:t>
      </w:r>
      <w:r w:rsidR="00294B0B" w:rsidRPr="00294B0B">
        <w:t xml:space="preserve"> Substances, 1988, known as the “</w:t>
      </w:r>
      <w:r w:rsidR="00294B0B" w:rsidRPr="00294B0B">
        <w:rPr>
          <w:u w:val="single"/>
        </w:rPr>
        <w:t>Vienna Convention</w:t>
      </w:r>
      <w:r w:rsidR="00294B0B" w:rsidRPr="00294B0B">
        <w:t>”</w:t>
      </w:r>
      <w:r w:rsidR="00294B0B">
        <w:t>.</w:t>
      </w:r>
      <w:r w:rsidR="00294B0B">
        <w:rPr>
          <w:rStyle w:val="FootnoteReference"/>
        </w:rPr>
        <w:footnoteReference w:id="16"/>
      </w:r>
      <w:r w:rsidR="00294B0B">
        <w:t xml:space="preserve">  Its aim was to </w:t>
      </w:r>
      <w:r w:rsidR="00456AAF">
        <w:t xml:space="preserve">counter </w:t>
      </w:r>
      <w:r w:rsidR="00294B0B">
        <w:t>drug</w:t>
      </w:r>
      <w:r w:rsidR="00456AAF">
        <w:t xml:space="preserve"> </w:t>
      </w:r>
      <w:r w:rsidR="00294B0B">
        <w:t xml:space="preserve">trafficking </w:t>
      </w:r>
      <w:r w:rsidR="00EE7A28">
        <w:t xml:space="preserve">by </w:t>
      </w:r>
      <w:r w:rsidR="00D83816">
        <w:t xml:space="preserve">committing </w:t>
      </w:r>
      <w:r w:rsidR="00EE7A28">
        <w:t>State</w:t>
      </w:r>
      <w:r w:rsidR="00456AAF">
        <w:t>s</w:t>
      </w:r>
      <w:r w:rsidR="00EE7A28">
        <w:t xml:space="preserve"> Parties </w:t>
      </w:r>
      <w:r w:rsidR="001C167B">
        <w:t>to enact</w:t>
      </w:r>
      <w:r w:rsidR="00D83816">
        <w:t>ing</w:t>
      </w:r>
      <w:r w:rsidR="00EE7A28">
        <w:t xml:space="preserve"> </w:t>
      </w:r>
      <w:r w:rsidR="00D83816">
        <w:t>legislation</w:t>
      </w:r>
      <w:r w:rsidR="00EE7A28">
        <w:t xml:space="preserve"> </w:t>
      </w:r>
      <w:r>
        <w:t xml:space="preserve">to </w:t>
      </w:r>
      <w:r w:rsidR="00EE7A28">
        <w:t>criminalis</w:t>
      </w:r>
      <w:r>
        <w:t>e</w:t>
      </w:r>
      <w:r w:rsidR="00EE7A28">
        <w:t xml:space="preserve"> money laundering </w:t>
      </w:r>
      <w:r>
        <w:t xml:space="preserve">of </w:t>
      </w:r>
      <w:r w:rsidR="00EE7A28">
        <w:t xml:space="preserve">the proceeds of </w:t>
      </w:r>
      <w:r w:rsidR="00456AAF">
        <w:t xml:space="preserve">drug </w:t>
      </w:r>
      <w:r w:rsidR="00EE7A28">
        <w:t>trafficking</w:t>
      </w:r>
      <w:r w:rsidR="00EE7A28">
        <w:rPr>
          <w:rStyle w:val="FootnoteReference"/>
        </w:rPr>
        <w:footnoteReference w:id="17"/>
      </w:r>
      <w:r w:rsidR="00EE7A28">
        <w:t xml:space="preserve"> and </w:t>
      </w:r>
      <w:r w:rsidR="001C167B">
        <w:t xml:space="preserve">to make provision for </w:t>
      </w:r>
      <w:r w:rsidR="00EE7A28">
        <w:t>confiscation of such proceeds in</w:t>
      </w:r>
      <w:r>
        <w:t xml:space="preserve">volving powers </w:t>
      </w:r>
      <w:r w:rsidR="00EE7A28">
        <w:t>“to identify, trace, and freeze or seize</w:t>
      </w:r>
      <w:r w:rsidR="00456AAF">
        <w:t>”</w:t>
      </w:r>
      <w:r w:rsidR="00EE7A28">
        <w:t xml:space="preserve"> such </w:t>
      </w:r>
      <w:r>
        <w:t>property</w:t>
      </w:r>
      <w:r w:rsidR="00EE7A28">
        <w:t>.</w:t>
      </w:r>
      <w:r w:rsidR="00EE7A28">
        <w:rPr>
          <w:rStyle w:val="FootnoteReference"/>
        </w:rPr>
        <w:footnoteReference w:id="18"/>
      </w:r>
      <w:r w:rsidR="00EE7A28">
        <w:t xml:space="preserve">  The United Nations Convention Against Tr</w:t>
      </w:r>
      <w:r w:rsidR="00FC3E3F">
        <w:t>ansnational Organized Crime 2000</w:t>
      </w:r>
      <w:r w:rsidR="00EE7A28">
        <w:t xml:space="preserve"> (“</w:t>
      </w:r>
      <w:r w:rsidR="00EE7A28">
        <w:rPr>
          <w:u w:val="single"/>
        </w:rPr>
        <w:t>the Palermo Convention</w:t>
      </w:r>
      <w:r w:rsidR="00EE7A28">
        <w:t>”)</w:t>
      </w:r>
      <w:r w:rsidR="00456AAF">
        <w:rPr>
          <w:rStyle w:val="FootnoteReference"/>
        </w:rPr>
        <w:footnoteReference w:id="19"/>
      </w:r>
      <w:r w:rsidR="00456AAF">
        <w:t xml:space="preserve"> broadens the scope of money laundering beyond the proceeds of drug trafficking to cover the proceeds of “serious crime”; </w:t>
      </w:r>
      <w:r>
        <w:t>while</w:t>
      </w:r>
      <w:r w:rsidR="00456AAF">
        <w:t xml:space="preserve"> the </w:t>
      </w:r>
      <w:r w:rsidR="00456AAF" w:rsidRPr="00456AAF">
        <w:t>United Nations Convention Against Corruption of 2003 (</w:t>
      </w:r>
      <w:r w:rsidR="00456AAF">
        <w:t>“</w:t>
      </w:r>
      <w:r w:rsidR="00456AAF" w:rsidRPr="00456AAF">
        <w:rPr>
          <w:u w:val="single"/>
        </w:rPr>
        <w:t>UNCAC</w:t>
      </w:r>
      <w:r w:rsidR="00456AAF">
        <w:t>”</w:t>
      </w:r>
      <w:r w:rsidR="00456AAF" w:rsidRPr="00456AAF">
        <w:t>)</w:t>
      </w:r>
      <w:r w:rsidR="005233ED">
        <w:rPr>
          <w:rStyle w:val="FootnoteReference"/>
        </w:rPr>
        <w:footnoteReference w:id="20"/>
      </w:r>
      <w:r w:rsidR="00456AAF">
        <w:t xml:space="preserve"> targets offences involving corruption</w:t>
      </w:r>
      <w:r w:rsidR="00456AAF" w:rsidRPr="00456AAF">
        <w:t>.</w:t>
      </w:r>
      <w:r w:rsidR="00456AAF">
        <w:t xml:space="preserve">  </w:t>
      </w:r>
      <w:r w:rsidR="005233ED">
        <w:t>T</w:t>
      </w:r>
      <w:r w:rsidR="00456AAF">
        <w:t xml:space="preserve">hese latter conventions </w:t>
      </w:r>
      <w:r w:rsidR="00DB08BE">
        <w:t>likewise</w:t>
      </w:r>
      <w:r w:rsidR="005233ED">
        <w:t xml:space="preserve"> </w:t>
      </w:r>
      <w:r w:rsidR="00456AAF">
        <w:t>require States Parties</w:t>
      </w:r>
      <w:r w:rsidR="005233ED">
        <w:t xml:space="preserve"> to criminalise money laundering of the proceeds of the </w:t>
      </w:r>
      <w:r>
        <w:t>specified</w:t>
      </w:r>
      <w:r w:rsidR="005233ED">
        <w:t xml:space="preserve"> crimes </w:t>
      </w:r>
      <w:r w:rsidR="005233ED">
        <w:lastRenderedPageBreak/>
        <w:t xml:space="preserve">and to establish an institutional and operational framework involving </w:t>
      </w:r>
      <w:r w:rsidR="001C167B">
        <w:t xml:space="preserve">powers of </w:t>
      </w:r>
      <w:r w:rsidR="005233ED">
        <w:t>confiscation and</w:t>
      </w:r>
      <w:r w:rsidR="001C167B">
        <w:t xml:space="preserve"> interim freezing of property</w:t>
      </w:r>
      <w:r w:rsidR="005233ED">
        <w:t>.</w:t>
      </w:r>
      <w:r w:rsidR="005233ED">
        <w:rPr>
          <w:rStyle w:val="FootnoteReference"/>
        </w:rPr>
        <w:footnoteReference w:id="21"/>
      </w:r>
      <w:r>
        <w:t xml:space="preserve">  </w:t>
      </w:r>
    </w:p>
    <w:p w:rsidR="000F409E" w:rsidRDefault="004219C7" w:rsidP="000F409E">
      <w:pPr>
        <w:pStyle w:val="Bob1"/>
        <w:tabs>
          <w:tab w:val="clear" w:pos="720"/>
          <w:tab w:val="left" w:pos="1440"/>
        </w:tabs>
        <w:ind w:left="0" w:firstLine="0"/>
        <w:jc w:val="both"/>
      </w:pPr>
      <w:r>
        <w:t xml:space="preserve">OSCO </w:t>
      </w:r>
      <w:r w:rsidR="00D83816">
        <w:t xml:space="preserve">is </w:t>
      </w:r>
      <w:r w:rsidR="009A1D9C">
        <w:t xml:space="preserve">presently </w:t>
      </w:r>
      <w:r w:rsidR="00D83816">
        <w:t xml:space="preserve">the main enactment in </w:t>
      </w:r>
      <w:r w:rsidR="008B2E60">
        <w:t>th</w:t>
      </w:r>
      <w:r w:rsidR="000E19BE">
        <w:t>is jurisdiction’s</w:t>
      </w:r>
      <w:r>
        <w:t xml:space="preserve"> statutory anti-money laundering framework</w:t>
      </w:r>
      <w:r w:rsidR="008B2E60">
        <w:t>.  L</w:t>
      </w:r>
      <w:r>
        <w:t>egislation</w:t>
      </w:r>
      <w:r w:rsidR="008B2E60">
        <w:t xml:space="preserve"> </w:t>
      </w:r>
      <w:r w:rsidR="00DB08BE">
        <w:t xml:space="preserve">exists </w:t>
      </w:r>
      <w:r w:rsidR="008B2E60">
        <w:t>targeting various offence</w:t>
      </w:r>
      <w:r w:rsidR="000E19BE">
        <w:t>s</w:t>
      </w:r>
      <w:r w:rsidR="00DB08BE">
        <w:t xml:space="preserve"> including</w:t>
      </w:r>
      <w:r>
        <w:t xml:space="preserve"> drug trafficking,</w:t>
      </w:r>
      <w:r>
        <w:rPr>
          <w:rStyle w:val="FootnoteReference"/>
        </w:rPr>
        <w:footnoteReference w:id="22"/>
      </w:r>
      <w:r>
        <w:t xml:space="preserve"> terrorist activities,</w:t>
      </w:r>
      <w:r>
        <w:rPr>
          <w:rStyle w:val="FootnoteReference"/>
        </w:rPr>
        <w:footnoteReference w:id="23"/>
      </w:r>
      <w:r>
        <w:t xml:space="preserve"> the proliferation of weapons of mass destruction</w:t>
      </w:r>
      <w:r>
        <w:rPr>
          <w:rStyle w:val="FootnoteReference"/>
        </w:rPr>
        <w:footnoteReference w:id="24"/>
      </w:r>
      <w:r>
        <w:t xml:space="preserve"> </w:t>
      </w:r>
      <w:r w:rsidR="00D83816">
        <w:t>as well as</w:t>
      </w:r>
      <w:r>
        <w:t xml:space="preserve"> activities subject to United Nations Security Council sanctions, certified by the Central Government’s Ministry of Foreign Affairs.</w:t>
      </w:r>
      <w:r>
        <w:rPr>
          <w:rStyle w:val="FootnoteReference"/>
        </w:rPr>
        <w:footnoteReference w:id="25"/>
      </w:r>
      <w:r w:rsidR="00D83816">
        <w:t xml:space="preserve">  </w:t>
      </w:r>
      <w:r w:rsidR="00DB08BE">
        <w:t>O</w:t>
      </w:r>
      <w:r w:rsidR="00D83816">
        <w:t>ur</w:t>
      </w:r>
      <w:r>
        <w:t xml:space="preserve"> focus </w:t>
      </w:r>
      <w:r w:rsidR="00D83816">
        <w:t xml:space="preserve">is </w:t>
      </w:r>
      <w:r>
        <w:t xml:space="preserve">on OSCO, which has </w:t>
      </w:r>
      <w:r w:rsidR="00D83816">
        <w:t xml:space="preserve">the </w:t>
      </w:r>
      <w:r>
        <w:t>broad</w:t>
      </w:r>
      <w:r w:rsidR="00D83816">
        <w:t>est</w:t>
      </w:r>
      <w:r>
        <w:t xml:space="preserve"> coverage.  It </w:t>
      </w:r>
      <w:r w:rsidR="00DB08BE">
        <w:t xml:space="preserve">concerns the proceeds of </w:t>
      </w:r>
      <w:r>
        <w:t>a long list of organized and serious crimes</w:t>
      </w:r>
      <w:r w:rsidR="00D9682F">
        <w:t>,</w:t>
      </w:r>
      <w:r w:rsidR="00D9682F">
        <w:rPr>
          <w:rStyle w:val="FootnoteReference"/>
        </w:rPr>
        <w:footnoteReference w:id="26"/>
      </w:r>
      <w:r>
        <w:t xml:space="preserve"> </w:t>
      </w:r>
      <w:r w:rsidR="000E19BE">
        <w:t>including stock market manipulation and money laundering offences created under the aforesaid Ordinances</w:t>
      </w:r>
      <w:r>
        <w:t xml:space="preserve">. </w:t>
      </w:r>
      <w:r w:rsidR="00D9682F">
        <w:t xml:space="preserve">The </w:t>
      </w:r>
      <w:r w:rsidR="00DB08BE">
        <w:t>purpose</w:t>
      </w:r>
      <w:r w:rsidR="00D9682F">
        <w:t xml:space="preserve"> of</w:t>
      </w:r>
      <w:r>
        <w:t xml:space="preserve"> the</w:t>
      </w:r>
      <w:r w:rsidR="00D9682F">
        <w:t>se</w:t>
      </w:r>
      <w:r>
        <w:t xml:space="preserve"> statutes is to target financial transactions of the perpetrators and their associates, denying them banking and other financial services and depriving them of the proceeds of their crimes.</w:t>
      </w:r>
      <w:r>
        <w:rPr>
          <w:rStyle w:val="FootnoteReference"/>
        </w:rPr>
        <w:footnoteReference w:id="27"/>
      </w:r>
      <w:r>
        <w:t xml:space="preserve"> </w:t>
      </w:r>
    </w:p>
    <w:p w:rsidR="004219C7" w:rsidRDefault="000F409E" w:rsidP="000F409E">
      <w:pPr>
        <w:pStyle w:val="Bob1"/>
        <w:tabs>
          <w:tab w:val="clear" w:pos="720"/>
          <w:tab w:val="left" w:pos="1440"/>
        </w:tabs>
        <w:ind w:left="0" w:firstLine="0"/>
        <w:jc w:val="both"/>
      </w:pPr>
      <w:r>
        <w:t xml:space="preserve"> </w:t>
      </w:r>
      <w:r w:rsidR="004219C7">
        <w:t>As pointed out by the Hong Kong Monetary Authority (“</w:t>
      </w:r>
      <w:r w:rsidR="004219C7" w:rsidRPr="000F409E">
        <w:rPr>
          <w:u w:val="single"/>
        </w:rPr>
        <w:t>HKMA</w:t>
      </w:r>
      <w:r w:rsidR="004219C7">
        <w:t xml:space="preserve">”) in their Guideline on Anti-Money Laundering and </w:t>
      </w:r>
      <w:r w:rsidR="00BA2927">
        <w:t>Counter-</w:t>
      </w:r>
      <w:r w:rsidR="004219C7">
        <w:t>Financing of Terrorism (“</w:t>
      </w:r>
      <w:r w:rsidR="00A96384" w:rsidRPr="000F409E">
        <w:rPr>
          <w:u w:val="single"/>
        </w:rPr>
        <w:t>the Guideline</w:t>
      </w:r>
      <w:r w:rsidR="004219C7">
        <w:t>”),</w:t>
      </w:r>
      <w:r w:rsidR="004219C7">
        <w:rPr>
          <w:rStyle w:val="FootnoteReference"/>
        </w:rPr>
        <w:footnoteReference w:id="28"/>
      </w:r>
      <w:r w:rsidR="004219C7">
        <w:t xml:space="preserve"> anti-money laundering </w:t>
      </w:r>
      <w:r w:rsidR="00D9682F">
        <w:t>efforts require</w:t>
      </w:r>
      <w:r w:rsidR="004219C7">
        <w:t xml:space="preserve"> international coordinat</w:t>
      </w:r>
      <w:r w:rsidR="00C72B7E">
        <w:t>ion</w:t>
      </w:r>
      <w:r w:rsidR="004219C7">
        <w:t xml:space="preserve">.  Countries which host financial centres </w:t>
      </w:r>
      <w:r w:rsidR="004A0796">
        <w:t>should</w:t>
      </w:r>
      <w:r w:rsidR="004219C7">
        <w:t xml:space="preserve"> apply a common set of standards to ensure a regulatory level playing field.  To that end the </w:t>
      </w:r>
      <w:r w:rsidR="004219C7" w:rsidRPr="00E80B98">
        <w:t xml:space="preserve">Financial Action Task </w:t>
      </w:r>
      <w:r w:rsidR="004219C7">
        <w:t xml:space="preserve">Force </w:t>
      </w:r>
      <w:r w:rsidR="004219C7" w:rsidRPr="00E80B98">
        <w:t>(</w:t>
      </w:r>
      <w:r w:rsidR="004219C7">
        <w:t>“</w:t>
      </w:r>
      <w:r w:rsidR="004219C7" w:rsidRPr="000F409E">
        <w:rPr>
          <w:u w:val="single"/>
        </w:rPr>
        <w:t>FATF</w:t>
      </w:r>
      <w:r w:rsidR="004219C7">
        <w:t>”),</w:t>
      </w:r>
      <w:r w:rsidR="004219C7" w:rsidRPr="00E80B98">
        <w:t xml:space="preserve"> an inter-governmental body</w:t>
      </w:r>
      <w:r w:rsidR="004219C7">
        <w:t>, was</w:t>
      </w:r>
      <w:r w:rsidR="004219C7" w:rsidRPr="00E80B98">
        <w:t xml:space="preserve"> established by the </w:t>
      </w:r>
      <w:r w:rsidR="004219C7" w:rsidRPr="00E80B98">
        <w:lastRenderedPageBreak/>
        <w:t>G7 summit in Paris in 1989</w:t>
      </w:r>
      <w:r w:rsidR="00246C99">
        <w:t>,</w:t>
      </w:r>
      <w:r w:rsidR="004219C7">
        <w:t xml:space="preserve"> </w:t>
      </w:r>
      <w:r w:rsidR="00C72B7E">
        <w:t xml:space="preserve">charged with </w:t>
      </w:r>
      <w:r w:rsidR="004219C7" w:rsidRPr="00E80B98">
        <w:t>set</w:t>
      </w:r>
      <w:r w:rsidR="004219C7">
        <w:t>ting</w:t>
      </w:r>
      <w:r w:rsidR="004219C7" w:rsidRPr="00E80B98">
        <w:t xml:space="preserve"> </w:t>
      </w:r>
      <w:r w:rsidR="004219C7">
        <w:t>such standards and promoting</w:t>
      </w:r>
      <w:r w:rsidR="004219C7" w:rsidRPr="00E80B98">
        <w:t xml:space="preserve"> effective implementation of legal, regulatory and operational measures for combating </w:t>
      </w:r>
      <w:r w:rsidR="004219C7">
        <w:t xml:space="preserve">money laundering.  In 1990, </w:t>
      </w:r>
      <w:r w:rsidR="004219C7" w:rsidRPr="00E80B98">
        <w:t xml:space="preserve">FATF </w:t>
      </w:r>
      <w:r w:rsidR="004219C7">
        <w:t xml:space="preserve">published its Forty </w:t>
      </w:r>
      <w:r w:rsidR="004219C7" w:rsidRPr="00E80B98">
        <w:t>Recommendations</w:t>
      </w:r>
      <w:r w:rsidR="004219C7">
        <w:rPr>
          <w:rStyle w:val="FootnoteReference"/>
        </w:rPr>
        <w:footnoteReference w:id="29"/>
      </w:r>
      <w:r w:rsidR="004219C7" w:rsidRPr="00E80B98">
        <w:t xml:space="preserve"> that </w:t>
      </w:r>
      <w:r w:rsidR="004219C7">
        <w:t>are recognised as international standards.</w:t>
      </w:r>
      <w:r w:rsidR="004219C7">
        <w:rPr>
          <w:rStyle w:val="FootnoteReference"/>
        </w:rPr>
        <w:footnoteReference w:id="30"/>
      </w:r>
      <w:r w:rsidR="004219C7">
        <w:t xml:space="preserve">  Hong Kong has been a member of FATF since 1991 and regards </w:t>
      </w:r>
      <w:r w:rsidR="004174FF">
        <w:t xml:space="preserve">adherence to </w:t>
      </w:r>
      <w:r w:rsidR="004219C7">
        <w:t xml:space="preserve">those standards as essential for </w:t>
      </w:r>
      <w:r w:rsidR="004219C7" w:rsidRPr="00281556">
        <w:rPr>
          <w:rFonts w:hint="eastAsia"/>
        </w:rPr>
        <w:t>maintain</w:t>
      </w:r>
      <w:r w:rsidR="004219C7">
        <w:t>ing</w:t>
      </w:r>
      <w:r w:rsidR="004219C7" w:rsidRPr="00281556">
        <w:rPr>
          <w:rFonts w:hint="eastAsia"/>
        </w:rPr>
        <w:t xml:space="preserve"> its status as a</w:t>
      </w:r>
      <w:r w:rsidR="004219C7">
        <w:t xml:space="preserve"> </w:t>
      </w:r>
      <w:r w:rsidR="00C72B7E">
        <w:t>major</w:t>
      </w:r>
      <w:r w:rsidR="004219C7" w:rsidRPr="00281556">
        <w:rPr>
          <w:rFonts w:hint="eastAsia"/>
        </w:rPr>
        <w:t xml:space="preserve"> international financial centre</w:t>
      </w:r>
      <w:r w:rsidR="00C72B7E">
        <w:t xml:space="preserve"> of repute</w:t>
      </w:r>
      <w:r w:rsidR="004219C7" w:rsidRPr="00281556">
        <w:rPr>
          <w:rFonts w:hint="eastAsia"/>
        </w:rPr>
        <w:t>.</w:t>
      </w:r>
      <w:r w:rsidR="004219C7">
        <w:rPr>
          <w:rStyle w:val="FootnoteReference"/>
        </w:rPr>
        <w:footnoteReference w:id="31"/>
      </w:r>
    </w:p>
    <w:p w:rsidR="004219C7" w:rsidRDefault="004219C7" w:rsidP="000F409E">
      <w:pPr>
        <w:pStyle w:val="Bob1"/>
        <w:tabs>
          <w:tab w:val="clear" w:pos="720"/>
          <w:tab w:val="left" w:pos="1440"/>
        </w:tabs>
        <w:ind w:left="0" w:firstLine="0"/>
        <w:jc w:val="both"/>
      </w:pPr>
      <w:r>
        <w:t xml:space="preserve">FATF </w:t>
      </w:r>
      <w:r w:rsidR="00246C99">
        <w:t>calls on</w:t>
      </w:r>
      <w:r>
        <w:t xml:space="preserve"> </w:t>
      </w:r>
      <w:r w:rsidR="004174FF">
        <w:t>member countries</w:t>
      </w:r>
      <w:r>
        <w:t xml:space="preserve"> to </w:t>
      </w:r>
      <w:r w:rsidR="004174FF">
        <w:t xml:space="preserve">institute </w:t>
      </w:r>
      <w:r>
        <w:t>necessary measures, including legislation, to criminalise money laundering in respect of serious offences</w:t>
      </w:r>
      <w:r>
        <w:rPr>
          <w:rStyle w:val="FootnoteReference"/>
        </w:rPr>
        <w:footnoteReference w:id="32"/>
      </w:r>
      <w:r>
        <w:t xml:space="preserve"> and to </w:t>
      </w:r>
      <w:r w:rsidR="004A0796">
        <w:t xml:space="preserve">make provisions </w:t>
      </w:r>
      <w:r>
        <w:t>which “should include the authority to: 1) identify, trace and evaluate property which is subject to confiscation; 2) carry out provisional measures, such as freezing and seizing, to prevent any dealing, transfer or disposal of such property; and 3) take any appropriate investigative measures”.</w:t>
      </w:r>
      <w:r>
        <w:rPr>
          <w:rStyle w:val="FootnoteReference"/>
        </w:rPr>
        <w:footnoteReference w:id="33"/>
      </w:r>
    </w:p>
    <w:p w:rsidR="004219C7" w:rsidRDefault="004A0796" w:rsidP="000F409E">
      <w:pPr>
        <w:pStyle w:val="Bob1"/>
        <w:tabs>
          <w:tab w:val="clear" w:pos="720"/>
          <w:tab w:val="left" w:pos="1440"/>
        </w:tabs>
        <w:ind w:left="0" w:firstLine="0"/>
        <w:jc w:val="both"/>
      </w:pPr>
      <w:r>
        <w:t>FATF members are also recommended to require b</w:t>
      </w:r>
      <w:r w:rsidR="004219C7">
        <w:t xml:space="preserve">anks and </w:t>
      </w:r>
      <w:r w:rsidR="004174FF">
        <w:t xml:space="preserve">other </w:t>
      </w:r>
      <w:r w:rsidR="004219C7">
        <w:t>financial institutions (which we will for brevity refer to simply as “banks”</w:t>
      </w:r>
      <w:r w:rsidR="004219C7">
        <w:rPr>
          <w:rStyle w:val="FootnoteReference"/>
        </w:rPr>
        <w:footnoteReference w:id="34"/>
      </w:r>
      <w:r w:rsidR="004219C7">
        <w:t xml:space="preserve">) </w:t>
      </w:r>
      <w:r>
        <w:t xml:space="preserve">to </w:t>
      </w:r>
      <w:r w:rsidR="004219C7">
        <w:t>undertake customer due diligence</w:t>
      </w:r>
      <w:r w:rsidR="004219C7">
        <w:rPr>
          <w:rStyle w:val="FootnoteReference"/>
        </w:rPr>
        <w:footnoteReference w:id="35"/>
      </w:r>
      <w:r w:rsidR="004219C7">
        <w:t xml:space="preserve"> and to develop internal policies and controls, designating compliance officers and maintaining an employee anti-money </w:t>
      </w:r>
      <w:r w:rsidR="004219C7">
        <w:lastRenderedPageBreak/>
        <w:t>laundering training programme.</w:t>
      </w:r>
      <w:r w:rsidR="004219C7">
        <w:rPr>
          <w:rStyle w:val="FootnoteReference"/>
        </w:rPr>
        <w:footnoteReference w:id="36"/>
      </w:r>
      <w:r w:rsidR="004219C7">
        <w:t xml:space="preserve">  Banks should also be required to scrutinise any complex, unusual</w:t>
      </w:r>
      <w:r w:rsidR="004174FF">
        <w:t>ly</w:t>
      </w:r>
      <w:r w:rsidR="004219C7">
        <w:t xml:space="preserve"> large transactions or patterns of transact</w:t>
      </w:r>
      <w:r w:rsidR="004174FF">
        <w:t>ions with no apparent economic</w:t>
      </w:r>
      <w:r w:rsidR="004219C7">
        <w:t xml:space="preserve"> </w:t>
      </w:r>
      <w:r w:rsidR="004174FF">
        <w:t xml:space="preserve">or </w:t>
      </w:r>
      <w:r w:rsidR="004219C7">
        <w:t>lawful purpose. “The background and purpose of such transactions should, as far as possible, be examined, the findings established in writing, and be available to help supervisors, auditors and law enforcement agencies.”</w:t>
      </w:r>
      <w:r w:rsidR="004219C7">
        <w:rPr>
          <w:rStyle w:val="FootnoteReference"/>
        </w:rPr>
        <w:footnoteReference w:id="37"/>
      </w:r>
      <w:r w:rsidR="00014371">
        <w:t xml:space="preserve"> </w:t>
      </w:r>
      <w:r w:rsidR="004219C7">
        <w:t>Cooperatio</w:t>
      </w:r>
      <w:r w:rsidR="000F409E">
        <w:t xml:space="preserve">n with competent authorities is </w:t>
      </w:r>
      <w:r w:rsidR="004219C7">
        <w:t>obviously recommended.</w:t>
      </w:r>
      <w:r w:rsidR="004219C7">
        <w:rPr>
          <w:rStyle w:val="FootnoteReference"/>
        </w:rPr>
        <w:footnoteReference w:id="38"/>
      </w:r>
    </w:p>
    <w:p w:rsidR="004219C7" w:rsidRDefault="004219C7" w:rsidP="00443ECC">
      <w:pPr>
        <w:pStyle w:val="docmapheading"/>
        <w:ind w:left="720" w:hanging="720"/>
        <w:jc w:val="both"/>
      </w:pPr>
      <w:r>
        <w:t>D.</w:t>
      </w:r>
      <w:r>
        <w:tab/>
        <w:t xml:space="preserve">The statutory and regulatory anti-money laundering scheme in Hong Kong </w:t>
      </w:r>
    </w:p>
    <w:p w:rsidR="004219C7" w:rsidRDefault="004219C7" w:rsidP="000F409E">
      <w:pPr>
        <w:pStyle w:val="Bob1"/>
        <w:numPr>
          <w:ilvl w:val="0"/>
          <w:numId w:val="1"/>
        </w:numPr>
        <w:tabs>
          <w:tab w:val="clear" w:pos="720"/>
          <w:tab w:val="left" w:pos="1440"/>
        </w:tabs>
        <w:ind w:left="0" w:firstLine="0"/>
        <w:jc w:val="both"/>
      </w:pPr>
      <w:r>
        <w:t xml:space="preserve">The </w:t>
      </w:r>
      <w:r w:rsidR="00246C99">
        <w:t xml:space="preserve">FATF </w:t>
      </w:r>
      <w:r>
        <w:t xml:space="preserve">Recommendations have been actively </w:t>
      </w:r>
      <w:r w:rsidR="002715ED">
        <w:t>pursued</w:t>
      </w:r>
      <w:r>
        <w:t xml:space="preserve">. The HKSAR has enacted not only legislation targeting </w:t>
      </w:r>
      <w:r w:rsidR="004174FF">
        <w:t xml:space="preserve">perpetrators of crime </w:t>
      </w:r>
      <w:r>
        <w:t xml:space="preserve">and their financial transactions, but also legislation which places duties on banks to </w:t>
      </w:r>
      <w:r w:rsidR="0083156F">
        <w:t xml:space="preserve">conduct customer due diligence </w:t>
      </w:r>
      <w:r>
        <w:t xml:space="preserve">and to report suspicious transactions.  Such legislation has also </w:t>
      </w:r>
      <w:r w:rsidR="002715ED">
        <w:t>authorize</w:t>
      </w:r>
      <w:r>
        <w:t xml:space="preserve">d HKMA, as the relevant regulatory authority, to enforce anti-money laundering measures. </w:t>
      </w:r>
    </w:p>
    <w:p w:rsidR="004219C7" w:rsidRDefault="00BF4FC1" w:rsidP="004219C7">
      <w:pPr>
        <w:pStyle w:val="docmapheading"/>
      </w:pPr>
      <w:r>
        <w:t>D</w:t>
      </w:r>
      <w:r w:rsidR="004219C7">
        <w:t>.</w:t>
      </w:r>
      <w:r>
        <w:t>1</w:t>
      </w:r>
      <w:r w:rsidR="004219C7">
        <w:tab/>
        <w:t xml:space="preserve">OSCO </w:t>
      </w:r>
    </w:p>
    <w:p w:rsidR="004219C7" w:rsidRPr="00B373CA" w:rsidRDefault="004219C7" w:rsidP="000F409E">
      <w:pPr>
        <w:pStyle w:val="Bob1"/>
        <w:numPr>
          <w:ilvl w:val="0"/>
          <w:numId w:val="1"/>
        </w:numPr>
        <w:tabs>
          <w:tab w:val="clear" w:pos="720"/>
          <w:tab w:val="left" w:pos="1440"/>
        </w:tabs>
        <w:ind w:left="0" w:firstLine="0"/>
        <w:jc w:val="both"/>
      </w:pPr>
      <w:r w:rsidRPr="00B373CA">
        <w:rPr>
          <w:lang w:eastAsia="zh-TW"/>
        </w:rPr>
        <w:t xml:space="preserve">Two OSCO offences are at the core of the </w:t>
      </w:r>
      <w:r>
        <w:rPr>
          <w:lang w:eastAsia="zh-TW"/>
        </w:rPr>
        <w:t>present appeal</w:t>
      </w:r>
      <w:r w:rsidRPr="00B373CA">
        <w:rPr>
          <w:lang w:eastAsia="zh-TW"/>
        </w:rPr>
        <w:t xml:space="preserve"> and provide the starting point</w:t>
      </w:r>
      <w:r>
        <w:rPr>
          <w:lang w:eastAsia="zh-TW"/>
        </w:rPr>
        <w:t xml:space="preserve"> for examining the statutory framework</w:t>
      </w:r>
      <w:r w:rsidRPr="00B373CA">
        <w:rPr>
          <w:lang w:eastAsia="zh-TW"/>
        </w:rPr>
        <w:t>.</w:t>
      </w:r>
      <w:r>
        <w:rPr>
          <w:lang w:eastAsia="zh-TW"/>
        </w:rPr>
        <w:t xml:space="preserve">                             </w:t>
      </w:r>
    </w:p>
    <w:p w:rsidR="004219C7" w:rsidRPr="00B373CA" w:rsidRDefault="004219C7" w:rsidP="004219C7">
      <w:pPr>
        <w:pStyle w:val="Bob1"/>
        <w:numPr>
          <w:ilvl w:val="1"/>
          <w:numId w:val="1"/>
        </w:numPr>
      </w:pPr>
      <w:r w:rsidRPr="00B373CA">
        <w:rPr>
          <w:lang w:eastAsia="zh-TW"/>
        </w:rPr>
        <w:t xml:space="preserve">First, </w:t>
      </w:r>
      <w:r w:rsidRPr="00731841">
        <w:rPr>
          <w:u w:val="single"/>
          <w:lang w:eastAsia="zh-TW"/>
        </w:rPr>
        <w:t xml:space="preserve">OSCO </w:t>
      </w:r>
      <w:r w:rsidRPr="00B373CA">
        <w:rPr>
          <w:u w:val="single"/>
          <w:lang w:eastAsia="zh-TW"/>
        </w:rPr>
        <w:t>section 25(1)</w:t>
      </w:r>
      <w:r w:rsidRPr="00B373CA">
        <w:rPr>
          <w:lang w:eastAsia="zh-TW"/>
        </w:rPr>
        <w:t xml:space="preserve"> creates the offence of money laundering:</w:t>
      </w:r>
    </w:p>
    <w:p w:rsidR="004219C7" w:rsidRPr="00B373CA" w:rsidRDefault="004219C7" w:rsidP="000F409E">
      <w:pPr>
        <w:pStyle w:val="Bob1"/>
        <w:numPr>
          <w:ilvl w:val="0"/>
          <w:numId w:val="0"/>
        </w:numPr>
        <w:spacing w:line="240" w:lineRule="auto"/>
        <w:ind w:left="2160"/>
        <w:jc w:val="both"/>
        <w:rPr>
          <w:sz w:val="24"/>
          <w:lang w:eastAsia="zh-HK"/>
        </w:rPr>
      </w:pPr>
      <w:r w:rsidRPr="00B373CA">
        <w:rPr>
          <w:sz w:val="24"/>
          <w:lang w:eastAsia="zh-TW"/>
        </w:rPr>
        <w:t>“Subject to section 25A, a person commits an offence if, knowing or having reasonable grounds to believe that any property in whole or in part directly or indirectly represents any person’s proceeds of an indictable offence, he deals with that property.”</w:t>
      </w:r>
      <w:r w:rsidRPr="00B373CA">
        <w:rPr>
          <w:rStyle w:val="FootnoteReference"/>
          <w:sz w:val="24"/>
          <w:lang w:eastAsia="zh-HK"/>
        </w:rPr>
        <w:footnoteReference w:id="39"/>
      </w:r>
    </w:p>
    <w:p w:rsidR="004219C7" w:rsidRPr="00B373CA" w:rsidRDefault="004219C7" w:rsidP="000F409E">
      <w:pPr>
        <w:pStyle w:val="Bob1"/>
        <w:numPr>
          <w:ilvl w:val="1"/>
          <w:numId w:val="1"/>
        </w:numPr>
        <w:jc w:val="both"/>
      </w:pPr>
      <w:r w:rsidRPr="00B373CA">
        <w:rPr>
          <w:lang w:eastAsia="zh-TW"/>
        </w:rPr>
        <w:lastRenderedPageBreak/>
        <w:t xml:space="preserve">Secondly, </w:t>
      </w:r>
      <w:r w:rsidRPr="00731841">
        <w:rPr>
          <w:u w:val="single"/>
          <w:lang w:eastAsia="zh-TW"/>
        </w:rPr>
        <w:t xml:space="preserve">OSCO </w:t>
      </w:r>
      <w:r w:rsidRPr="00B373CA">
        <w:rPr>
          <w:u w:val="single"/>
          <w:lang w:eastAsia="zh-TW"/>
        </w:rPr>
        <w:t>section 25A(1)</w:t>
      </w:r>
      <w:r w:rsidRPr="00B373CA">
        <w:rPr>
          <w:lang w:eastAsia="zh-TW"/>
        </w:rPr>
        <w:t xml:space="preserve"> imposes a duty to </w:t>
      </w:r>
      <w:r>
        <w:rPr>
          <w:lang w:eastAsia="zh-TW"/>
        </w:rPr>
        <w:t>report</w:t>
      </w:r>
      <w:r w:rsidRPr="00B373CA">
        <w:rPr>
          <w:lang w:eastAsia="zh-TW"/>
        </w:rPr>
        <w:t xml:space="preserve"> to an </w:t>
      </w:r>
      <w:r w:rsidR="002715ED">
        <w:rPr>
          <w:lang w:eastAsia="zh-TW"/>
        </w:rPr>
        <w:t>authorize</w:t>
      </w:r>
      <w:r w:rsidRPr="00B373CA">
        <w:rPr>
          <w:lang w:eastAsia="zh-TW"/>
        </w:rPr>
        <w:t>d officer (a police officer for present purposes) one’s knowledge or suspicion that certain property represents the proceeds of crime:</w:t>
      </w:r>
    </w:p>
    <w:p w:rsidR="004219C7" w:rsidRDefault="004219C7" w:rsidP="000F409E">
      <w:pPr>
        <w:pStyle w:val="Bob1"/>
        <w:numPr>
          <w:ilvl w:val="0"/>
          <w:numId w:val="0"/>
        </w:numPr>
        <w:spacing w:line="240" w:lineRule="auto"/>
        <w:ind w:left="2160"/>
        <w:jc w:val="both"/>
        <w:rPr>
          <w:sz w:val="24"/>
          <w:lang w:eastAsia="zh-TW"/>
        </w:rPr>
      </w:pPr>
      <w:r w:rsidRPr="00B373CA">
        <w:rPr>
          <w:sz w:val="24"/>
          <w:lang w:eastAsia="zh-TW"/>
        </w:rPr>
        <w:t>“Where a person knows or suspects that any property ... in whole or in part directly or indirectly represents any person’s proceeds of ... an indictable offence, he shall as soon as it is reasonable for him to do so disclose that knowledge or suspicion, together with any matter on which that knowledge or suspicion is based, to an authorized officer.”</w:t>
      </w:r>
    </w:p>
    <w:p w:rsidR="004219C7" w:rsidRPr="00B373CA" w:rsidRDefault="004219C7" w:rsidP="004219C7">
      <w:pPr>
        <w:pStyle w:val="Bob1"/>
        <w:numPr>
          <w:ilvl w:val="0"/>
          <w:numId w:val="0"/>
        </w:numPr>
        <w:ind w:left="720" w:firstLine="720"/>
      </w:pPr>
      <w:r w:rsidRPr="00B373CA">
        <w:rPr>
          <w:lang w:eastAsia="zh-TW"/>
        </w:rPr>
        <w:t>Failure to make such disclosure is an offence.</w:t>
      </w:r>
      <w:r w:rsidRPr="00B373CA">
        <w:rPr>
          <w:rStyle w:val="FootnoteReference"/>
          <w:sz w:val="24"/>
        </w:rPr>
        <w:footnoteReference w:id="40"/>
      </w:r>
    </w:p>
    <w:p w:rsidR="004219C7" w:rsidRDefault="004219C7" w:rsidP="000F409E">
      <w:pPr>
        <w:pStyle w:val="Bob1"/>
        <w:numPr>
          <w:ilvl w:val="0"/>
          <w:numId w:val="1"/>
        </w:numPr>
        <w:tabs>
          <w:tab w:val="clear" w:pos="720"/>
          <w:tab w:val="left" w:pos="1440"/>
        </w:tabs>
        <w:ind w:left="0" w:firstLine="0"/>
        <w:jc w:val="both"/>
      </w:pPr>
      <w:r>
        <w:t xml:space="preserve">Section 25(1) is obviously primarily aimed at the perpetrator and the proceeds of the relevant offence.  However, it is capable of also catching a bank which deals with </w:t>
      </w:r>
      <w:r w:rsidR="00752FAA">
        <w:t xml:space="preserve">a customer’s </w:t>
      </w:r>
      <w:r>
        <w:t xml:space="preserve">property which it knows or has reasonable grounds to believe is suspicious.  </w:t>
      </w:r>
      <w:r w:rsidR="00752FAA">
        <w:t>This</w:t>
      </w:r>
      <w:r>
        <w:t xml:space="preserve"> provides motivation for banks to </w:t>
      </w:r>
      <w:r w:rsidR="00752FAA">
        <w:t xml:space="preserve">be circumspect </w:t>
      </w:r>
      <w:r>
        <w:t xml:space="preserve">in handling their customers’ transactions.  The reporting duty in section </w:t>
      </w:r>
      <w:proofErr w:type="gramStart"/>
      <w:r>
        <w:t>25A(</w:t>
      </w:r>
      <w:proofErr w:type="gramEnd"/>
      <w:r>
        <w:t>1) is mainly applicable to banks in relation to transactions involving suspect property.</w:t>
      </w:r>
    </w:p>
    <w:p w:rsidR="004219C7" w:rsidRPr="00B373CA" w:rsidRDefault="004219C7" w:rsidP="000F409E">
      <w:pPr>
        <w:pStyle w:val="Bob1"/>
        <w:numPr>
          <w:ilvl w:val="0"/>
          <w:numId w:val="1"/>
        </w:numPr>
        <w:tabs>
          <w:tab w:val="clear" w:pos="720"/>
          <w:tab w:val="left" w:pos="1440"/>
        </w:tabs>
        <w:ind w:left="0" w:firstLine="0"/>
        <w:jc w:val="both"/>
      </w:pPr>
      <w:r w:rsidRPr="00B373CA">
        <w:rPr>
          <w:lang w:eastAsia="zh-TW"/>
        </w:rPr>
        <w:t xml:space="preserve">Also of </w:t>
      </w:r>
      <w:r>
        <w:rPr>
          <w:lang w:eastAsia="zh-TW"/>
        </w:rPr>
        <w:t xml:space="preserve">present </w:t>
      </w:r>
      <w:r w:rsidRPr="00B373CA">
        <w:rPr>
          <w:lang w:eastAsia="zh-TW"/>
        </w:rPr>
        <w:t xml:space="preserve">importance is </w:t>
      </w:r>
      <w:r w:rsidRPr="000F409E">
        <w:rPr>
          <w:u w:val="single"/>
          <w:lang w:eastAsia="zh-TW"/>
        </w:rPr>
        <w:t xml:space="preserve">OSCO section </w:t>
      </w:r>
      <w:proofErr w:type="gramStart"/>
      <w:r w:rsidRPr="000F409E">
        <w:rPr>
          <w:u w:val="single"/>
          <w:lang w:eastAsia="zh-TW"/>
        </w:rPr>
        <w:t>25A(</w:t>
      </w:r>
      <w:proofErr w:type="gramEnd"/>
      <w:r w:rsidRPr="000F409E">
        <w:rPr>
          <w:u w:val="single"/>
          <w:lang w:eastAsia="zh-TW"/>
        </w:rPr>
        <w:t>2)</w:t>
      </w:r>
      <w:r w:rsidRPr="00B373CA">
        <w:rPr>
          <w:lang w:eastAsia="zh-TW"/>
        </w:rPr>
        <w:t xml:space="preserve"> </w:t>
      </w:r>
      <w:r>
        <w:rPr>
          <w:lang w:eastAsia="zh-TW"/>
        </w:rPr>
        <w:t>under which immunity from liability under section 25(1) is conferred on</w:t>
      </w:r>
      <w:r w:rsidRPr="00B373CA">
        <w:rPr>
          <w:lang w:eastAsia="zh-TW"/>
        </w:rPr>
        <w:t xml:space="preserve"> a person who makes disclosure to an </w:t>
      </w:r>
      <w:r w:rsidR="002715ED">
        <w:rPr>
          <w:lang w:eastAsia="zh-TW"/>
        </w:rPr>
        <w:t>authorize</w:t>
      </w:r>
      <w:r w:rsidRPr="00B373CA">
        <w:rPr>
          <w:lang w:eastAsia="zh-TW"/>
        </w:rPr>
        <w:t>d officer</w:t>
      </w:r>
      <w:r>
        <w:rPr>
          <w:lang w:eastAsia="zh-TW"/>
        </w:rPr>
        <w:t xml:space="preserve">.  </w:t>
      </w:r>
      <w:r w:rsidRPr="00B373CA">
        <w:rPr>
          <w:lang w:eastAsia="zh-TW"/>
        </w:rPr>
        <w:t>It relevantly provides:</w:t>
      </w:r>
    </w:p>
    <w:p w:rsidR="004219C7" w:rsidRPr="00B373CA" w:rsidRDefault="004219C7" w:rsidP="000F409E">
      <w:pPr>
        <w:pStyle w:val="Bob1"/>
        <w:numPr>
          <w:ilvl w:val="0"/>
          <w:numId w:val="0"/>
        </w:numPr>
        <w:spacing w:after="120" w:line="240" w:lineRule="auto"/>
        <w:ind w:left="1440" w:hanging="720"/>
        <w:jc w:val="both"/>
        <w:rPr>
          <w:sz w:val="24"/>
          <w:lang w:eastAsia="zh-HK"/>
        </w:rPr>
      </w:pPr>
      <w:r w:rsidRPr="00B373CA">
        <w:rPr>
          <w:sz w:val="24"/>
          <w:lang w:eastAsia="zh-TW"/>
        </w:rPr>
        <w:t>(2)</w:t>
      </w:r>
      <w:r w:rsidRPr="00B373CA">
        <w:rPr>
          <w:sz w:val="24"/>
          <w:lang w:eastAsia="zh-TW"/>
        </w:rPr>
        <w:tab/>
        <w:t>If a person who has made a disclosure referred to in subsection (1) does any act in contravention of section 25(1) (whether before or after such disclosure), and the disclosure relates to that act, he does not commit an offence under that section if—</w:t>
      </w:r>
    </w:p>
    <w:p w:rsidR="004219C7" w:rsidRDefault="004219C7" w:rsidP="000F409E">
      <w:pPr>
        <w:pStyle w:val="Bob1"/>
        <w:numPr>
          <w:ilvl w:val="0"/>
          <w:numId w:val="0"/>
        </w:numPr>
        <w:spacing w:after="120" w:line="240" w:lineRule="auto"/>
        <w:ind w:left="2160" w:hanging="720"/>
        <w:jc w:val="both"/>
        <w:rPr>
          <w:sz w:val="24"/>
          <w:lang w:eastAsia="zh-TW"/>
        </w:rPr>
      </w:pPr>
      <w:r w:rsidRPr="00B373CA">
        <w:rPr>
          <w:sz w:val="24"/>
          <w:lang w:eastAsia="zh-TW"/>
        </w:rPr>
        <w:t>(a)</w:t>
      </w:r>
      <w:r w:rsidRPr="00B373CA">
        <w:rPr>
          <w:sz w:val="24"/>
          <w:lang w:eastAsia="zh-TW"/>
        </w:rPr>
        <w:tab/>
      </w:r>
      <w:proofErr w:type="gramStart"/>
      <w:r w:rsidRPr="00B373CA">
        <w:rPr>
          <w:sz w:val="24"/>
          <w:lang w:eastAsia="zh-TW"/>
        </w:rPr>
        <w:t>that</w:t>
      </w:r>
      <w:proofErr w:type="gramEnd"/>
      <w:r w:rsidRPr="00B373CA">
        <w:rPr>
          <w:sz w:val="24"/>
          <w:lang w:eastAsia="zh-TW"/>
        </w:rPr>
        <w:t xml:space="preserve"> disclosure is made before he does that act and he does that act with the con</w:t>
      </w:r>
      <w:r>
        <w:rPr>
          <w:sz w:val="24"/>
          <w:lang w:eastAsia="zh-TW"/>
        </w:rPr>
        <w:t>sent of an authorized officer; or</w:t>
      </w:r>
    </w:p>
    <w:p w:rsidR="004219C7" w:rsidRPr="00D377A2" w:rsidRDefault="004219C7" w:rsidP="000F409E">
      <w:pPr>
        <w:pStyle w:val="Bob1"/>
        <w:numPr>
          <w:ilvl w:val="0"/>
          <w:numId w:val="0"/>
        </w:numPr>
        <w:spacing w:after="120" w:line="240" w:lineRule="auto"/>
        <w:ind w:left="720" w:firstLine="720"/>
        <w:jc w:val="both"/>
        <w:rPr>
          <w:sz w:val="24"/>
          <w:lang w:eastAsia="zh-TW"/>
        </w:rPr>
      </w:pPr>
      <w:r w:rsidRPr="00D377A2">
        <w:rPr>
          <w:sz w:val="24"/>
          <w:lang w:eastAsia="zh-TW"/>
        </w:rPr>
        <w:t>(b)</w:t>
      </w:r>
      <w:r w:rsidRPr="00D377A2">
        <w:rPr>
          <w:sz w:val="24"/>
          <w:lang w:eastAsia="zh-TW"/>
        </w:rPr>
        <w:tab/>
      </w:r>
      <w:proofErr w:type="gramStart"/>
      <w:r w:rsidRPr="00D377A2">
        <w:rPr>
          <w:sz w:val="24"/>
          <w:lang w:eastAsia="zh-TW"/>
        </w:rPr>
        <w:t>that</w:t>
      </w:r>
      <w:proofErr w:type="gramEnd"/>
      <w:r w:rsidRPr="00D377A2">
        <w:rPr>
          <w:sz w:val="24"/>
          <w:lang w:eastAsia="zh-TW"/>
        </w:rPr>
        <w:t xml:space="preserve"> disclosure is made—</w:t>
      </w:r>
    </w:p>
    <w:p w:rsidR="004219C7" w:rsidRPr="00D377A2" w:rsidRDefault="004219C7" w:rsidP="000F409E">
      <w:pPr>
        <w:pStyle w:val="Bob1"/>
        <w:numPr>
          <w:ilvl w:val="0"/>
          <w:numId w:val="0"/>
        </w:numPr>
        <w:spacing w:after="120" w:line="240" w:lineRule="auto"/>
        <w:ind w:left="2160"/>
        <w:jc w:val="both"/>
        <w:rPr>
          <w:sz w:val="24"/>
          <w:lang w:eastAsia="zh-TW"/>
        </w:rPr>
      </w:pPr>
      <w:r w:rsidRPr="00D377A2">
        <w:rPr>
          <w:sz w:val="24"/>
          <w:lang w:eastAsia="zh-TW"/>
        </w:rPr>
        <w:t>(</w:t>
      </w:r>
      <w:proofErr w:type="spellStart"/>
      <w:r w:rsidRPr="00D377A2">
        <w:rPr>
          <w:sz w:val="24"/>
          <w:lang w:eastAsia="zh-TW"/>
        </w:rPr>
        <w:t>i</w:t>
      </w:r>
      <w:proofErr w:type="spellEnd"/>
      <w:r w:rsidRPr="00D377A2">
        <w:rPr>
          <w:sz w:val="24"/>
          <w:lang w:eastAsia="zh-TW"/>
        </w:rPr>
        <w:t>)</w:t>
      </w:r>
      <w:r w:rsidRPr="00D377A2">
        <w:rPr>
          <w:sz w:val="24"/>
          <w:lang w:eastAsia="zh-TW"/>
        </w:rPr>
        <w:tab/>
      </w:r>
      <w:proofErr w:type="gramStart"/>
      <w:r w:rsidRPr="00D377A2">
        <w:rPr>
          <w:sz w:val="24"/>
          <w:lang w:eastAsia="zh-TW"/>
        </w:rPr>
        <w:t>after</w:t>
      </w:r>
      <w:proofErr w:type="gramEnd"/>
      <w:r w:rsidRPr="00D377A2">
        <w:rPr>
          <w:sz w:val="24"/>
          <w:lang w:eastAsia="zh-TW"/>
        </w:rPr>
        <w:t xml:space="preserve"> he does that act;</w:t>
      </w:r>
    </w:p>
    <w:p w:rsidR="004219C7" w:rsidRPr="00D377A2" w:rsidRDefault="004219C7" w:rsidP="004219C7">
      <w:pPr>
        <w:pStyle w:val="Bob1"/>
        <w:numPr>
          <w:ilvl w:val="0"/>
          <w:numId w:val="0"/>
        </w:numPr>
        <w:spacing w:after="120" w:line="240" w:lineRule="auto"/>
        <w:ind w:left="2160"/>
        <w:rPr>
          <w:sz w:val="24"/>
          <w:lang w:eastAsia="zh-TW"/>
        </w:rPr>
      </w:pPr>
      <w:r w:rsidRPr="00D377A2">
        <w:rPr>
          <w:sz w:val="24"/>
          <w:lang w:eastAsia="zh-TW"/>
        </w:rPr>
        <w:t>(ii)</w:t>
      </w:r>
      <w:r w:rsidRPr="00D377A2">
        <w:rPr>
          <w:sz w:val="24"/>
          <w:lang w:eastAsia="zh-TW"/>
        </w:rPr>
        <w:tab/>
      </w:r>
      <w:proofErr w:type="gramStart"/>
      <w:r w:rsidRPr="00D377A2">
        <w:rPr>
          <w:sz w:val="24"/>
          <w:lang w:eastAsia="zh-TW"/>
        </w:rPr>
        <w:t>on</w:t>
      </w:r>
      <w:proofErr w:type="gramEnd"/>
      <w:r w:rsidRPr="00D377A2">
        <w:rPr>
          <w:sz w:val="24"/>
          <w:lang w:eastAsia="zh-TW"/>
        </w:rPr>
        <w:t xml:space="preserve"> his initiative; and</w:t>
      </w:r>
    </w:p>
    <w:p w:rsidR="004219C7" w:rsidRDefault="004219C7" w:rsidP="004219C7">
      <w:pPr>
        <w:pStyle w:val="Bob1"/>
        <w:numPr>
          <w:ilvl w:val="0"/>
          <w:numId w:val="0"/>
        </w:numPr>
        <w:spacing w:line="240" w:lineRule="auto"/>
        <w:ind w:left="2160" w:hanging="720"/>
        <w:rPr>
          <w:sz w:val="24"/>
          <w:lang w:eastAsia="zh-TW"/>
        </w:rPr>
      </w:pPr>
      <w:r w:rsidRPr="00D377A2">
        <w:rPr>
          <w:sz w:val="24"/>
          <w:lang w:eastAsia="zh-TW"/>
        </w:rPr>
        <w:tab/>
        <w:t>(</w:t>
      </w:r>
      <w:proofErr w:type="gramStart"/>
      <w:r w:rsidRPr="00D377A2">
        <w:rPr>
          <w:sz w:val="24"/>
          <w:lang w:eastAsia="zh-TW"/>
        </w:rPr>
        <w:t>iii</w:t>
      </w:r>
      <w:proofErr w:type="gramEnd"/>
      <w:r w:rsidRPr="00D377A2">
        <w:rPr>
          <w:sz w:val="24"/>
          <w:lang w:eastAsia="zh-TW"/>
        </w:rPr>
        <w:t>)</w:t>
      </w:r>
      <w:r w:rsidRPr="00D377A2">
        <w:rPr>
          <w:sz w:val="24"/>
          <w:lang w:eastAsia="zh-TW"/>
        </w:rPr>
        <w:tab/>
        <w:t>as soon as it is reasonable for him to make it.</w:t>
      </w:r>
    </w:p>
    <w:p w:rsidR="004219C7" w:rsidRDefault="004219C7" w:rsidP="000F409E">
      <w:pPr>
        <w:pStyle w:val="Bob1"/>
        <w:numPr>
          <w:ilvl w:val="0"/>
          <w:numId w:val="1"/>
        </w:numPr>
        <w:tabs>
          <w:tab w:val="clear" w:pos="720"/>
          <w:tab w:val="left" w:pos="1440"/>
        </w:tabs>
        <w:ind w:left="0" w:firstLine="0"/>
        <w:jc w:val="both"/>
      </w:pPr>
      <w:r>
        <w:lastRenderedPageBreak/>
        <w:t xml:space="preserve">Section </w:t>
      </w:r>
      <w:proofErr w:type="gramStart"/>
      <w:r>
        <w:t>25A(</w:t>
      </w:r>
      <w:proofErr w:type="gramEnd"/>
      <w:r>
        <w:t xml:space="preserve">2) thus immunises the bank </w:t>
      </w:r>
      <w:r>
        <w:rPr>
          <w:lang w:eastAsia="zh-TW"/>
        </w:rPr>
        <w:t xml:space="preserve">where the disclosure is made before </w:t>
      </w:r>
      <w:r w:rsidR="00005FFA">
        <w:rPr>
          <w:lang w:eastAsia="zh-TW"/>
        </w:rPr>
        <w:t>it deals</w:t>
      </w:r>
      <w:r>
        <w:rPr>
          <w:lang w:eastAsia="zh-TW"/>
        </w:rPr>
        <w:t xml:space="preserve"> with the property, in which case the officer’s prior consent (under section 25A(2)(a)) is needed.  Immunity </w:t>
      </w:r>
      <w:r w:rsidRPr="00B373CA">
        <w:rPr>
          <w:lang w:eastAsia="zh-TW"/>
        </w:rPr>
        <w:t xml:space="preserve">is </w:t>
      </w:r>
      <w:r>
        <w:rPr>
          <w:lang w:eastAsia="zh-TW"/>
        </w:rPr>
        <w:t xml:space="preserve">also conferred where disclosure is made after </w:t>
      </w:r>
      <w:r w:rsidR="00005FFA">
        <w:rPr>
          <w:lang w:eastAsia="zh-TW"/>
        </w:rPr>
        <w:t>having dealt</w:t>
      </w:r>
      <w:r>
        <w:rPr>
          <w:lang w:eastAsia="zh-TW"/>
        </w:rPr>
        <w:t xml:space="preserve"> with the property without such consent (under section </w:t>
      </w:r>
      <w:proofErr w:type="gramStart"/>
      <w:r>
        <w:rPr>
          <w:lang w:eastAsia="zh-TW"/>
        </w:rPr>
        <w:t>25A(</w:t>
      </w:r>
      <w:proofErr w:type="gramEnd"/>
      <w:r>
        <w:rPr>
          <w:lang w:eastAsia="zh-TW"/>
        </w:rPr>
        <w:t xml:space="preserve">2)(b)).  The object is to </w:t>
      </w:r>
      <w:r w:rsidR="001B3FFF">
        <w:rPr>
          <w:lang w:eastAsia="zh-TW"/>
        </w:rPr>
        <w:t>make</w:t>
      </w:r>
      <w:r>
        <w:rPr>
          <w:lang w:eastAsia="zh-TW"/>
        </w:rPr>
        <w:t xml:space="preserve"> disclosure the condition of immunity.  This is important since banking transactions take place privately and only the bank, if alive to the risk of money laundering, would be in a position to alert </w:t>
      </w:r>
      <w:r w:rsidR="001B3FFF">
        <w:rPr>
          <w:lang w:eastAsia="zh-TW"/>
        </w:rPr>
        <w:t xml:space="preserve">the authorities </w:t>
      </w:r>
      <w:r>
        <w:rPr>
          <w:lang w:eastAsia="zh-TW"/>
        </w:rPr>
        <w:t>to suspicious transactions, enabling the police to investigate if appropriate.</w:t>
      </w:r>
    </w:p>
    <w:p w:rsidR="00E6264E" w:rsidRDefault="002C201B" w:rsidP="000F409E">
      <w:pPr>
        <w:pStyle w:val="Bob1"/>
        <w:numPr>
          <w:ilvl w:val="0"/>
          <w:numId w:val="1"/>
        </w:numPr>
        <w:tabs>
          <w:tab w:val="clear" w:pos="720"/>
          <w:tab w:val="left" w:pos="1440"/>
        </w:tabs>
        <w:ind w:left="0" w:firstLine="0"/>
        <w:jc w:val="both"/>
      </w:pPr>
      <w:r>
        <w:rPr>
          <w:lang w:eastAsia="zh-TW"/>
        </w:rPr>
        <w:t>The Ordinance evidently envisages</w:t>
      </w:r>
      <w:r w:rsidR="00E6264E">
        <w:rPr>
          <w:lang w:eastAsia="zh-TW"/>
        </w:rPr>
        <w:t xml:space="preserve"> that the bank’s disclosures </w:t>
      </w:r>
      <w:r w:rsidR="002715ED">
        <w:rPr>
          <w:lang w:eastAsia="zh-TW"/>
        </w:rPr>
        <w:t xml:space="preserve">to the </w:t>
      </w:r>
      <w:r w:rsidR="00E6264E">
        <w:rPr>
          <w:lang w:eastAsia="zh-TW"/>
        </w:rPr>
        <w:t xml:space="preserve">police </w:t>
      </w:r>
      <w:r>
        <w:rPr>
          <w:lang w:eastAsia="zh-TW"/>
        </w:rPr>
        <w:t xml:space="preserve">may </w:t>
      </w:r>
      <w:r w:rsidR="00E6264E">
        <w:rPr>
          <w:lang w:eastAsia="zh-TW"/>
        </w:rPr>
        <w:t>include information available to the bank</w:t>
      </w:r>
      <w:r>
        <w:rPr>
          <w:lang w:eastAsia="zh-TW"/>
        </w:rPr>
        <w:t>, relevant to their investigation.</w:t>
      </w:r>
      <w:r w:rsidR="00E6264E">
        <w:rPr>
          <w:lang w:eastAsia="zh-TW"/>
        </w:rPr>
        <w:t xml:space="preserve"> </w:t>
      </w:r>
      <w:r>
        <w:rPr>
          <w:lang w:eastAsia="zh-TW"/>
        </w:rPr>
        <w:t xml:space="preserve"> </w:t>
      </w:r>
      <w:r w:rsidR="00443ECC" w:rsidRPr="00987F4A">
        <w:rPr>
          <w:shd w:val="clear" w:color="auto" w:fill="FFFFFF"/>
          <w:lang w:eastAsia="zh-TW"/>
        </w:rPr>
        <w:t>Thus, the reporting duty under section 25A(1) is to disclose knowledge or suspicion “together with any matter on which that knowledge or suspicion is based” and</w:t>
      </w:r>
      <w:r w:rsidR="00443ECC">
        <w:rPr>
          <w:lang w:eastAsia="zh-TW"/>
        </w:rPr>
        <w:t xml:space="preserve"> </w:t>
      </w:r>
      <w:r w:rsidR="00443ECC">
        <w:rPr>
          <w:u w:val="single"/>
          <w:lang w:eastAsia="zh-TW"/>
        </w:rPr>
        <w:t>OSCO section 25A(3)</w:t>
      </w:r>
      <w:r w:rsidR="00443ECC">
        <w:rPr>
          <w:lang w:eastAsia="zh-TW"/>
        </w:rPr>
        <w:t xml:space="preserve"> </w:t>
      </w:r>
      <w:r w:rsidR="00E6264E">
        <w:rPr>
          <w:lang w:eastAsia="zh-TW"/>
        </w:rPr>
        <w:t>protects the bank from civil liability arising out of</w:t>
      </w:r>
      <w:r w:rsidR="009128F1">
        <w:rPr>
          <w:lang w:eastAsia="zh-TW"/>
        </w:rPr>
        <w:t xml:space="preserve"> making</w:t>
      </w:r>
      <w:r w:rsidR="00E6264E">
        <w:rPr>
          <w:lang w:eastAsia="zh-TW"/>
        </w:rPr>
        <w:t xml:space="preserve"> such disclosures:</w:t>
      </w:r>
    </w:p>
    <w:p w:rsidR="00E6264E" w:rsidRPr="00E6264E" w:rsidRDefault="00E6264E" w:rsidP="000F409E">
      <w:pPr>
        <w:pStyle w:val="Bob1"/>
        <w:numPr>
          <w:ilvl w:val="0"/>
          <w:numId w:val="0"/>
        </w:numPr>
        <w:spacing w:line="240" w:lineRule="auto"/>
        <w:ind w:left="1440"/>
        <w:jc w:val="both"/>
        <w:rPr>
          <w:sz w:val="24"/>
        </w:rPr>
      </w:pPr>
      <w:r w:rsidRPr="00E6264E">
        <w:rPr>
          <w:sz w:val="24"/>
        </w:rPr>
        <w:t>“(3)</w:t>
      </w:r>
      <w:r w:rsidRPr="00E6264E">
        <w:rPr>
          <w:sz w:val="24"/>
        </w:rPr>
        <w:tab/>
      </w:r>
      <w:proofErr w:type="gramStart"/>
      <w:r w:rsidRPr="00E6264E">
        <w:rPr>
          <w:sz w:val="24"/>
        </w:rPr>
        <w:t>A</w:t>
      </w:r>
      <w:proofErr w:type="gramEnd"/>
      <w:r w:rsidRPr="00E6264E">
        <w:rPr>
          <w:sz w:val="24"/>
        </w:rPr>
        <w:t xml:space="preserve"> disclosure referred to in subsection (1)—</w:t>
      </w:r>
    </w:p>
    <w:p w:rsidR="00E6264E" w:rsidRPr="00E6264E" w:rsidRDefault="00E6264E" w:rsidP="000F409E">
      <w:pPr>
        <w:pStyle w:val="Bob1"/>
        <w:numPr>
          <w:ilvl w:val="0"/>
          <w:numId w:val="0"/>
        </w:numPr>
        <w:spacing w:line="240" w:lineRule="auto"/>
        <w:ind w:left="2880" w:hanging="720"/>
        <w:jc w:val="both"/>
        <w:rPr>
          <w:sz w:val="24"/>
        </w:rPr>
      </w:pPr>
      <w:r w:rsidRPr="00E6264E">
        <w:rPr>
          <w:sz w:val="24"/>
        </w:rPr>
        <w:t>(a)</w:t>
      </w:r>
      <w:r w:rsidRPr="00E6264E">
        <w:rPr>
          <w:sz w:val="24"/>
        </w:rPr>
        <w:tab/>
      </w:r>
      <w:proofErr w:type="gramStart"/>
      <w:r w:rsidRPr="00E6264E">
        <w:rPr>
          <w:sz w:val="24"/>
        </w:rPr>
        <w:t>shall</w:t>
      </w:r>
      <w:proofErr w:type="gramEnd"/>
      <w:r w:rsidRPr="00E6264E">
        <w:rPr>
          <w:sz w:val="24"/>
        </w:rPr>
        <w:t xml:space="preserve"> not be treated as a breach of any restriction upon the disclosure of information imposed by contract or by any enactment, rule of conduct or other provision;</w:t>
      </w:r>
    </w:p>
    <w:p w:rsidR="00E6264E" w:rsidRPr="00E6264E" w:rsidRDefault="00E6264E" w:rsidP="000F409E">
      <w:pPr>
        <w:pStyle w:val="Bob1"/>
        <w:numPr>
          <w:ilvl w:val="0"/>
          <w:numId w:val="0"/>
        </w:numPr>
        <w:spacing w:line="240" w:lineRule="auto"/>
        <w:ind w:left="2160"/>
        <w:jc w:val="both"/>
        <w:rPr>
          <w:sz w:val="24"/>
        </w:rPr>
      </w:pPr>
      <w:r w:rsidRPr="00E6264E">
        <w:rPr>
          <w:sz w:val="24"/>
        </w:rPr>
        <w:t>(b)</w:t>
      </w:r>
      <w:r w:rsidRPr="00E6264E">
        <w:rPr>
          <w:sz w:val="24"/>
        </w:rPr>
        <w:tab/>
      </w:r>
      <w:proofErr w:type="gramStart"/>
      <w:r w:rsidRPr="00E6264E">
        <w:rPr>
          <w:sz w:val="24"/>
        </w:rPr>
        <w:t>shall</w:t>
      </w:r>
      <w:proofErr w:type="gramEnd"/>
      <w:r w:rsidRPr="00E6264E">
        <w:rPr>
          <w:sz w:val="24"/>
        </w:rPr>
        <w:t xml:space="preserve"> not render the person who made it liable in damages for any loss arising out of—</w:t>
      </w:r>
    </w:p>
    <w:p w:rsidR="00E6264E" w:rsidRPr="00E6264E" w:rsidRDefault="00E6264E" w:rsidP="000F409E">
      <w:pPr>
        <w:pStyle w:val="Bob1"/>
        <w:numPr>
          <w:ilvl w:val="0"/>
          <w:numId w:val="0"/>
        </w:numPr>
        <w:spacing w:line="240" w:lineRule="auto"/>
        <w:ind w:left="1440"/>
        <w:jc w:val="both"/>
        <w:rPr>
          <w:sz w:val="24"/>
        </w:rPr>
      </w:pPr>
      <w:r w:rsidRPr="00E6264E">
        <w:rPr>
          <w:sz w:val="24"/>
        </w:rPr>
        <w:tab/>
      </w:r>
      <w:r w:rsidRPr="00E6264E">
        <w:rPr>
          <w:sz w:val="24"/>
        </w:rPr>
        <w:tab/>
        <w:t>(</w:t>
      </w:r>
      <w:proofErr w:type="spellStart"/>
      <w:r w:rsidRPr="00E6264E">
        <w:rPr>
          <w:sz w:val="24"/>
        </w:rPr>
        <w:t>i</w:t>
      </w:r>
      <w:proofErr w:type="spellEnd"/>
      <w:r w:rsidRPr="00E6264E">
        <w:rPr>
          <w:sz w:val="24"/>
        </w:rPr>
        <w:t>)</w:t>
      </w:r>
      <w:r w:rsidRPr="00E6264E">
        <w:rPr>
          <w:sz w:val="24"/>
        </w:rPr>
        <w:tab/>
      </w:r>
      <w:proofErr w:type="gramStart"/>
      <w:r w:rsidRPr="00E6264E">
        <w:rPr>
          <w:sz w:val="24"/>
        </w:rPr>
        <w:t>the</w:t>
      </w:r>
      <w:proofErr w:type="gramEnd"/>
      <w:r w:rsidRPr="00E6264E">
        <w:rPr>
          <w:sz w:val="24"/>
        </w:rPr>
        <w:t xml:space="preserve"> disclosure;</w:t>
      </w:r>
    </w:p>
    <w:p w:rsidR="00E6264E" w:rsidRPr="00E6264E" w:rsidRDefault="00E6264E" w:rsidP="000F409E">
      <w:pPr>
        <w:pStyle w:val="Bob1"/>
        <w:numPr>
          <w:ilvl w:val="0"/>
          <w:numId w:val="0"/>
        </w:numPr>
        <w:spacing w:line="240" w:lineRule="auto"/>
        <w:ind w:left="3600" w:hanging="720"/>
        <w:jc w:val="both"/>
        <w:rPr>
          <w:sz w:val="24"/>
        </w:rPr>
      </w:pPr>
      <w:r w:rsidRPr="00E6264E">
        <w:rPr>
          <w:sz w:val="24"/>
        </w:rPr>
        <w:t>(ii)</w:t>
      </w:r>
      <w:r w:rsidRPr="00E6264E">
        <w:rPr>
          <w:sz w:val="24"/>
        </w:rPr>
        <w:tab/>
      </w:r>
      <w:proofErr w:type="gramStart"/>
      <w:r w:rsidRPr="00E6264E">
        <w:rPr>
          <w:sz w:val="24"/>
        </w:rPr>
        <w:t>any</w:t>
      </w:r>
      <w:proofErr w:type="gramEnd"/>
      <w:r w:rsidRPr="00E6264E">
        <w:rPr>
          <w:sz w:val="24"/>
        </w:rPr>
        <w:t xml:space="preserve"> act done or omitted to be done in relation to the property concerned in consequence of the disclosure.”</w:t>
      </w:r>
      <w:r w:rsidR="00853798">
        <w:rPr>
          <w:rStyle w:val="FootnoteReference"/>
          <w:sz w:val="24"/>
        </w:rPr>
        <w:footnoteReference w:id="41"/>
      </w:r>
    </w:p>
    <w:p w:rsidR="004219C7" w:rsidRDefault="009128F1" w:rsidP="000F409E">
      <w:pPr>
        <w:pStyle w:val="Bob1"/>
        <w:numPr>
          <w:ilvl w:val="0"/>
          <w:numId w:val="1"/>
        </w:numPr>
        <w:tabs>
          <w:tab w:val="clear" w:pos="720"/>
          <w:tab w:val="left" w:pos="1440"/>
        </w:tabs>
        <w:ind w:left="0" w:firstLine="0"/>
        <w:jc w:val="both"/>
      </w:pPr>
      <w:r>
        <w:rPr>
          <w:lang w:eastAsia="zh-TW"/>
        </w:rPr>
        <w:t>Police</w:t>
      </w:r>
      <w:r w:rsidR="004219C7">
        <w:rPr>
          <w:lang w:eastAsia="zh-TW"/>
        </w:rPr>
        <w:t xml:space="preserve"> investigations are </w:t>
      </w:r>
      <w:r w:rsidR="00E6264E">
        <w:rPr>
          <w:lang w:eastAsia="zh-TW"/>
        </w:rPr>
        <w:t xml:space="preserve">further </w:t>
      </w:r>
      <w:r w:rsidR="004219C7">
        <w:rPr>
          <w:lang w:eastAsia="zh-TW"/>
        </w:rPr>
        <w:t xml:space="preserve">supported by </w:t>
      </w:r>
      <w:r w:rsidR="004219C7">
        <w:rPr>
          <w:u w:val="single"/>
          <w:lang w:eastAsia="zh-TW"/>
        </w:rPr>
        <w:t>OSCO s</w:t>
      </w:r>
      <w:r w:rsidR="004219C7" w:rsidRPr="00B373CA">
        <w:rPr>
          <w:u w:val="single"/>
          <w:lang w:eastAsia="zh-TW"/>
        </w:rPr>
        <w:t>ection 25A(5)</w:t>
      </w:r>
      <w:r w:rsidR="004219C7" w:rsidRPr="00B373CA">
        <w:rPr>
          <w:lang w:eastAsia="zh-TW"/>
        </w:rPr>
        <w:t xml:space="preserve"> which makes it</w:t>
      </w:r>
      <w:r w:rsidR="004219C7">
        <w:rPr>
          <w:lang w:eastAsia="zh-TW"/>
        </w:rPr>
        <w:t xml:space="preserve"> </w:t>
      </w:r>
      <w:r w:rsidR="004219C7" w:rsidRPr="00B373CA">
        <w:rPr>
          <w:lang w:eastAsia="zh-TW"/>
        </w:rPr>
        <w:t xml:space="preserve">an offence for a person, knowing or suspecting that a disclosure has been made under subsection (1) or (4), to disclose to any other person any </w:t>
      </w:r>
      <w:r w:rsidR="004219C7" w:rsidRPr="00B373CA">
        <w:rPr>
          <w:lang w:eastAsia="zh-TW"/>
        </w:rPr>
        <w:lastRenderedPageBreak/>
        <w:t>matter which is likely to prejudice any investigation which might be conducted following that first-mentioned disclosure.</w:t>
      </w:r>
    </w:p>
    <w:p w:rsidR="004219C7" w:rsidRDefault="004219C7" w:rsidP="000F409E">
      <w:pPr>
        <w:pStyle w:val="Bob1"/>
        <w:numPr>
          <w:ilvl w:val="0"/>
          <w:numId w:val="1"/>
        </w:numPr>
        <w:tabs>
          <w:tab w:val="clear" w:pos="720"/>
          <w:tab w:val="left" w:pos="1440"/>
        </w:tabs>
        <w:ind w:left="0" w:firstLine="0"/>
        <w:jc w:val="both"/>
      </w:pPr>
      <w:r>
        <w:t>In furtherance of the statutory purpose of depriving a perpetrator of the proceeds of</w:t>
      </w:r>
      <w:r w:rsidR="002C201B">
        <w:t xml:space="preserve"> crime</w:t>
      </w:r>
      <w:r>
        <w:t xml:space="preserve">, OSCO enables the Court of First Instance or District Court to grant restraint orders securing suspicious property </w:t>
      </w:r>
      <w:r w:rsidR="00F57393">
        <w:t>towards satisfying</w:t>
      </w:r>
      <w:r>
        <w:t xml:space="preserve">, if the case is established, </w:t>
      </w:r>
      <w:r w:rsidR="00F57393">
        <w:t xml:space="preserve">eventual </w:t>
      </w:r>
      <w:r>
        <w:t>confiscation orders.</w:t>
      </w:r>
      <w:r>
        <w:rPr>
          <w:rStyle w:val="FootnoteReference"/>
        </w:rPr>
        <w:footnoteReference w:id="42"/>
      </w:r>
      <w:r>
        <w:t xml:space="preserve">  </w:t>
      </w:r>
    </w:p>
    <w:p w:rsidR="004219C7" w:rsidRPr="00F00958" w:rsidRDefault="004219C7" w:rsidP="000F409E">
      <w:pPr>
        <w:pStyle w:val="Bob1"/>
        <w:numPr>
          <w:ilvl w:val="1"/>
          <w:numId w:val="1"/>
        </w:numPr>
        <w:jc w:val="both"/>
        <w:rPr>
          <w:u w:val="single"/>
        </w:rPr>
      </w:pPr>
      <w:r w:rsidRPr="00AC567C">
        <w:rPr>
          <w:u w:val="single"/>
        </w:rPr>
        <w:t>OSCO section 14</w:t>
      </w:r>
      <w:r>
        <w:t xml:space="preserve"> lays down as the main conditions for the grant of a restraint order, the requirements (</w:t>
      </w:r>
      <w:proofErr w:type="spellStart"/>
      <w:r>
        <w:t>i</w:t>
      </w:r>
      <w:proofErr w:type="spellEnd"/>
      <w:r>
        <w:t>) that proceedings have been instituted against the person concerned</w:t>
      </w:r>
      <w:r>
        <w:rPr>
          <w:rStyle w:val="FootnoteReference"/>
        </w:rPr>
        <w:footnoteReference w:id="43"/>
      </w:r>
      <w:r>
        <w:t xml:space="preserve"> (defined to mean that a warrant has been issued or that such person has been arrested, charged or indicted</w:t>
      </w:r>
      <w:r>
        <w:rPr>
          <w:rStyle w:val="FootnoteReference"/>
        </w:rPr>
        <w:footnoteReference w:id="44"/>
      </w:r>
      <w:r>
        <w:t>); and (ii) that there is reasonable cause to believe that he or she has benefited from the relevant offence.</w:t>
      </w:r>
      <w:r>
        <w:rPr>
          <w:rStyle w:val="FootnoteReference"/>
        </w:rPr>
        <w:footnoteReference w:id="45"/>
      </w:r>
      <w:r>
        <w:t xml:space="preserve">  Where a person has been arrested and not yet charged, the court must additionally be satisfied that there is reasonable cause to believe that such person will be charged after further investigation,</w:t>
      </w:r>
      <w:r>
        <w:rPr>
          <w:rStyle w:val="FootnoteReference"/>
        </w:rPr>
        <w:footnoteReference w:id="46"/>
      </w:r>
      <w:r>
        <w:t xml:space="preserve"> with the court setting an expiry date for the </w:t>
      </w:r>
      <w:r w:rsidR="00162AC7">
        <w:t xml:space="preserve">restraint order </w:t>
      </w:r>
      <w:r>
        <w:t xml:space="preserve">pending </w:t>
      </w:r>
      <w:r w:rsidR="009212F7">
        <w:t xml:space="preserve">the bringing of </w:t>
      </w:r>
      <w:r>
        <w:t>such a charge.</w:t>
      </w:r>
      <w:r>
        <w:rPr>
          <w:rStyle w:val="FootnoteReference"/>
        </w:rPr>
        <w:footnoteReference w:id="47"/>
      </w:r>
    </w:p>
    <w:p w:rsidR="004219C7" w:rsidRPr="00E5170D" w:rsidRDefault="004219C7" w:rsidP="000F409E">
      <w:pPr>
        <w:pStyle w:val="Bob1"/>
        <w:numPr>
          <w:ilvl w:val="1"/>
          <w:numId w:val="1"/>
        </w:numPr>
        <w:jc w:val="both"/>
        <w:rPr>
          <w:u w:val="single"/>
        </w:rPr>
      </w:pPr>
      <w:r>
        <w:t xml:space="preserve">Where the section 14 conditions are met, </w:t>
      </w:r>
      <w:r>
        <w:rPr>
          <w:u w:val="single"/>
        </w:rPr>
        <w:t>OSCO section 15</w:t>
      </w:r>
      <w:r>
        <w:t xml:space="preserve"> </w:t>
      </w:r>
      <w:r w:rsidR="002715ED">
        <w:t>authorize</w:t>
      </w:r>
      <w:r>
        <w:t>s the making of restraint orders (only on application by a prosecutor</w:t>
      </w:r>
      <w:r>
        <w:rPr>
          <w:rStyle w:val="FootnoteReference"/>
        </w:rPr>
        <w:footnoteReference w:id="48"/>
      </w:r>
      <w:r>
        <w:t xml:space="preserve">) to </w:t>
      </w:r>
      <w:r w:rsidRPr="00F00958">
        <w:t xml:space="preserve">prohibit any person from dealing with any realisable </w:t>
      </w:r>
      <w:r w:rsidRPr="00F00958">
        <w:lastRenderedPageBreak/>
        <w:t>property</w:t>
      </w:r>
      <w:r>
        <w:t xml:space="preserve">.  Any person affected may apply for its discharge and the order </w:t>
      </w:r>
      <w:r w:rsidR="00162AC7">
        <w:t xml:space="preserve">is </w:t>
      </w:r>
      <w:r w:rsidR="009212F7">
        <w:t xml:space="preserve">in any event </w:t>
      </w:r>
      <w:r>
        <w:t>discharged on conclusion of the proceedings.</w:t>
      </w:r>
      <w:r>
        <w:rPr>
          <w:rStyle w:val="FootnoteReference"/>
        </w:rPr>
        <w:footnoteReference w:id="49"/>
      </w:r>
    </w:p>
    <w:p w:rsidR="004219C7" w:rsidRPr="00E5170D" w:rsidRDefault="004219C7" w:rsidP="000F409E">
      <w:pPr>
        <w:pStyle w:val="Bob1"/>
        <w:numPr>
          <w:ilvl w:val="1"/>
          <w:numId w:val="1"/>
        </w:numPr>
        <w:jc w:val="both"/>
        <w:rPr>
          <w:u w:val="single"/>
        </w:rPr>
      </w:pPr>
      <w:r w:rsidRPr="00E5170D">
        <w:rPr>
          <w:u w:val="single"/>
        </w:rPr>
        <w:t>OSCO section 19(2)</w:t>
      </w:r>
      <w:r>
        <w:t xml:space="preserve"> specifies the purpose of restraint orders, stating that “</w:t>
      </w:r>
      <w:r w:rsidRPr="00E5170D">
        <w:t xml:space="preserve">the powers </w:t>
      </w:r>
      <w:r>
        <w:t xml:space="preserve">[under section 15] </w:t>
      </w:r>
      <w:r w:rsidRPr="00E5170D">
        <w:t xml:space="preserve">shall be exercised with a view to making available for satisfying </w:t>
      </w:r>
      <w:r>
        <w:t xml:space="preserve">... </w:t>
      </w:r>
      <w:r w:rsidRPr="00E5170D">
        <w:t>any confiscation order that may be made in the defendant’s case the value for the time being of realisable property held by any person by the rea</w:t>
      </w:r>
      <w:r>
        <w:t>lisation of such property.”</w:t>
      </w:r>
    </w:p>
    <w:p w:rsidR="004219C7" w:rsidRPr="004C604B" w:rsidRDefault="004219C7" w:rsidP="000F409E">
      <w:pPr>
        <w:pStyle w:val="Bob1"/>
        <w:numPr>
          <w:ilvl w:val="1"/>
          <w:numId w:val="1"/>
        </w:numPr>
        <w:jc w:val="both"/>
        <w:rPr>
          <w:u w:val="single"/>
        </w:rPr>
      </w:pPr>
      <w:r w:rsidRPr="00566CAE">
        <w:rPr>
          <w:u w:val="single"/>
        </w:rPr>
        <w:t>OSCO section 8</w:t>
      </w:r>
      <w:r>
        <w:t xml:space="preserve"> empowers the court,</w:t>
      </w:r>
      <w:r w:rsidRPr="004C604B">
        <w:t xml:space="preserve"> </w:t>
      </w:r>
      <w:r>
        <w:t>on the application of the Secretary for Justice, to make such a confiscation order reflecting the value of the proceeds of the specified offence</w:t>
      </w:r>
      <w:r>
        <w:rPr>
          <w:rStyle w:val="FootnoteReference"/>
        </w:rPr>
        <w:footnoteReference w:id="50"/>
      </w:r>
      <w:r>
        <w:t xml:space="preserve"> </w:t>
      </w:r>
      <w:r w:rsidR="0083156F">
        <w:t xml:space="preserve">in cases </w:t>
      </w:r>
      <w:r>
        <w:t>where the person is to be sentenced and the court determines that he or she has benefited from that offence.  Such an order may also be made where the person has died or absconded.</w:t>
      </w:r>
      <w:r>
        <w:rPr>
          <w:rStyle w:val="FootnoteReference"/>
        </w:rPr>
        <w:footnoteReference w:id="51"/>
      </w:r>
      <w:r>
        <w:t xml:space="preserve">  </w:t>
      </w:r>
    </w:p>
    <w:p w:rsidR="004219C7" w:rsidRDefault="00BF4FC1" w:rsidP="000F409E">
      <w:pPr>
        <w:pStyle w:val="docmapheading"/>
        <w:ind w:left="720" w:hanging="720"/>
        <w:jc w:val="both"/>
      </w:pPr>
      <w:r>
        <w:t>D</w:t>
      </w:r>
      <w:r w:rsidR="004219C7">
        <w:t>.</w:t>
      </w:r>
      <w:r>
        <w:t>2</w:t>
      </w:r>
      <w:r w:rsidR="004219C7">
        <w:tab/>
      </w:r>
      <w:r w:rsidR="004219C7" w:rsidRPr="0096637A">
        <w:t>Anti-Money Laundering and Counter-Terrorist Financing Ordinance</w:t>
      </w:r>
      <w:r w:rsidR="004219C7">
        <w:rPr>
          <w:rStyle w:val="FootnoteReference"/>
        </w:rPr>
        <w:footnoteReference w:id="52"/>
      </w:r>
      <w:r w:rsidR="004219C7" w:rsidRPr="0096637A">
        <w:t xml:space="preserve"> (</w:t>
      </w:r>
      <w:r w:rsidR="004219C7">
        <w:t>“</w:t>
      </w:r>
      <w:r w:rsidR="004219C7">
        <w:rPr>
          <w:u w:val="single"/>
        </w:rPr>
        <w:t>AMLO</w:t>
      </w:r>
      <w:r w:rsidR="004219C7">
        <w:t>”</w:t>
      </w:r>
      <w:r w:rsidR="004219C7" w:rsidRPr="0096637A">
        <w:t>)</w:t>
      </w:r>
    </w:p>
    <w:p w:rsidR="004219C7" w:rsidRPr="000F409E" w:rsidRDefault="004219C7" w:rsidP="000F409E">
      <w:pPr>
        <w:pStyle w:val="Bob1"/>
        <w:numPr>
          <w:ilvl w:val="0"/>
          <w:numId w:val="1"/>
        </w:numPr>
        <w:tabs>
          <w:tab w:val="clear" w:pos="720"/>
          <w:tab w:val="left" w:pos="1440"/>
        </w:tabs>
        <w:ind w:left="0" w:firstLine="0"/>
        <w:jc w:val="both"/>
      </w:pPr>
      <w:r>
        <w:t>As AMLO’s long title indicates, it provides “</w:t>
      </w:r>
      <w:r w:rsidRPr="0096637A">
        <w:rPr>
          <w:szCs w:val="28"/>
        </w:rPr>
        <w:t xml:space="preserve">for the imposition of requirements relating to customer due diligence and record-keeping on specified financial institutions </w:t>
      </w:r>
      <w:r>
        <w:rPr>
          <w:szCs w:val="28"/>
        </w:rPr>
        <w:t xml:space="preserve">... [and] </w:t>
      </w:r>
      <w:r w:rsidRPr="0096637A">
        <w:rPr>
          <w:szCs w:val="28"/>
        </w:rPr>
        <w:t>for the powers of the relevant authorities and regulatory bodies to supervise compliance with those requirements and other re</w:t>
      </w:r>
      <w:r>
        <w:rPr>
          <w:szCs w:val="28"/>
        </w:rPr>
        <w:t>quirements under this Ordinance</w:t>
      </w:r>
      <w:r w:rsidRPr="0096637A">
        <w:rPr>
          <w:szCs w:val="28"/>
        </w:rPr>
        <w:t>...”</w:t>
      </w:r>
      <w:r>
        <w:rPr>
          <w:szCs w:val="28"/>
        </w:rPr>
        <w:t xml:space="preserve">  In other words, it places a statutory duty on banks to act as watchdogs against money laundering.</w:t>
      </w:r>
    </w:p>
    <w:p w:rsidR="004219C7" w:rsidRPr="000F409E" w:rsidRDefault="004219C7" w:rsidP="000F409E">
      <w:pPr>
        <w:pStyle w:val="Bob1"/>
        <w:numPr>
          <w:ilvl w:val="0"/>
          <w:numId w:val="1"/>
        </w:numPr>
        <w:tabs>
          <w:tab w:val="clear" w:pos="720"/>
          <w:tab w:val="left" w:pos="1440"/>
        </w:tabs>
        <w:ind w:left="0" w:firstLine="0"/>
        <w:jc w:val="both"/>
      </w:pPr>
      <w:r w:rsidRPr="000F409E">
        <w:rPr>
          <w:szCs w:val="28"/>
        </w:rPr>
        <w:lastRenderedPageBreak/>
        <w:t>It does so by imposing criminal sanctions</w:t>
      </w:r>
      <w:r w:rsidR="0083156F">
        <w:rPr>
          <w:rStyle w:val="FootnoteReference"/>
          <w:szCs w:val="28"/>
        </w:rPr>
        <w:footnoteReference w:id="53"/>
      </w:r>
      <w:r w:rsidRPr="000F409E">
        <w:rPr>
          <w:szCs w:val="28"/>
        </w:rPr>
        <w:t xml:space="preserve"> for knowingly contravening specified provisions in Schedule 2.  Those provisions</w:t>
      </w:r>
      <w:r>
        <w:rPr>
          <w:rStyle w:val="FootnoteReference"/>
          <w:szCs w:val="28"/>
        </w:rPr>
        <w:footnoteReference w:id="54"/>
      </w:r>
      <w:r w:rsidRPr="000F409E">
        <w:rPr>
          <w:szCs w:val="28"/>
        </w:rPr>
        <w:t xml:space="preserve"> </w:t>
      </w:r>
      <w:r w:rsidR="0083156F" w:rsidRPr="000F409E">
        <w:rPr>
          <w:szCs w:val="28"/>
        </w:rPr>
        <w:t>lay down,</w:t>
      </w:r>
      <w:r w:rsidRPr="000F409E">
        <w:rPr>
          <w:szCs w:val="28"/>
        </w:rPr>
        <w:t xml:space="preserve"> </w:t>
      </w:r>
      <w:r w:rsidRPr="000F409E">
        <w:rPr>
          <w:i/>
          <w:szCs w:val="28"/>
        </w:rPr>
        <w:t>inter alia</w:t>
      </w:r>
      <w:r w:rsidR="0083156F" w:rsidRPr="000F409E">
        <w:rPr>
          <w:szCs w:val="28"/>
        </w:rPr>
        <w:t>,</w:t>
      </w:r>
      <w:r w:rsidRPr="000F409E">
        <w:rPr>
          <w:szCs w:val="28"/>
        </w:rPr>
        <w:t xml:space="preserve"> detailed customer due diligence requirements </w:t>
      </w:r>
      <w:r w:rsidR="007B0A14" w:rsidRPr="000F409E">
        <w:rPr>
          <w:szCs w:val="28"/>
        </w:rPr>
        <w:t>when</w:t>
      </w:r>
      <w:r w:rsidRPr="000F409E">
        <w:rPr>
          <w:szCs w:val="28"/>
        </w:rPr>
        <w:t xml:space="preserve"> forming a business relationship with the customer and conducting transactions involving an amount of </w:t>
      </w:r>
      <w:r w:rsidR="005B0CFE" w:rsidRPr="000F409E">
        <w:rPr>
          <w:szCs w:val="28"/>
        </w:rPr>
        <w:t>$</w:t>
      </w:r>
      <w:r w:rsidRPr="000F409E">
        <w:rPr>
          <w:szCs w:val="28"/>
        </w:rPr>
        <w:t>120,000 or above.</w:t>
      </w:r>
      <w:r w:rsidR="002F6D45">
        <w:rPr>
          <w:rStyle w:val="FootnoteReference"/>
          <w:szCs w:val="28"/>
        </w:rPr>
        <w:footnoteReference w:id="55"/>
      </w:r>
      <w:r w:rsidRPr="000F409E">
        <w:rPr>
          <w:szCs w:val="28"/>
        </w:rPr>
        <w:t xml:space="preserve">  If such due diligence is not satisfactorily completed, the bank is prohibited from forming the relationship or</w:t>
      </w:r>
      <w:r w:rsidR="0083156F" w:rsidRPr="000F409E">
        <w:rPr>
          <w:szCs w:val="28"/>
        </w:rPr>
        <w:t xml:space="preserve"> conducting the transaction; and </w:t>
      </w:r>
      <w:r w:rsidRPr="000F409E">
        <w:rPr>
          <w:szCs w:val="28"/>
        </w:rPr>
        <w:t xml:space="preserve">if the relationship </w:t>
      </w:r>
      <w:r w:rsidR="007B0A14" w:rsidRPr="000F409E">
        <w:rPr>
          <w:szCs w:val="28"/>
        </w:rPr>
        <w:t xml:space="preserve">already </w:t>
      </w:r>
      <w:r w:rsidRPr="000F409E">
        <w:rPr>
          <w:szCs w:val="28"/>
        </w:rPr>
        <w:t>exists, must terminate it.</w:t>
      </w:r>
      <w:r>
        <w:rPr>
          <w:rStyle w:val="FootnoteReference"/>
          <w:szCs w:val="28"/>
        </w:rPr>
        <w:footnoteReference w:id="56"/>
      </w:r>
      <w:r w:rsidRPr="000F409E">
        <w:rPr>
          <w:szCs w:val="28"/>
        </w:rPr>
        <w:t xml:space="preserve"> </w:t>
      </w:r>
    </w:p>
    <w:p w:rsidR="004219C7" w:rsidRPr="00EB6B5A" w:rsidRDefault="004219C7" w:rsidP="000F409E">
      <w:pPr>
        <w:pStyle w:val="Bob1"/>
        <w:numPr>
          <w:ilvl w:val="0"/>
          <w:numId w:val="1"/>
        </w:numPr>
        <w:tabs>
          <w:tab w:val="clear" w:pos="720"/>
          <w:tab w:val="left" w:pos="1440"/>
        </w:tabs>
        <w:ind w:left="0" w:firstLine="0"/>
        <w:jc w:val="both"/>
      </w:pPr>
      <w:r w:rsidRPr="000F409E">
        <w:rPr>
          <w:szCs w:val="28"/>
        </w:rPr>
        <w:t>Of particular present relevance</w:t>
      </w:r>
      <w:r>
        <w:rPr>
          <w:rStyle w:val="FootnoteReference"/>
          <w:szCs w:val="28"/>
        </w:rPr>
        <w:footnoteReference w:id="57"/>
      </w:r>
      <w:r w:rsidRPr="000F409E">
        <w:rPr>
          <w:szCs w:val="28"/>
        </w:rPr>
        <w:t xml:space="preserve"> is AMLO </w:t>
      </w:r>
      <w:proofErr w:type="spellStart"/>
      <w:r w:rsidRPr="000F409E">
        <w:rPr>
          <w:szCs w:val="28"/>
        </w:rPr>
        <w:t>Sch</w:t>
      </w:r>
      <w:proofErr w:type="spellEnd"/>
      <w:r w:rsidRPr="000F409E">
        <w:rPr>
          <w:szCs w:val="28"/>
        </w:rPr>
        <w:t xml:space="preserve"> 2, section 5(1) which </w:t>
      </w:r>
      <w:r w:rsidR="00F612BF" w:rsidRPr="000F409E">
        <w:rPr>
          <w:szCs w:val="28"/>
        </w:rPr>
        <w:t xml:space="preserve">obliges </w:t>
      </w:r>
      <w:r w:rsidRPr="000F409E">
        <w:rPr>
          <w:szCs w:val="28"/>
        </w:rPr>
        <w:t>banks continuously to monitor their client relationships, providing</w:t>
      </w:r>
      <w:r w:rsidR="0083156F" w:rsidRPr="000F409E">
        <w:rPr>
          <w:szCs w:val="28"/>
        </w:rPr>
        <w:t xml:space="preserve"> as follows</w:t>
      </w:r>
      <w:r w:rsidRPr="000F409E">
        <w:rPr>
          <w:szCs w:val="28"/>
        </w:rPr>
        <w:t>:</w:t>
      </w:r>
    </w:p>
    <w:p w:rsidR="004219C7" w:rsidRPr="00EB6B5A" w:rsidRDefault="004219C7" w:rsidP="000F409E">
      <w:pPr>
        <w:pStyle w:val="Bob1"/>
        <w:numPr>
          <w:ilvl w:val="0"/>
          <w:numId w:val="0"/>
        </w:numPr>
        <w:spacing w:line="240" w:lineRule="auto"/>
        <w:ind w:left="1440" w:hanging="720"/>
        <w:jc w:val="both"/>
        <w:rPr>
          <w:i/>
          <w:sz w:val="24"/>
          <w:lang w:eastAsia="zh-TW"/>
        </w:rPr>
      </w:pPr>
      <w:r w:rsidRPr="00EB6B5A">
        <w:rPr>
          <w:sz w:val="24"/>
          <w:lang w:eastAsia="zh-TW"/>
        </w:rPr>
        <w:t>“(1)</w:t>
      </w:r>
      <w:r w:rsidRPr="00EB6B5A">
        <w:rPr>
          <w:sz w:val="24"/>
          <w:lang w:eastAsia="zh-TW"/>
        </w:rPr>
        <w:tab/>
        <w:t xml:space="preserve">A financial institution </w:t>
      </w:r>
      <w:r w:rsidR="0083156F">
        <w:rPr>
          <w:sz w:val="24"/>
          <w:lang w:eastAsia="zh-TW"/>
        </w:rPr>
        <w:t xml:space="preserve">... </w:t>
      </w:r>
      <w:r w:rsidRPr="00EB6B5A">
        <w:rPr>
          <w:sz w:val="24"/>
          <w:lang w:eastAsia="zh-TW"/>
        </w:rPr>
        <w:t>must continuously monitor the business relationship with a customer by—</w:t>
      </w:r>
    </w:p>
    <w:p w:rsidR="004219C7" w:rsidRPr="00EB6B5A" w:rsidRDefault="004219C7" w:rsidP="000F409E">
      <w:pPr>
        <w:pStyle w:val="Bob1"/>
        <w:numPr>
          <w:ilvl w:val="0"/>
          <w:numId w:val="0"/>
        </w:numPr>
        <w:spacing w:line="240" w:lineRule="auto"/>
        <w:ind w:left="2160" w:hanging="720"/>
        <w:jc w:val="both"/>
        <w:rPr>
          <w:sz w:val="24"/>
          <w:lang w:eastAsia="zh-TW"/>
        </w:rPr>
      </w:pPr>
      <w:r w:rsidRPr="00EB6B5A">
        <w:rPr>
          <w:sz w:val="24"/>
          <w:lang w:eastAsia="zh-TW"/>
        </w:rPr>
        <w:t>(a)</w:t>
      </w:r>
      <w:r w:rsidRPr="00EB6B5A">
        <w:rPr>
          <w:sz w:val="24"/>
          <w:lang w:eastAsia="zh-TW"/>
        </w:rPr>
        <w:tab/>
        <w:t xml:space="preserve">reviewing from time to time documents, data and information relating to the customer that have been obtained by the financial institution </w:t>
      </w:r>
      <w:r w:rsidR="0083156F">
        <w:rPr>
          <w:sz w:val="24"/>
          <w:lang w:eastAsia="zh-TW"/>
        </w:rPr>
        <w:t xml:space="preserve">... </w:t>
      </w:r>
      <w:r w:rsidRPr="00EB6B5A">
        <w:rPr>
          <w:sz w:val="24"/>
          <w:lang w:eastAsia="zh-TW"/>
        </w:rPr>
        <w:t>for the purpose of complying with the requirements imposed under this Part to ensure that they are up-to-date and relevant;</w:t>
      </w:r>
    </w:p>
    <w:p w:rsidR="004219C7" w:rsidRPr="00EB6B5A" w:rsidRDefault="004219C7" w:rsidP="000F409E">
      <w:pPr>
        <w:pStyle w:val="Bob1"/>
        <w:numPr>
          <w:ilvl w:val="0"/>
          <w:numId w:val="0"/>
        </w:numPr>
        <w:spacing w:line="240" w:lineRule="auto"/>
        <w:ind w:left="2160" w:hanging="720"/>
        <w:jc w:val="both"/>
        <w:rPr>
          <w:sz w:val="24"/>
          <w:lang w:eastAsia="zh-TW"/>
        </w:rPr>
      </w:pPr>
      <w:r w:rsidRPr="00EB6B5A">
        <w:rPr>
          <w:sz w:val="24"/>
          <w:lang w:eastAsia="zh-TW"/>
        </w:rPr>
        <w:t>(b)</w:t>
      </w:r>
      <w:r w:rsidRPr="00EB6B5A">
        <w:rPr>
          <w:sz w:val="24"/>
          <w:lang w:eastAsia="zh-TW"/>
        </w:rPr>
        <w:tab/>
        <w:t xml:space="preserve">conducting appropriate scrutiny of transactions carried out for the customer to ensure that they are consistent with the financial institution’s </w:t>
      </w:r>
      <w:r w:rsidR="0083156F">
        <w:rPr>
          <w:sz w:val="24"/>
          <w:lang w:eastAsia="zh-TW"/>
        </w:rPr>
        <w:t xml:space="preserve">... </w:t>
      </w:r>
      <w:r w:rsidRPr="00EB6B5A">
        <w:rPr>
          <w:sz w:val="24"/>
          <w:lang w:eastAsia="zh-TW"/>
        </w:rPr>
        <w:t xml:space="preserve">knowledge of the customer and the customer’s business and risk profile, and with the financial institution’s </w:t>
      </w:r>
      <w:r w:rsidR="0083156F">
        <w:rPr>
          <w:sz w:val="24"/>
          <w:lang w:eastAsia="zh-TW"/>
        </w:rPr>
        <w:t xml:space="preserve">... </w:t>
      </w:r>
      <w:r w:rsidRPr="00EB6B5A">
        <w:rPr>
          <w:sz w:val="24"/>
          <w:lang w:eastAsia="zh-TW"/>
        </w:rPr>
        <w:t>knowledge of the source of the customer’s funds; and</w:t>
      </w:r>
    </w:p>
    <w:p w:rsidR="004219C7" w:rsidRPr="00EB6B5A" w:rsidRDefault="004219C7" w:rsidP="000F409E">
      <w:pPr>
        <w:pStyle w:val="Bob1"/>
        <w:numPr>
          <w:ilvl w:val="0"/>
          <w:numId w:val="0"/>
        </w:numPr>
        <w:spacing w:line="240" w:lineRule="auto"/>
        <w:ind w:left="720"/>
        <w:jc w:val="both"/>
        <w:rPr>
          <w:sz w:val="24"/>
          <w:lang w:eastAsia="zh-TW"/>
        </w:rPr>
      </w:pPr>
      <w:r w:rsidRPr="00EB6B5A">
        <w:rPr>
          <w:sz w:val="24"/>
          <w:lang w:eastAsia="zh-TW"/>
        </w:rPr>
        <w:tab/>
        <w:t>(c)</w:t>
      </w:r>
      <w:r w:rsidRPr="00EB6B5A">
        <w:rPr>
          <w:sz w:val="24"/>
          <w:lang w:eastAsia="zh-TW"/>
        </w:rPr>
        <w:tab/>
      </w:r>
      <w:proofErr w:type="gramStart"/>
      <w:r w:rsidRPr="00EB6B5A">
        <w:rPr>
          <w:sz w:val="24"/>
          <w:lang w:eastAsia="zh-TW"/>
        </w:rPr>
        <w:t>identifying</w:t>
      </w:r>
      <w:proofErr w:type="gramEnd"/>
      <w:r w:rsidRPr="00EB6B5A">
        <w:rPr>
          <w:sz w:val="24"/>
          <w:lang w:eastAsia="zh-TW"/>
        </w:rPr>
        <w:t xml:space="preserve"> transactions that—</w:t>
      </w:r>
    </w:p>
    <w:p w:rsidR="004219C7" w:rsidRPr="00EB6B5A" w:rsidRDefault="004219C7" w:rsidP="000F409E">
      <w:pPr>
        <w:pStyle w:val="Bob1"/>
        <w:numPr>
          <w:ilvl w:val="0"/>
          <w:numId w:val="0"/>
        </w:numPr>
        <w:spacing w:line="240" w:lineRule="auto"/>
        <w:ind w:left="2880" w:hanging="720"/>
        <w:jc w:val="both"/>
        <w:rPr>
          <w:sz w:val="24"/>
          <w:lang w:eastAsia="zh-TW"/>
        </w:rPr>
      </w:pPr>
      <w:r w:rsidRPr="00EB6B5A">
        <w:rPr>
          <w:sz w:val="24"/>
          <w:lang w:eastAsia="zh-TW"/>
        </w:rPr>
        <w:t>(</w:t>
      </w:r>
      <w:proofErr w:type="spellStart"/>
      <w:r w:rsidRPr="00EB6B5A">
        <w:rPr>
          <w:sz w:val="24"/>
          <w:lang w:eastAsia="zh-TW"/>
        </w:rPr>
        <w:t>i</w:t>
      </w:r>
      <w:proofErr w:type="spellEnd"/>
      <w:r w:rsidRPr="00EB6B5A">
        <w:rPr>
          <w:sz w:val="24"/>
          <w:lang w:eastAsia="zh-TW"/>
        </w:rPr>
        <w:t>)</w:t>
      </w:r>
      <w:r w:rsidRPr="00EB6B5A">
        <w:rPr>
          <w:sz w:val="24"/>
          <w:lang w:eastAsia="zh-TW"/>
        </w:rPr>
        <w:tab/>
      </w:r>
      <w:proofErr w:type="gramStart"/>
      <w:r w:rsidRPr="00EB6B5A">
        <w:rPr>
          <w:sz w:val="24"/>
          <w:lang w:eastAsia="zh-TW"/>
        </w:rPr>
        <w:t>are</w:t>
      </w:r>
      <w:proofErr w:type="gramEnd"/>
      <w:r w:rsidRPr="00EB6B5A">
        <w:rPr>
          <w:sz w:val="24"/>
          <w:lang w:eastAsia="zh-TW"/>
        </w:rPr>
        <w:t xml:space="preserve"> complex, unusually large in a</w:t>
      </w:r>
      <w:r w:rsidR="0083156F">
        <w:rPr>
          <w:sz w:val="24"/>
          <w:lang w:eastAsia="zh-TW"/>
        </w:rPr>
        <w:t xml:space="preserve">mount or of an unusual pattern; </w:t>
      </w:r>
      <w:r w:rsidRPr="00EB6B5A">
        <w:rPr>
          <w:sz w:val="24"/>
          <w:lang w:eastAsia="zh-TW"/>
        </w:rPr>
        <w:t>and</w:t>
      </w:r>
    </w:p>
    <w:p w:rsidR="004219C7" w:rsidRPr="00EB6B5A" w:rsidRDefault="004219C7" w:rsidP="000F409E">
      <w:pPr>
        <w:pStyle w:val="Bob1"/>
        <w:numPr>
          <w:ilvl w:val="0"/>
          <w:numId w:val="0"/>
        </w:numPr>
        <w:spacing w:line="240" w:lineRule="auto"/>
        <w:ind w:left="720"/>
        <w:jc w:val="both"/>
        <w:rPr>
          <w:sz w:val="24"/>
          <w:lang w:eastAsia="zh-TW"/>
        </w:rPr>
      </w:pPr>
      <w:r w:rsidRPr="00EB6B5A">
        <w:rPr>
          <w:sz w:val="24"/>
          <w:lang w:eastAsia="zh-TW"/>
        </w:rPr>
        <w:tab/>
      </w:r>
      <w:r w:rsidRPr="00EB6B5A">
        <w:rPr>
          <w:sz w:val="24"/>
          <w:lang w:eastAsia="zh-TW"/>
        </w:rPr>
        <w:tab/>
        <w:t>(ii)</w:t>
      </w:r>
      <w:r w:rsidRPr="00EB6B5A">
        <w:rPr>
          <w:sz w:val="24"/>
          <w:lang w:eastAsia="zh-TW"/>
        </w:rPr>
        <w:tab/>
      </w:r>
      <w:proofErr w:type="gramStart"/>
      <w:r w:rsidRPr="00EB6B5A">
        <w:rPr>
          <w:sz w:val="24"/>
          <w:lang w:eastAsia="zh-TW"/>
        </w:rPr>
        <w:t>have</w:t>
      </w:r>
      <w:proofErr w:type="gramEnd"/>
      <w:r w:rsidRPr="00EB6B5A">
        <w:rPr>
          <w:sz w:val="24"/>
          <w:lang w:eastAsia="zh-TW"/>
        </w:rPr>
        <w:t xml:space="preserve"> no apparent economic or lawful purpose,</w:t>
      </w:r>
    </w:p>
    <w:p w:rsidR="004219C7" w:rsidRDefault="004219C7" w:rsidP="000F409E">
      <w:pPr>
        <w:pStyle w:val="Bob1"/>
        <w:numPr>
          <w:ilvl w:val="0"/>
          <w:numId w:val="0"/>
        </w:numPr>
        <w:spacing w:line="240" w:lineRule="auto"/>
        <w:ind w:left="2160"/>
        <w:jc w:val="both"/>
        <w:rPr>
          <w:sz w:val="24"/>
          <w:lang w:eastAsia="zh-TW"/>
        </w:rPr>
      </w:pPr>
      <w:proofErr w:type="gramStart"/>
      <w:r w:rsidRPr="00EB6B5A">
        <w:rPr>
          <w:sz w:val="24"/>
          <w:lang w:eastAsia="zh-TW"/>
        </w:rPr>
        <w:lastRenderedPageBreak/>
        <w:t>and</w:t>
      </w:r>
      <w:proofErr w:type="gramEnd"/>
      <w:r w:rsidRPr="00EB6B5A">
        <w:rPr>
          <w:sz w:val="24"/>
          <w:lang w:eastAsia="zh-TW"/>
        </w:rPr>
        <w:t xml:space="preserve"> examining the background and purposes of those transactions and setting out the findings in writing.”</w:t>
      </w:r>
    </w:p>
    <w:p w:rsidR="004219C7" w:rsidRDefault="004219C7" w:rsidP="000F409E">
      <w:pPr>
        <w:pStyle w:val="Bob1"/>
        <w:numPr>
          <w:ilvl w:val="0"/>
          <w:numId w:val="1"/>
        </w:numPr>
        <w:tabs>
          <w:tab w:val="clear" w:pos="720"/>
          <w:tab w:val="left" w:pos="1440"/>
        </w:tabs>
        <w:ind w:left="0" w:firstLine="0"/>
        <w:jc w:val="both"/>
        <w:rPr>
          <w:lang w:eastAsia="zh-TW"/>
        </w:rPr>
      </w:pPr>
      <w:r>
        <w:rPr>
          <w:lang w:eastAsia="zh-TW"/>
        </w:rPr>
        <w:t xml:space="preserve">AMLO also </w:t>
      </w:r>
      <w:r w:rsidR="0083156F">
        <w:rPr>
          <w:lang w:eastAsia="zh-TW"/>
        </w:rPr>
        <w:t>provides that c</w:t>
      </w:r>
      <w:r>
        <w:rPr>
          <w:lang w:eastAsia="zh-TW"/>
        </w:rPr>
        <w:t>ontravention of the specified provisions of Schedule 2 may lead to disciplinary action by HKMA which is endowed with powers to issue public reprimands, to</w:t>
      </w:r>
      <w:r w:rsidR="0083156F">
        <w:rPr>
          <w:lang w:eastAsia="zh-TW"/>
        </w:rPr>
        <w:t xml:space="preserve"> order remedial action </w:t>
      </w:r>
      <w:r>
        <w:rPr>
          <w:lang w:eastAsia="zh-TW"/>
        </w:rPr>
        <w:t>and “to order the financial institution to pay a pecuniary penalty not exceeding the amount that is the greater of (</w:t>
      </w:r>
      <w:proofErr w:type="spellStart"/>
      <w:r>
        <w:rPr>
          <w:lang w:eastAsia="zh-TW"/>
        </w:rPr>
        <w:t>i</w:t>
      </w:r>
      <w:proofErr w:type="spellEnd"/>
      <w:r>
        <w:rPr>
          <w:lang w:eastAsia="zh-TW"/>
        </w:rPr>
        <w:t>) $10,000,000; or (ii) 3 times the amount of the profit gained, or costs avoided, by the financial institution as a result of the contravention.”</w:t>
      </w:r>
      <w:r>
        <w:rPr>
          <w:rStyle w:val="FootnoteReference"/>
          <w:lang w:eastAsia="zh-TW"/>
        </w:rPr>
        <w:footnoteReference w:id="58"/>
      </w:r>
    </w:p>
    <w:p w:rsidR="004219C7" w:rsidRDefault="004219C7" w:rsidP="000F409E">
      <w:pPr>
        <w:pStyle w:val="Bob1"/>
        <w:numPr>
          <w:ilvl w:val="0"/>
          <w:numId w:val="1"/>
        </w:numPr>
        <w:tabs>
          <w:tab w:val="clear" w:pos="720"/>
          <w:tab w:val="left" w:pos="1440"/>
        </w:tabs>
        <w:ind w:left="0" w:firstLine="0"/>
        <w:jc w:val="both"/>
        <w:rPr>
          <w:lang w:eastAsia="zh-TW"/>
        </w:rPr>
      </w:pPr>
      <w:r>
        <w:rPr>
          <w:lang w:eastAsia="zh-TW"/>
        </w:rPr>
        <w:t>AMLO</w:t>
      </w:r>
      <w:r w:rsidR="0034232A">
        <w:rPr>
          <w:rStyle w:val="FootnoteReference"/>
          <w:lang w:eastAsia="zh-TW"/>
        </w:rPr>
        <w:footnoteReference w:id="59"/>
      </w:r>
      <w:r>
        <w:rPr>
          <w:lang w:eastAsia="zh-TW"/>
        </w:rPr>
        <w:t xml:space="preserve"> also </w:t>
      </w:r>
      <w:r w:rsidR="002715ED">
        <w:rPr>
          <w:lang w:eastAsia="zh-TW"/>
        </w:rPr>
        <w:t>authorize</w:t>
      </w:r>
      <w:r>
        <w:rPr>
          <w:lang w:eastAsia="zh-TW"/>
        </w:rPr>
        <w:t>s HKMA to publish guidelines for the operation of Schedule 2 (which</w:t>
      </w:r>
      <w:r w:rsidR="0034232A">
        <w:rPr>
          <w:lang w:eastAsia="zh-TW"/>
        </w:rPr>
        <w:t>, as we have seen,</w:t>
      </w:r>
      <w:r>
        <w:rPr>
          <w:lang w:eastAsia="zh-TW"/>
        </w:rPr>
        <w:t xml:space="preserve"> it has done </w:t>
      </w:r>
      <w:r w:rsidR="0034232A">
        <w:rPr>
          <w:lang w:eastAsia="zh-TW"/>
        </w:rPr>
        <w:t xml:space="preserve">in </w:t>
      </w:r>
      <w:r w:rsidR="009F12D5">
        <w:rPr>
          <w:lang w:eastAsia="zh-TW"/>
        </w:rPr>
        <w:t xml:space="preserve">the form of </w:t>
      </w:r>
      <w:r w:rsidR="008D7C97">
        <w:rPr>
          <w:lang w:eastAsia="zh-TW"/>
        </w:rPr>
        <w:t xml:space="preserve">the </w:t>
      </w:r>
      <w:r w:rsidR="00A96384">
        <w:rPr>
          <w:lang w:eastAsia="zh-TW"/>
        </w:rPr>
        <w:t>Guideline</w:t>
      </w:r>
      <w:r>
        <w:rPr>
          <w:lang w:eastAsia="zh-TW"/>
        </w:rPr>
        <w:t>).</w:t>
      </w:r>
      <w:r>
        <w:rPr>
          <w:rStyle w:val="FootnoteReference"/>
          <w:lang w:eastAsia="zh-TW"/>
        </w:rPr>
        <w:footnoteReference w:id="60"/>
      </w:r>
      <w:r>
        <w:rPr>
          <w:lang w:eastAsia="zh-TW"/>
        </w:rPr>
        <w:t xml:space="preserve">  A failure to </w:t>
      </w:r>
      <w:r w:rsidR="0034232A">
        <w:rPr>
          <w:lang w:eastAsia="zh-TW"/>
        </w:rPr>
        <w:t>comply with a provision in</w:t>
      </w:r>
      <w:r w:rsidR="008D7C97">
        <w:rPr>
          <w:lang w:eastAsia="zh-TW"/>
        </w:rPr>
        <w:t xml:space="preserve"> the</w:t>
      </w:r>
      <w:r w:rsidR="0034232A">
        <w:rPr>
          <w:lang w:eastAsia="zh-TW"/>
        </w:rPr>
        <w:t xml:space="preserve"> </w:t>
      </w:r>
      <w:r w:rsidR="00A96384">
        <w:rPr>
          <w:lang w:eastAsia="zh-TW"/>
        </w:rPr>
        <w:t>Guideline</w:t>
      </w:r>
      <w:r w:rsidR="009F12D5">
        <w:rPr>
          <w:lang w:eastAsia="zh-TW"/>
        </w:rPr>
        <w:t xml:space="preserve"> </w:t>
      </w:r>
      <w:r w:rsidR="0034232A">
        <w:rPr>
          <w:lang w:eastAsia="zh-TW"/>
        </w:rPr>
        <w:t xml:space="preserve">is </w:t>
      </w:r>
      <w:r>
        <w:rPr>
          <w:lang w:eastAsia="zh-TW"/>
        </w:rPr>
        <w:t>taken into account in any court proceedings under AMLO and in deciding whether Schedule 2 has been contravened.</w:t>
      </w:r>
      <w:r w:rsidR="0034232A">
        <w:rPr>
          <w:lang w:eastAsia="zh-TW"/>
        </w:rPr>
        <w:t xml:space="preserve"> </w:t>
      </w:r>
      <w:r w:rsidR="00F612BF">
        <w:rPr>
          <w:lang w:eastAsia="zh-TW"/>
        </w:rPr>
        <w:t xml:space="preserve"> We turn to consider those provisions more closely.</w:t>
      </w:r>
    </w:p>
    <w:p w:rsidR="004219C7" w:rsidRDefault="00BF4FC1" w:rsidP="004219C7">
      <w:pPr>
        <w:pStyle w:val="docmapheading"/>
      </w:pPr>
      <w:r>
        <w:t>D</w:t>
      </w:r>
      <w:r w:rsidR="004219C7">
        <w:t>.</w:t>
      </w:r>
      <w:r>
        <w:t>3</w:t>
      </w:r>
      <w:r w:rsidR="004219C7">
        <w:tab/>
      </w:r>
      <w:r w:rsidR="008D7C97">
        <w:t xml:space="preserve">The </w:t>
      </w:r>
      <w:r w:rsidR="00A96384">
        <w:t>Guideline</w:t>
      </w:r>
      <w:r w:rsidR="004219C7" w:rsidRPr="0096637A">
        <w:t xml:space="preserve"> (</w:t>
      </w:r>
      <w:r w:rsidR="004219C7">
        <w:t>October 2018 edition</w:t>
      </w:r>
      <w:r w:rsidR="004219C7" w:rsidRPr="0096637A">
        <w:t>)</w:t>
      </w:r>
      <w:r w:rsidR="0034232A">
        <w:rPr>
          <w:rStyle w:val="FootnoteReference"/>
        </w:rPr>
        <w:footnoteReference w:id="61"/>
      </w:r>
    </w:p>
    <w:p w:rsidR="004219C7" w:rsidRDefault="008D7C97" w:rsidP="000F409E">
      <w:pPr>
        <w:pStyle w:val="Bob1"/>
        <w:numPr>
          <w:ilvl w:val="0"/>
          <w:numId w:val="1"/>
        </w:numPr>
        <w:tabs>
          <w:tab w:val="clear" w:pos="720"/>
          <w:tab w:val="left" w:pos="1440"/>
        </w:tabs>
        <w:ind w:left="0" w:firstLine="0"/>
        <w:jc w:val="both"/>
        <w:rPr>
          <w:szCs w:val="28"/>
        </w:rPr>
      </w:pPr>
      <w:r>
        <w:t xml:space="preserve">The </w:t>
      </w:r>
      <w:r w:rsidR="00A96384">
        <w:t>Guideline</w:t>
      </w:r>
      <w:r w:rsidR="004219C7">
        <w:t xml:space="preserve"> </w:t>
      </w:r>
      <w:r w:rsidR="005E44D3">
        <w:t>seeks to provide</w:t>
      </w:r>
      <w:r w:rsidR="004219C7">
        <w:t xml:space="preserve"> “</w:t>
      </w:r>
      <w:r w:rsidR="004219C7">
        <w:rPr>
          <w:szCs w:val="28"/>
        </w:rPr>
        <w:t>practical guidance to assist [banks]</w:t>
      </w:r>
      <w:r w:rsidR="004219C7" w:rsidRPr="0096637A">
        <w:rPr>
          <w:szCs w:val="28"/>
        </w:rPr>
        <w:t xml:space="preserve"> and their senior management in designing and implementing their own policies, procedures and controls in the relevant operational areas, taking into consideration their special circumstances, so as to meet the relevant </w:t>
      </w:r>
      <w:r w:rsidR="004219C7">
        <w:rPr>
          <w:szCs w:val="28"/>
        </w:rPr>
        <w:t>[</w:t>
      </w:r>
      <w:r w:rsidR="004219C7" w:rsidRPr="0096637A">
        <w:rPr>
          <w:szCs w:val="28"/>
        </w:rPr>
        <w:t>AML</w:t>
      </w:r>
      <w:r w:rsidR="005E44D3">
        <w:rPr>
          <w:rStyle w:val="FootnoteReference"/>
          <w:szCs w:val="28"/>
        </w:rPr>
        <w:footnoteReference w:id="62"/>
      </w:r>
      <w:r w:rsidR="004219C7">
        <w:rPr>
          <w:szCs w:val="28"/>
        </w:rPr>
        <w:t>]</w:t>
      </w:r>
      <w:r w:rsidR="004219C7" w:rsidRPr="0096637A">
        <w:rPr>
          <w:szCs w:val="28"/>
        </w:rPr>
        <w:t xml:space="preserve"> statutor</w:t>
      </w:r>
      <w:r w:rsidR="004219C7">
        <w:rPr>
          <w:szCs w:val="28"/>
        </w:rPr>
        <w:t>y and regulatory requirements.”</w:t>
      </w:r>
      <w:r w:rsidR="004219C7">
        <w:rPr>
          <w:rStyle w:val="FootnoteReference"/>
          <w:szCs w:val="28"/>
        </w:rPr>
        <w:footnoteReference w:id="63"/>
      </w:r>
    </w:p>
    <w:p w:rsidR="004219C7" w:rsidRPr="000F409E" w:rsidRDefault="004219C7" w:rsidP="000F409E">
      <w:pPr>
        <w:pStyle w:val="Bob1"/>
        <w:numPr>
          <w:ilvl w:val="0"/>
          <w:numId w:val="1"/>
        </w:numPr>
        <w:tabs>
          <w:tab w:val="clear" w:pos="720"/>
          <w:tab w:val="left" w:pos="1440"/>
        </w:tabs>
        <w:ind w:left="0" w:firstLine="0"/>
        <w:jc w:val="both"/>
        <w:rPr>
          <w:szCs w:val="28"/>
        </w:rPr>
      </w:pPr>
      <w:r>
        <w:lastRenderedPageBreak/>
        <w:t>I</w:t>
      </w:r>
      <w:r w:rsidR="005E44D3">
        <w:t xml:space="preserve">t requires banks to </w:t>
      </w:r>
      <w:r>
        <w:t xml:space="preserve">appoint </w:t>
      </w:r>
      <w:r w:rsidR="00F612BF">
        <w:t xml:space="preserve">a </w:t>
      </w:r>
      <w:r w:rsidR="003F32D2">
        <w:t>C</w:t>
      </w:r>
      <w:r>
        <w:t xml:space="preserve">ompliance </w:t>
      </w:r>
      <w:r w:rsidR="003F32D2">
        <w:t>O</w:t>
      </w:r>
      <w:r w:rsidR="00F612BF">
        <w:t>fficer (“</w:t>
      </w:r>
      <w:r w:rsidR="00F612BF" w:rsidRPr="000F409E">
        <w:rPr>
          <w:u w:val="single"/>
        </w:rPr>
        <w:t>CO</w:t>
      </w:r>
      <w:r w:rsidR="00F612BF">
        <w:t>”)</w:t>
      </w:r>
      <w:r>
        <w:t xml:space="preserve"> </w:t>
      </w:r>
      <w:r w:rsidRPr="00536C22">
        <w:t xml:space="preserve">to have the overall responsibility for the establishment and maintenance of the </w:t>
      </w:r>
      <w:r w:rsidR="00F612BF">
        <w:t>bank’s anti-money laundering systems;</w:t>
      </w:r>
      <w:r w:rsidRPr="00536C22">
        <w:t xml:space="preserve"> and a senior </w:t>
      </w:r>
      <w:r w:rsidR="00F612BF">
        <w:t xml:space="preserve">member of </w:t>
      </w:r>
      <w:r w:rsidRPr="00536C22">
        <w:t xml:space="preserve">staff </w:t>
      </w:r>
      <w:r w:rsidR="00F34656">
        <w:t xml:space="preserve">as the </w:t>
      </w:r>
      <w:r w:rsidR="007D32DF">
        <w:t>Money Laundering Reporting Officer</w:t>
      </w:r>
      <w:r w:rsidR="00F34656">
        <w:t xml:space="preserve"> (“</w:t>
      </w:r>
      <w:r w:rsidR="00F34656" w:rsidRPr="000F409E">
        <w:rPr>
          <w:u w:val="single"/>
        </w:rPr>
        <w:t>MLRO</w:t>
      </w:r>
      <w:r w:rsidR="00F34656">
        <w:t>”) “</w:t>
      </w:r>
      <w:r w:rsidRPr="00536C22">
        <w:t>to act as the central reference point for suspicious transaction reporting</w:t>
      </w:r>
      <w:r>
        <w:t>”</w:t>
      </w:r>
      <w:r w:rsidRPr="00536C22">
        <w:t>.</w:t>
      </w:r>
      <w:r>
        <w:rPr>
          <w:rStyle w:val="FootnoteReference"/>
        </w:rPr>
        <w:footnoteReference w:id="64"/>
      </w:r>
      <w:r>
        <w:t xml:space="preserve">  The </w:t>
      </w:r>
      <w:r w:rsidRPr="00A35AAE">
        <w:t xml:space="preserve">MLRO </w:t>
      </w:r>
      <w:r>
        <w:t xml:space="preserve">is to act “... </w:t>
      </w:r>
      <w:r w:rsidRPr="00A35AAE">
        <w:t xml:space="preserve">as the main point of contact with the Joint Financial Intelligence Unit </w:t>
      </w:r>
      <w:r w:rsidR="00F34656">
        <w:t>(“</w:t>
      </w:r>
      <w:r w:rsidRPr="000F409E">
        <w:rPr>
          <w:u w:val="single"/>
        </w:rPr>
        <w:t>JFIU</w:t>
      </w:r>
      <w:r w:rsidR="00F34656">
        <w:t>”)</w:t>
      </w:r>
      <w:r>
        <w:rPr>
          <w:rStyle w:val="FootnoteReference"/>
        </w:rPr>
        <w:footnoteReference w:id="65"/>
      </w:r>
      <w:r w:rsidRPr="00A35AAE">
        <w:t xml:space="preserve"> and law enforcement agencies</w:t>
      </w:r>
      <w:r>
        <w:t>” and “</w:t>
      </w:r>
      <w:r w:rsidRPr="00A35AAE">
        <w:t>should play an active role in the identification and reporting of suspicious transactions</w:t>
      </w:r>
      <w:r>
        <w:t>”</w:t>
      </w:r>
      <w:r w:rsidRPr="00A35AAE">
        <w:t>.</w:t>
      </w:r>
      <w:r>
        <w:rPr>
          <w:rStyle w:val="FootnoteReference"/>
        </w:rPr>
        <w:footnoteReference w:id="66"/>
      </w:r>
    </w:p>
    <w:p w:rsidR="004219C7" w:rsidRPr="000F409E" w:rsidRDefault="008D7C97" w:rsidP="000F409E">
      <w:pPr>
        <w:pStyle w:val="Bob1"/>
        <w:numPr>
          <w:ilvl w:val="0"/>
          <w:numId w:val="1"/>
        </w:numPr>
        <w:tabs>
          <w:tab w:val="clear" w:pos="720"/>
          <w:tab w:val="left" w:pos="1440"/>
        </w:tabs>
        <w:ind w:left="0" w:firstLine="0"/>
        <w:jc w:val="both"/>
        <w:rPr>
          <w:szCs w:val="28"/>
        </w:rPr>
      </w:pPr>
      <w:r>
        <w:t xml:space="preserve">The </w:t>
      </w:r>
      <w:r w:rsidR="00A96384">
        <w:t>Guideline</w:t>
      </w:r>
      <w:r w:rsidR="004219C7">
        <w:t xml:space="preserve"> emphasises the </w:t>
      </w:r>
      <w:r w:rsidR="00F34656">
        <w:t xml:space="preserve">need for </w:t>
      </w:r>
      <w:r w:rsidR="004219C7">
        <w:t>the bank</w:t>
      </w:r>
      <w:r w:rsidR="00F34656">
        <w:t xml:space="preserve"> to</w:t>
      </w:r>
      <w:r w:rsidR="004219C7">
        <w:t xml:space="preserve"> </w:t>
      </w:r>
      <w:r w:rsidR="00416E19">
        <w:t>verif</w:t>
      </w:r>
      <w:r w:rsidR="00F34656">
        <w:t>y</w:t>
      </w:r>
      <w:r w:rsidR="004219C7">
        <w:t xml:space="preserve"> </w:t>
      </w:r>
      <w:r w:rsidR="00416E19">
        <w:t xml:space="preserve">the </w:t>
      </w:r>
      <w:r w:rsidR="00F34656">
        <w:t xml:space="preserve">customer’s </w:t>
      </w:r>
      <w:r w:rsidR="00416E19">
        <w:t xml:space="preserve">identity </w:t>
      </w:r>
      <w:r w:rsidR="004219C7">
        <w:t xml:space="preserve">and </w:t>
      </w:r>
      <w:r w:rsidR="00FF5E0E">
        <w:t>continuous</w:t>
      </w:r>
      <w:r w:rsidR="00F34656">
        <w:t>ly to</w:t>
      </w:r>
      <w:r w:rsidR="004219C7">
        <w:t xml:space="preserve"> monitor </w:t>
      </w:r>
      <w:r w:rsidR="0000623D">
        <w:t>its</w:t>
      </w:r>
      <w:r w:rsidR="004219C7">
        <w:t xml:space="preserve"> transactions, </w:t>
      </w:r>
      <w:r w:rsidR="00F34656">
        <w:t>reiterating</w:t>
      </w:r>
      <w:r w:rsidR="004219C7">
        <w:t xml:space="preserve"> the requirements of </w:t>
      </w:r>
      <w:r w:rsidR="00F34656" w:rsidRPr="000F409E">
        <w:rPr>
          <w:szCs w:val="28"/>
        </w:rPr>
        <w:t xml:space="preserve">AMLO </w:t>
      </w:r>
      <w:proofErr w:type="spellStart"/>
      <w:r w:rsidR="00F34656" w:rsidRPr="000F409E">
        <w:rPr>
          <w:szCs w:val="28"/>
        </w:rPr>
        <w:t>Sch</w:t>
      </w:r>
      <w:proofErr w:type="spellEnd"/>
      <w:r w:rsidR="00F34656" w:rsidRPr="000F409E">
        <w:rPr>
          <w:szCs w:val="28"/>
        </w:rPr>
        <w:t xml:space="preserve"> 2, section 5(1)</w:t>
      </w:r>
      <w:r w:rsidR="0000623D" w:rsidRPr="000F409E">
        <w:rPr>
          <w:szCs w:val="28"/>
        </w:rPr>
        <w:t xml:space="preserve"> cited above</w:t>
      </w:r>
      <w:r w:rsidR="004219C7" w:rsidRPr="000F409E">
        <w:rPr>
          <w:szCs w:val="28"/>
        </w:rPr>
        <w:t>.</w:t>
      </w:r>
      <w:r w:rsidR="004219C7">
        <w:rPr>
          <w:rStyle w:val="FootnoteReference"/>
          <w:szCs w:val="28"/>
        </w:rPr>
        <w:footnoteReference w:id="67"/>
      </w:r>
      <w:r w:rsidR="004219C7">
        <w:t xml:space="preserve">  It stresses that </w:t>
      </w:r>
      <w:r w:rsidR="00FF5E0E">
        <w:t xml:space="preserve">the </w:t>
      </w:r>
      <w:r w:rsidR="004219C7">
        <w:t>bank should adopt a holistic approach, “</w:t>
      </w:r>
      <w:r w:rsidR="004219C7" w:rsidRPr="00C4758D">
        <w:t>monitoring activities of a customer’s multiple accounts within or across lines of businesses, and related customers’ accounts within or across lines of businesses</w:t>
      </w:r>
      <w:r w:rsidR="004219C7">
        <w:t>”</w:t>
      </w:r>
      <w:r w:rsidR="004219C7" w:rsidRPr="00C4758D">
        <w:t>.</w:t>
      </w:r>
      <w:r w:rsidR="004219C7">
        <w:rPr>
          <w:rStyle w:val="FootnoteReference"/>
        </w:rPr>
        <w:footnoteReference w:id="68"/>
      </w:r>
      <w:r w:rsidR="00FF5E0E">
        <w:t xml:space="preserve">  And if suspicious circumstances are detected, the bank’s duty is to</w:t>
      </w:r>
      <w:r w:rsidR="00FF5E0E" w:rsidRPr="00FF5E0E">
        <w:t xml:space="preserve"> </w:t>
      </w:r>
      <w:r w:rsidR="00FF5E0E">
        <w:t>“</w:t>
      </w:r>
      <w:r w:rsidR="00FF5E0E" w:rsidRPr="00FF5E0E">
        <w:t>take appropriate steps to further examine the transactions</w:t>
      </w:r>
      <w:r w:rsidR="00FF5E0E">
        <w:t>”.</w:t>
      </w:r>
      <w:r w:rsidR="00FF5E0E">
        <w:rPr>
          <w:rStyle w:val="FootnoteReference"/>
          <w:sz w:val="24"/>
        </w:rPr>
        <w:footnoteReference w:id="69"/>
      </w:r>
    </w:p>
    <w:p w:rsidR="00313002" w:rsidRPr="000F409E" w:rsidRDefault="00313002" w:rsidP="000F409E">
      <w:pPr>
        <w:pStyle w:val="Bob1"/>
        <w:numPr>
          <w:ilvl w:val="0"/>
          <w:numId w:val="1"/>
        </w:numPr>
        <w:tabs>
          <w:tab w:val="clear" w:pos="720"/>
          <w:tab w:val="left" w:pos="1440"/>
        </w:tabs>
        <w:ind w:left="0" w:firstLine="0"/>
        <w:jc w:val="both"/>
        <w:rPr>
          <w:szCs w:val="28"/>
        </w:rPr>
      </w:pPr>
      <w:r>
        <w:t xml:space="preserve">Such </w:t>
      </w:r>
      <w:r w:rsidR="00F34656">
        <w:t xml:space="preserve">internal </w:t>
      </w:r>
      <w:r>
        <w:t xml:space="preserve">investigation is likely to </w:t>
      </w:r>
      <w:r w:rsidR="00FF5E0E">
        <w:t xml:space="preserve">include </w:t>
      </w:r>
      <w:r w:rsidR="00F34656">
        <w:t>seeking</w:t>
      </w:r>
      <w:r w:rsidR="00F574B1">
        <w:t xml:space="preserve"> </w:t>
      </w:r>
      <w:r w:rsidR="00FF5E0E">
        <w:t xml:space="preserve">relevant </w:t>
      </w:r>
      <w:r w:rsidR="00F574B1">
        <w:t>explanations</w:t>
      </w:r>
      <w:r w:rsidR="00F34656">
        <w:t xml:space="preserve"> from the customer</w:t>
      </w:r>
      <w:r w:rsidR="00F574B1">
        <w:t>.  Th</w:t>
      </w:r>
      <w:r w:rsidR="00FF5E0E">
        <w:t xml:space="preserve">e answers </w:t>
      </w:r>
      <w:r w:rsidR="00F574B1">
        <w:t>may dispel suspicions:</w:t>
      </w:r>
    </w:p>
    <w:p w:rsidR="00F574B1" w:rsidRPr="00F574B1" w:rsidRDefault="00F574B1" w:rsidP="000F409E">
      <w:pPr>
        <w:pStyle w:val="Bob1"/>
        <w:numPr>
          <w:ilvl w:val="0"/>
          <w:numId w:val="0"/>
        </w:numPr>
        <w:spacing w:line="240" w:lineRule="auto"/>
        <w:ind w:left="720"/>
        <w:jc w:val="both"/>
        <w:rPr>
          <w:sz w:val="24"/>
        </w:rPr>
      </w:pPr>
      <w:r w:rsidRPr="00F574B1">
        <w:rPr>
          <w:sz w:val="24"/>
        </w:rPr>
        <w:lastRenderedPageBreak/>
        <w:t xml:space="preserve">“Where </w:t>
      </w:r>
      <w:r>
        <w:rPr>
          <w:sz w:val="24"/>
        </w:rPr>
        <w:t xml:space="preserve">[a bank] </w:t>
      </w:r>
      <w:r w:rsidRPr="00F574B1">
        <w:rPr>
          <w:sz w:val="24"/>
        </w:rPr>
        <w:t>conducts enquiries and obtains what it considers to be a satisfactory explanation of the transaction or activity, it may conclude that there are no grounds for suspicion, and therefore take no further action.”</w:t>
      </w:r>
      <w:r>
        <w:rPr>
          <w:rStyle w:val="FootnoteReference"/>
          <w:sz w:val="24"/>
        </w:rPr>
        <w:footnoteReference w:id="70"/>
      </w:r>
    </w:p>
    <w:p w:rsidR="004219C7" w:rsidRDefault="00F574B1" w:rsidP="000F409E">
      <w:pPr>
        <w:pStyle w:val="Bob1"/>
        <w:numPr>
          <w:ilvl w:val="0"/>
          <w:numId w:val="1"/>
        </w:numPr>
        <w:tabs>
          <w:tab w:val="clear" w:pos="720"/>
          <w:tab w:val="left" w:pos="1440"/>
        </w:tabs>
        <w:ind w:left="0" w:firstLine="0"/>
        <w:jc w:val="both"/>
      </w:pPr>
      <w:r>
        <w:t>But</w:t>
      </w:r>
      <w:r w:rsidR="00FF5E0E">
        <w:t xml:space="preserve"> if </w:t>
      </w:r>
      <w:r w:rsidR="004219C7">
        <w:t xml:space="preserve">knowledge or suspicion </w:t>
      </w:r>
      <w:r w:rsidR="004219C7" w:rsidRPr="00BB0FC9">
        <w:t>has</w:t>
      </w:r>
      <w:r w:rsidR="00FF5E0E">
        <w:t xml:space="preserve"> not been eliminated</w:t>
      </w:r>
      <w:r w:rsidR="004219C7" w:rsidRPr="00BB0FC9">
        <w:t>,</w:t>
      </w:r>
      <w:r w:rsidR="004219C7">
        <w:t xml:space="preserve"> a bank should file</w:t>
      </w:r>
      <w:r w:rsidR="00F34656">
        <w:t xml:space="preserve"> a </w:t>
      </w:r>
      <w:r w:rsidR="00247208" w:rsidRPr="00792340">
        <w:t>Suspicious Transaction Report</w:t>
      </w:r>
      <w:r w:rsidR="00F34656">
        <w:t xml:space="preserve"> (“</w:t>
      </w:r>
      <w:r w:rsidR="00F34656">
        <w:rPr>
          <w:u w:val="single"/>
        </w:rPr>
        <w:t>STR</w:t>
      </w:r>
      <w:r w:rsidR="00F34656">
        <w:t>”)</w:t>
      </w:r>
      <w:r w:rsidR="004219C7">
        <w:t xml:space="preserve"> </w:t>
      </w:r>
      <w:r w:rsidR="00F34656">
        <w:t>“</w:t>
      </w:r>
      <w:r w:rsidR="004219C7">
        <w:t>even where no transaction has been conducted by or through the [bank]</w:t>
      </w:r>
      <w:r w:rsidR="00F34656">
        <w:t>”</w:t>
      </w:r>
      <w:r w:rsidR="004219C7">
        <w:t>; and</w:t>
      </w:r>
      <w:r w:rsidR="00F34656">
        <w:t xml:space="preserve"> “</w:t>
      </w:r>
      <w:r w:rsidR="004219C7">
        <w:t>the STR should be made as soon as reasonably practical after the suspicion was first identified”.</w:t>
      </w:r>
      <w:r w:rsidR="004219C7">
        <w:rPr>
          <w:rStyle w:val="FootnoteReference"/>
        </w:rPr>
        <w:footnoteReference w:id="71"/>
      </w:r>
    </w:p>
    <w:p w:rsidR="004219C7" w:rsidRDefault="004219C7" w:rsidP="000F409E">
      <w:pPr>
        <w:pStyle w:val="Bob1"/>
        <w:numPr>
          <w:ilvl w:val="0"/>
          <w:numId w:val="1"/>
        </w:numPr>
        <w:tabs>
          <w:tab w:val="clear" w:pos="720"/>
          <w:tab w:val="left" w:pos="1440"/>
        </w:tabs>
        <w:ind w:left="0" w:firstLine="0"/>
        <w:jc w:val="both"/>
      </w:pPr>
      <w:r>
        <w:t xml:space="preserve">Having placed the onus on banks to decide whether suspicious circumstances requiring disclosure to the police exist, </w:t>
      </w:r>
      <w:r w:rsidR="008D7C97">
        <w:t xml:space="preserve">the </w:t>
      </w:r>
      <w:r w:rsidR="00A96384">
        <w:t>Guideline</w:t>
      </w:r>
      <w:r>
        <w:t xml:space="preserve"> reassures the</w:t>
      </w:r>
      <w:r w:rsidR="00FF5E0E">
        <w:t>m</w:t>
      </w:r>
      <w:r>
        <w:t xml:space="preserve"> that a decision against disclosure, made in good faith is unlikely to attract criminal liability:</w:t>
      </w:r>
    </w:p>
    <w:p w:rsidR="004219C7" w:rsidRPr="00FF4F37" w:rsidRDefault="004219C7" w:rsidP="000F409E">
      <w:pPr>
        <w:pStyle w:val="Bob1"/>
        <w:numPr>
          <w:ilvl w:val="0"/>
          <w:numId w:val="0"/>
        </w:numPr>
        <w:spacing w:line="240" w:lineRule="auto"/>
        <w:ind w:left="720"/>
        <w:jc w:val="both"/>
        <w:rPr>
          <w:sz w:val="24"/>
        </w:rPr>
      </w:pPr>
      <w:r w:rsidRPr="00FF4F37">
        <w:rPr>
          <w:sz w:val="24"/>
        </w:rPr>
        <w:t xml:space="preserve">“Providing an MLRO acts in good faith in deciding not to file an STR with the JFIU, it is unlikely that there will be any criminal liability for failing to report if the MLRO concludes that there is no suspicion after taking into account all available information. It is however vital for the MLRO to keep proper records of the deliberations and actions taken to demonstrate he has acted in </w:t>
      </w:r>
      <w:r>
        <w:rPr>
          <w:sz w:val="24"/>
        </w:rPr>
        <w:t xml:space="preserve">[a] </w:t>
      </w:r>
      <w:r w:rsidRPr="00FF4F37">
        <w:rPr>
          <w:sz w:val="24"/>
        </w:rPr>
        <w:t>reasonable manner.”</w:t>
      </w:r>
      <w:r>
        <w:rPr>
          <w:rStyle w:val="FootnoteReference"/>
          <w:sz w:val="24"/>
        </w:rPr>
        <w:footnoteReference w:id="72"/>
      </w:r>
    </w:p>
    <w:p w:rsidR="004219C7" w:rsidRDefault="004219C7" w:rsidP="000F409E">
      <w:pPr>
        <w:pStyle w:val="Bob1"/>
        <w:numPr>
          <w:ilvl w:val="0"/>
          <w:numId w:val="1"/>
        </w:numPr>
        <w:tabs>
          <w:tab w:val="clear" w:pos="720"/>
          <w:tab w:val="left" w:pos="1440"/>
        </w:tabs>
        <w:ind w:left="0" w:firstLine="0"/>
        <w:jc w:val="both"/>
      </w:pPr>
      <w:r>
        <w:t>The practice of the JFIU, in response to disclosures by the bank, is explained, stressing that the bank should seek its own legal advice where necessary:</w:t>
      </w:r>
    </w:p>
    <w:p w:rsidR="004219C7" w:rsidRDefault="004219C7" w:rsidP="000F409E">
      <w:pPr>
        <w:pStyle w:val="Bob1"/>
        <w:numPr>
          <w:ilvl w:val="0"/>
          <w:numId w:val="0"/>
        </w:numPr>
        <w:spacing w:line="240" w:lineRule="auto"/>
        <w:ind w:left="720"/>
        <w:jc w:val="both"/>
        <w:rPr>
          <w:sz w:val="24"/>
        </w:rPr>
      </w:pPr>
      <w:r w:rsidRPr="00FF4F37">
        <w:rPr>
          <w:sz w:val="24"/>
        </w:rPr>
        <w:t>“The JFIU will acknowledge receipt of an STR made by [a bank] under section 25A of ... OSCO... If there is no need for imminent action, e.g. the issue of a restraint order on an account, consent will usually be given for the [bank] to operate the account under the provisions of section 25A(2)(a) of ... OSCO .... If a no-consent letter is issued, the [bank] should act according to the contents of the letter and seek legal advice where necessary.”</w:t>
      </w:r>
      <w:r>
        <w:rPr>
          <w:rStyle w:val="FootnoteReference"/>
          <w:sz w:val="24"/>
        </w:rPr>
        <w:footnoteReference w:id="73"/>
      </w:r>
    </w:p>
    <w:p w:rsidR="004219C7" w:rsidRDefault="004219C7" w:rsidP="000F409E">
      <w:pPr>
        <w:pStyle w:val="Bob1"/>
        <w:numPr>
          <w:ilvl w:val="0"/>
          <w:numId w:val="1"/>
        </w:numPr>
        <w:tabs>
          <w:tab w:val="clear" w:pos="720"/>
          <w:tab w:val="left" w:pos="1440"/>
        </w:tabs>
        <w:ind w:left="90" w:hanging="90"/>
        <w:jc w:val="both"/>
      </w:pPr>
      <w:r>
        <w:lastRenderedPageBreak/>
        <w:t xml:space="preserve">The bank’s continuing </w:t>
      </w:r>
      <w:r w:rsidR="008D7C97">
        <w:t>obligations</w:t>
      </w:r>
      <w:r w:rsidR="00BF67A5">
        <w:t>,</w:t>
      </w:r>
      <w:r>
        <w:t xml:space="preserve"> notwithstanding compliance with its reporting duties and consent from the police</w:t>
      </w:r>
      <w:r w:rsidR="008D7C97">
        <w:t xml:space="preserve"> in an individual case</w:t>
      </w:r>
      <w:r w:rsidR="00BF67A5">
        <w:t>,</w:t>
      </w:r>
      <w:r>
        <w:t xml:space="preserve"> </w:t>
      </w:r>
      <w:r w:rsidR="00BF67A5">
        <w:t xml:space="preserve">are </w:t>
      </w:r>
      <w:r>
        <w:t>underlined:</w:t>
      </w:r>
    </w:p>
    <w:p w:rsidR="004219C7" w:rsidRPr="008624B2" w:rsidRDefault="004219C7" w:rsidP="000F409E">
      <w:pPr>
        <w:pStyle w:val="Bob1"/>
        <w:numPr>
          <w:ilvl w:val="0"/>
          <w:numId w:val="0"/>
        </w:numPr>
        <w:tabs>
          <w:tab w:val="left" w:pos="1440"/>
        </w:tabs>
        <w:spacing w:line="240" w:lineRule="auto"/>
        <w:ind w:left="720"/>
        <w:jc w:val="both"/>
        <w:rPr>
          <w:sz w:val="24"/>
        </w:rPr>
      </w:pPr>
      <w:r w:rsidRPr="008624B2">
        <w:rPr>
          <w:sz w:val="24"/>
        </w:rPr>
        <w:t xml:space="preserve">“... the statutory defence [under OSCO section </w:t>
      </w:r>
      <w:proofErr w:type="gramStart"/>
      <w:r w:rsidRPr="008624B2">
        <w:rPr>
          <w:sz w:val="24"/>
        </w:rPr>
        <w:t>25A(</w:t>
      </w:r>
      <w:proofErr w:type="gramEnd"/>
      <w:r w:rsidRPr="008624B2">
        <w:rPr>
          <w:sz w:val="24"/>
        </w:rPr>
        <w:t>2)] does not absolve [a bank] from the legal, reputational or regulatory risks associated with the account’s continued operation. [A bank] should also be aware that a ‘consent’ response from the JFIU to a pre-transaction report should not be construed as a ‘clean bill of health’ for the continued operation of the account or an indication that the account does not pose a risk to the [bank]”.</w:t>
      </w:r>
      <w:r>
        <w:rPr>
          <w:rStyle w:val="FootnoteReference"/>
          <w:sz w:val="24"/>
        </w:rPr>
        <w:footnoteReference w:id="74"/>
      </w:r>
    </w:p>
    <w:p w:rsidR="0011011E" w:rsidRDefault="008D7C97" w:rsidP="0011011E">
      <w:pPr>
        <w:pStyle w:val="Bob1"/>
        <w:numPr>
          <w:ilvl w:val="0"/>
          <w:numId w:val="1"/>
        </w:numPr>
        <w:tabs>
          <w:tab w:val="clear" w:pos="720"/>
          <w:tab w:val="left" w:pos="1440"/>
        </w:tabs>
        <w:ind w:left="0" w:firstLine="0"/>
        <w:jc w:val="both"/>
      </w:pPr>
      <w:r>
        <w:t xml:space="preserve">The </w:t>
      </w:r>
      <w:r w:rsidR="00A96384">
        <w:t>Guideline</w:t>
      </w:r>
      <w:r w:rsidR="004219C7">
        <w:t xml:space="preserve"> </w:t>
      </w:r>
      <w:r w:rsidR="00F34656">
        <w:t xml:space="preserve">also </w:t>
      </w:r>
      <w:r w:rsidR="004219C7">
        <w:t>notes that there may be cases where the police request assistance from the bank, pointing out that such requests “</w:t>
      </w:r>
      <w:r w:rsidR="004219C7" w:rsidRPr="00C9744F">
        <w:t>are crucial to aid law enforcement agencies</w:t>
      </w:r>
      <w:r w:rsidR="004219C7">
        <w:t xml:space="preserve"> </w:t>
      </w:r>
      <w:r w:rsidR="004219C7" w:rsidRPr="00C9744F">
        <w:t xml:space="preserve">to carry out investigations as well as restrain </w:t>
      </w:r>
      <w:r w:rsidR="004219C7">
        <w:t>a</w:t>
      </w:r>
      <w:r w:rsidR="00BF67A5">
        <w:t>nd confiscate illicit proceeds”.</w:t>
      </w:r>
      <w:r w:rsidR="004219C7">
        <w:rPr>
          <w:rStyle w:val="FootnoteReference"/>
        </w:rPr>
        <w:footnoteReference w:id="75"/>
      </w:r>
      <w:r w:rsidR="004219C7">
        <w:t xml:space="preserve"> </w:t>
      </w:r>
      <w:r w:rsidR="00BF67A5">
        <w:t xml:space="preserve"> T</w:t>
      </w:r>
      <w:r w:rsidR="004219C7">
        <w:t xml:space="preserve">he bank </w:t>
      </w:r>
      <w:r w:rsidR="00955C8B">
        <w:t xml:space="preserve">should </w:t>
      </w:r>
      <w:r w:rsidR="004219C7">
        <w:t>thereupon “</w:t>
      </w:r>
      <w:r w:rsidR="004219C7" w:rsidRPr="00C9744F">
        <w:t>assess the risks involved and the need to conduct an appropriate review on the customer or the business relationship to determine whether there is any suspicion</w:t>
      </w:r>
      <w:r w:rsidR="004219C7">
        <w:t>”,</w:t>
      </w:r>
      <w:r w:rsidR="004219C7">
        <w:rPr>
          <w:rStyle w:val="FootnoteReference"/>
        </w:rPr>
        <w:footnoteReference w:id="76"/>
      </w:r>
      <w:r w:rsidR="004219C7">
        <w:t xml:space="preserve"> </w:t>
      </w:r>
      <w:r w:rsidR="00955C8B">
        <w:t>underscoring</w:t>
      </w:r>
      <w:r w:rsidR="004219C7">
        <w:t xml:space="preserve"> the </w:t>
      </w:r>
      <w:r w:rsidR="00955C8B">
        <w:t xml:space="preserve">need for the </w:t>
      </w:r>
      <w:r w:rsidR="004219C7">
        <w:t xml:space="preserve">bank to make </w:t>
      </w:r>
      <w:r w:rsidR="00955C8B">
        <w:t xml:space="preserve">up </w:t>
      </w:r>
      <w:r w:rsidR="004219C7">
        <w:t>its own mind in the light of its knowledge of its customer.</w:t>
      </w:r>
    </w:p>
    <w:p w:rsidR="00BF4FC1" w:rsidRDefault="00BF4FC1" w:rsidP="001B6B3A">
      <w:pPr>
        <w:pStyle w:val="docmapheading"/>
      </w:pPr>
      <w:r>
        <w:t>D.4</w:t>
      </w:r>
      <w:r>
        <w:tab/>
        <w:t xml:space="preserve">The position of banks in the anti-money laundering framework </w:t>
      </w:r>
    </w:p>
    <w:p w:rsidR="00BF67A5" w:rsidRDefault="000F409E" w:rsidP="000F409E">
      <w:pPr>
        <w:pStyle w:val="Bob1"/>
        <w:tabs>
          <w:tab w:val="left" w:pos="1440"/>
        </w:tabs>
        <w:jc w:val="both"/>
      </w:pPr>
      <w:r>
        <w:tab/>
      </w:r>
      <w:r w:rsidR="00BF67A5">
        <w:t xml:space="preserve">The following features emerge </w:t>
      </w:r>
      <w:r w:rsidR="00247208">
        <w:t>from the foregoing survey</w:t>
      </w:r>
      <w:r w:rsidR="00BF67A5">
        <w:t>:</w:t>
      </w:r>
      <w:r w:rsidR="00BF4FC1">
        <w:t xml:space="preserve"> </w:t>
      </w:r>
    </w:p>
    <w:p w:rsidR="00BF67A5" w:rsidRDefault="00BF67A5" w:rsidP="000F409E">
      <w:pPr>
        <w:pStyle w:val="Bob1"/>
        <w:numPr>
          <w:ilvl w:val="1"/>
          <w:numId w:val="11"/>
        </w:numPr>
        <w:jc w:val="both"/>
      </w:pPr>
      <w:r>
        <w:t>B</w:t>
      </w:r>
      <w:r w:rsidR="00BF4FC1">
        <w:t xml:space="preserve">anks are on the frontline of global efforts against money laundering.  That is necessarily </w:t>
      </w:r>
      <w:r w:rsidR="00F574B1">
        <w:t xml:space="preserve">so </w:t>
      </w:r>
      <w:r w:rsidR="00BF4FC1">
        <w:t xml:space="preserve">since the targeted </w:t>
      </w:r>
      <w:r w:rsidR="00F574B1">
        <w:t xml:space="preserve">funds </w:t>
      </w:r>
      <w:r w:rsidR="00BF4FC1">
        <w:t>pass through their hands</w:t>
      </w:r>
      <w:r w:rsidR="00F574B1">
        <w:t xml:space="preserve"> and </w:t>
      </w:r>
      <w:r w:rsidR="00247208">
        <w:t xml:space="preserve">generally </w:t>
      </w:r>
      <w:r w:rsidR="00F574B1">
        <w:t>o</w:t>
      </w:r>
      <w:r w:rsidR="00BF4FC1">
        <w:t>nly banks are position</w:t>
      </w:r>
      <w:r w:rsidR="00247208">
        <w:t>ed</w:t>
      </w:r>
      <w:r w:rsidR="00BF4FC1">
        <w:t xml:space="preserve"> to detect </w:t>
      </w:r>
      <w:r w:rsidR="000A6185">
        <w:t xml:space="preserve">and scrutinise </w:t>
      </w:r>
      <w:r w:rsidR="00BF4FC1">
        <w:t>suspicious transactions</w:t>
      </w:r>
      <w:r>
        <w:t>.  Only they have</w:t>
      </w:r>
      <w:r w:rsidR="000A6185">
        <w:t xml:space="preserve"> knowledge of their customers and their </w:t>
      </w:r>
      <w:r w:rsidR="00DD0FDF">
        <w:t>banking</w:t>
      </w:r>
      <w:r w:rsidR="000A6185">
        <w:t xml:space="preserve"> activities</w:t>
      </w:r>
      <w:r w:rsidR="00F574B1">
        <w:t xml:space="preserve">. </w:t>
      </w:r>
      <w:r w:rsidR="00BF4FC1">
        <w:t xml:space="preserve"> </w:t>
      </w:r>
    </w:p>
    <w:p w:rsidR="00197F5F" w:rsidRDefault="00BF67A5" w:rsidP="000F409E">
      <w:pPr>
        <w:pStyle w:val="Bob1"/>
        <w:numPr>
          <w:ilvl w:val="1"/>
          <w:numId w:val="11"/>
        </w:numPr>
        <w:jc w:val="both"/>
      </w:pPr>
      <w:r>
        <w:lastRenderedPageBreak/>
        <w:t>Accordingly, the statutory and regulatory rules</w:t>
      </w:r>
      <w:r w:rsidR="00F574B1">
        <w:t xml:space="preserve"> </w:t>
      </w:r>
      <w:r w:rsidR="00AA3610">
        <w:t>require</w:t>
      </w:r>
      <w:r w:rsidR="00BF4FC1">
        <w:t xml:space="preserve"> </w:t>
      </w:r>
      <w:r w:rsidR="00F574B1">
        <w:t xml:space="preserve">banks </w:t>
      </w:r>
      <w:r w:rsidR="00EA6C28">
        <w:t xml:space="preserve">to </w:t>
      </w:r>
      <w:r w:rsidR="00BF4FC1">
        <w:t xml:space="preserve">have in place </w:t>
      </w:r>
      <w:r>
        <w:t xml:space="preserve">a </w:t>
      </w:r>
      <w:r w:rsidR="009128F1">
        <w:t xml:space="preserve">working </w:t>
      </w:r>
      <w:r>
        <w:t xml:space="preserve">system </w:t>
      </w:r>
      <w:r w:rsidR="009128F1">
        <w:t xml:space="preserve">to </w:t>
      </w:r>
      <w:r w:rsidR="00BF4FC1">
        <w:t>conduct customer due diligence</w:t>
      </w:r>
      <w:r w:rsidR="00247208">
        <w:t>;</w:t>
      </w:r>
      <w:r w:rsidR="00BF4FC1">
        <w:t xml:space="preserve"> </w:t>
      </w:r>
      <w:r w:rsidR="009128F1">
        <w:t xml:space="preserve">to </w:t>
      </w:r>
      <w:r w:rsidR="00BF4FC1">
        <w:t xml:space="preserve">maintain continuous </w:t>
      </w:r>
      <w:r w:rsidR="00F574B1">
        <w:t xml:space="preserve">monitoring of </w:t>
      </w:r>
      <w:r>
        <w:t xml:space="preserve">customer </w:t>
      </w:r>
      <w:r w:rsidR="00F574B1">
        <w:t>accounts</w:t>
      </w:r>
      <w:r w:rsidR="00247208">
        <w:t>;</w:t>
      </w:r>
      <w:r w:rsidR="00313002">
        <w:t xml:space="preserve"> </w:t>
      </w:r>
      <w:r w:rsidR="009128F1">
        <w:t>to investigate</w:t>
      </w:r>
      <w:r w:rsidR="00313002">
        <w:t xml:space="preserve"> suspicious transactions</w:t>
      </w:r>
      <w:r w:rsidR="00247208">
        <w:t>;</w:t>
      </w:r>
      <w:r w:rsidR="00313002">
        <w:t xml:space="preserve"> </w:t>
      </w:r>
      <w:r w:rsidR="00247208">
        <w:t xml:space="preserve">to cease dealing with the </w:t>
      </w:r>
      <w:r w:rsidR="000A6185">
        <w:t xml:space="preserve">account holder and </w:t>
      </w:r>
      <w:r w:rsidR="009128F1">
        <w:t xml:space="preserve">to freeze </w:t>
      </w:r>
      <w:r>
        <w:t xml:space="preserve">the </w:t>
      </w:r>
      <w:r w:rsidR="00247208">
        <w:t xml:space="preserve">funds </w:t>
      </w:r>
      <w:r w:rsidR="009128F1">
        <w:t xml:space="preserve">where </w:t>
      </w:r>
      <w:r w:rsidR="00DD0FDF">
        <w:t>suspicions are unresolved</w:t>
      </w:r>
      <w:r w:rsidR="00247208">
        <w:t xml:space="preserve">; </w:t>
      </w:r>
      <w:r w:rsidR="00313002">
        <w:t xml:space="preserve">and to report </w:t>
      </w:r>
      <w:r w:rsidR="00F574B1">
        <w:t>suspicions to the</w:t>
      </w:r>
      <w:r w:rsidR="009128F1">
        <w:t xml:space="preserve"> police</w:t>
      </w:r>
      <w:r w:rsidR="00F574B1">
        <w:t>.</w:t>
      </w:r>
    </w:p>
    <w:p w:rsidR="00BF67A5" w:rsidRDefault="00BF67A5" w:rsidP="000F409E">
      <w:pPr>
        <w:pStyle w:val="Bob1"/>
        <w:numPr>
          <w:ilvl w:val="1"/>
          <w:numId w:val="11"/>
        </w:numPr>
        <w:jc w:val="both"/>
      </w:pPr>
      <w:r>
        <w:t xml:space="preserve">While a bank </w:t>
      </w:r>
      <w:r w:rsidR="008E245B">
        <w:t xml:space="preserve">may be </w:t>
      </w:r>
      <w:r w:rsidR="009128F1">
        <w:t xml:space="preserve">closely in touch </w:t>
      </w:r>
      <w:r>
        <w:t>with the police</w:t>
      </w:r>
      <w:r w:rsidR="00DD0FDF">
        <w:t xml:space="preserve"> in particular cases</w:t>
      </w:r>
      <w:r>
        <w:t xml:space="preserve">, it is required to make its own decision as to </w:t>
      </w:r>
      <w:r w:rsidR="008E245B">
        <w:t>what, if any,</w:t>
      </w:r>
      <w:r>
        <w:t xml:space="preserve"> action </w:t>
      </w:r>
      <w:r w:rsidR="00AA3610">
        <w:t xml:space="preserve">it </w:t>
      </w:r>
      <w:r>
        <w:t xml:space="preserve">should </w:t>
      </w:r>
      <w:r w:rsidR="00AA3610">
        <w:t xml:space="preserve">take </w:t>
      </w:r>
      <w:r w:rsidR="008E245B">
        <w:t xml:space="preserve">regarding </w:t>
      </w:r>
      <w:r w:rsidR="00DD0FDF">
        <w:t xml:space="preserve">the </w:t>
      </w:r>
      <w:r>
        <w:t>customer</w:t>
      </w:r>
      <w:r w:rsidR="00DD0FDF">
        <w:t>’s account</w:t>
      </w:r>
      <w:r>
        <w:t xml:space="preserve">.  </w:t>
      </w:r>
    </w:p>
    <w:p w:rsidR="00BF67A5" w:rsidRDefault="008E245B" w:rsidP="000F409E">
      <w:pPr>
        <w:pStyle w:val="Bob1"/>
        <w:numPr>
          <w:ilvl w:val="1"/>
          <w:numId w:val="11"/>
        </w:numPr>
        <w:jc w:val="both"/>
      </w:pPr>
      <w:r>
        <w:t>B</w:t>
      </w:r>
      <w:r w:rsidR="00F574B1">
        <w:t xml:space="preserve">anks are </w:t>
      </w:r>
      <w:r>
        <w:t xml:space="preserve">generally </w:t>
      </w:r>
      <w:r w:rsidR="00AA3610">
        <w:t xml:space="preserve">well </w:t>
      </w:r>
      <w:r w:rsidR="00F574B1">
        <w:t xml:space="preserve">motivated to comply </w:t>
      </w:r>
      <w:r>
        <w:t xml:space="preserve">with their anti-money laundering obligations </w:t>
      </w:r>
      <w:r w:rsidR="00F574B1">
        <w:t xml:space="preserve">in order to avoid criminal liability under OSCO and AMLO </w:t>
      </w:r>
      <w:r w:rsidR="00AA3610">
        <w:t>or</w:t>
      </w:r>
      <w:r w:rsidR="00F574B1">
        <w:t xml:space="preserve"> regulatory action</w:t>
      </w:r>
      <w:r>
        <w:t xml:space="preserve"> by HKMA</w:t>
      </w:r>
      <w:r w:rsidR="00F574B1">
        <w:t xml:space="preserve">, as well as reputational damage.   </w:t>
      </w:r>
    </w:p>
    <w:p w:rsidR="00F574B1" w:rsidRDefault="005751D4" w:rsidP="000F409E">
      <w:pPr>
        <w:pStyle w:val="Bob1"/>
        <w:numPr>
          <w:ilvl w:val="1"/>
          <w:numId w:val="11"/>
        </w:numPr>
        <w:jc w:val="both"/>
      </w:pPr>
      <w:r>
        <w:t xml:space="preserve">The evidence is that </w:t>
      </w:r>
      <w:r w:rsidR="008E245B">
        <w:t>in practice, banks</w:t>
      </w:r>
      <w:r>
        <w:t xml:space="preserve"> take compliance </w:t>
      </w:r>
      <w:r w:rsidR="00DD0FDF">
        <w:t xml:space="preserve">issues </w:t>
      </w:r>
      <w:r>
        <w:t>seriously</w:t>
      </w:r>
      <w:r w:rsidR="008E245B">
        <w:t xml:space="preserve">.  </w:t>
      </w:r>
      <w:r w:rsidR="00AA3610">
        <w:t xml:space="preserve">Thus, </w:t>
      </w:r>
      <w:r w:rsidRPr="00BF67A5">
        <w:rPr>
          <w:szCs w:val="28"/>
        </w:rPr>
        <w:t xml:space="preserve">between 2018 and May 2021, </w:t>
      </w:r>
      <w:r w:rsidR="004B5ED1" w:rsidRPr="00BF67A5">
        <w:rPr>
          <w:szCs w:val="28"/>
        </w:rPr>
        <w:t xml:space="preserve">the </w:t>
      </w:r>
      <w:r w:rsidRPr="00BF67A5">
        <w:rPr>
          <w:szCs w:val="28"/>
        </w:rPr>
        <w:t>JFIU received a total of 207,146 STRs</w:t>
      </w:r>
      <w:r w:rsidRPr="00BF67A5">
        <w:rPr>
          <w:sz w:val="24"/>
        </w:rPr>
        <w:t>.</w:t>
      </w:r>
      <w:r w:rsidRPr="00B373CA">
        <w:rPr>
          <w:rStyle w:val="FootnoteReference"/>
          <w:sz w:val="24"/>
        </w:rPr>
        <w:footnoteReference w:id="77"/>
      </w:r>
      <w:r w:rsidRPr="00BF67A5">
        <w:rPr>
          <w:sz w:val="24"/>
        </w:rPr>
        <w:t xml:space="preserve"> </w:t>
      </w:r>
    </w:p>
    <w:p w:rsidR="00247208" w:rsidRDefault="00247208" w:rsidP="000F409E">
      <w:pPr>
        <w:pStyle w:val="Bob1"/>
        <w:tabs>
          <w:tab w:val="clear" w:pos="720"/>
          <w:tab w:val="left" w:pos="1440"/>
        </w:tabs>
        <w:ind w:left="0" w:firstLine="0"/>
        <w:jc w:val="both"/>
      </w:pPr>
      <w:r>
        <w:t xml:space="preserve">The </w:t>
      </w:r>
      <w:r w:rsidR="008E245B">
        <w:t xml:space="preserve">role of the </w:t>
      </w:r>
      <w:r>
        <w:t xml:space="preserve">police </w:t>
      </w:r>
      <w:r w:rsidR="00DD0FDF">
        <w:t xml:space="preserve">is </w:t>
      </w:r>
      <w:r w:rsidR="008E245B">
        <w:t xml:space="preserve">as the main </w:t>
      </w:r>
      <w:r w:rsidR="00AA3610">
        <w:t xml:space="preserve">anti-money laundering law </w:t>
      </w:r>
      <w:r>
        <w:t xml:space="preserve">enforcement agency.  </w:t>
      </w:r>
      <w:r w:rsidR="008E245B">
        <w:t xml:space="preserve">The </w:t>
      </w:r>
      <w:r w:rsidR="000A6185">
        <w:t xml:space="preserve">STRs filed </w:t>
      </w:r>
      <w:r w:rsidR="008E245B">
        <w:t xml:space="preserve">draw attention </w:t>
      </w:r>
      <w:r w:rsidR="000A6185">
        <w:t>to possible money laundering</w:t>
      </w:r>
      <w:r w:rsidR="008E245B">
        <w:t xml:space="preserve"> activities</w:t>
      </w:r>
      <w:r w:rsidR="000A6185">
        <w:t xml:space="preserve">, </w:t>
      </w:r>
      <w:r w:rsidR="004B5ED1">
        <w:t>enabling the</w:t>
      </w:r>
      <w:r w:rsidR="009128F1">
        <w:t xml:space="preserve"> police</w:t>
      </w:r>
      <w:r w:rsidR="004B5ED1">
        <w:t xml:space="preserve"> </w:t>
      </w:r>
      <w:r w:rsidR="000A6185">
        <w:t xml:space="preserve">to </w:t>
      </w:r>
      <w:r w:rsidR="008E245B">
        <w:t>consider</w:t>
      </w:r>
      <w:r w:rsidR="00EA6C28">
        <w:t xml:space="preserve"> whether </w:t>
      </w:r>
      <w:r w:rsidR="008E245B">
        <w:t>investigative</w:t>
      </w:r>
      <w:r w:rsidR="004B5ED1">
        <w:t xml:space="preserve"> </w:t>
      </w:r>
      <w:r w:rsidR="00EA6C28">
        <w:t xml:space="preserve">action </w:t>
      </w:r>
      <w:r w:rsidR="008E245B">
        <w:t>should be taken</w:t>
      </w:r>
      <w:r w:rsidR="000A6185">
        <w:t xml:space="preserve">.  </w:t>
      </w:r>
      <w:r w:rsidR="008E245B">
        <w:t xml:space="preserve">Where the police have </w:t>
      </w:r>
      <w:r w:rsidR="00134DDB">
        <w:t xml:space="preserve">their own source of information raising suspicions about particular </w:t>
      </w:r>
      <w:r w:rsidR="00B31CEE">
        <w:t>customers and</w:t>
      </w:r>
      <w:r w:rsidR="00134DDB">
        <w:t xml:space="preserve"> accounts, they may </w:t>
      </w:r>
      <w:r w:rsidR="00B31CEE">
        <w:t xml:space="preserve">share that </w:t>
      </w:r>
      <w:r w:rsidR="00134DDB">
        <w:t xml:space="preserve">information </w:t>
      </w:r>
      <w:r w:rsidR="00B31CEE">
        <w:t xml:space="preserve">with </w:t>
      </w:r>
      <w:r w:rsidR="00134DDB">
        <w:t xml:space="preserve">the bank and request its assistance.  </w:t>
      </w:r>
      <w:r w:rsidR="00EA6C28">
        <w:t>A</w:t>
      </w:r>
      <w:r w:rsidR="00134DDB">
        <w:t xml:space="preserve"> cooperative</w:t>
      </w:r>
      <w:r w:rsidR="00EA6C28">
        <w:t xml:space="preserve"> working relationship is expected </w:t>
      </w:r>
      <w:r w:rsidR="00C1634A">
        <w:t xml:space="preserve">to exist </w:t>
      </w:r>
      <w:r w:rsidR="00EA6C28">
        <w:t xml:space="preserve">between a bank’s MLRO and the </w:t>
      </w:r>
      <w:r w:rsidR="004B5ED1">
        <w:t>JFIU</w:t>
      </w:r>
      <w:r w:rsidR="00B31CEE">
        <w:t>,</w:t>
      </w:r>
      <w:r w:rsidR="00EA6C28">
        <w:t xml:space="preserve"> but </w:t>
      </w:r>
      <w:r w:rsidR="00134DDB">
        <w:t xml:space="preserve">it is recognised that the bank must make its own decisions </w:t>
      </w:r>
      <w:r w:rsidR="00C1634A">
        <w:t xml:space="preserve">regarding the questioned account </w:t>
      </w:r>
      <w:r w:rsidR="00134DDB">
        <w:t xml:space="preserve">in </w:t>
      </w:r>
      <w:r w:rsidR="00AA3610">
        <w:t xml:space="preserve">light </w:t>
      </w:r>
      <w:r w:rsidR="00AA3610">
        <w:lastRenderedPageBreak/>
        <w:t xml:space="preserve">of its knowledge </w:t>
      </w:r>
      <w:r w:rsidR="00C1634A">
        <w:t>about the</w:t>
      </w:r>
      <w:r w:rsidR="00AA3610">
        <w:t xml:space="preserve"> customer</w:t>
      </w:r>
      <w:r w:rsidR="00EA6C28">
        <w:t xml:space="preserve">, whatever communications </w:t>
      </w:r>
      <w:r w:rsidR="00134DDB">
        <w:t xml:space="preserve">it </w:t>
      </w:r>
      <w:r w:rsidR="00EA6C28">
        <w:t xml:space="preserve">may </w:t>
      </w:r>
      <w:r w:rsidR="004B5ED1">
        <w:t xml:space="preserve">have </w:t>
      </w:r>
      <w:r w:rsidR="00C1634A">
        <w:t xml:space="preserve">had </w:t>
      </w:r>
      <w:r w:rsidR="00EA6C28">
        <w:t>with the police.</w:t>
      </w:r>
    </w:p>
    <w:p w:rsidR="00143BE0" w:rsidRDefault="00143BE0" w:rsidP="00143BE0">
      <w:pPr>
        <w:pStyle w:val="docmapheading"/>
      </w:pPr>
      <w:r>
        <w:t>E.</w:t>
      </w:r>
      <w:r>
        <w:tab/>
        <w:t xml:space="preserve">The </w:t>
      </w:r>
      <w:r w:rsidR="006C5958">
        <w:t xml:space="preserve">operational </w:t>
      </w:r>
      <w:r>
        <w:t xml:space="preserve">practice of the police </w:t>
      </w:r>
    </w:p>
    <w:p w:rsidR="00143BE0" w:rsidRPr="00B373CA" w:rsidRDefault="00B6239A" w:rsidP="000F409E">
      <w:pPr>
        <w:pStyle w:val="Bob1"/>
        <w:numPr>
          <w:ilvl w:val="0"/>
          <w:numId w:val="1"/>
        </w:numPr>
        <w:tabs>
          <w:tab w:val="clear" w:pos="720"/>
          <w:tab w:val="left" w:pos="1440"/>
        </w:tabs>
        <w:ind w:left="0" w:firstLine="0"/>
        <w:jc w:val="both"/>
        <w:rPr>
          <w:lang w:eastAsia="zh-HK"/>
        </w:rPr>
      </w:pPr>
      <w:r>
        <w:rPr>
          <w:lang w:eastAsia="zh-TW"/>
        </w:rPr>
        <w:t>As a</w:t>
      </w:r>
      <w:r w:rsidR="00F51C68">
        <w:rPr>
          <w:lang w:eastAsia="zh-TW"/>
        </w:rPr>
        <w:t>n important</w:t>
      </w:r>
      <w:r>
        <w:rPr>
          <w:lang w:eastAsia="zh-TW"/>
        </w:rPr>
        <w:t xml:space="preserve"> component of </w:t>
      </w:r>
      <w:r w:rsidR="00143BE0">
        <w:rPr>
          <w:lang w:eastAsia="zh-TW"/>
        </w:rPr>
        <w:t xml:space="preserve">the </w:t>
      </w:r>
      <w:r>
        <w:rPr>
          <w:lang w:eastAsia="zh-TW"/>
        </w:rPr>
        <w:t xml:space="preserve">anti-money laundering </w:t>
      </w:r>
      <w:r w:rsidR="00143BE0">
        <w:rPr>
          <w:lang w:eastAsia="zh-TW"/>
        </w:rPr>
        <w:t>framework,</w:t>
      </w:r>
      <w:r w:rsidR="00143BE0" w:rsidRPr="00B373CA">
        <w:rPr>
          <w:lang w:eastAsia="zh-TW"/>
        </w:rPr>
        <w:t xml:space="preserve"> the CP has developed a set of </w:t>
      </w:r>
      <w:r w:rsidR="00143BE0">
        <w:rPr>
          <w:lang w:eastAsia="zh-TW"/>
        </w:rPr>
        <w:t xml:space="preserve">operational </w:t>
      </w:r>
      <w:r w:rsidR="00143BE0" w:rsidRPr="00B373CA">
        <w:rPr>
          <w:lang w:eastAsia="zh-TW"/>
        </w:rPr>
        <w:t>policies and procedures set out in a published Force Procedures Manual (“</w:t>
      </w:r>
      <w:r w:rsidR="00143BE0" w:rsidRPr="00B373CA">
        <w:rPr>
          <w:u w:val="single"/>
          <w:lang w:eastAsia="zh-TW"/>
        </w:rPr>
        <w:t>FPM</w:t>
      </w:r>
      <w:r w:rsidR="00143BE0" w:rsidRPr="00B373CA">
        <w:rPr>
          <w:lang w:eastAsia="zh-TW"/>
        </w:rPr>
        <w:t>”).</w:t>
      </w:r>
      <w:r w:rsidR="00143BE0" w:rsidRPr="00B373CA">
        <w:rPr>
          <w:rStyle w:val="FootnoteReference"/>
          <w:lang w:eastAsia="zh-TW"/>
        </w:rPr>
        <w:footnoteReference w:id="78"/>
      </w:r>
      <w:r w:rsidR="00143BE0" w:rsidRPr="00B373CA">
        <w:rPr>
          <w:lang w:eastAsia="zh-TW"/>
        </w:rPr>
        <w:t xml:space="preserve">  </w:t>
      </w:r>
      <w:r w:rsidR="00A01716">
        <w:rPr>
          <w:lang w:eastAsia="zh-TW"/>
        </w:rPr>
        <w:t>C</w:t>
      </w:r>
      <w:r w:rsidR="00143BE0">
        <w:rPr>
          <w:lang w:eastAsia="zh-TW"/>
        </w:rPr>
        <w:t xml:space="preserve">ases like the present, where the police receive information of </w:t>
      </w:r>
      <w:r w:rsidR="00D80E6F">
        <w:rPr>
          <w:lang w:eastAsia="zh-TW"/>
        </w:rPr>
        <w:t>possible</w:t>
      </w:r>
      <w:r w:rsidR="00143BE0">
        <w:rPr>
          <w:lang w:eastAsia="zh-TW"/>
        </w:rPr>
        <w:t xml:space="preserve"> money laundering </w:t>
      </w:r>
      <w:r w:rsidR="00F95694">
        <w:rPr>
          <w:lang w:eastAsia="zh-TW"/>
        </w:rPr>
        <w:t>from</w:t>
      </w:r>
      <w:r w:rsidR="00143BE0">
        <w:rPr>
          <w:lang w:eastAsia="zh-TW"/>
        </w:rPr>
        <w:t xml:space="preserve"> </w:t>
      </w:r>
      <w:r w:rsidR="00A01716">
        <w:rPr>
          <w:lang w:eastAsia="zh-TW"/>
        </w:rPr>
        <w:t xml:space="preserve">a reputable non-banking source, here </w:t>
      </w:r>
      <w:r w:rsidR="00143BE0">
        <w:rPr>
          <w:lang w:eastAsia="zh-TW"/>
        </w:rPr>
        <w:t>the SFC, are</w:t>
      </w:r>
      <w:r w:rsidR="004B3052">
        <w:rPr>
          <w:lang w:eastAsia="zh-TW"/>
        </w:rPr>
        <w:t xml:space="preserve"> relatively</w:t>
      </w:r>
      <w:r w:rsidR="00143BE0">
        <w:rPr>
          <w:lang w:eastAsia="zh-TW"/>
        </w:rPr>
        <w:t xml:space="preserve"> rare.  </w:t>
      </w:r>
      <w:r w:rsidR="00894B30">
        <w:rPr>
          <w:lang w:eastAsia="zh-TW"/>
        </w:rPr>
        <w:t>But i</w:t>
      </w:r>
      <w:r w:rsidR="00143BE0">
        <w:rPr>
          <w:lang w:eastAsia="zh-TW"/>
        </w:rPr>
        <w:t>n such cases, g</w:t>
      </w:r>
      <w:r w:rsidR="00143BE0" w:rsidRPr="00B373CA">
        <w:rPr>
          <w:lang w:eastAsia="zh-TW"/>
        </w:rPr>
        <w:t xml:space="preserve">iving effect to </w:t>
      </w:r>
      <w:r w:rsidR="00143BE0">
        <w:rPr>
          <w:lang w:eastAsia="zh-TW"/>
        </w:rPr>
        <w:t>the above</w:t>
      </w:r>
      <w:r w:rsidR="00AF7BB3">
        <w:rPr>
          <w:lang w:eastAsia="zh-TW"/>
        </w:rPr>
        <w:t>-</w:t>
      </w:r>
      <w:r w:rsidR="00143BE0">
        <w:rPr>
          <w:lang w:eastAsia="zh-TW"/>
        </w:rPr>
        <w:t xml:space="preserve">mentioned </w:t>
      </w:r>
      <w:r w:rsidR="00143BE0" w:rsidRPr="00B373CA">
        <w:rPr>
          <w:lang w:eastAsia="zh-TW"/>
        </w:rPr>
        <w:t xml:space="preserve">OSCO provisions and the FPM, the sequence of events involving the use of LNCs </w:t>
      </w:r>
      <w:r w:rsidR="00143BE0">
        <w:rPr>
          <w:lang w:eastAsia="zh-TW"/>
        </w:rPr>
        <w:t xml:space="preserve">is likely to </w:t>
      </w:r>
      <w:r w:rsidR="00143BE0" w:rsidRPr="00B373CA">
        <w:rPr>
          <w:lang w:eastAsia="zh-TW"/>
        </w:rPr>
        <w:t>run as follows:</w:t>
      </w:r>
    </w:p>
    <w:p w:rsidR="00143BE0" w:rsidRPr="00B373CA" w:rsidRDefault="00143BE0" w:rsidP="000F409E">
      <w:pPr>
        <w:pStyle w:val="Bob1"/>
        <w:numPr>
          <w:ilvl w:val="1"/>
          <w:numId w:val="1"/>
        </w:numPr>
        <w:jc w:val="both"/>
        <w:rPr>
          <w:lang w:eastAsia="zh-HK"/>
        </w:rPr>
      </w:pPr>
      <w:r w:rsidRPr="00B373CA">
        <w:rPr>
          <w:lang w:eastAsia="zh-TW"/>
        </w:rPr>
        <w:t>Funds are deposited in the customer’s bank account.  The bank thereupon incurs a debt to the customer in the amount deposited</w:t>
      </w:r>
      <w:r>
        <w:rPr>
          <w:lang w:eastAsia="zh-TW"/>
        </w:rPr>
        <w:t>,</w:t>
      </w:r>
      <w:r w:rsidRPr="00B373CA">
        <w:rPr>
          <w:lang w:eastAsia="zh-TW"/>
        </w:rPr>
        <w:t xml:space="preserve"> usually repayable on demand.  That </w:t>
      </w:r>
      <w:r>
        <w:rPr>
          <w:lang w:eastAsia="zh-TW"/>
        </w:rPr>
        <w:t xml:space="preserve">debt, a </w:t>
      </w:r>
      <w:r w:rsidRPr="00B373CA">
        <w:rPr>
          <w:lang w:eastAsia="zh-TW"/>
        </w:rPr>
        <w:t>chose in action</w:t>
      </w:r>
      <w:r>
        <w:rPr>
          <w:lang w:eastAsia="zh-TW"/>
        </w:rPr>
        <w:t>,</w:t>
      </w:r>
      <w:r w:rsidRPr="00B373CA">
        <w:rPr>
          <w:lang w:eastAsia="zh-TW"/>
        </w:rPr>
        <w:t xml:space="preserve"> represents the customer’s property held by the bank.</w:t>
      </w:r>
      <w:r>
        <w:rPr>
          <w:rStyle w:val="FootnoteReference"/>
          <w:lang w:eastAsia="zh-TW"/>
        </w:rPr>
        <w:footnoteReference w:id="79"/>
      </w:r>
      <w:r w:rsidRPr="00B373CA">
        <w:rPr>
          <w:lang w:eastAsia="zh-TW"/>
        </w:rPr>
        <w:t xml:space="preserve"> [Step</w:t>
      </w:r>
      <w:r>
        <w:rPr>
          <w:lang w:eastAsia="zh-TW"/>
        </w:rPr>
        <w:t> 1</w:t>
      </w:r>
      <w:r w:rsidRPr="00B373CA">
        <w:rPr>
          <w:lang w:eastAsia="zh-TW"/>
        </w:rPr>
        <w:t>]</w:t>
      </w:r>
      <w:r w:rsidRPr="00B373CA">
        <w:rPr>
          <w:lang w:eastAsia="zh-HK"/>
        </w:rPr>
        <w:t xml:space="preserve"> </w:t>
      </w:r>
    </w:p>
    <w:p w:rsidR="00143BE0" w:rsidRPr="00B373CA" w:rsidRDefault="00057AF6" w:rsidP="000F409E">
      <w:pPr>
        <w:pStyle w:val="Bob1"/>
        <w:numPr>
          <w:ilvl w:val="1"/>
          <w:numId w:val="1"/>
        </w:numPr>
        <w:jc w:val="both"/>
        <w:rPr>
          <w:lang w:eastAsia="zh-HK"/>
        </w:rPr>
      </w:pPr>
      <w:r>
        <w:rPr>
          <w:lang w:eastAsia="zh-TW"/>
        </w:rPr>
        <w:t>The police intimate their suspicions about an account</w:t>
      </w:r>
      <w:r w:rsidR="00D353C4">
        <w:rPr>
          <w:lang w:eastAsia="zh-TW"/>
        </w:rPr>
        <w:t xml:space="preserve"> to the bank</w:t>
      </w:r>
      <w:r>
        <w:rPr>
          <w:lang w:eastAsia="zh-TW"/>
        </w:rPr>
        <w:t xml:space="preserve">.  </w:t>
      </w:r>
      <w:r w:rsidR="00894B30">
        <w:rPr>
          <w:lang w:eastAsia="zh-TW"/>
        </w:rPr>
        <w:t xml:space="preserve">Given </w:t>
      </w:r>
      <w:r w:rsidR="004B3052">
        <w:rPr>
          <w:lang w:eastAsia="zh-TW"/>
        </w:rPr>
        <w:t>the</w:t>
      </w:r>
      <w:r w:rsidR="00143BE0" w:rsidRPr="00B373CA">
        <w:rPr>
          <w:lang w:eastAsia="zh-TW"/>
        </w:rPr>
        <w:t xml:space="preserve"> information supplied by the police, </w:t>
      </w:r>
      <w:r w:rsidR="00A51DBF">
        <w:rPr>
          <w:lang w:eastAsia="zh-TW"/>
        </w:rPr>
        <w:t>the bank will appreciate</w:t>
      </w:r>
      <w:r w:rsidR="004B3052">
        <w:rPr>
          <w:lang w:eastAsia="zh-TW"/>
        </w:rPr>
        <w:t xml:space="preserve"> that there may </w:t>
      </w:r>
      <w:r w:rsidR="00894B30">
        <w:rPr>
          <w:lang w:eastAsia="zh-TW"/>
        </w:rPr>
        <w:t xml:space="preserve">well </w:t>
      </w:r>
      <w:r w:rsidR="004B3052">
        <w:rPr>
          <w:lang w:eastAsia="zh-TW"/>
        </w:rPr>
        <w:t xml:space="preserve">be reason to believe </w:t>
      </w:r>
      <w:r w:rsidR="00A01716">
        <w:rPr>
          <w:lang w:eastAsia="zh-TW"/>
        </w:rPr>
        <w:t xml:space="preserve">that </w:t>
      </w:r>
      <w:r w:rsidR="00143BE0" w:rsidRPr="00B373CA">
        <w:rPr>
          <w:lang w:eastAsia="zh-TW"/>
        </w:rPr>
        <w:t>th</w:t>
      </w:r>
      <w:r w:rsidR="004B3052">
        <w:rPr>
          <w:lang w:eastAsia="zh-TW"/>
        </w:rPr>
        <w:t>e relevant</w:t>
      </w:r>
      <w:r w:rsidR="00143BE0" w:rsidRPr="00B373CA">
        <w:rPr>
          <w:lang w:eastAsia="zh-TW"/>
        </w:rPr>
        <w:t xml:space="preserve"> funds </w:t>
      </w:r>
      <w:r w:rsidR="004B3052">
        <w:rPr>
          <w:lang w:eastAsia="zh-TW"/>
        </w:rPr>
        <w:t>are</w:t>
      </w:r>
      <w:r w:rsidR="00143BE0" w:rsidRPr="00B373CA">
        <w:rPr>
          <w:lang w:eastAsia="zh-TW"/>
        </w:rPr>
        <w:t xml:space="preserve"> the proceeds of an indictable offence.  </w:t>
      </w:r>
      <w:r w:rsidR="00A01716">
        <w:rPr>
          <w:lang w:eastAsia="zh-TW"/>
        </w:rPr>
        <w:t>The police may request</w:t>
      </w:r>
      <w:r w:rsidR="00143BE0">
        <w:rPr>
          <w:lang w:eastAsia="zh-TW"/>
        </w:rPr>
        <w:t xml:space="preserve"> the</w:t>
      </w:r>
      <w:r w:rsidR="00143BE0" w:rsidRPr="00B373CA">
        <w:rPr>
          <w:lang w:eastAsia="zh-TW"/>
        </w:rPr>
        <w:t xml:space="preserve"> bank </w:t>
      </w:r>
      <w:r w:rsidR="00143BE0">
        <w:rPr>
          <w:lang w:eastAsia="zh-TW"/>
        </w:rPr>
        <w:t xml:space="preserve">to </w:t>
      </w:r>
      <w:r w:rsidR="00143BE0" w:rsidRPr="00B373CA">
        <w:rPr>
          <w:lang w:eastAsia="zh-TW"/>
        </w:rPr>
        <w:t>issue a</w:t>
      </w:r>
      <w:r w:rsidR="00B6239A">
        <w:rPr>
          <w:lang w:eastAsia="zh-TW"/>
        </w:rPr>
        <w:t>n STR</w:t>
      </w:r>
      <w:r w:rsidR="00143BE0" w:rsidRPr="00B373CA">
        <w:rPr>
          <w:lang w:eastAsia="zh-TW"/>
        </w:rPr>
        <w:t xml:space="preserve"> to the </w:t>
      </w:r>
      <w:r w:rsidR="00B6239A">
        <w:rPr>
          <w:lang w:eastAsia="zh-TW"/>
        </w:rPr>
        <w:t>JFIU</w:t>
      </w:r>
      <w:r w:rsidR="00143BE0" w:rsidRPr="00B373CA">
        <w:rPr>
          <w:lang w:eastAsia="zh-TW"/>
        </w:rPr>
        <w:t xml:space="preserve"> in respect of those funds</w:t>
      </w:r>
      <w:r>
        <w:rPr>
          <w:lang w:eastAsia="zh-TW"/>
        </w:rPr>
        <w:t xml:space="preserve"> and may indicate that they intend to issue an LNC</w:t>
      </w:r>
      <w:r w:rsidR="00143BE0" w:rsidRPr="00B373CA">
        <w:rPr>
          <w:lang w:eastAsia="zh-TW"/>
        </w:rPr>
        <w:t>. [Step 2]</w:t>
      </w:r>
      <w:r w:rsidR="00143BE0" w:rsidRPr="00B373CA">
        <w:rPr>
          <w:lang w:eastAsia="zh-HK"/>
        </w:rPr>
        <w:t xml:space="preserve"> </w:t>
      </w:r>
    </w:p>
    <w:p w:rsidR="00143BE0" w:rsidRPr="00B373CA" w:rsidRDefault="00A51DBF" w:rsidP="000F409E">
      <w:pPr>
        <w:pStyle w:val="Bob1"/>
        <w:numPr>
          <w:ilvl w:val="1"/>
          <w:numId w:val="1"/>
        </w:numPr>
        <w:jc w:val="both"/>
        <w:rPr>
          <w:lang w:eastAsia="zh-HK"/>
        </w:rPr>
      </w:pPr>
      <w:r>
        <w:rPr>
          <w:lang w:eastAsia="zh-TW"/>
        </w:rPr>
        <w:t>N</w:t>
      </w:r>
      <w:r w:rsidR="004B3052">
        <w:rPr>
          <w:lang w:eastAsia="zh-TW"/>
        </w:rPr>
        <w:t xml:space="preserve">o doubt after reviewing its own customer records, </w:t>
      </w:r>
      <w:r>
        <w:rPr>
          <w:lang w:eastAsia="zh-TW"/>
        </w:rPr>
        <w:t xml:space="preserve">the bank </w:t>
      </w:r>
      <w:r w:rsidR="00D80E6F">
        <w:rPr>
          <w:lang w:eastAsia="zh-TW"/>
        </w:rPr>
        <w:t>disables</w:t>
      </w:r>
      <w:r w:rsidR="00143BE0" w:rsidRPr="00B373CA">
        <w:rPr>
          <w:lang w:eastAsia="zh-TW"/>
        </w:rPr>
        <w:t xml:space="preserve"> the account, refusing any instructions from the customer to </w:t>
      </w:r>
      <w:r w:rsidR="00143BE0" w:rsidRPr="00B373CA">
        <w:rPr>
          <w:lang w:eastAsia="zh-TW"/>
        </w:rPr>
        <w:lastRenderedPageBreak/>
        <w:t>deal with the funds</w:t>
      </w:r>
      <w:r>
        <w:rPr>
          <w:lang w:eastAsia="zh-TW"/>
        </w:rPr>
        <w:t>,</w:t>
      </w:r>
      <w:r w:rsidR="004B3052">
        <w:rPr>
          <w:lang w:eastAsia="zh-TW"/>
        </w:rPr>
        <w:t xml:space="preserve"> if the suspicion is not dispelled.  It</w:t>
      </w:r>
      <w:r w:rsidR="00143BE0" w:rsidRPr="00B373CA">
        <w:rPr>
          <w:lang w:eastAsia="zh-TW"/>
        </w:rPr>
        <w:t xml:space="preserve"> issues an STR to the JFIU. [Step 3]</w:t>
      </w:r>
      <w:r w:rsidR="00143BE0" w:rsidRPr="00B373CA">
        <w:rPr>
          <w:lang w:eastAsia="zh-HK"/>
        </w:rPr>
        <w:t xml:space="preserve"> </w:t>
      </w:r>
    </w:p>
    <w:p w:rsidR="00143BE0" w:rsidRPr="00B373CA" w:rsidRDefault="00143BE0" w:rsidP="000F409E">
      <w:pPr>
        <w:pStyle w:val="Bob1"/>
        <w:numPr>
          <w:ilvl w:val="1"/>
          <w:numId w:val="1"/>
        </w:numPr>
        <w:jc w:val="both"/>
        <w:rPr>
          <w:lang w:eastAsia="zh-HK"/>
        </w:rPr>
      </w:pPr>
      <w:r w:rsidRPr="00B373CA">
        <w:rPr>
          <w:lang w:eastAsia="zh-TW"/>
        </w:rPr>
        <w:t xml:space="preserve">If the JFIU </w:t>
      </w:r>
      <w:r>
        <w:rPr>
          <w:lang w:eastAsia="zh-TW"/>
        </w:rPr>
        <w:t>considers</w:t>
      </w:r>
      <w:r w:rsidRPr="00B373CA">
        <w:rPr>
          <w:lang w:eastAsia="zh-TW"/>
        </w:rPr>
        <w:t xml:space="preserve"> that the suspicious transaction should be followed up, it refers the matter to an investigating unit which has to decide within two working days</w:t>
      </w:r>
      <w:r w:rsidRPr="00B373CA">
        <w:rPr>
          <w:rStyle w:val="FootnoteReference"/>
          <w:lang w:eastAsia="zh-TW"/>
        </w:rPr>
        <w:footnoteReference w:id="80"/>
      </w:r>
      <w:r w:rsidRPr="00B373CA">
        <w:rPr>
          <w:lang w:eastAsia="zh-TW"/>
        </w:rPr>
        <w:t xml:space="preserve"> whether the bank should receive consent to deal with those funds.  If the investigating unit decides that consent should be given or if it does not make a decision within the two days (without obtaining any extension), the JFIU issues a Consent Letter to the bank, which enables it to deal lawfully with the funds. [Step 4]</w:t>
      </w:r>
      <w:r w:rsidRPr="00B373CA">
        <w:rPr>
          <w:lang w:eastAsia="zh-HK"/>
        </w:rPr>
        <w:t xml:space="preserve"> </w:t>
      </w:r>
    </w:p>
    <w:p w:rsidR="00143BE0" w:rsidRPr="00B373CA" w:rsidRDefault="00143BE0" w:rsidP="000F409E">
      <w:pPr>
        <w:pStyle w:val="Bob1"/>
        <w:numPr>
          <w:ilvl w:val="1"/>
          <w:numId w:val="1"/>
        </w:numPr>
        <w:jc w:val="both"/>
        <w:rPr>
          <w:lang w:eastAsia="zh-HK"/>
        </w:rPr>
      </w:pPr>
      <w:r w:rsidRPr="00B373CA">
        <w:rPr>
          <w:lang w:eastAsia="zh-TW"/>
        </w:rPr>
        <w:t>But if the investigating unit decides that there should not be consent pending further investigation, it procures the J</w:t>
      </w:r>
      <w:r>
        <w:rPr>
          <w:lang w:eastAsia="zh-TW"/>
        </w:rPr>
        <w:t>FIU to issue an LNC to the bank</w:t>
      </w:r>
      <w:r w:rsidRPr="00B373CA">
        <w:rPr>
          <w:lang w:eastAsia="zh-TW"/>
        </w:rPr>
        <w:t xml:space="preserve"> </w:t>
      </w:r>
      <w:r w:rsidR="00A01716">
        <w:rPr>
          <w:lang w:eastAsia="zh-TW"/>
        </w:rPr>
        <w:t xml:space="preserve">which </w:t>
      </w:r>
      <w:r w:rsidR="00A51DBF">
        <w:rPr>
          <w:lang w:eastAsia="zh-TW"/>
        </w:rPr>
        <w:t xml:space="preserve">generally </w:t>
      </w:r>
      <w:r w:rsidRPr="00B373CA">
        <w:rPr>
          <w:lang w:eastAsia="zh-TW"/>
        </w:rPr>
        <w:t>continues to freeze the account. [Step 5]</w:t>
      </w:r>
      <w:r w:rsidRPr="00B373CA">
        <w:rPr>
          <w:lang w:eastAsia="zh-HK"/>
        </w:rPr>
        <w:t xml:space="preserve"> </w:t>
      </w:r>
    </w:p>
    <w:p w:rsidR="00143BE0" w:rsidRPr="00B373CA" w:rsidRDefault="00143BE0" w:rsidP="000F409E">
      <w:pPr>
        <w:pStyle w:val="Bob1"/>
        <w:numPr>
          <w:ilvl w:val="1"/>
          <w:numId w:val="1"/>
        </w:numPr>
        <w:jc w:val="both"/>
        <w:rPr>
          <w:lang w:eastAsia="zh-HK"/>
        </w:rPr>
      </w:pPr>
      <w:r w:rsidRPr="00B373CA">
        <w:rPr>
          <w:lang w:eastAsia="zh-TW"/>
        </w:rPr>
        <w:t xml:space="preserve">The FPM requires the JFIU then to use its best endeavours to obtain a restraint order from the court under </w:t>
      </w:r>
      <w:r w:rsidRPr="00057AF6">
        <w:rPr>
          <w:lang w:eastAsia="zh-TW"/>
        </w:rPr>
        <w:t>OSCO section 15</w:t>
      </w:r>
      <w:r w:rsidRPr="00B373CA">
        <w:rPr>
          <w:lang w:eastAsia="zh-TW"/>
        </w:rPr>
        <w:t xml:space="preserve"> or to </w:t>
      </w:r>
      <w:r w:rsidR="00A01716">
        <w:rPr>
          <w:lang w:eastAsia="zh-TW"/>
        </w:rPr>
        <w:t>procure</w:t>
      </w:r>
      <w:r w:rsidRPr="00B373CA">
        <w:rPr>
          <w:lang w:eastAsia="zh-TW"/>
        </w:rPr>
        <w:t xml:space="preserve"> the </w:t>
      </w:r>
      <w:r w:rsidR="00894B30">
        <w:rPr>
          <w:lang w:eastAsia="zh-TW"/>
        </w:rPr>
        <w:t xml:space="preserve">alleged </w:t>
      </w:r>
      <w:r w:rsidRPr="00B373CA">
        <w:rPr>
          <w:lang w:eastAsia="zh-TW"/>
        </w:rPr>
        <w:t xml:space="preserve">victim of the crime to seek a </w:t>
      </w:r>
      <w:proofErr w:type="spellStart"/>
      <w:r w:rsidRPr="00B373CA">
        <w:rPr>
          <w:lang w:eastAsia="zh-TW"/>
        </w:rPr>
        <w:t>Mareva</w:t>
      </w:r>
      <w:proofErr w:type="spellEnd"/>
      <w:r w:rsidRPr="00B373CA">
        <w:rPr>
          <w:lang w:eastAsia="zh-TW"/>
        </w:rPr>
        <w:t xml:space="preserve"> injunction to freeze the funds in the bank.  </w:t>
      </w:r>
      <w:r>
        <w:rPr>
          <w:lang w:eastAsia="zh-TW"/>
        </w:rPr>
        <w:t xml:space="preserve">Pending the obtaining of such an order, </w:t>
      </w:r>
      <w:r w:rsidRPr="00B373CA">
        <w:rPr>
          <w:lang w:eastAsia="zh-TW"/>
        </w:rPr>
        <w:t xml:space="preserve">the LNC </w:t>
      </w:r>
      <w:r>
        <w:rPr>
          <w:lang w:eastAsia="zh-TW"/>
        </w:rPr>
        <w:t>remain</w:t>
      </w:r>
      <w:r w:rsidR="00A51DBF">
        <w:rPr>
          <w:lang w:eastAsia="zh-TW"/>
        </w:rPr>
        <w:t>s</w:t>
      </w:r>
      <w:r w:rsidRPr="00B373CA">
        <w:rPr>
          <w:lang w:eastAsia="zh-TW"/>
        </w:rPr>
        <w:t xml:space="preserve"> in place </w:t>
      </w:r>
      <w:r>
        <w:rPr>
          <w:lang w:eastAsia="zh-TW"/>
        </w:rPr>
        <w:t xml:space="preserve">as </w:t>
      </w:r>
      <w:r w:rsidRPr="00B373CA">
        <w:rPr>
          <w:lang w:eastAsia="zh-TW"/>
        </w:rPr>
        <w:t>the investigation</w:t>
      </w:r>
      <w:r>
        <w:rPr>
          <w:lang w:eastAsia="zh-TW"/>
        </w:rPr>
        <w:t xml:space="preserve"> proceeds</w:t>
      </w:r>
      <w:r w:rsidRPr="00B373CA">
        <w:rPr>
          <w:lang w:eastAsia="zh-TW"/>
        </w:rPr>
        <w:t>, but with monthly reviews.  Under the FPM, the LNC lapses after 6 months</w:t>
      </w:r>
      <w:r w:rsidR="00894B30">
        <w:rPr>
          <w:lang w:eastAsia="zh-TW"/>
        </w:rPr>
        <w:t xml:space="preserve"> if no court order has been obtained</w:t>
      </w:r>
      <w:r w:rsidR="00B17420">
        <w:rPr>
          <w:lang w:eastAsia="zh-TW"/>
        </w:rPr>
        <w:t xml:space="preserve">, </w:t>
      </w:r>
      <w:r w:rsidRPr="00B373CA">
        <w:rPr>
          <w:lang w:eastAsia="zh-TW"/>
        </w:rPr>
        <w:t xml:space="preserve">save where an extension </w:t>
      </w:r>
      <w:r w:rsidR="00B17420">
        <w:rPr>
          <w:lang w:eastAsia="zh-TW"/>
        </w:rPr>
        <w:t xml:space="preserve">of time </w:t>
      </w:r>
      <w:r w:rsidRPr="00B373CA">
        <w:rPr>
          <w:lang w:eastAsia="zh-TW"/>
        </w:rPr>
        <w:t>is justified in exceptional circumstances. [Step 6]</w:t>
      </w:r>
      <w:r w:rsidRPr="00B373CA">
        <w:rPr>
          <w:lang w:eastAsia="zh-HK"/>
        </w:rPr>
        <w:t xml:space="preserve"> </w:t>
      </w:r>
    </w:p>
    <w:p w:rsidR="00143BE0" w:rsidRDefault="00143BE0" w:rsidP="000F409E">
      <w:pPr>
        <w:pStyle w:val="Bob1"/>
        <w:numPr>
          <w:ilvl w:val="1"/>
          <w:numId w:val="1"/>
        </w:numPr>
        <w:jc w:val="both"/>
        <w:rPr>
          <w:lang w:eastAsia="zh-HK"/>
        </w:rPr>
      </w:pPr>
      <w:r w:rsidRPr="00B373CA">
        <w:rPr>
          <w:lang w:eastAsia="zh-TW"/>
        </w:rPr>
        <w:t>If an OSCO restraint order is obtained,</w:t>
      </w:r>
      <w:r w:rsidRPr="00B373CA">
        <w:rPr>
          <w:rStyle w:val="FootnoteReference"/>
          <w:lang w:eastAsia="zh-HK"/>
        </w:rPr>
        <w:footnoteReference w:id="81"/>
      </w:r>
      <w:r w:rsidRPr="00B373CA">
        <w:rPr>
          <w:lang w:eastAsia="zh-TW"/>
        </w:rPr>
        <w:t xml:space="preserve"> the court assumes supervision of the frozen account in accordance with OSCO section 15 and related provisions, leading eventually either to a confiscation </w:t>
      </w:r>
      <w:r w:rsidRPr="00B373CA">
        <w:rPr>
          <w:lang w:eastAsia="zh-TW"/>
        </w:rPr>
        <w:lastRenderedPageBreak/>
        <w:t>order or to discharge of the restraint order and release of the funds.</w:t>
      </w:r>
      <w:r w:rsidRPr="00B373CA">
        <w:rPr>
          <w:rStyle w:val="FootnoteReference"/>
          <w:lang w:eastAsia="zh-TW"/>
        </w:rPr>
        <w:footnoteReference w:id="82"/>
      </w:r>
      <w:r w:rsidRPr="00B373CA">
        <w:rPr>
          <w:lang w:eastAsia="zh-TW"/>
        </w:rPr>
        <w:t xml:space="preserve">  If no restraint order is obtained within the time limits set by the FPM, the JFIU issues a Consent Letter enabling the bank to deal with the property under section 25A(2)(a).  </w:t>
      </w:r>
      <w:r>
        <w:rPr>
          <w:lang w:eastAsia="zh-TW"/>
        </w:rPr>
        <w:t>[Step 7]</w:t>
      </w:r>
    </w:p>
    <w:p w:rsidR="00143BE0" w:rsidRPr="00B373CA" w:rsidRDefault="00143BE0" w:rsidP="000F409E">
      <w:pPr>
        <w:pStyle w:val="Bob1"/>
        <w:numPr>
          <w:ilvl w:val="0"/>
          <w:numId w:val="1"/>
        </w:numPr>
        <w:tabs>
          <w:tab w:val="clear" w:pos="720"/>
          <w:tab w:val="left" w:pos="1440"/>
        </w:tabs>
        <w:ind w:left="0" w:firstLine="0"/>
        <w:jc w:val="both"/>
        <w:rPr>
          <w:lang w:eastAsia="zh-HK"/>
        </w:rPr>
      </w:pPr>
      <w:r>
        <w:rPr>
          <w:lang w:eastAsia="zh-HK"/>
        </w:rPr>
        <w:t xml:space="preserve">In the present case, at the end of </w:t>
      </w:r>
      <w:r>
        <w:rPr>
          <w:lang w:eastAsia="zh-TW"/>
        </w:rPr>
        <w:t xml:space="preserve">November </w:t>
      </w:r>
      <w:r w:rsidR="00B6239A">
        <w:rPr>
          <w:lang w:eastAsia="zh-TW"/>
        </w:rPr>
        <w:t>and the beginning of December 2020</w:t>
      </w:r>
      <w:r>
        <w:rPr>
          <w:lang w:eastAsia="zh-HK"/>
        </w:rPr>
        <w:t xml:space="preserve">, </w:t>
      </w:r>
      <w:r w:rsidRPr="00B373CA">
        <w:rPr>
          <w:lang w:eastAsia="zh-TW"/>
        </w:rPr>
        <w:t>the police sent e</w:t>
      </w:r>
      <w:r w:rsidRPr="00B373CA">
        <w:rPr>
          <w:lang w:eastAsia="zh-TW"/>
        </w:rPr>
        <w:noBreakHyphen/>
        <w:t xml:space="preserve">mails to the </w:t>
      </w:r>
      <w:r w:rsidR="00B17420">
        <w:rPr>
          <w:lang w:eastAsia="zh-TW"/>
        </w:rPr>
        <w:t xml:space="preserve">four </w:t>
      </w:r>
      <w:r w:rsidRPr="00B373CA">
        <w:rPr>
          <w:lang w:eastAsia="zh-TW"/>
        </w:rPr>
        <w:t>banks informing them</w:t>
      </w:r>
      <w:r w:rsidR="00B6239A">
        <w:rPr>
          <w:lang w:eastAsia="zh-TW"/>
        </w:rPr>
        <w:t xml:space="preserve"> </w:t>
      </w:r>
      <w:r w:rsidRPr="00B373CA">
        <w:rPr>
          <w:lang w:eastAsia="zh-TW"/>
        </w:rPr>
        <w:t>of the police suspicions</w:t>
      </w:r>
      <w:r>
        <w:rPr>
          <w:lang w:eastAsia="zh-TW"/>
        </w:rPr>
        <w:t>,</w:t>
      </w:r>
      <w:r w:rsidRPr="00B373CA">
        <w:rPr>
          <w:lang w:eastAsia="zh-TW"/>
        </w:rPr>
        <w:t xml:space="preserve"> requesting </w:t>
      </w:r>
      <w:r>
        <w:rPr>
          <w:lang w:eastAsia="zh-TW"/>
        </w:rPr>
        <w:t xml:space="preserve">them to suspend the accounts and to </w:t>
      </w:r>
      <w:r w:rsidRPr="00B373CA">
        <w:rPr>
          <w:lang w:eastAsia="zh-TW"/>
        </w:rPr>
        <w:t>submit STRs</w:t>
      </w:r>
      <w:r>
        <w:rPr>
          <w:lang w:eastAsia="zh-TW"/>
        </w:rPr>
        <w:t>, also intimating that the police intended to issue LNCs</w:t>
      </w:r>
      <w:r w:rsidR="00894B30">
        <w:rPr>
          <w:lang w:eastAsia="zh-TW"/>
        </w:rPr>
        <w:t xml:space="preserve"> </w:t>
      </w:r>
      <w:r w:rsidR="00894B30">
        <w:rPr>
          <w:lang w:eastAsia="zh-HK"/>
        </w:rPr>
        <w:t>[Step 2]</w:t>
      </w:r>
      <w:r w:rsidRPr="00B373CA">
        <w:rPr>
          <w:lang w:eastAsia="zh-TW"/>
        </w:rPr>
        <w:t>.</w:t>
      </w:r>
      <w:r w:rsidRPr="00B373CA">
        <w:rPr>
          <w:rStyle w:val="FootnoteReference"/>
          <w:lang w:eastAsia="zh-TW"/>
        </w:rPr>
        <w:footnoteReference w:id="83"/>
      </w:r>
      <w:r w:rsidRPr="00B373CA">
        <w:rPr>
          <w:lang w:eastAsia="zh-TW"/>
        </w:rPr>
        <w:t xml:space="preserve">  </w:t>
      </w:r>
      <w:r>
        <w:rPr>
          <w:lang w:eastAsia="zh-HK"/>
        </w:rPr>
        <w:t>The banks complied</w:t>
      </w:r>
      <w:r>
        <w:rPr>
          <w:lang w:eastAsia="zh-TW"/>
        </w:rPr>
        <w:t xml:space="preserve">, submitting STRs </w:t>
      </w:r>
      <w:proofErr w:type="gramStart"/>
      <w:r>
        <w:rPr>
          <w:lang w:eastAsia="zh-TW"/>
        </w:rPr>
        <w:t>to</w:t>
      </w:r>
      <w:proofErr w:type="gramEnd"/>
      <w:r>
        <w:rPr>
          <w:lang w:eastAsia="zh-TW"/>
        </w:rPr>
        <w:t xml:space="preserve"> the JFIU [Step 3].  The JFIU thereupon referred the matter to the </w:t>
      </w:r>
      <w:r w:rsidRPr="00461FFF">
        <w:rPr>
          <w:lang w:eastAsia="zh-TW"/>
        </w:rPr>
        <w:t xml:space="preserve">Financial Investigation Division which </w:t>
      </w:r>
      <w:r>
        <w:rPr>
          <w:lang w:eastAsia="zh-TW"/>
        </w:rPr>
        <w:t xml:space="preserve">then </w:t>
      </w:r>
      <w:r w:rsidRPr="00461FFF">
        <w:rPr>
          <w:lang w:eastAsia="zh-TW"/>
        </w:rPr>
        <w:t>asked JFIU to issue LNCs</w:t>
      </w:r>
      <w:r>
        <w:rPr>
          <w:lang w:eastAsia="zh-TW"/>
        </w:rPr>
        <w:t xml:space="preserve"> to the banks</w:t>
      </w:r>
      <w:r w:rsidR="00B17420">
        <w:rPr>
          <w:lang w:eastAsia="zh-TW"/>
        </w:rPr>
        <w:t>.  That was done</w:t>
      </w:r>
      <w:r>
        <w:rPr>
          <w:lang w:eastAsia="zh-TW"/>
        </w:rPr>
        <w:t xml:space="preserve"> </w:t>
      </w:r>
      <w:r w:rsidR="00894B30">
        <w:rPr>
          <w:lang w:eastAsia="zh-TW"/>
        </w:rPr>
        <w:t xml:space="preserve">and </w:t>
      </w:r>
      <w:r>
        <w:rPr>
          <w:lang w:eastAsia="zh-TW"/>
        </w:rPr>
        <w:t>the accounts remained disabled [Step 5].  A</w:t>
      </w:r>
      <w:r w:rsidRPr="00B373CA">
        <w:rPr>
          <w:lang w:eastAsia="zh-TW"/>
        </w:rPr>
        <w:t xml:space="preserve"> restraint order was obtained </w:t>
      </w:r>
      <w:r>
        <w:rPr>
          <w:lang w:eastAsia="zh-TW"/>
        </w:rPr>
        <w:t xml:space="preserve">from the court </w:t>
      </w:r>
      <w:r w:rsidRPr="00B373CA">
        <w:rPr>
          <w:lang w:eastAsia="zh-TW"/>
        </w:rPr>
        <w:t>on 11 October 2021, some 10 mo</w:t>
      </w:r>
      <w:r>
        <w:rPr>
          <w:lang w:eastAsia="zh-TW"/>
        </w:rPr>
        <w:t>nths after the LNCs were issued</w:t>
      </w:r>
      <w:r w:rsidRPr="00B373CA">
        <w:rPr>
          <w:lang w:eastAsia="zh-TW"/>
        </w:rPr>
        <w:t xml:space="preserve"> [Step 7]</w:t>
      </w:r>
      <w:r>
        <w:rPr>
          <w:lang w:eastAsia="zh-TW"/>
        </w:rPr>
        <w:t xml:space="preserve">. </w:t>
      </w:r>
      <w:r w:rsidR="00A16A31">
        <w:rPr>
          <w:lang w:eastAsia="zh-TW"/>
        </w:rPr>
        <w:t>We were told at the hearing that a</w:t>
      </w:r>
      <w:r w:rsidR="00B17420">
        <w:rPr>
          <w:lang w:eastAsia="zh-TW"/>
        </w:rPr>
        <w:t xml:space="preserve">n </w:t>
      </w:r>
      <w:r w:rsidR="00A16A31">
        <w:rPr>
          <w:lang w:eastAsia="zh-TW"/>
        </w:rPr>
        <w:t xml:space="preserve">application by the appellants </w:t>
      </w:r>
      <w:r w:rsidR="00462EA7">
        <w:rPr>
          <w:lang w:eastAsia="zh-TW"/>
        </w:rPr>
        <w:t xml:space="preserve">asking </w:t>
      </w:r>
      <w:r w:rsidR="00A16A31">
        <w:rPr>
          <w:lang w:eastAsia="zh-TW"/>
        </w:rPr>
        <w:t>the court to refuse to extend the restraint order was unsuccessful.</w:t>
      </w:r>
    </w:p>
    <w:p w:rsidR="00D80E6F" w:rsidRPr="00B373CA" w:rsidRDefault="00D80E6F" w:rsidP="00D80E6F">
      <w:pPr>
        <w:pStyle w:val="docmapheading"/>
        <w:keepNext/>
        <w:rPr>
          <w:lang w:eastAsia="zh-HK"/>
        </w:rPr>
      </w:pPr>
      <w:r>
        <w:rPr>
          <w:lang w:eastAsia="zh-TW"/>
        </w:rPr>
        <w:t>F</w:t>
      </w:r>
      <w:r w:rsidRPr="00B373CA">
        <w:rPr>
          <w:lang w:eastAsia="zh-TW"/>
        </w:rPr>
        <w:t>.</w:t>
      </w:r>
      <w:r w:rsidRPr="00B373CA">
        <w:rPr>
          <w:lang w:eastAsia="zh-TW"/>
        </w:rPr>
        <w:tab/>
        <w:t>The nature and purpose of the LNCs</w:t>
      </w:r>
    </w:p>
    <w:p w:rsidR="00D80E6F" w:rsidRDefault="00D80E6F" w:rsidP="000F409E">
      <w:pPr>
        <w:pStyle w:val="Bob1"/>
        <w:numPr>
          <w:ilvl w:val="0"/>
          <w:numId w:val="1"/>
        </w:numPr>
        <w:tabs>
          <w:tab w:val="clear" w:pos="720"/>
          <w:tab w:val="left" w:pos="1440"/>
        </w:tabs>
        <w:ind w:left="0" w:firstLine="0"/>
        <w:jc w:val="both"/>
        <w:rPr>
          <w:lang w:eastAsia="zh-HK"/>
        </w:rPr>
      </w:pPr>
      <w:r w:rsidRPr="00B373CA">
        <w:rPr>
          <w:lang w:eastAsia="zh-TW"/>
        </w:rPr>
        <w:t xml:space="preserve">It will be apparent that in the </w:t>
      </w:r>
      <w:r w:rsidR="004B3052">
        <w:rPr>
          <w:lang w:eastAsia="zh-TW"/>
        </w:rPr>
        <w:t>sequence of events</w:t>
      </w:r>
      <w:r>
        <w:rPr>
          <w:lang w:eastAsia="zh-TW"/>
        </w:rPr>
        <w:t xml:space="preserve"> described</w:t>
      </w:r>
      <w:r w:rsidRPr="00B373CA">
        <w:rPr>
          <w:lang w:eastAsia="zh-TW"/>
        </w:rPr>
        <w:t xml:space="preserve">, no property belonging to the suspect </w:t>
      </w:r>
      <w:r w:rsidR="003A7B24">
        <w:rPr>
          <w:lang w:eastAsia="zh-TW"/>
        </w:rPr>
        <w:t>is</w:t>
      </w:r>
      <w:r>
        <w:rPr>
          <w:lang w:eastAsia="zh-TW"/>
        </w:rPr>
        <w:t xml:space="preserve"> ever held </w:t>
      </w:r>
      <w:r w:rsidR="0045329F">
        <w:rPr>
          <w:lang w:eastAsia="zh-TW"/>
        </w:rPr>
        <w:t xml:space="preserve">or seized </w:t>
      </w:r>
      <w:r>
        <w:rPr>
          <w:lang w:eastAsia="zh-TW"/>
        </w:rPr>
        <w:t xml:space="preserve">by the police.  </w:t>
      </w:r>
      <w:r w:rsidR="00BD4AB5">
        <w:rPr>
          <w:lang w:eastAsia="zh-TW"/>
        </w:rPr>
        <w:t xml:space="preserve">It is the bank </w:t>
      </w:r>
      <w:r w:rsidR="00BD4AB5" w:rsidRPr="00B373CA">
        <w:rPr>
          <w:lang w:eastAsia="zh-TW"/>
        </w:rPr>
        <w:t>which maintains the account for the customer and</w:t>
      </w:r>
      <w:r w:rsidR="00BD4AB5">
        <w:rPr>
          <w:lang w:eastAsia="zh-TW"/>
        </w:rPr>
        <w:t>,</w:t>
      </w:r>
      <w:r w:rsidR="00BD4AB5" w:rsidRPr="00B373CA">
        <w:rPr>
          <w:lang w:eastAsia="zh-TW"/>
        </w:rPr>
        <w:t xml:space="preserve"> </w:t>
      </w:r>
      <w:r w:rsidR="00BD4AB5">
        <w:rPr>
          <w:lang w:eastAsia="zh-TW"/>
        </w:rPr>
        <w:t>i</w:t>
      </w:r>
      <w:r>
        <w:rPr>
          <w:lang w:eastAsia="zh-TW"/>
        </w:rPr>
        <w:t xml:space="preserve">n accordance with </w:t>
      </w:r>
      <w:r w:rsidRPr="00B373CA">
        <w:rPr>
          <w:lang w:eastAsia="zh-TW"/>
        </w:rPr>
        <w:t>t</w:t>
      </w:r>
      <w:r>
        <w:rPr>
          <w:lang w:eastAsia="zh-TW"/>
        </w:rPr>
        <w:t xml:space="preserve">he anti-money laundering </w:t>
      </w:r>
      <w:r w:rsidR="00A51DBF">
        <w:rPr>
          <w:lang w:eastAsia="zh-TW"/>
        </w:rPr>
        <w:t>requirements</w:t>
      </w:r>
      <w:r>
        <w:rPr>
          <w:lang w:eastAsia="zh-TW"/>
        </w:rPr>
        <w:t xml:space="preserve"> discussed above, </w:t>
      </w:r>
      <w:r w:rsidRPr="00B373CA">
        <w:rPr>
          <w:lang w:eastAsia="zh-TW"/>
        </w:rPr>
        <w:t>decide</w:t>
      </w:r>
      <w:r w:rsidR="001512CC">
        <w:rPr>
          <w:lang w:eastAsia="zh-TW"/>
        </w:rPr>
        <w:t>s</w:t>
      </w:r>
      <w:r w:rsidRPr="00B373CA">
        <w:rPr>
          <w:lang w:eastAsia="zh-TW"/>
        </w:rPr>
        <w:t xml:space="preserve"> whether the customer should be allowed to draw on the suspect funds or whether the account</w:t>
      </w:r>
      <w:r w:rsidR="00BD4AB5">
        <w:rPr>
          <w:lang w:eastAsia="zh-TW"/>
        </w:rPr>
        <w:t xml:space="preserve"> should be disabled</w:t>
      </w:r>
      <w:r w:rsidRPr="00B373CA">
        <w:rPr>
          <w:lang w:eastAsia="zh-TW"/>
        </w:rPr>
        <w:t>.</w:t>
      </w:r>
      <w:r>
        <w:rPr>
          <w:lang w:eastAsia="zh-TW"/>
        </w:rPr>
        <w:t xml:space="preserve"> </w:t>
      </w:r>
    </w:p>
    <w:p w:rsidR="00D80E6F" w:rsidRDefault="00BD4AB5" w:rsidP="000F409E">
      <w:pPr>
        <w:pStyle w:val="Bob1"/>
        <w:numPr>
          <w:ilvl w:val="0"/>
          <w:numId w:val="1"/>
        </w:numPr>
        <w:tabs>
          <w:tab w:val="clear" w:pos="720"/>
          <w:tab w:val="left" w:pos="1440"/>
        </w:tabs>
        <w:ind w:left="0" w:firstLine="0"/>
        <w:jc w:val="both"/>
        <w:rPr>
          <w:lang w:eastAsia="zh-HK"/>
        </w:rPr>
      </w:pPr>
      <w:r>
        <w:rPr>
          <w:lang w:eastAsia="zh-TW"/>
        </w:rPr>
        <w:t>Thus, w</w:t>
      </w:r>
      <w:r w:rsidR="00D80E6F" w:rsidRPr="00B373CA">
        <w:rPr>
          <w:lang w:eastAsia="zh-TW"/>
        </w:rPr>
        <w:t>hen at [Step 2] the police inform the bank of their suspicions,</w:t>
      </w:r>
      <w:r w:rsidR="00D80E6F">
        <w:rPr>
          <w:lang w:eastAsia="zh-TW"/>
        </w:rPr>
        <w:t xml:space="preserve"> OSCO, AMLO and HKMA’s regulatory requirements</w:t>
      </w:r>
      <w:r w:rsidR="00D80E6F" w:rsidRPr="00B373CA">
        <w:rPr>
          <w:lang w:eastAsia="zh-TW"/>
        </w:rPr>
        <w:t xml:space="preserve"> </w:t>
      </w:r>
      <w:r w:rsidR="00D80E6F">
        <w:rPr>
          <w:lang w:eastAsia="zh-TW"/>
        </w:rPr>
        <w:t>c</w:t>
      </w:r>
      <w:r w:rsidR="003A7B24">
        <w:rPr>
          <w:lang w:eastAsia="zh-TW"/>
        </w:rPr>
        <w:t>o</w:t>
      </w:r>
      <w:r w:rsidR="00D80E6F">
        <w:rPr>
          <w:lang w:eastAsia="zh-TW"/>
        </w:rPr>
        <w:t xml:space="preserve">me </w:t>
      </w:r>
      <w:r w:rsidR="00D80E6F" w:rsidRPr="00B373CA">
        <w:rPr>
          <w:lang w:eastAsia="zh-TW"/>
        </w:rPr>
        <w:t xml:space="preserve">into play.  </w:t>
      </w:r>
      <w:r w:rsidR="00230063">
        <w:rPr>
          <w:lang w:eastAsia="zh-TW"/>
        </w:rPr>
        <w:t>The bank</w:t>
      </w:r>
      <w:r w:rsidR="001512CC">
        <w:rPr>
          <w:lang w:eastAsia="zh-TW"/>
        </w:rPr>
        <w:t xml:space="preserve"> </w:t>
      </w:r>
      <w:r w:rsidR="001512CC">
        <w:rPr>
          <w:lang w:eastAsia="zh-TW"/>
        </w:rPr>
        <w:lastRenderedPageBreak/>
        <w:t>undoubtedly</w:t>
      </w:r>
      <w:r w:rsidR="00D80E6F">
        <w:rPr>
          <w:lang w:eastAsia="zh-TW"/>
        </w:rPr>
        <w:t xml:space="preserve"> </w:t>
      </w:r>
      <w:r w:rsidR="00D80E6F" w:rsidRPr="00B373CA">
        <w:rPr>
          <w:lang w:eastAsia="zh-TW"/>
        </w:rPr>
        <w:t>appreciate</w:t>
      </w:r>
      <w:r w:rsidR="003A7B24">
        <w:rPr>
          <w:lang w:eastAsia="zh-TW"/>
        </w:rPr>
        <w:t>s</w:t>
      </w:r>
      <w:r w:rsidR="00D80E6F" w:rsidRPr="00B373CA">
        <w:rPr>
          <w:lang w:eastAsia="zh-TW"/>
        </w:rPr>
        <w:t xml:space="preserve"> the </w:t>
      </w:r>
      <w:r w:rsidR="00D80E6F">
        <w:rPr>
          <w:lang w:eastAsia="zh-TW"/>
        </w:rPr>
        <w:t xml:space="preserve">statutory, regulatory and reputational </w:t>
      </w:r>
      <w:r w:rsidR="00D80E6F" w:rsidRPr="00B373CA">
        <w:rPr>
          <w:lang w:eastAsia="zh-TW"/>
        </w:rPr>
        <w:t>risk</w:t>
      </w:r>
      <w:r w:rsidR="00D80E6F">
        <w:rPr>
          <w:lang w:eastAsia="zh-TW"/>
        </w:rPr>
        <w:t>s</w:t>
      </w:r>
      <w:r w:rsidR="00D80E6F" w:rsidRPr="00B373CA">
        <w:rPr>
          <w:lang w:eastAsia="zh-TW"/>
        </w:rPr>
        <w:t xml:space="preserve"> </w:t>
      </w:r>
      <w:r w:rsidR="003A7B24">
        <w:rPr>
          <w:lang w:eastAsia="zh-TW"/>
        </w:rPr>
        <w:t>it runs</w:t>
      </w:r>
      <w:r w:rsidR="00E7057C">
        <w:rPr>
          <w:lang w:eastAsia="zh-TW"/>
        </w:rPr>
        <w:t xml:space="preserve"> </w:t>
      </w:r>
      <w:r w:rsidR="00A51DBF">
        <w:rPr>
          <w:lang w:eastAsia="zh-TW"/>
        </w:rPr>
        <w:t xml:space="preserve">if it </w:t>
      </w:r>
      <w:r w:rsidR="003A7B24">
        <w:rPr>
          <w:lang w:eastAsia="zh-TW"/>
        </w:rPr>
        <w:t xml:space="preserve">should </w:t>
      </w:r>
      <w:r w:rsidR="00D80E6F" w:rsidRPr="00B373CA">
        <w:rPr>
          <w:lang w:eastAsia="zh-TW"/>
        </w:rPr>
        <w:t xml:space="preserve">deal </w:t>
      </w:r>
      <w:r>
        <w:rPr>
          <w:lang w:eastAsia="zh-TW"/>
        </w:rPr>
        <w:t xml:space="preserve">improperly </w:t>
      </w:r>
      <w:r w:rsidR="00D80E6F" w:rsidRPr="00B373CA">
        <w:rPr>
          <w:lang w:eastAsia="zh-TW"/>
        </w:rPr>
        <w:t>with the funds</w:t>
      </w:r>
      <w:r>
        <w:rPr>
          <w:lang w:eastAsia="zh-TW"/>
        </w:rPr>
        <w:t>.  Of most obvious significance is OSCO section 25(1).</w:t>
      </w:r>
      <w:r w:rsidR="00D80E6F" w:rsidRPr="00B373CA">
        <w:rPr>
          <w:lang w:eastAsia="zh-TW"/>
        </w:rPr>
        <w:t xml:space="preserve"> </w:t>
      </w:r>
      <w:r>
        <w:rPr>
          <w:lang w:eastAsia="zh-TW"/>
        </w:rPr>
        <w:t xml:space="preserve"> Unless, having made </w:t>
      </w:r>
      <w:r w:rsidR="00A51DBF">
        <w:rPr>
          <w:lang w:eastAsia="zh-TW"/>
        </w:rPr>
        <w:t xml:space="preserve">due </w:t>
      </w:r>
      <w:r>
        <w:rPr>
          <w:lang w:eastAsia="zh-TW"/>
        </w:rPr>
        <w:t>inquiries, the bank</w:t>
      </w:r>
      <w:r w:rsidR="003A7B24">
        <w:rPr>
          <w:lang w:eastAsia="zh-TW"/>
        </w:rPr>
        <w:t xml:space="preserve"> is</w:t>
      </w:r>
      <w:r>
        <w:rPr>
          <w:lang w:eastAsia="zh-TW"/>
        </w:rPr>
        <w:t xml:space="preserve"> confident that the suspicion </w:t>
      </w:r>
      <w:r w:rsidR="003A7B24">
        <w:rPr>
          <w:lang w:eastAsia="zh-TW"/>
        </w:rPr>
        <w:t xml:space="preserve">is </w:t>
      </w:r>
      <w:r>
        <w:rPr>
          <w:lang w:eastAsia="zh-TW"/>
        </w:rPr>
        <w:t xml:space="preserve">dispelled, </w:t>
      </w:r>
      <w:r w:rsidR="003A7B24">
        <w:rPr>
          <w:lang w:eastAsia="zh-TW"/>
        </w:rPr>
        <w:t xml:space="preserve">it </w:t>
      </w:r>
      <w:r w:rsidR="000E4F1B">
        <w:rPr>
          <w:lang w:eastAsia="zh-TW"/>
        </w:rPr>
        <w:t>runs the</w:t>
      </w:r>
      <w:r>
        <w:rPr>
          <w:lang w:eastAsia="zh-TW"/>
        </w:rPr>
        <w:t xml:space="preserve"> risk </w:t>
      </w:r>
      <w:r w:rsidR="000E4F1B">
        <w:rPr>
          <w:lang w:eastAsia="zh-TW"/>
        </w:rPr>
        <w:t xml:space="preserve">of </w:t>
      </w:r>
      <w:r>
        <w:rPr>
          <w:lang w:eastAsia="zh-TW"/>
        </w:rPr>
        <w:t xml:space="preserve">incurring </w:t>
      </w:r>
      <w:r w:rsidR="003A7B24">
        <w:rPr>
          <w:lang w:eastAsia="zh-TW"/>
        </w:rPr>
        <w:t xml:space="preserve">criminal </w:t>
      </w:r>
      <w:r>
        <w:rPr>
          <w:lang w:eastAsia="zh-TW"/>
        </w:rPr>
        <w:t xml:space="preserve">liability under section 25(1) if </w:t>
      </w:r>
      <w:r w:rsidR="003A7B24">
        <w:rPr>
          <w:lang w:eastAsia="zh-TW"/>
        </w:rPr>
        <w:t xml:space="preserve">it </w:t>
      </w:r>
      <w:r>
        <w:rPr>
          <w:lang w:eastAsia="zh-TW"/>
        </w:rPr>
        <w:t>deal</w:t>
      </w:r>
      <w:r w:rsidR="000E4F1B">
        <w:rPr>
          <w:lang w:eastAsia="zh-TW"/>
        </w:rPr>
        <w:t>s</w:t>
      </w:r>
      <w:r>
        <w:rPr>
          <w:lang w:eastAsia="zh-TW"/>
        </w:rPr>
        <w:t xml:space="preserve"> with the funds s</w:t>
      </w:r>
      <w:r w:rsidR="00D80E6F" w:rsidRPr="00B373CA">
        <w:rPr>
          <w:lang w:eastAsia="zh-TW"/>
        </w:rPr>
        <w:t xml:space="preserve">ince the information </w:t>
      </w:r>
      <w:r>
        <w:rPr>
          <w:lang w:eastAsia="zh-TW"/>
        </w:rPr>
        <w:t xml:space="preserve">provided by the police </w:t>
      </w:r>
      <w:r w:rsidR="003A7B24">
        <w:rPr>
          <w:lang w:eastAsia="zh-TW"/>
        </w:rPr>
        <w:t xml:space="preserve">is </w:t>
      </w:r>
      <w:r w:rsidR="00D80E6F" w:rsidRPr="00B373CA">
        <w:rPr>
          <w:lang w:eastAsia="zh-TW"/>
        </w:rPr>
        <w:t xml:space="preserve">likely to </w:t>
      </w:r>
      <w:r>
        <w:rPr>
          <w:lang w:eastAsia="zh-TW"/>
        </w:rPr>
        <w:t xml:space="preserve">constitute </w:t>
      </w:r>
      <w:r w:rsidR="00D80E6F" w:rsidRPr="00B373CA">
        <w:rPr>
          <w:lang w:eastAsia="zh-TW"/>
        </w:rPr>
        <w:t xml:space="preserve">reasonable grounds to believe that </w:t>
      </w:r>
      <w:r w:rsidR="00D80E6F">
        <w:rPr>
          <w:lang w:eastAsia="zh-TW"/>
        </w:rPr>
        <w:t>those funds</w:t>
      </w:r>
      <w:r w:rsidR="00D80E6F" w:rsidRPr="00B373CA">
        <w:rPr>
          <w:lang w:eastAsia="zh-TW"/>
        </w:rPr>
        <w:t xml:space="preserve"> represent the proceeds of an indictable offence.  </w:t>
      </w:r>
      <w:r w:rsidR="00D80E6F">
        <w:rPr>
          <w:lang w:eastAsia="zh-TW"/>
        </w:rPr>
        <w:t xml:space="preserve">The desire to </w:t>
      </w:r>
      <w:r w:rsidR="00A51DBF">
        <w:rPr>
          <w:lang w:eastAsia="zh-TW"/>
        </w:rPr>
        <w:t xml:space="preserve">avoid such risks </w:t>
      </w:r>
      <w:r w:rsidR="00D80E6F" w:rsidRPr="00B373CA">
        <w:rPr>
          <w:lang w:eastAsia="zh-TW"/>
        </w:rPr>
        <w:t>therefore</w:t>
      </w:r>
      <w:r w:rsidR="00E7057C">
        <w:rPr>
          <w:lang w:eastAsia="zh-TW"/>
        </w:rPr>
        <w:t xml:space="preserve"> motivate</w:t>
      </w:r>
      <w:r w:rsidR="003A7B24">
        <w:rPr>
          <w:lang w:eastAsia="zh-TW"/>
        </w:rPr>
        <w:t>s</w:t>
      </w:r>
      <w:r w:rsidR="00D80E6F" w:rsidRPr="00B373CA">
        <w:rPr>
          <w:lang w:eastAsia="zh-TW"/>
        </w:rPr>
        <w:t xml:space="preserve"> the bank to freeze the account.</w:t>
      </w:r>
      <w:r w:rsidR="00D80E6F">
        <w:rPr>
          <w:rStyle w:val="FootnoteReference"/>
          <w:lang w:eastAsia="zh-TW"/>
        </w:rPr>
        <w:footnoteReference w:id="84"/>
      </w:r>
      <w:r w:rsidR="00D80E6F" w:rsidRPr="00B373CA">
        <w:rPr>
          <w:lang w:eastAsia="zh-TW"/>
        </w:rPr>
        <w:t xml:space="preserve"> </w:t>
      </w:r>
      <w:r w:rsidR="003A7B24">
        <w:rPr>
          <w:lang w:eastAsia="zh-HK"/>
        </w:rPr>
        <w:t xml:space="preserve"> Th</w:t>
      </w:r>
      <w:r w:rsidR="00A51DBF">
        <w:rPr>
          <w:lang w:eastAsia="zh-HK"/>
        </w:rPr>
        <w:t xml:space="preserve">e freeze </w:t>
      </w:r>
      <w:r w:rsidR="003A7B24">
        <w:rPr>
          <w:lang w:eastAsia="zh-HK"/>
        </w:rPr>
        <w:t>might have been instigated by the police but it represents the bank’s own act</w:t>
      </w:r>
      <w:r w:rsidR="00B40172">
        <w:rPr>
          <w:lang w:eastAsia="zh-HK"/>
        </w:rPr>
        <w:t>, done</w:t>
      </w:r>
      <w:r w:rsidR="003A7B24">
        <w:rPr>
          <w:lang w:eastAsia="zh-HK"/>
        </w:rPr>
        <w:t xml:space="preserve"> in </w:t>
      </w:r>
      <w:r w:rsidR="00B40172">
        <w:rPr>
          <w:lang w:eastAsia="zh-HK"/>
        </w:rPr>
        <w:t xml:space="preserve">compliance </w:t>
      </w:r>
      <w:r w:rsidR="00F5188B">
        <w:rPr>
          <w:lang w:eastAsia="zh-HK"/>
        </w:rPr>
        <w:t xml:space="preserve">with </w:t>
      </w:r>
      <w:r w:rsidR="003A7B24">
        <w:rPr>
          <w:lang w:eastAsia="zh-HK"/>
        </w:rPr>
        <w:t>its legal</w:t>
      </w:r>
      <w:r w:rsidR="00057AF6">
        <w:rPr>
          <w:lang w:eastAsia="zh-HK"/>
        </w:rPr>
        <w:t xml:space="preserve"> and regulatory</w:t>
      </w:r>
      <w:r w:rsidR="003A7B24">
        <w:rPr>
          <w:lang w:eastAsia="zh-HK"/>
        </w:rPr>
        <w:t xml:space="preserve"> duties.</w:t>
      </w:r>
    </w:p>
    <w:p w:rsidR="00D80E6F" w:rsidRDefault="00D80E6F" w:rsidP="000F409E">
      <w:pPr>
        <w:pStyle w:val="Bob1"/>
        <w:numPr>
          <w:ilvl w:val="0"/>
          <w:numId w:val="1"/>
        </w:numPr>
        <w:tabs>
          <w:tab w:val="clear" w:pos="720"/>
          <w:tab w:val="left" w:pos="1440"/>
        </w:tabs>
        <w:ind w:left="0" w:firstLine="0"/>
        <w:jc w:val="both"/>
        <w:rPr>
          <w:lang w:eastAsia="zh-HK"/>
        </w:rPr>
      </w:pPr>
      <w:r w:rsidRPr="00B373CA">
        <w:rPr>
          <w:lang w:eastAsia="zh-TW"/>
        </w:rPr>
        <w:t xml:space="preserve">The bank also </w:t>
      </w:r>
      <w:r>
        <w:rPr>
          <w:lang w:eastAsia="zh-TW"/>
        </w:rPr>
        <w:t xml:space="preserve">comes </w:t>
      </w:r>
      <w:r w:rsidRPr="00B373CA">
        <w:rPr>
          <w:lang w:eastAsia="zh-TW"/>
        </w:rPr>
        <w:t xml:space="preserve">under a section </w:t>
      </w:r>
      <w:proofErr w:type="gramStart"/>
      <w:r w:rsidRPr="00B373CA">
        <w:rPr>
          <w:lang w:eastAsia="zh-TW"/>
        </w:rPr>
        <w:t>25A(</w:t>
      </w:r>
      <w:proofErr w:type="gramEnd"/>
      <w:r w:rsidRPr="00B373CA">
        <w:rPr>
          <w:lang w:eastAsia="zh-TW"/>
        </w:rPr>
        <w:t xml:space="preserve">1) </w:t>
      </w:r>
      <w:r w:rsidR="003A7B24">
        <w:rPr>
          <w:lang w:eastAsia="zh-TW"/>
        </w:rPr>
        <w:t>obligation</w:t>
      </w:r>
      <w:r w:rsidRPr="00B373CA">
        <w:rPr>
          <w:lang w:eastAsia="zh-TW"/>
        </w:rPr>
        <w:t xml:space="preserve"> to </w:t>
      </w:r>
      <w:r>
        <w:rPr>
          <w:lang w:eastAsia="zh-TW"/>
        </w:rPr>
        <w:t>report</w:t>
      </w:r>
      <w:r w:rsidRPr="00B373CA">
        <w:rPr>
          <w:lang w:eastAsia="zh-TW"/>
        </w:rPr>
        <w:t xml:space="preserve"> to the police what </w:t>
      </w:r>
      <w:r>
        <w:rPr>
          <w:lang w:eastAsia="zh-TW"/>
        </w:rPr>
        <w:t xml:space="preserve">it </w:t>
      </w:r>
      <w:r w:rsidRPr="00B373CA">
        <w:rPr>
          <w:lang w:eastAsia="zh-TW"/>
        </w:rPr>
        <w:t>kn</w:t>
      </w:r>
      <w:r>
        <w:rPr>
          <w:lang w:eastAsia="zh-TW"/>
        </w:rPr>
        <w:t>ows</w:t>
      </w:r>
      <w:r w:rsidRPr="00B373CA">
        <w:rPr>
          <w:lang w:eastAsia="zh-TW"/>
        </w:rPr>
        <w:t xml:space="preserve"> or suspect</w:t>
      </w:r>
      <w:r>
        <w:rPr>
          <w:lang w:eastAsia="zh-TW"/>
        </w:rPr>
        <w:t>s</w:t>
      </w:r>
      <w:r w:rsidRPr="00B373CA">
        <w:rPr>
          <w:lang w:eastAsia="zh-TW"/>
        </w:rPr>
        <w:t xml:space="preserve"> regarding those funds (even though the police</w:t>
      </w:r>
      <w:r>
        <w:rPr>
          <w:lang w:eastAsia="zh-TW"/>
        </w:rPr>
        <w:t xml:space="preserve"> may</w:t>
      </w:r>
      <w:r w:rsidRPr="00B373CA">
        <w:rPr>
          <w:lang w:eastAsia="zh-TW"/>
        </w:rPr>
        <w:t xml:space="preserve"> </w:t>
      </w:r>
      <w:r>
        <w:rPr>
          <w:lang w:eastAsia="zh-TW"/>
        </w:rPr>
        <w:t xml:space="preserve">have </w:t>
      </w:r>
      <w:r w:rsidRPr="00B373CA">
        <w:rPr>
          <w:lang w:eastAsia="zh-TW"/>
        </w:rPr>
        <w:t>instigated that suspicion).  Thus, the request by the police that the bank should issue an STR at [Step 2] represent</w:t>
      </w:r>
      <w:r>
        <w:rPr>
          <w:lang w:eastAsia="zh-TW"/>
        </w:rPr>
        <w:t>s</w:t>
      </w:r>
      <w:r w:rsidRPr="00B373CA">
        <w:rPr>
          <w:lang w:eastAsia="zh-TW"/>
        </w:rPr>
        <w:t xml:space="preserve"> a request that the bank should comply with </w:t>
      </w:r>
      <w:r>
        <w:rPr>
          <w:lang w:eastAsia="zh-TW"/>
        </w:rPr>
        <w:t xml:space="preserve">its </w:t>
      </w:r>
      <w:r w:rsidRPr="00B373CA">
        <w:rPr>
          <w:lang w:eastAsia="zh-TW"/>
        </w:rPr>
        <w:t>statutory duty of disclosure.</w:t>
      </w:r>
      <w:r w:rsidR="003B48E4">
        <w:rPr>
          <w:lang w:eastAsia="zh-TW"/>
        </w:rPr>
        <w:t xml:space="preserve">  </w:t>
      </w:r>
      <w:r w:rsidR="00B40172">
        <w:rPr>
          <w:lang w:eastAsia="zh-TW"/>
        </w:rPr>
        <w:t>It may also reflect the interest of the police in obtaining any useful information possibly known to the bank which may be included in the STR</w:t>
      </w:r>
      <w:r w:rsidR="003B48E4">
        <w:rPr>
          <w:lang w:eastAsia="zh-TW"/>
        </w:rPr>
        <w:t>.</w:t>
      </w:r>
      <w:r w:rsidR="000E603A">
        <w:rPr>
          <w:rStyle w:val="FootnoteReference"/>
          <w:lang w:eastAsia="zh-TW"/>
        </w:rPr>
        <w:footnoteReference w:id="85"/>
      </w:r>
    </w:p>
    <w:p w:rsidR="00D80E6F" w:rsidRDefault="00D80E6F" w:rsidP="000F409E">
      <w:pPr>
        <w:pStyle w:val="Bob1"/>
        <w:numPr>
          <w:ilvl w:val="0"/>
          <w:numId w:val="1"/>
        </w:numPr>
        <w:tabs>
          <w:tab w:val="clear" w:pos="720"/>
          <w:tab w:val="left" w:pos="1440"/>
        </w:tabs>
        <w:ind w:left="0" w:firstLine="0"/>
        <w:jc w:val="both"/>
        <w:rPr>
          <w:lang w:eastAsia="zh-HK"/>
        </w:rPr>
      </w:pPr>
      <w:r w:rsidRPr="00B373CA">
        <w:rPr>
          <w:lang w:eastAsia="zh-TW"/>
        </w:rPr>
        <w:t xml:space="preserve">In making the [Step 2] communications, the police no doubt expect and intend that the bank </w:t>
      </w:r>
      <w:r w:rsidR="00E7057C">
        <w:rPr>
          <w:lang w:eastAsia="zh-TW"/>
        </w:rPr>
        <w:t xml:space="preserve">should comply with its anti-money laundering obligations and </w:t>
      </w:r>
      <w:r w:rsidRPr="00B373CA">
        <w:rPr>
          <w:lang w:eastAsia="zh-TW"/>
        </w:rPr>
        <w:t xml:space="preserve">avoid committing the </w:t>
      </w:r>
      <w:r>
        <w:rPr>
          <w:lang w:eastAsia="zh-TW"/>
        </w:rPr>
        <w:t xml:space="preserve">said </w:t>
      </w:r>
      <w:r w:rsidRPr="00B373CA">
        <w:rPr>
          <w:lang w:eastAsia="zh-TW"/>
        </w:rPr>
        <w:t>offences</w:t>
      </w:r>
      <w:r w:rsidR="00E7057C">
        <w:rPr>
          <w:lang w:eastAsia="zh-TW"/>
        </w:rPr>
        <w:t xml:space="preserve"> so that</w:t>
      </w:r>
      <w:r w:rsidRPr="00B373CA">
        <w:rPr>
          <w:lang w:eastAsia="zh-TW"/>
        </w:rPr>
        <w:t xml:space="preserve"> the account </w:t>
      </w:r>
      <w:r w:rsidR="00E7057C">
        <w:rPr>
          <w:lang w:eastAsia="zh-TW"/>
        </w:rPr>
        <w:t xml:space="preserve">is frozen </w:t>
      </w:r>
      <w:r w:rsidRPr="00B373CA">
        <w:rPr>
          <w:lang w:eastAsia="zh-TW"/>
        </w:rPr>
        <w:lastRenderedPageBreak/>
        <w:t xml:space="preserve">and the STR </w:t>
      </w:r>
      <w:r w:rsidR="00E7057C">
        <w:rPr>
          <w:lang w:eastAsia="zh-TW"/>
        </w:rPr>
        <w:t>is issued</w:t>
      </w:r>
      <w:r w:rsidRPr="00B373CA">
        <w:rPr>
          <w:lang w:eastAsia="zh-TW"/>
        </w:rPr>
        <w:t xml:space="preserve"> [Step 3].  As the CP acknowledges, the </w:t>
      </w:r>
      <w:r>
        <w:rPr>
          <w:lang w:eastAsia="zh-TW"/>
        </w:rPr>
        <w:t>aim</w:t>
      </w:r>
      <w:r w:rsidRPr="00B373CA">
        <w:rPr>
          <w:lang w:eastAsia="zh-TW"/>
        </w:rPr>
        <w:t xml:space="preserve"> is “to prevent dissipation of assets by the applicants while police investigation [is] ongoing”.</w:t>
      </w:r>
      <w:r w:rsidRPr="00B373CA">
        <w:rPr>
          <w:rStyle w:val="FootnoteReference"/>
        </w:rPr>
        <w:footnoteReference w:id="86"/>
      </w:r>
    </w:p>
    <w:p w:rsidR="00D80E6F" w:rsidRDefault="00D80E6F" w:rsidP="000F409E">
      <w:pPr>
        <w:pStyle w:val="Bob1"/>
        <w:numPr>
          <w:ilvl w:val="0"/>
          <w:numId w:val="1"/>
        </w:numPr>
        <w:tabs>
          <w:tab w:val="clear" w:pos="720"/>
          <w:tab w:val="left" w:pos="1440"/>
        </w:tabs>
        <w:ind w:left="0" w:firstLine="0"/>
        <w:jc w:val="both"/>
        <w:rPr>
          <w:lang w:eastAsia="zh-HK"/>
        </w:rPr>
      </w:pPr>
      <w:r w:rsidRPr="00B373CA">
        <w:rPr>
          <w:lang w:eastAsia="zh-HK"/>
        </w:rPr>
        <w:t xml:space="preserve">That </w:t>
      </w:r>
      <w:r>
        <w:rPr>
          <w:lang w:eastAsia="zh-HK"/>
        </w:rPr>
        <w:t>objective</w:t>
      </w:r>
      <w:r w:rsidRPr="00B373CA">
        <w:rPr>
          <w:lang w:eastAsia="zh-HK"/>
        </w:rPr>
        <w:t xml:space="preserve"> also lies behind the issue of an LNC at [Step 5].  Th</w:t>
      </w:r>
      <w:r>
        <w:rPr>
          <w:lang w:eastAsia="zh-HK"/>
        </w:rPr>
        <w:t>e</w:t>
      </w:r>
      <w:r w:rsidRPr="00B373CA">
        <w:rPr>
          <w:lang w:eastAsia="zh-HK"/>
        </w:rPr>
        <w:t xml:space="preserve"> police thereby mak</w:t>
      </w:r>
      <w:r>
        <w:rPr>
          <w:lang w:eastAsia="zh-HK"/>
        </w:rPr>
        <w:t>e</w:t>
      </w:r>
      <w:r w:rsidRPr="00B373CA">
        <w:rPr>
          <w:lang w:eastAsia="zh-HK"/>
        </w:rPr>
        <w:t xml:space="preserve"> it clear that they are not</w:t>
      </w:r>
      <w:r>
        <w:rPr>
          <w:lang w:eastAsia="zh-HK"/>
        </w:rPr>
        <w:t>, at least at that stage,</w:t>
      </w:r>
      <w:r w:rsidRPr="00B373CA">
        <w:rPr>
          <w:lang w:eastAsia="zh-HK"/>
        </w:rPr>
        <w:t xml:space="preserve"> consenting to the bank dealing with the property </w:t>
      </w:r>
      <w:r>
        <w:rPr>
          <w:lang w:eastAsia="zh-HK"/>
        </w:rPr>
        <w:t xml:space="preserve">whether </w:t>
      </w:r>
      <w:r w:rsidRPr="00B373CA">
        <w:rPr>
          <w:lang w:eastAsia="zh-HK"/>
        </w:rPr>
        <w:t>for the purposes of</w:t>
      </w:r>
      <w:r>
        <w:rPr>
          <w:lang w:eastAsia="zh-HK"/>
        </w:rPr>
        <w:t xml:space="preserve"> section </w:t>
      </w:r>
      <w:proofErr w:type="gramStart"/>
      <w:r>
        <w:rPr>
          <w:lang w:eastAsia="zh-HK"/>
        </w:rPr>
        <w:t>25A(</w:t>
      </w:r>
      <w:proofErr w:type="gramEnd"/>
      <w:r>
        <w:rPr>
          <w:lang w:eastAsia="zh-HK"/>
        </w:rPr>
        <w:t>2)(a) or otherwise</w:t>
      </w:r>
      <w:r w:rsidRPr="00B373CA">
        <w:rPr>
          <w:lang w:eastAsia="zh-HK"/>
        </w:rPr>
        <w:t xml:space="preserve">.  </w:t>
      </w:r>
      <w:r>
        <w:rPr>
          <w:lang w:eastAsia="zh-HK"/>
        </w:rPr>
        <w:t>As we have seen, i</w:t>
      </w:r>
      <w:r w:rsidRPr="00B373CA">
        <w:rPr>
          <w:lang w:eastAsia="zh-HK"/>
        </w:rPr>
        <w:t xml:space="preserve">f such consent were forthcoming, </w:t>
      </w:r>
      <w:r>
        <w:rPr>
          <w:lang w:eastAsia="zh-HK"/>
        </w:rPr>
        <w:t xml:space="preserve">that section </w:t>
      </w:r>
      <w:r w:rsidRPr="00B373CA">
        <w:rPr>
          <w:lang w:eastAsia="zh-HK"/>
        </w:rPr>
        <w:t xml:space="preserve">would create an immunity </w:t>
      </w:r>
      <w:r w:rsidR="00E7057C">
        <w:rPr>
          <w:lang w:eastAsia="zh-HK"/>
        </w:rPr>
        <w:t xml:space="preserve">for the bank </w:t>
      </w:r>
      <w:r w:rsidRPr="00B373CA">
        <w:rPr>
          <w:lang w:eastAsia="zh-HK"/>
        </w:rPr>
        <w:t>against liability under section 25(1)</w:t>
      </w:r>
      <w:r w:rsidR="0045329F">
        <w:rPr>
          <w:lang w:eastAsia="zh-HK"/>
        </w:rPr>
        <w:t xml:space="preserve"> in respect of such dealing</w:t>
      </w:r>
      <w:r w:rsidRPr="00B373CA">
        <w:rPr>
          <w:lang w:eastAsia="zh-HK"/>
        </w:rPr>
        <w:t xml:space="preserve">.  </w:t>
      </w:r>
      <w:r>
        <w:rPr>
          <w:lang w:eastAsia="zh-HK"/>
        </w:rPr>
        <w:t xml:space="preserve">Thus, withholding consent means that immunity is not being granted, but it does not mean that the police thereby freeze or order the bank to freeze the account.  </w:t>
      </w:r>
      <w:r w:rsidR="0011493B">
        <w:rPr>
          <w:lang w:eastAsia="zh-HK"/>
        </w:rPr>
        <w:t>H</w:t>
      </w:r>
      <w:r w:rsidRPr="00B373CA">
        <w:rPr>
          <w:lang w:eastAsia="zh-HK"/>
        </w:rPr>
        <w:t xml:space="preserve">aving received an LNC, the bank, </w:t>
      </w:r>
      <w:r>
        <w:rPr>
          <w:lang w:eastAsia="zh-HK"/>
        </w:rPr>
        <w:t xml:space="preserve">can </w:t>
      </w:r>
      <w:r w:rsidR="00B40172">
        <w:rPr>
          <w:lang w:eastAsia="zh-HK"/>
        </w:rPr>
        <w:t xml:space="preserve">usually </w:t>
      </w:r>
      <w:r>
        <w:rPr>
          <w:lang w:eastAsia="zh-HK"/>
        </w:rPr>
        <w:t xml:space="preserve">be </w:t>
      </w:r>
      <w:r w:rsidRPr="00B373CA">
        <w:rPr>
          <w:lang w:eastAsia="zh-HK"/>
        </w:rPr>
        <w:t>expect</w:t>
      </w:r>
      <w:r>
        <w:rPr>
          <w:lang w:eastAsia="zh-HK"/>
        </w:rPr>
        <w:t xml:space="preserve">ed to continue </w:t>
      </w:r>
      <w:r w:rsidR="00E7057C">
        <w:rPr>
          <w:lang w:eastAsia="zh-HK"/>
        </w:rPr>
        <w:t xml:space="preserve">freezing </w:t>
      </w:r>
      <w:r w:rsidRPr="00B373CA">
        <w:rPr>
          <w:lang w:eastAsia="zh-HK"/>
        </w:rPr>
        <w:t>the account [Step 5].</w:t>
      </w:r>
      <w:r>
        <w:rPr>
          <w:lang w:eastAsia="zh-HK"/>
        </w:rPr>
        <w:t xml:space="preserve">  But</w:t>
      </w:r>
      <w:r w:rsidR="003A7B24">
        <w:rPr>
          <w:lang w:eastAsia="zh-HK"/>
        </w:rPr>
        <w:t>, as noted above,</w:t>
      </w:r>
      <w:r>
        <w:rPr>
          <w:lang w:eastAsia="zh-HK"/>
        </w:rPr>
        <w:t xml:space="preserve"> </w:t>
      </w:r>
      <w:r w:rsidR="00B40172">
        <w:rPr>
          <w:lang w:eastAsia="zh-HK"/>
        </w:rPr>
        <w:t xml:space="preserve">such freezing </w:t>
      </w:r>
      <w:r>
        <w:rPr>
          <w:lang w:eastAsia="zh-HK"/>
        </w:rPr>
        <w:t>is not the CP’s act.</w:t>
      </w:r>
    </w:p>
    <w:p w:rsidR="00D80E6F" w:rsidRDefault="00D80E6F" w:rsidP="000F409E">
      <w:pPr>
        <w:pStyle w:val="Bob1"/>
        <w:numPr>
          <w:ilvl w:val="0"/>
          <w:numId w:val="1"/>
        </w:numPr>
        <w:tabs>
          <w:tab w:val="clear" w:pos="720"/>
          <w:tab w:val="left" w:pos="1440"/>
        </w:tabs>
        <w:ind w:left="0" w:firstLine="0"/>
        <w:jc w:val="both"/>
        <w:rPr>
          <w:lang w:eastAsia="zh-HK"/>
        </w:rPr>
      </w:pPr>
      <w:r w:rsidRPr="00B373CA">
        <w:rPr>
          <w:lang w:eastAsia="zh-HK"/>
        </w:rPr>
        <w:t>Where an LNC is issued, the FPM requires the police diligently to pursue their investigation so that they are able to decide (with advice from the Department of Justice) whether to pursue criminal proceedings</w:t>
      </w:r>
      <w:r w:rsidR="003A7B24">
        <w:rPr>
          <w:lang w:eastAsia="zh-HK"/>
        </w:rPr>
        <w:t>, seeking a restraint order,</w:t>
      </w:r>
      <w:r w:rsidRPr="00B373CA">
        <w:rPr>
          <w:lang w:eastAsia="zh-HK"/>
        </w:rPr>
        <w:t xml:space="preserve"> or to consent to the bank releasing the funds.  The LNC is thus a temporary </w:t>
      </w:r>
      <w:r>
        <w:rPr>
          <w:lang w:eastAsia="zh-HK"/>
        </w:rPr>
        <w:t xml:space="preserve">and provisional </w:t>
      </w:r>
      <w:r w:rsidR="00E7057C">
        <w:rPr>
          <w:lang w:eastAsia="zh-HK"/>
        </w:rPr>
        <w:t>expedient</w:t>
      </w:r>
      <w:r w:rsidRPr="00B373CA">
        <w:rPr>
          <w:lang w:eastAsia="zh-HK"/>
        </w:rPr>
        <w:t xml:space="preserve"> </w:t>
      </w:r>
      <w:r w:rsidR="003A7B24">
        <w:rPr>
          <w:lang w:eastAsia="zh-HK"/>
        </w:rPr>
        <w:t xml:space="preserve">with </w:t>
      </w:r>
      <w:r w:rsidRPr="00B373CA">
        <w:rPr>
          <w:lang w:eastAsia="zh-HK"/>
        </w:rPr>
        <w:t xml:space="preserve">an initial six-month limit </w:t>
      </w:r>
      <w:r w:rsidR="003A7B24">
        <w:rPr>
          <w:lang w:eastAsia="zh-HK"/>
        </w:rPr>
        <w:t>to its duration</w:t>
      </w:r>
      <w:r w:rsidRPr="00B373CA">
        <w:rPr>
          <w:lang w:eastAsia="zh-HK"/>
        </w:rPr>
        <w:t xml:space="preserve"> (with a possible extension for a further six months if that can be justified). </w:t>
      </w:r>
      <w:r w:rsidRPr="00B373CA">
        <w:t xml:space="preserve">The LNC is </w:t>
      </w:r>
      <w:r w:rsidR="006D20FC">
        <w:t xml:space="preserve">designed </w:t>
      </w:r>
      <w:r>
        <w:t xml:space="preserve">temporarily </w:t>
      </w:r>
      <w:r w:rsidRPr="00B373CA">
        <w:t>to prevent dissipation of the assets with a view to invoking the court’s jurisdiction if the matter is to be pursued.</w:t>
      </w:r>
      <w:r w:rsidR="0045329F">
        <w:t xml:space="preserve"> </w:t>
      </w:r>
    </w:p>
    <w:p w:rsidR="00D80E6F" w:rsidRPr="00B373CA" w:rsidRDefault="00D80E6F" w:rsidP="000F409E">
      <w:pPr>
        <w:pStyle w:val="Bob1"/>
        <w:numPr>
          <w:ilvl w:val="0"/>
          <w:numId w:val="1"/>
        </w:numPr>
        <w:tabs>
          <w:tab w:val="clear" w:pos="720"/>
          <w:tab w:val="left" w:pos="1440"/>
        </w:tabs>
        <w:ind w:left="0" w:firstLine="0"/>
        <w:jc w:val="both"/>
        <w:rPr>
          <w:lang w:eastAsia="zh-HK"/>
        </w:rPr>
      </w:pPr>
      <w:r w:rsidRPr="00B373CA">
        <w:rPr>
          <w:lang w:eastAsia="zh-HK"/>
        </w:rPr>
        <w:t xml:space="preserve">In the present case, the CP explains that it was necessary to maintain the LNCs for </w:t>
      </w:r>
      <w:r>
        <w:rPr>
          <w:lang w:eastAsia="zh-HK"/>
        </w:rPr>
        <w:t xml:space="preserve">about ten months, </w:t>
      </w:r>
      <w:r w:rsidRPr="00B373CA">
        <w:rPr>
          <w:lang w:eastAsia="zh-HK"/>
        </w:rPr>
        <w:t>a period</w:t>
      </w:r>
      <w:r>
        <w:rPr>
          <w:lang w:eastAsia="zh-HK"/>
        </w:rPr>
        <w:t xml:space="preserve"> longer than the usual six months,</w:t>
      </w:r>
      <w:r w:rsidRPr="00B373CA">
        <w:rPr>
          <w:lang w:eastAsia="zh-HK"/>
        </w:rPr>
        <w:t xml:space="preserve"> because the case involved: </w:t>
      </w:r>
    </w:p>
    <w:p w:rsidR="00D80E6F" w:rsidRPr="00B373CA" w:rsidRDefault="00D80E6F" w:rsidP="000F409E">
      <w:pPr>
        <w:pStyle w:val="Bob1"/>
        <w:numPr>
          <w:ilvl w:val="0"/>
          <w:numId w:val="0"/>
        </w:numPr>
        <w:spacing w:line="240" w:lineRule="auto"/>
        <w:ind w:left="720"/>
        <w:jc w:val="both"/>
        <w:rPr>
          <w:sz w:val="24"/>
          <w:lang w:eastAsia="zh-HK"/>
        </w:rPr>
      </w:pPr>
      <w:r w:rsidRPr="00B373CA">
        <w:rPr>
          <w:sz w:val="24"/>
          <w:lang w:eastAsia="zh-HK"/>
        </w:rPr>
        <w:t xml:space="preserve">“... </w:t>
      </w:r>
      <w:proofErr w:type="gramStart"/>
      <w:r w:rsidRPr="00B373CA">
        <w:rPr>
          <w:sz w:val="24"/>
          <w:lang w:eastAsia="zh-HK"/>
        </w:rPr>
        <w:t>a</w:t>
      </w:r>
      <w:proofErr w:type="gramEnd"/>
      <w:r w:rsidRPr="00B373CA">
        <w:rPr>
          <w:sz w:val="24"/>
          <w:lang w:eastAsia="zh-HK"/>
        </w:rPr>
        <w:t xml:space="preserve"> sophisticated money laundering scheme and a large number of accounts. Given the highly sensitive information involved and the need to balance between the integrity of the investigation process and to provide a measured and appropriate response in these </w:t>
      </w:r>
      <w:r w:rsidRPr="00B373CA">
        <w:rPr>
          <w:sz w:val="24"/>
          <w:lang w:eastAsia="zh-HK"/>
        </w:rPr>
        <w:lastRenderedPageBreak/>
        <w:t>proceedings, the [CP] needed time to formulate [his] response, to seek appropriate legal advice and to prepare his evidence.”</w:t>
      </w:r>
      <w:r w:rsidRPr="00B373CA">
        <w:rPr>
          <w:rStyle w:val="FootnoteReference"/>
          <w:sz w:val="24"/>
          <w:lang w:eastAsia="zh-HK"/>
        </w:rPr>
        <w:footnoteReference w:id="87"/>
      </w:r>
    </w:p>
    <w:p w:rsidR="00D80E6F" w:rsidRDefault="0011493B" w:rsidP="000F409E">
      <w:pPr>
        <w:pStyle w:val="Bob1"/>
        <w:tabs>
          <w:tab w:val="clear" w:pos="720"/>
          <w:tab w:val="left" w:pos="1440"/>
        </w:tabs>
        <w:ind w:left="0" w:firstLine="0"/>
        <w:jc w:val="both"/>
        <w:rPr>
          <w:lang w:eastAsia="zh-HK"/>
        </w:rPr>
      </w:pPr>
      <w:r>
        <w:rPr>
          <w:lang w:eastAsia="zh-HK"/>
        </w:rPr>
        <w:t xml:space="preserve">As we have seen, the conditions which must be satisfied under OSCO section 14 before a court </w:t>
      </w:r>
      <w:r w:rsidR="00D66842">
        <w:rPr>
          <w:lang w:eastAsia="zh-HK"/>
        </w:rPr>
        <w:t xml:space="preserve">will </w:t>
      </w:r>
      <w:r>
        <w:rPr>
          <w:lang w:eastAsia="zh-HK"/>
        </w:rPr>
        <w:t>grant a restraint order pre-suppose an investigation which is to some degree</w:t>
      </w:r>
      <w:r w:rsidR="00E7057C">
        <w:rPr>
          <w:lang w:eastAsia="zh-HK"/>
        </w:rPr>
        <w:t xml:space="preserve"> advanced</w:t>
      </w:r>
      <w:r>
        <w:rPr>
          <w:lang w:eastAsia="zh-HK"/>
        </w:rPr>
        <w:t xml:space="preserve">.  There must be evidence sufficient to </w:t>
      </w:r>
      <w:r w:rsidR="00E7057C">
        <w:rPr>
          <w:lang w:eastAsia="zh-HK"/>
        </w:rPr>
        <w:t xml:space="preserve">support </w:t>
      </w:r>
      <w:r>
        <w:rPr>
          <w:lang w:eastAsia="zh-HK"/>
        </w:rPr>
        <w:t xml:space="preserve">the issue of a </w:t>
      </w:r>
      <w:r w:rsidRPr="0011493B">
        <w:rPr>
          <w:lang w:eastAsia="zh-HK"/>
        </w:rPr>
        <w:t>warrant</w:t>
      </w:r>
      <w:r>
        <w:rPr>
          <w:lang w:eastAsia="zh-HK"/>
        </w:rPr>
        <w:t xml:space="preserve">, </w:t>
      </w:r>
      <w:r w:rsidR="00C108D2">
        <w:rPr>
          <w:lang w:eastAsia="zh-HK"/>
        </w:rPr>
        <w:t xml:space="preserve">or </w:t>
      </w:r>
      <w:r>
        <w:rPr>
          <w:lang w:eastAsia="zh-HK"/>
        </w:rPr>
        <w:t>the arrest of the</w:t>
      </w:r>
      <w:r w:rsidRPr="0011493B">
        <w:rPr>
          <w:lang w:eastAsia="zh-HK"/>
        </w:rPr>
        <w:t xml:space="preserve"> person </w:t>
      </w:r>
      <w:r>
        <w:rPr>
          <w:lang w:eastAsia="zh-HK"/>
        </w:rPr>
        <w:t xml:space="preserve">concerned, or </w:t>
      </w:r>
      <w:r w:rsidR="00B57387">
        <w:rPr>
          <w:lang w:eastAsia="zh-HK"/>
        </w:rPr>
        <w:t xml:space="preserve">the preferring of a </w:t>
      </w:r>
      <w:r w:rsidRPr="0011493B">
        <w:rPr>
          <w:lang w:eastAsia="zh-HK"/>
        </w:rPr>
        <w:t>charg</w:t>
      </w:r>
      <w:r w:rsidR="00B57387">
        <w:rPr>
          <w:lang w:eastAsia="zh-HK"/>
        </w:rPr>
        <w:t>e</w:t>
      </w:r>
      <w:r w:rsidRPr="0011493B">
        <w:rPr>
          <w:lang w:eastAsia="zh-HK"/>
        </w:rPr>
        <w:t xml:space="preserve"> or indict</w:t>
      </w:r>
      <w:r w:rsidR="00B57387">
        <w:rPr>
          <w:lang w:eastAsia="zh-HK"/>
        </w:rPr>
        <w:t>ment</w:t>
      </w:r>
      <w:r w:rsidR="00C108D2">
        <w:rPr>
          <w:lang w:eastAsia="zh-HK"/>
        </w:rPr>
        <w:t>.  There must also be</w:t>
      </w:r>
      <w:r>
        <w:rPr>
          <w:lang w:eastAsia="zh-HK"/>
        </w:rPr>
        <w:t xml:space="preserve"> evidence supplying</w:t>
      </w:r>
      <w:r w:rsidRPr="0011493B">
        <w:rPr>
          <w:lang w:eastAsia="zh-HK"/>
        </w:rPr>
        <w:t xml:space="preserve"> reasonable cause to believe that he or she has benefited from the relevant offence</w:t>
      </w:r>
      <w:r>
        <w:rPr>
          <w:lang w:eastAsia="zh-HK"/>
        </w:rPr>
        <w:t xml:space="preserve">.  </w:t>
      </w:r>
      <w:r w:rsidR="00C108D2">
        <w:rPr>
          <w:lang w:eastAsia="zh-HK"/>
        </w:rPr>
        <w:t xml:space="preserve">A </w:t>
      </w:r>
      <w:r w:rsidR="00F30245">
        <w:rPr>
          <w:lang w:eastAsia="zh-HK"/>
        </w:rPr>
        <w:t xml:space="preserve">central </w:t>
      </w:r>
      <w:r w:rsidR="00C108D2">
        <w:rPr>
          <w:lang w:eastAsia="zh-HK"/>
        </w:rPr>
        <w:t xml:space="preserve">plank of </w:t>
      </w:r>
      <w:r w:rsidR="00F30245">
        <w:rPr>
          <w:lang w:eastAsia="zh-HK"/>
        </w:rPr>
        <w:t xml:space="preserve">the appellants’ submissions at the hearing </w:t>
      </w:r>
      <w:r w:rsidR="00C108D2">
        <w:rPr>
          <w:lang w:eastAsia="zh-HK"/>
        </w:rPr>
        <w:t xml:space="preserve">was </w:t>
      </w:r>
      <w:r w:rsidR="00F30245">
        <w:rPr>
          <w:lang w:eastAsia="zh-HK"/>
        </w:rPr>
        <w:t xml:space="preserve">that the only </w:t>
      </w:r>
      <w:r w:rsidR="00B57387">
        <w:rPr>
          <w:lang w:eastAsia="zh-HK"/>
        </w:rPr>
        <w:t xml:space="preserve">lawful </w:t>
      </w:r>
      <w:r w:rsidR="00F30245">
        <w:rPr>
          <w:lang w:eastAsia="zh-HK"/>
        </w:rPr>
        <w:t>means of freezing their funds was by obtaining a restraint order</w:t>
      </w:r>
      <w:r w:rsidR="00C108D2">
        <w:rPr>
          <w:lang w:eastAsia="zh-HK"/>
        </w:rPr>
        <w:t xml:space="preserve"> from the court</w:t>
      </w:r>
      <w:r w:rsidR="00F30245">
        <w:rPr>
          <w:lang w:eastAsia="zh-HK"/>
        </w:rPr>
        <w:t xml:space="preserve">.  </w:t>
      </w:r>
      <w:r w:rsidR="00C108D2">
        <w:rPr>
          <w:lang w:eastAsia="zh-HK"/>
        </w:rPr>
        <w:t xml:space="preserve">That </w:t>
      </w:r>
      <w:r w:rsidR="00F30245">
        <w:rPr>
          <w:lang w:eastAsia="zh-HK"/>
        </w:rPr>
        <w:t xml:space="preserve">argument </w:t>
      </w:r>
      <w:r w:rsidR="00C108D2">
        <w:rPr>
          <w:lang w:eastAsia="zh-HK"/>
        </w:rPr>
        <w:t xml:space="preserve">is examined </w:t>
      </w:r>
      <w:r w:rsidR="00F30245">
        <w:rPr>
          <w:lang w:eastAsia="zh-HK"/>
        </w:rPr>
        <w:t>below</w:t>
      </w:r>
      <w:r w:rsidR="00C108D2">
        <w:rPr>
          <w:lang w:eastAsia="zh-HK"/>
        </w:rPr>
        <w:t>,</w:t>
      </w:r>
      <w:r w:rsidR="00F30245">
        <w:rPr>
          <w:lang w:eastAsia="zh-HK"/>
        </w:rPr>
        <w:t xml:space="preserve"> but </w:t>
      </w:r>
      <w:r w:rsidR="00C108D2">
        <w:rPr>
          <w:lang w:eastAsia="zh-HK"/>
        </w:rPr>
        <w:t xml:space="preserve">we </w:t>
      </w:r>
      <w:r w:rsidR="00F30245">
        <w:rPr>
          <w:lang w:eastAsia="zh-HK"/>
        </w:rPr>
        <w:t xml:space="preserve">note that if </w:t>
      </w:r>
      <w:r w:rsidR="00C108D2">
        <w:rPr>
          <w:lang w:eastAsia="zh-HK"/>
        </w:rPr>
        <w:t xml:space="preserve">that </w:t>
      </w:r>
      <w:r w:rsidR="00CF0190">
        <w:rPr>
          <w:lang w:eastAsia="zh-HK"/>
        </w:rPr>
        <w:t>submission</w:t>
      </w:r>
      <w:r w:rsidR="00F30245">
        <w:rPr>
          <w:lang w:eastAsia="zh-HK"/>
        </w:rPr>
        <w:t xml:space="preserve"> </w:t>
      </w:r>
      <w:r w:rsidR="00C108D2">
        <w:rPr>
          <w:lang w:eastAsia="zh-HK"/>
        </w:rPr>
        <w:t xml:space="preserve">is </w:t>
      </w:r>
      <w:r w:rsidR="00F30245">
        <w:rPr>
          <w:lang w:eastAsia="zh-HK"/>
        </w:rPr>
        <w:t xml:space="preserve">correct, a </w:t>
      </w:r>
      <w:r w:rsidR="00693D15">
        <w:rPr>
          <w:lang w:eastAsia="zh-HK"/>
        </w:rPr>
        <w:t>surprising and crucial</w:t>
      </w:r>
      <w:r w:rsidR="00F30245">
        <w:rPr>
          <w:lang w:eastAsia="zh-HK"/>
        </w:rPr>
        <w:t xml:space="preserve"> </w:t>
      </w:r>
      <w:r w:rsidR="00C108D2">
        <w:rPr>
          <w:lang w:eastAsia="zh-HK"/>
        </w:rPr>
        <w:t>gap</w:t>
      </w:r>
      <w:r w:rsidR="00F30245">
        <w:rPr>
          <w:lang w:eastAsia="zh-HK"/>
        </w:rPr>
        <w:t xml:space="preserve"> would exist </w:t>
      </w:r>
      <w:r w:rsidR="00693D15">
        <w:rPr>
          <w:lang w:eastAsia="zh-HK"/>
        </w:rPr>
        <w:t>during</w:t>
      </w:r>
      <w:r w:rsidR="00F30245">
        <w:rPr>
          <w:lang w:eastAsia="zh-HK"/>
        </w:rPr>
        <w:t xml:space="preserve"> the period before investigations </w:t>
      </w:r>
      <w:r w:rsidR="00C108D2">
        <w:rPr>
          <w:lang w:eastAsia="zh-HK"/>
        </w:rPr>
        <w:t xml:space="preserve">are </w:t>
      </w:r>
      <w:r w:rsidR="00F30245">
        <w:rPr>
          <w:lang w:eastAsia="zh-HK"/>
        </w:rPr>
        <w:t xml:space="preserve">sufficiently advanced to </w:t>
      </w:r>
      <w:r w:rsidR="00CF0190">
        <w:rPr>
          <w:lang w:eastAsia="zh-HK"/>
        </w:rPr>
        <w:t xml:space="preserve">justify </w:t>
      </w:r>
      <w:r w:rsidR="00F30245">
        <w:rPr>
          <w:lang w:eastAsia="zh-HK"/>
        </w:rPr>
        <w:t>apply</w:t>
      </w:r>
      <w:r w:rsidR="00CF0190">
        <w:rPr>
          <w:lang w:eastAsia="zh-HK"/>
        </w:rPr>
        <w:t>ing</w:t>
      </w:r>
      <w:r w:rsidR="00F30245">
        <w:rPr>
          <w:lang w:eastAsia="zh-HK"/>
        </w:rPr>
        <w:t xml:space="preserve"> for a restraint order, </w:t>
      </w:r>
      <w:r w:rsidR="00693D15">
        <w:rPr>
          <w:lang w:eastAsia="zh-HK"/>
        </w:rPr>
        <w:t>when</w:t>
      </w:r>
      <w:r w:rsidR="00C108D2">
        <w:rPr>
          <w:lang w:eastAsia="zh-HK"/>
        </w:rPr>
        <w:t xml:space="preserve"> </w:t>
      </w:r>
      <w:r w:rsidR="00F30245">
        <w:rPr>
          <w:lang w:eastAsia="zh-HK"/>
        </w:rPr>
        <w:t>nothing could</w:t>
      </w:r>
      <w:r w:rsidR="00C108D2">
        <w:rPr>
          <w:lang w:eastAsia="zh-HK"/>
        </w:rPr>
        <w:t xml:space="preserve"> lawfully</w:t>
      </w:r>
      <w:r w:rsidR="00F30245">
        <w:rPr>
          <w:lang w:eastAsia="zh-HK"/>
        </w:rPr>
        <w:t xml:space="preserve"> be done to prevent flight or dissipation of the suspect funds.</w:t>
      </w:r>
    </w:p>
    <w:p w:rsidR="00D80E6F" w:rsidRPr="00B373CA" w:rsidRDefault="00C47E46" w:rsidP="00BE2CC8">
      <w:pPr>
        <w:pStyle w:val="Bob1"/>
        <w:tabs>
          <w:tab w:val="clear" w:pos="720"/>
          <w:tab w:val="left" w:pos="1440"/>
        </w:tabs>
        <w:ind w:left="0" w:firstLine="0"/>
        <w:jc w:val="both"/>
        <w:rPr>
          <w:lang w:eastAsia="zh-HK"/>
        </w:rPr>
      </w:pPr>
      <w:r>
        <w:rPr>
          <w:lang w:eastAsia="zh-HK"/>
        </w:rPr>
        <w:t>As previously noted, the evidence is that banks</w:t>
      </w:r>
      <w:r w:rsidR="007040ED">
        <w:rPr>
          <w:lang w:eastAsia="zh-HK"/>
        </w:rPr>
        <w:t xml:space="preserve"> routinely</w:t>
      </w:r>
      <w:r>
        <w:rPr>
          <w:lang w:eastAsia="zh-HK"/>
        </w:rPr>
        <w:t xml:space="preserve"> comply with the anti-money laundering requirements.  It appears </w:t>
      </w:r>
      <w:r w:rsidR="00D80E6F" w:rsidRPr="00B373CA">
        <w:rPr>
          <w:lang w:eastAsia="zh-HK"/>
        </w:rPr>
        <w:t xml:space="preserve">that </w:t>
      </w:r>
      <w:r w:rsidR="00F30245">
        <w:rPr>
          <w:lang w:eastAsia="zh-HK"/>
        </w:rPr>
        <w:t xml:space="preserve">in practice, </w:t>
      </w:r>
      <w:r>
        <w:rPr>
          <w:lang w:eastAsia="zh-HK"/>
        </w:rPr>
        <w:t xml:space="preserve">the bulk of STRs originate from the banks and </w:t>
      </w:r>
      <w:r w:rsidR="00531C8F">
        <w:rPr>
          <w:lang w:eastAsia="zh-HK"/>
        </w:rPr>
        <w:t xml:space="preserve">that they </w:t>
      </w:r>
      <w:r w:rsidR="00D80E6F" w:rsidRPr="00B373CA">
        <w:rPr>
          <w:lang w:eastAsia="zh-HK"/>
        </w:rPr>
        <w:t>are only rarely issued in response</w:t>
      </w:r>
      <w:r w:rsidR="007040ED">
        <w:rPr>
          <w:lang w:eastAsia="zh-HK"/>
        </w:rPr>
        <w:t xml:space="preserve"> to police initiatives</w:t>
      </w:r>
      <w:r w:rsidR="00D80E6F">
        <w:rPr>
          <w:lang w:eastAsia="zh-HK"/>
        </w:rPr>
        <w:t xml:space="preserve">. </w:t>
      </w:r>
      <w:r w:rsidR="00D80E6F" w:rsidRPr="00B373CA">
        <w:rPr>
          <w:lang w:eastAsia="zh-HK"/>
        </w:rPr>
        <w:t xml:space="preserve"> </w:t>
      </w:r>
      <w:r w:rsidR="00D80E6F">
        <w:rPr>
          <w:lang w:eastAsia="zh-HK"/>
        </w:rPr>
        <w:t>In the vast majority of cases, f</w:t>
      </w:r>
      <w:r w:rsidR="00D80E6F" w:rsidRPr="00B373CA">
        <w:rPr>
          <w:lang w:eastAsia="zh-HK"/>
        </w:rPr>
        <w:t xml:space="preserve">inancial institutions are </w:t>
      </w:r>
      <w:r w:rsidR="00D80E6F">
        <w:rPr>
          <w:lang w:eastAsia="zh-HK"/>
        </w:rPr>
        <w:t xml:space="preserve">free </w:t>
      </w:r>
      <w:r w:rsidR="00D80E6F" w:rsidRPr="00B373CA">
        <w:rPr>
          <w:lang w:eastAsia="zh-HK"/>
        </w:rPr>
        <w:t>to deal lawfully with their customers’ funds after submitting an STR.  As Supt Leung Oi-lam, Head of the JFIU, explained:</w:t>
      </w:r>
    </w:p>
    <w:p w:rsidR="00D80E6F" w:rsidRPr="00B373CA" w:rsidRDefault="00D80E6F" w:rsidP="00BE2CC8">
      <w:pPr>
        <w:pStyle w:val="Bob1"/>
        <w:numPr>
          <w:ilvl w:val="0"/>
          <w:numId w:val="0"/>
        </w:numPr>
        <w:spacing w:line="240" w:lineRule="auto"/>
        <w:ind w:left="720"/>
        <w:jc w:val="both"/>
        <w:rPr>
          <w:sz w:val="24"/>
        </w:rPr>
      </w:pPr>
      <w:r w:rsidRPr="00B373CA">
        <w:rPr>
          <w:sz w:val="24"/>
        </w:rPr>
        <w:t>“For the period between 2018 and May 2021, JFIU received a total of 207,146 STRs. Less than 2% of the STRs received resulted in the issuance of LNCs. In the same period, law enforcement agencies in Hong Kong have taken out 120 applications for restraint orders and 119 applications for confiscation orders under DTROP</w:t>
      </w:r>
      <w:r>
        <w:rPr>
          <w:rStyle w:val="FootnoteReference"/>
          <w:sz w:val="24"/>
        </w:rPr>
        <w:footnoteReference w:id="88"/>
      </w:r>
      <w:r w:rsidRPr="00B373CA">
        <w:rPr>
          <w:sz w:val="24"/>
        </w:rPr>
        <w:t xml:space="preserve"> or OSCO. Also, in the same period, HK$8.554 billion is </w:t>
      </w:r>
      <w:r>
        <w:rPr>
          <w:sz w:val="24"/>
        </w:rPr>
        <w:t>restrained, HK$ l</w:t>
      </w:r>
      <w:r w:rsidRPr="00B373CA">
        <w:rPr>
          <w:sz w:val="24"/>
        </w:rPr>
        <w:t>.02 billion is confiscated and HK$649.9 million is received by the Government.”</w:t>
      </w:r>
      <w:r w:rsidRPr="00B373CA">
        <w:rPr>
          <w:rStyle w:val="FootnoteReference"/>
          <w:sz w:val="24"/>
        </w:rPr>
        <w:footnoteReference w:id="89"/>
      </w:r>
    </w:p>
    <w:p w:rsidR="00D80E6F" w:rsidRPr="00B373CA" w:rsidRDefault="001F57E0" w:rsidP="00BE2CC8">
      <w:pPr>
        <w:pStyle w:val="Bob1"/>
        <w:numPr>
          <w:ilvl w:val="0"/>
          <w:numId w:val="1"/>
        </w:numPr>
        <w:tabs>
          <w:tab w:val="clear" w:pos="720"/>
          <w:tab w:val="left" w:pos="1440"/>
        </w:tabs>
        <w:ind w:left="0" w:firstLine="0"/>
        <w:jc w:val="both"/>
      </w:pPr>
      <w:r>
        <w:lastRenderedPageBreak/>
        <w:t xml:space="preserve">It therefore seems evident </w:t>
      </w:r>
      <w:r w:rsidR="00D80E6F" w:rsidRPr="00B373CA">
        <w:t xml:space="preserve">that LNCs are not </w:t>
      </w:r>
      <w:r>
        <w:t>issued</w:t>
      </w:r>
      <w:r w:rsidR="00D80E6F" w:rsidRPr="00B373CA">
        <w:t xml:space="preserve"> indiscriminately and that the FPM’s policy that the use of LNCs must be “necessary, proportionate and reasonable” taking</w:t>
      </w:r>
      <w:r w:rsidR="003B05C9">
        <w:t xml:space="preserve"> specified factors into account</w:t>
      </w:r>
      <w:r w:rsidR="00D80E6F" w:rsidRPr="00B373CA">
        <w:t xml:space="preserve"> is heeded.</w:t>
      </w:r>
      <w:r w:rsidR="00794956">
        <w:t xml:space="preserve">  We turn now to examine the </w:t>
      </w:r>
      <w:r w:rsidR="003B05C9">
        <w:t xml:space="preserve">four </w:t>
      </w:r>
      <w:r w:rsidR="00794956">
        <w:t xml:space="preserve">Questions in the </w:t>
      </w:r>
      <w:r w:rsidR="00531C8F">
        <w:t xml:space="preserve">context of the </w:t>
      </w:r>
      <w:r w:rsidR="00794956">
        <w:t>foregoing</w:t>
      </w:r>
      <w:r w:rsidR="00531C8F">
        <w:t xml:space="preserve"> discussion</w:t>
      </w:r>
      <w:r w:rsidR="00794956">
        <w:t>.</w:t>
      </w:r>
      <w:r w:rsidR="00C47E46">
        <w:t xml:space="preserve"> </w:t>
      </w:r>
    </w:p>
    <w:p w:rsidR="00794956" w:rsidRDefault="00C93E42" w:rsidP="00794956">
      <w:pPr>
        <w:pStyle w:val="docmapheading"/>
        <w:keepNext/>
        <w:rPr>
          <w:lang w:eastAsia="zh-TW"/>
        </w:rPr>
      </w:pPr>
      <w:r>
        <w:rPr>
          <w:lang w:eastAsia="zh-TW"/>
        </w:rPr>
        <w:t>G</w:t>
      </w:r>
      <w:r w:rsidR="00794956">
        <w:rPr>
          <w:lang w:eastAsia="zh-TW"/>
        </w:rPr>
        <w:t>.</w:t>
      </w:r>
      <w:r w:rsidR="00794956" w:rsidRPr="00B373CA">
        <w:rPr>
          <w:lang w:eastAsia="zh-TW"/>
        </w:rPr>
        <w:tab/>
        <w:t>Q1: The Ultra vires/improper purpose question</w:t>
      </w:r>
    </w:p>
    <w:p w:rsidR="00794956" w:rsidRPr="003B55BA" w:rsidRDefault="00C93E42" w:rsidP="00794956">
      <w:pPr>
        <w:pStyle w:val="docmapheading"/>
        <w:keepNext/>
        <w:rPr>
          <w:lang w:eastAsia="zh-TW"/>
        </w:rPr>
      </w:pPr>
      <w:r>
        <w:rPr>
          <w:lang w:eastAsia="zh-TW"/>
        </w:rPr>
        <w:t>G</w:t>
      </w:r>
      <w:r w:rsidR="00794956">
        <w:rPr>
          <w:lang w:eastAsia="zh-TW"/>
        </w:rPr>
        <w:t>.1</w:t>
      </w:r>
      <w:r w:rsidR="00794956">
        <w:rPr>
          <w:lang w:eastAsia="zh-TW"/>
        </w:rPr>
        <w:tab/>
        <w:t xml:space="preserve">Ultra vires </w:t>
      </w:r>
    </w:p>
    <w:p w:rsidR="00794956" w:rsidRDefault="00794956" w:rsidP="00BE2CC8">
      <w:pPr>
        <w:pStyle w:val="Bob1"/>
        <w:numPr>
          <w:ilvl w:val="0"/>
          <w:numId w:val="1"/>
        </w:numPr>
        <w:tabs>
          <w:tab w:val="clear" w:pos="720"/>
          <w:tab w:val="left" w:pos="1440"/>
        </w:tabs>
        <w:ind w:left="0" w:firstLine="0"/>
        <w:jc w:val="both"/>
        <w:rPr>
          <w:lang w:eastAsia="zh-HK"/>
        </w:rPr>
      </w:pPr>
      <w:r>
        <w:t>T</w:t>
      </w:r>
      <w:r w:rsidRPr="00B373CA">
        <w:t>he appellants contend that the LNCs are ultra vires because “OSCO does not confer power to operate a de facto property freezing regime by the use of such letters and attendant procedures.”</w:t>
      </w:r>
      <w:r w:rsidRPr="00B373CA">
        <w:rPr>
          <w:rStyle w:val="FootnoteReference"/>
        </w:rPr>
        <w:footnoteReference w:id="90"/>
      </w:r>
      <w:r w:rsidRPr="00B373CA">
        <w:t xml:space="preserve">  The Judge accepted that argument and granted a Declaration that “The Letters of No Consent were, and the No Consent Regime as operated by the Commissioner </w:t>
      </w:r>
      <w:r>
        <w:t xml:space="preserve">of Police </w:t>
      </w:r>
      <w:r w:rsidRPr="00B373CA">
        <w:t>is ... ultra vires sections 25 and 25A of OSCO</w:t>
      </w:r>
      <w:r>
        <w:t>...</w:t>
      </w:r>
      <w:r w:rsidRPr="00B373CA">
        <w:t>”</w:t>
      </w:r>
      <w:r>
        <w:rPr>
          <w:rStyle w:val="FootnoteReference"/>
        </w:rPr>
        <w:footnoteReference w:id="91"/>
      </w:r>
    </w:p>
    <w:p w:rsidR="00794956" w:rsidRPr="00B373CA" w:rsidRDefault="00794956" w:rsidP="00BE2CC8">
      <w:pPr>
        <w:pStyle w:val="Bob1"/>
        <w:numPr>
          <w:ilvl w:val="0"/>
          <w:numId w:val="1"/>
        </w:numPr>
        <w:tabs>
          <w:tab w:val="clear" w:pos="720"/>
          <w:tab w:val="left" w:pos="1440"/>
        </w:tabs>
        <w:ind w:left="0" w:firstLine="0"/>
        <w:jc w:val="both"/>
        <w:rPr>
          <w:lang w:eastAsia="zh-HK"/>
        </w:rPr>
      </w:pPr>
      <w:r w:rsidRPr="00B373CA">
        <w:t xml:space="preserve">Thus, the focus of the appellants’ ultra vires complaint is on the </w:t>
      </w:r>
      <w:r w:rsidR="00D65F23">
        <w:t xml:space="preserve">alleged </w:t>
      </w:r>
      <w:r w:rsidRPr="00B373CA">
        <w:t>freezing of the accounts</w:t>
      </w:r>
      <w:r w:rsidR="00D65F23">
        <w:t xml:space="preserve"> by the police through</w:t>
      </w:r>
      <w:r w:rsidRPr="00B373CA">
        <w:t xml:space="preserve"> their communications with the banks by e-mail at [Step 2]; and </w:t>
      </w:r>
      <w:r>
        <w:t>their</w:t>
      </w:r>
      <w:r w:rsidRPr="00B373CA">
        <w:t xml:space="preserve"> issuing </w:t>
      </w:r>
      <w:r>
        <w:t xml:space="preserve">of </w:t>
      </w:r>
      <w:r w:rsidRPr="00B373CA">
        <w:t>LNCs at [Step 5].  The appellants argue that:</w:t>
      </w:r>
    </w:p>
    <w:p w:rsidR="00794956" w:rsidRPr="00B373CA" w:rsidRDefault="00794956" w:rsidP="00BE2CC8">
      <w:pPr>
        <w:pStyle w:val="Bob1"/>
        <w:numPr>
          <w:ilvl w:val="0"/>
          <w:numId w:val="0"/>
        </w:numPr>
        <w:spacing w:line="240" w:lineRule="auto"/>
        <w:ind w:left="720"/>
        <w:jc w:val="both"/>
        <w:rPr>
          <w:sz w:val="24"/>
          <w:lang w:eastAsia="zh-HK"/>
        </w:rPr>
      </w:pPr>
      <w:r w:rsidRPr="00B373CA">
        <w:rPr>
          <w:sz w:val="24"/>
        </w:rPr>
        <w:t>“</w:t>
      </w:r>
      <w:r w:rsidRPr="00B373CA">
        <w:rPr>
          <w:sz w:val="24"/>
          <w:szCs w:val="28"/>
        </w:rPr>
        <w:t xml:space="preserve">Nothing in OSCO suggests that the legislature intended to </w:t>
      </w:r>
      <w:r w:rsidR="003D7AD9">
        <w:rPr>
          <w:sz w:val="24"/>
          <w:szCs w:val="28"/>
        </w:rPr>
        <w:t>authoris</w:t>
      </w:r>
      <w:r w:rsidR="002715ED">
        <w:rPr>
          <w:sz w:val="24"/>
          <w:szCs w:val="28"/>
        </w:rPr>
        <w:t>e</w:t>
      </w:r>
      <w:r w:rsidRPr="00B373CA">
        <w:rPr>
          <w:sz w:val="24"/>
          <w:szCs w:val="28"/>
        </w:rPr>
        <w:t xml:space="preserve"> police to contact banks in secret and give instructions, which would invariably be obeyed, that the accounts of any person, company, or other entity should be frozen. To the contrary, as the Judge observed [CFI§§77-83], numerous features in the legislation suggest that this was </w:t>
      </w:r>
      <w:r w:rsidRPr="00B373CA">
        <w:rPr>
          <w:sz w:val="24"/>
          <w:szCs w:val="28"/>
          <w:u w:val="single"/>
        </w:rPr>
        <w:t>not</w:t>
      </w:r>
      <w:r w:rsidRPr="00B373CA">
        <w:rPr>
          <w:sz w:val="24"/>
          <w:szCs w:val="28"/>
        </w:rPr>
        <w:t xml:space="preserve"> contemplated or intended.”</w:t>
      </w:r>
      <w:r w:rsidRPr="00B373CA">
        <w:rPr>
          <w:rStyle w:val="FootnoteReference"/>
          <w:sz w:val="24"/>
          <w:szCs w:val="28"/>
        </w:rPr>
        <w:footnoteReference w:id="92"/>
      </w:r>
    </w:p>
    <w:p w:rsidR="00794956" w:rsidRDefault="001B261E" w:rsidP="00BE2CC8">
      <w:pPr>
        <w:pStyle w:val="Bob1"/>
        <w:tabs>
          <w:tab w:val="clear" w:pos="720"/>
          <w:tab w:val="left" w:pos="1440"/>
        </w:tabs>
        <w:ind w:left="0" w:firstLine="0"/>
        <w:jc w:val="both"/>
        <w:rPr>
          <w:lang w:eastAsia="zh-HK"/>
        </w:rPr>
      </w:pPr>
      <w:r>
        <w:rPr>
          <w:lang w:eastAsia="zh-HK"/>
        </w:rPr>
        <w:t>T</w:t>
      </w:r>
      <w:r w:rsidR="00794956" w:rsidRPr="00B373CA">
        <w:rPr>
          <w:lang w:eastAsia="zh-HK"/>
        </w:rPr>
        <w:t xml:space="preserve">his argument has </w:t>
      </w:r>
      <w:r w:rsidR="00252E90">
        <w:rPr>
          <w:lang w:eastAsia="zh-HK"/>
        </w:rPr>
        <w:t>three</w:t>
      </w:r>
      <w:r w:rsidR="00794956" w:rsidRPr="00B373CA">
        <w:rPr>
          <w:lang w:eastAsia="zh-HK"/>
        </w:rPr>
        <w:t xml:space="preserve"> basic flaws.  First, it </w:t>
      </w:r>
      <w:r w:rsidR="00794956">
        <w:rPr>
          <w:lang w:eastAsia="zh-HK"/>
        </w:rPr>
        <w:t>bases</w:t>
      </w:r>
      <w:r w:rsidR="00794956" w:rsidRPr="00B373CA">
        <w:rPr>
          <w:lang w:eastAsia="zh-HK"/>
        </w:rPr>
        <w:t xml:space="preserve"> the ultra vires argument </w:t>
      </w:r>
      <w:r w:rsidR="00794956">
        <w:rPr>
          <w:lang w:eastAsia="zh-HK"/>
        </w:rPr>
        <w:t xml:space="preserve">entirely </w:t>
      </w:r>
      <w:r w:rsidR="00794956" w:rsidRPr="00B373CA">
        <w:rPr>
          <w:lang w:eastAsia="zh-HK"/>
        </w:rPr>
        <w:t xml:space="preserve">on OSCO, the premise being that in order for the actions by the </w:t>
      </w:r>
      <w:r w:rsidR="00794956" w:rsidRPr="00B373CA">
        <w:rPr>
          <w:lang w:eastAsia="zh-HK"/>
        </w:rPr>
        <w:lastRenderedPageBreak/>
        <w:t xml:space="preserve">police to be intra vires, they have to be </w:t>
      </w:r>
      <w:r w:rsidR="002715ED">
        <w:rPr>
          <w:lang w:eastAsia="zh-HK"/>
        </w:rPr>
        <w:t>authorize</w:t>
      </w:r>
      <w:r w:rsidR="00794956" w:rsidRPr="00B373CA">
        <w:rPr>
          <w:lang w:eastAsia="zh-HK"/>
        </w:rPr>
        <w:t xml:space="preserve">d by OSCO and that in the absence of such authorisation, </w:t>
      </w:r>
      <w:proofErr w:type="gramStart"/>
      <w:r w:rsidR="00794956" w:rsidRPr="00B373CA">
        <w:rPr>
          <w:lang w:eastAsia="zh-HK"/>
        </w:rPr>
        <w:t>those</w:t>
      </w:r>
      <w:proofErr w:type="gramEnd"/>
      <w:r w:rsidR="00794956" w:rsidRPr="00B373CA">
        <w:rPr>
          <w:lang w:eastAsia="zh-HK"/>
        </w:rPr>
        <w:t xml:space="preserve"> actions are ultra vires.  Secondly, it mischaracterises the actions of the police at [Steps 2 and 5] as the</w:t>
      </w:r>
      <w:r w:rsidR="00794956">
        <w:rPr>
          <w:lang w:eastAsia="zh-HK"/>
        </w:rPr>
        <w:t>ir</w:t>
      </w:r>
      <w:r w:rsidR="00794956" w:rsidRPr="00B373CA">
        <w:rPr>
          <w:lang w:eastAsia="zh-HK"/>
        </w:rPr>
        <w:t xml:space="preserve"> freezing of </w:t>
      </w:r>
      <w:r w:rsidR="004629C2">
        <w:rPr>
          <w:lang w:eastAsia="zh-HK"/>
        </w:rPr>
        <w:t>the accounts</w:t>
      </w:r>
      <w:r w:rsidR="00794956" w:rsidRPr="00B373CA">
        <w:rPr>
          <w:lang w:eastAsia="zh-HK"/>
        </w:rPr>
        <w:t>.</w:t>
      </w:r>
      <w:r w:rsidR="00252E90">
        <w:rPr>
          <w:lang w:eastAsia="zh-HK"/>
        </w:rPr>
        <w:t xml:space="preserve">  Thirdly, the assertion that “</w:t>
      </w:r>
      <w:r w:rsidR="00252E90" w:rsidRPr="00252E90">
        <w:rPr>
          <w:lang w:eastAsia="zh-HK"/>
        </w:rPr>
        <w:t>Nothing in OSCO suggests that the legislature intended</w:t>
      </w:r>
      <w:r w:rsidR="00252E90">
        <w:rPr>
          <w:lang w:eastAsia="zh-HK"/>
        </w:rPr>
        <w:t xml:space="preserve"> to </w:t>
      </w:r>
      <w:r w:rsidR="002715ED">
        <w:rPr>
          <w:lang w:eastAsia="zh-HK"/>
        </w:rPr>
        <w:t>authorize</w:t>
      </w:r>
      <w:r w:rsidR="00252E90">
        <w:rPr>
          <w:lang w:eastAsia="zh-HK"/>
        </w:rPr>
        <w:t xml:space="preserve">” a freezing of assets, </w:t>
      </w:r>
      <w:r w:rsidR="00252E90" w:rsidRPr="00252E90">
        <w:rPr>
          <w:lang w:eastAsia="zh-HK"/>
        </w:rPr>
        <w:t xml:space="preserve"> </w:t>
      </w:r>
      <w:r w:rsidR="00252E90">
        <w:rPr>
          <w:lang w:eastAsia="zh-HK"/>
        </w:rPr>
        <w:t xml:space="preserve">reflects the appellants’ </w:t>
      </w:r>
      <w:r w:rsidR="001E7805">
        <w:rPr>
          <w:lang w:eastAsia="zh-HK"/>
        </w:rPr>
        <w:t xml:space="preserve">erroneous </w:t>
      </w:r>
      <w:r w:rsidR="004629C2">
        <w:rPr>
          <w:lang w:eastAsia="zh-HK"/>
        </w:rPr>
        <w:t xml:space="preserve">core contention </w:t>
      </w:r>
      <w:r w:rsidR="00252E90">
        <w:rPr>
          <w:lang w:eastAsia="zh-HK"/>
        </w:rPr>
        <w:t xml:space="preserve">that the only lawful means of freezing an account is by obtaining a restraint order under OSCO section 15. </w:t>
      </w:r>
    </w:p>
    <w:p w:rsidR="00794956" w:rsidRDefault="00794956" w:rsidP="00BE2CC8">
      <w:pPr>
        <w:pStyle w:val="Bob1"/>
        <w:tabs>
          <w:tab w:val="clear" w:pos="720"/>
          <w:tab w:val="left" w:pos="1440"/>
        </w:tabs>
        <w:ind w:left="0" w:firstLine="0"/>
        <w:jc w:val="both"/>
        <w:rPr>
          <w:lang w:eastAsia="zh-HK"/>
        </w:rPr>
      </w:pPr>
      <w:r w:rsidRPr="00B373CA">
        <w:rPr>
          <w:lang w:eastAsia="zh-HK"/>
        </w:rPr>
        <w:t>Regarding the first flaw, as was pointed out in the Courts below, the concept of ultra vires was “borrowed</w:t>
      </w:r>
      <w:r w:rsidR="00970122">
        <w:rPr>
          <w:lang w:eastAsia="zh-HK"/>
        </w:rPr>
        <w:t xml:space="preserve"> ... </w:t>
      </w:r>
      <w:r w:rsidRPr="00B373CA">
        <w:rPr>
          <w:lang w:eastAsia="zh-HK"/>
        </w:rPr>
        <w:t>from company law, where powers are spelt out in articles of association and acts can be measured against them”.</w:t>
      </w:r>
      <w:r w:rsidRPr="00B373CA">
        <w:rPr>
          <w:rStyle w:val="FootnoteReference"/>
          <w:lang w:eastAsia="zh-HK"/>
        </w:rPr>
        <w:footnoteReference w:id="93"/>
      </w:r>
      <w:r w:rsidRPr="00B373CA">
        <w:rPr>
          <w:lang w:eastAsia="zh-HK"/>
        </w:rPr>
        <w:t xml:space="preserve">  Thus, in a company law ultra vires case, there is no doubt as to the framework of rules against which the impugned acts are to be assessed.  However, in the public law context, it is crucial not to fasten upon the wrong statute as the necessary source of the power to act.  That error would result in a self-fulfilling finding of ultra vires: if one </w:t>
      </w:r>
      <w:r>
        <w:rPr>
          <w:lang w:eastAsia="zh-HK"/>
        </w:rPr>
        <w:t xml:space="preserve">looks </w:t>
      </w:r>
      <w:r w:rsidRPr="00B373CA">
        <w:rPr>
          <w:lang w:eastAsia="zh-HK"/>
        </w:rPr>
        <w:t xml:space="preserve">for authorisation of certain activities in a statute that was never intended to provide such authorisation, it naturally leads to the </w:t>
      </w:r>
      <w:r w:rsidR="001E7805">
        <w:rPr>
          <w:lang w:eastAsia="zh-HK"/>
        </w:rPr>
        <w:t>wrong</w:t>
      </w:r>
      <w:r w:rsidRPr="00B373CA">
        <w:rPr>
          <w:lang w:eastAsia="zh-HK"/>
        </w:rPr>
        <w:t xml:space="preserve"> conclusion that such activities are un</w:t>
      </w:r>
      <w:r w:rsidR="002715ED">
        <w:rPr>
          <w:lang w:eastAsia="zh-HK"/>
        </w:rPr>
        <w:t>authorize</w:t>
      </w:r>
      <w:r w:rsidRPr="00B373CA">
        <w:rPr>
          <w:lang w:eastAsia="zh-HK"/>
        </w:rPr>
        <w:t>d and so ultra vires.  That is the effect of the appellants’ argument in the present case.</w:t>
      </w:r>
    </w:p>
    <w:p w:rsidR="00D16A80" w:rsidRDefault="00794956" w:rsidP="00BE2CC8">
      <w:pPr>
        <w:pStyle w:val="Bob1"/>
        <w:tabs>
          <w:tab w:val="clear" w:pos="720"/>
          <w:tab w:val="left" w:pos="1440"/>
        </w:tabs>
        <w:ind w:left="0" w:firstLine="0"/>
        <w:jc w:val="both"/>
        <w:rPr>
          <w:lang w:eastAsia="zh-HK"/>
        </w:rPr>
      </w:pPr>
      <w:r w:rsidRPr="00B373CA">
        <w:rPr>
          <w:lang w:eastAsia="zh-HK"/>
        </w:rPr>
        <w:t xml:space="preserve">The search for specific OSCO provisions authorising the police actions at [Steps 2 and 5] is misdirected.  </w:t>
      </w:r>
      <w:r w:rsidR="00D50FEF">
        <w:rPr>
          <w:lang w:eastAsia="zh-HK"/>
        </w:rPr>
        <w:t xml:space="preserve">One candidate provision canvassed </w:t>
      </w:r>
      <w:r w:rsidR="003B478A">
        <w:rPr>
          <w:lang w:eastAsia="zh-HK"/>
        </w:rPr>
        <w:t>by the appellants</w:t>
      </w:r>
      <w:r w:rsidR="003B478A">
        <w:rPr>
          <w:rStyle w:val="FootnoteReference"/>
          <w:lang w:eastAsia="zh-HK"/>
        </w:rPr>
        <w:footnoteReference w:id="94"/>
      </w:r>
      <w:r w:rsidR="003B478A">
        <w:rPr>
          <w:lang w:eastAsia="zh-HK"/>
        </w:rPr>
        <w:t xml:space="preserve"> </w:t>
      </w:r>
      <w:r w:rsidR="00D50FEF">
        <w:rPr>
          <w:lang w:eastAsia="zh-HK"/>
        </w:rPr>
        <w:t xml:space="preserve">is OSCO section </w:t>
      </w:r>
      <w:proofErr w:type="gramStart"/>
      <w:r w:rsidR="00D50FEF">
        <w:rPr>
          <w:lang w:eastAsia="zh-HK"/>
        </w:rPr>
        <w:t>25A(</w:t>
      </w:r>
      <w:proofErr w:type="gramEnd"/>
      <w:r w:rsidR="00D50FEF">
        <w:rPr>
          <w:lang w:eastAsia="zh-HK"/>
        </w:rPr>
        <w:t xml:space="preserve">2)(a).  </w:t>
      </w:r>
      <w:r w:rsidRPr="00B373CA">
        <w:rPr>
          <w:lang w:eastAsia="zh-HK"/>
        </w:rPr>
        <w:t xml:space="preserve">It is true that section </w:t>
      </w:r>
      <w:proofErr w:type="gramStart"/>
      <w:r w:rsidRPr="00B373CA">
        <w:rPr>
          <w:lang w:eastAsia="zh-HK"/>
        </w:rPr>
        <w:t>2</w:t>
      </w:r>
      <w:r>
        <w:rPr>
          <w:lang w:eastAsia="zh-HK"/>
        </w:rPr>
        <w:t>5A(</w:t>
      </w:r>
      <w:proofErr w:type="gramEnd"/>
      <w:r>
        <w:rPr>
          <w:lang w:eastAsia="zh-HK"/>
        </w:rPr>
        <w:t xml:space="preserve">2)(a) </w:t>
      </w:r>
      <w:r w:rsidR="00057AF6">
        <w:rPr>
          <w:lang w:eastAsia="zh-HK"/>
        </w:rPr>
        <w:t>envisages</w:t>
      </w:r>
      <w:r w:rsidRPr="00B373CA">
        <w:rPr>
          <w:lang w:eastAsia="zh-HK"/>
        </w:rPr>
        <w:t xml:space="preserve"> the police </w:t>
      </w:r>
      <w:r>
        <w:rPr>
          <w:lang w:eastAsia="zh-HK"/>
        </w:rPr>
        <w:t>giv</w:t>
      </w:r>
      <w:r w:rsidR="00057AF6">
        <w:rPr>
          <w:lang w:eastAsia="zh-HK"/>
        </w:rPr>
        <w:t>ing</w:t>
      </w:r>
      <w:r w:rsidRPr="00B373CA">
        <w:rPr>
          <w:lang w:eastAsia="zh-HK"/>
        </w:rPr>
        <w:t xml:space="preserve"> consent for dealings with the suspect property </w:t>
      </w:r>
      <w:r>
        <w:rPr>
          <w:lang w:eastAsia="zh-HK"/>
        </w:rPr>
        <w:t xml:space="preserve">in some cases </w:t>
      </w:r>
      <w:r w:rsidRPr="00B373CA">
        <w:rPr>
          <w:lang w:eastAsia="zh-HK"/>
        </w:rPr>
        <w:t>and</w:t>
      </w:r>
      <w:r>
        <w:rPr>
          <w:lang w:eastAsia="zh-HK"/>
        </w:rPr>
        <w:t>, by necessary implication, withhold</w:t>
      </w:r>
      <w:r w:rsidR="00057AF6">
        <w:rPr>
          <w:lang w:eastAsia="zh-HK"/>
        </w:rPr>
        <w:t>ing</w:t>
      </w:r>
      <w:r w:rsidRPr="00B373CA">
        <w:rPr>
          <w:lang w:eastAsia="zh-HK"/>
        </w:rPr>
        <w:t xml:space="preserve"> such consent</w:t>
      </w:r>
      <w:r>
        <w:rPr>
          <w:lang w:eastAsia="zh-HK"/>
        </w:rPr>
        <w:t xml:space="preserve"> in others</w:t>
      </w:r>
      <w:r w:rsidRPr="00B373CA">
        <w:rPr>
          <w:lang w:eastAsia="zh-HK"/>
        </w:rPr>
        <w:t>.  But</w:t>
      </w:r>
      <w:r w:rsidR="00D16A80">
        <w:rPr>
          <w:lang w:eastAsia="zh-HK"/>
        </w:rPr>
        <w:t>, as we have seen,</w:t>
      </w:r>
      <w:r w:rsidRPr="00B373CA">
        <w:rPr>
          <w:lang w:eastAsia="zh-HK"/>
        </w:rPr>
        <w:t xml:space="preserve"> </w:t>
      </w:r>
      <w:r>
        <w:rPr>
          <w:lang w:eastAsia="zh-HK"/>
        </w:rPr>
        <w:t xml:space="preserve">section </w:t>
      </w:r>
      <w:proofErr w:type="gramStart"/>
      <w:r>
        <w:rPr>
          <w:lang w:eastAsia="zh-HK"/>
        </w:rPr>
        <w:t>25A(</w:t>
      </w:r>
      <w:proofErr w:type="gramEnd"/>
      <w:r>
        <w:rPr>
          <w:lang w:eastAsia="zh-HK"/>
        </w:rPr>
        <w:t xml:space="preserve">2) is not primarily about the police giving or withholding consent or their power to do so.  It is principally concerned with the </w:t>
      </w:r>
      <w:r w:rsidRPr="00BE2CC8">
        <w:rPr>
          <w:i/>
          <w:lang w:eastAsia="zh-HK"/>
        </w:rPr>
        <w:lastRenderedPageBreak/>
        <w:t>conferring of immunity</w:t>
      </w:r>
      <w:r>
        <w:rPr>
          <w:lang w:eastAsia="zh-HK"/>
        </w:rPr>
        <w:t xml:space="preserve"> in cases where disclosure has </w:t>
      </w:r>
      <w:r w:rsidR="00D16A80">
        <w:rPr>
          <w:lang w:eastAsia="zh-HK"/>
        </w:rPr>
        <w:t xml:space="preserve">duly </w:t>
      </w:r>
      <w:r>
        <w:rPr>
          <w:lang w:eastAsia="zh-HK"/>
        </w:rPr>
        <w:t xml:space="preserve">been made.  Thus, </w:t>
      </w:r>
      <w:r w:rsidR="00473658">
        <w:rPr>
          <w:lang w:eastAsia="zh-HK"/>
        </w:rPr>
        <w:t>under</w:t>
      </w:r>
      <w:r>
        <w:rPr>
          <w:lang w:eastAsia="zh-HK"/>
        </w:rPr>
        <w:t xml:space="preserve"> section </w:t>
      </w:r>
      <w:proofErr w:type="gramStart"/>
      <w:r>
        <w:rPr>
          <w:lang w:eastAsia="zh-HK"/>
        </w:rPr>
        <w:t>25A(</w:t>
      </w:r>
      <w:proofErr w:type="gramEnd"/>
      <w:r>
        <w:rPr>
          <w:lang w:eastAsia="zh-HK"/>
        </w:rPr>
        <w:t xml:space="preserve">2)(b), immunity is provided for on the basis of after-the-event disclosure, without requiring an </w:t>
      </w:r>
      <w:r w:rsidR="002715ED">
        <w:rPr>
          <w:lang w:eastAsia="zh-HK"/>
        </w:rPr>
        <w:t>authorize</w:t>
      </w:r>
      <w:r>
        <w:rPr>
          <w:lang w:eastAsia="zh-HK"/>
        </w:rPr>
        <w:t xml:space="preserve">d officer’s consent.  </w:t>
      </w:r>
    </w:p>
    <w:p w:rsidR="00794956" w:rsidRDefault="00D16A80" w:rsidP="00BE2CC8">
      <w:pPr>
        <w:pStyle w:val="Bob1"/>
        <w:tabs>
          <w:tab w:val="clear" w:pos="720"/>
          <w:tab w:val="left" w:pos="1440"/>
        </w:tabs>
        <w:ind w:left="0" w:firstLine="0"/>
        <w:jc w:val="both"/>
        <w:rPr>
          <w:lang w:eastAsia="zh-HK"/>
        </w:rPr>
      </w:pPr>
      <w:r>
        <w:rPr>
          <w:lang w:eastAsia="zh-HK"/>
        </w:rPr>
        <w:t>W</w:t>
      </w:r>
      <w:r w:rsidR="00794956">
        <w:rPr>
          <w:lang w:eastAsia="zh-HK"/>
        </w:rPr>
        <w:t xml:space="preserve">ith </w:t>
      </w:r>
      <w:r w:rsidR="00473658">
        <w:rPr>
          <w:lang w:eastAsia="zh-HK"/>
        </w:rPr>
        <w:t>the</w:t>
      </w:r>
      <w:r w:rsidR="00794956">
        <w:rPr>
          <w:lang w:eastAsia="zh-HK"/>
        </w:rPr>
        <w:t xml:space="preserve"> focus of section </w:t>
      </w:r>
      <w:proofErr w:type="gramStart"/>
      <w:r w:rsidR="00794956">
        <w:rPr>
          <w:lang w:eastAsia="zh-HK"/>
        </w:rPr>
        <w:t>25A(</w:t>
      </w:r>
      <w:proofErr w:type="gramEnd"/>
      <w:r w:rsidR="00794956">
        <w:rPr>
          <w:lang w:eastAsia="zh-HK"/>
        </w:rPr>
        <w:t xml:space="preserve">2) on the granting or withholding of </w:t>
      </w:r>
      <w:r w:rsidR="00794956" w:rsidRPr="00BE2CC8">
        <w:rPr>
          <w:i/>
          <w:lang w:eastAsia="zh-HK"/>
        </w:rPr>
        <w:t>immunity</w:t>
      </w:r>
      <w:r w:rsidR="00794956">
        <w:rPr>
          <w:lang w:eastAsia="zh-HK"/>
        </w:rPr>
        <w:t xml:space="preserve">, section 25A(2)(a) </w:t>
      </w:r>
      <w:r w:rsidR="00473658">
        <w:rPr>
          <w:lang w:eastAsia="zh-HK"/>
        </w:rPr>
        <w:t xml:space="preserve">only </w:t>
      </w:r>
      <w:r w:rsidR="00794956">
        <w:rPr>
          <w:lang w:eastAsia="zh-HK"/>
        </w:rPr>
        <w:t>operates at a stage whe</w:t>
      </w:r>
      <w:r>
        <w:rPr>
          <w:lang w:eastAsia="zh-HK"/>
        </w:rPr>
        <w:t>n</w:t>
      </w:r>
      <w:r w:rsidR="00794956">
        <w:rPr>
          <w:lang w:eastAsia="zh-HK"/>
        </w:rPr>
        <w:t xml:space="preserve">, after investigation, the police </w:t>
      </w:r>
      <w:r>
        <w:rPr>
          <w:lang w:eastAsia="zh-HK"/>
        </w:rPr>
        <w:t xml:space="preserve">are </w:t>
      </w:r>
      <w:r w:rsidR="00D50FEF">
        <w:rPr>
          <w:lang w:eastAsia="zh-HK"/>
        </w:rPr>
        <w:t>in a position</w:t>
      </w:r>
      <w:r>
        <w:rPr>
          <w:lang w:eastAsia="zh-HK"/>
        </w:rPr>
        <w:t xml:space="preserve"> </w:t>
      </w:r>
      <w:r w:rsidR="00794956">
        <w:rPr>
          <w:lang w:eastAsia="zh-HK"/>
        </w:rPr>
        <w:t xml:space="preserve">to decide whether immunity should be granted.  It </w:t>
      </w:r>
      <w:r w:rsidR="00794956" w:rsidRPr="00B373CA">
        <w:rPr>
          <w:lang w:eastAsia="zh-HK"/>
        </w:rPr>
        <w:t xml:space="preserve">does not, and is not intended to, supply legal </w:t>
      </w:r>
      <w:r w:rsidR="00794956">
        <w:rPr>
          <w:lang w:eastAsia="zh-HK"/>
        </w:rPr>
        <w:t>authority</w:t>
      </w:r>
      <w:r w:rsidR="00794956" w:rsidRPr="00B373CA">
        <w:rPr>
          <w:lang w:eastAsia="zh-HK"/>
        </w:rPr>
        <w:t xml:space="preserve"> for </w:t>
      </w:r>
      <w:r w:rsidR="00794956">
        <w:rPr>
          <w:lang w:eastAsia="zh-HK"/>
        </w:rPr>
        <w:t xml:space="preserve">the actions of the police during the initial and </w:t>
      </w:r>
      <w:r w:rsidR="00473658">
        <w:rPr>
          <w:lang w:eastAsia="zh-HK"/>
        </w:rPr>
        <w:t>pending</w:t>
      </w:r>
      <w:r w:rsidR="00794956">
        <w:rPr>
          <w:lang w:eastAsia="zh-HK"/>
        </w:rPr>
        <w:t xml:space="preserve"> stages of the investigation</w:t>
      </w:r>
      <w:r w:rsidR="00794956" w:rsidRPr="00B373CA">
        <w:rPr>
          <w:lang w:eastAsia="zh-HK"/>
        </w:rPr>
        <w:t xml:space="preserve">.  </w:t>
      </w:r>
      <w:r w:rsidR="00794956">
        <w:rPr>
          <w:lang w:eastAsia="zh-HK"/>
        </w:rPr>
        <w:t>Consent may</w:t>
      </w:r>
      <w:r w:rsidR="00473658">
        <w:rPr>
          <w:lang w:eastAsia="zh-HK"/>
        </w:rPr>
        <w:t xml:space="preserve"> thus</w:t>
      </w:r>
      <w:r w:rsidR="00794956">
        <w:rPr>
          <w:lang w:eastAsia="zh-HK"/>
        </w:rPr>
        <w:t xml:space="preserve"> be given </w:t>
      </w:r>
      <w:r w:rsidR="00473658">
        <w:rPr>
          <w:lang w:eastAsia="zh-HK"/>
        </w:rPr>
        <w:t xml:space="preserve">under </w:t>
      </w:r>
      <w:r w:rsidR="00794956" w:rsidRPr="00B373CA">
        <w:rPr>
          <w:lang w:eastAsia="zh-HK"/>
        </w:rPr>
        <w:t xml:space="preserve">section </w:t>
      </w:r>
      <w:proofErr w:type="gramStart"/>
      <w:r w:rsidR="00794956" w:rsidRPr="00B373CA">
        <w:rPr>
          <w:lang w:eastAsia="zh-HK"/>
        </w:rPr>
        <w:t>25A(</w:t>
      </w:r>
      <w:proofErr w:type="gramEnd"/>
      <w:r w:rsidR="00794956" w:rsidRPr="00B373CA">
        <w:rPr>
          <w:lang w:eastAsia="zh-HK"/>
        </w:rPr>
        <w:t>2)</w:t>
      </w:r>
      <w:r w:rsidR="00794956">
        <w:rPr>
          <w:lang w:eastAsia="zh-HK"/>
        </w:rPr>
        <w:t>(a)</w:t>
      </w:r>
      <w:r w:rsidR="00794956" w:rsidRPr="00B373CA">
        <w:rPr>
          <w:lang w:eastAsia="zh-HK"/>
        </w:rPr>
        <w:t xml:space="preserve"> whe</w:t>
      </w:r>
      <w:r w:rsidR="00794956">
        <w:rPr>
          <w:lang w:eastAsia="zh-HK"/>
        </w:rPr>
        <w:t>re</w:t>
      </w:r>
      <w:r w:rsidR="00794956" w:rsidRPr="00B373CA">
        <w:rPr>
          <w:lang w:eastAsia="zh-HK"/>
        </w:rPr>
        <w:t xml:space="preserve"> </w:t>
      </w:r>
      <w:r w:rsidR="00794956">
        <w:rPr>
          <w:lang w:eastAsia="zh-HK"/>
        </w:rPr>
        <w:t xml:space="preserve">it has been decided </w:t>
      </w:r>
      <w:r w:rsidR="00794956" w:rsidRPr="00B373CA">
        <w:rPr>
          <w:lang w:eastAsia="zh-HK"/>
        </w:rPr>
        <w:t>to take the investigation no further</w:t>
      </w:r>
      <w:r w:rsidR="00794956">
        <w:rPr>
          <w:lang w:eastAsia="zh-HK"/>
        </w:rPr>
        <w:t xml:space="preserve">.  Or it may be given in special circumstances, such as </w:t>
      </w:r>
      <w:r w:rsidR="00794956" w:rsidRPr="00B373CA">
        <w:rPr>
          <w:lang w:eastAsia="zh-HK"/>
        </w:rPr>
        <w:t xml:space="preserve">where consent </w:t>
      </w:r>
      <w:r w:rsidR="00794956">
        <w:rPr>
          <w:lang w:eastAsia="zh-HK"/>
        </w:rPr>
        <w:t>is</w:t>
      </w:r>
      <w:r w:rsidR="00794956" w:rsidRPr="00B373CA">
        <w:rPr>
          <w:lang w:eastAsia="zh-HK"/>
        </w:rPr>
        <w:t xml:space="preserve"> granted “to avoid a suspected criminal becoming aware of the suspicions that are harboured in relation to him ... [or] so as to permit a controlled transfer to take place so that funds can be traced for investigative purposes”.</w:t>
      </w:r>
      <w:r w:rsidR="00794956" w:rsidRPr="00B373CA">
        <w:rPr>
          <w:rStyle w:val="FootnoteReference"/>
          <w:lang w:eastAsia="zh-HK"/>
        </w:rPr>
        <w:footnoteReference w:id="95"/>
      </w:r>
      <w:r w:rsidR="00794956" w:rsidRPr="00B373CA">
        <w:rPr>
          <w:lang w:eastAsia="zh-HK"/>
        </w:rPr>
        <w:t xml:space="preserve">  </w:t>
      </w:r>
      <w:r w:rsidR="00794956">
        <w:rPr>
          <w:lang w:eastAsia="zh-HK"/>
        </w:rPr>
        <w:t>But s</w:t>
      </w:r>
      <w:r w:rsidR="00794956" w:rsidRPr="00B373CA">
        <w:rPr>
          <w:lang w:eastAsia="zh-HK"/>
        </w:rPr>
        <w:t xml:space="preserve">ection </w:t>
      </w:r>
      <w:proofErr w:type="gramStart"/>
      <w:r w:rsidR="00794956" w:rsidRPr="00B373CA">
        <w:rPr>
          <w:lang w:eastAsia="zh-HK"/>
        </w:rPr>
        <w:t>25A(</w:t>
      </w:r>
      <w:proofErr w:type="gramEnd"/>
      <w:r w:rsidR="00794956" w:rsidRPr="00B373CA">
        <w:rPr>
          <w:lang w:eastAsia="zh-HK"/>
        </w:rPr>
        <w:t xml:space="preserve">2) is not intended to </w:t>
      </w:r>
      <w:r w:rsidR="00794956">
        <w:rPr>
          <w:lang w:eastAsia="zh-HK"/>
        </w:rPr>
        <w:t>govern</w:t>
      </w:r>
      <w:r w:rsidR="00794956" w:rsidRPr="00B373CA">
        <w:rPr>
          <w:lang w:eastAsia="zh-HK"/>
        </w:rPr>
        <w:t xml:space="preserve"> </w:t>
      </w:r>
      <w:r w:rsidR="00794956">
        <w:rPr>
          <w:lang w:eastAsia="zh-HK"/>
        </w:rPr>
        <w:t xml:space="preserve">police </w:t>
      </w:r>
      <w:r w:rsidR="00794956" w:rsidRPr="00B373CA">
        <w:rPr>
          <w:lang w:eastAsia="zh-HK"/>
        </w:rPr>
        <w:t>communications with the bank at [Step 2] or the issue and maintenance of LNCs at [Step 5]</w:t>
      </w:r>
      <w:r>
        <w:rPr>
          <w:lang w:eastAsia="zh-HK"/>
        </w:rPr>
        <w:t>.</w:t>
      </w:r>
      <w:r w:rsidR="00794956" w:rsidRPr="00B373CA">
        <w:rPr>
          <w:lang w:eastAsia="zh-HK"/>
        </w:rPr>
        <w:t xml:space="preserve"> </w:t>
      </w:r>
      <w:r>
        <w:rPr>
          <w:lang w:eastAsia="zh-HK"/>
        </w:rPr>
        <w:t xml:space="preserve">It </w:t>
      </w:r>
      <w:r w:rsidR="00473658">
        <w:rPr>
          <w:lang w:eastAsia="zh-HK"/>
        </w:rPr>
        <w:t>does not</w:t>
      </w:r>
      <w:r>
        <w:rPr>
          <w:lang w:eastAsia="zh-HK"/>
        </w:rPr>
        <w:t xml:space="preserve"> serve as a basis for </w:t>
      </w:r>
      <w:r w:rsidR="00D50FEF">
        <w:rPr>
          <w:lang w:eastAsia="zh-HK"/>
        </w:rPr>
        <w:t>assessing whether</w:t>
      </w:r>
      <w:r>
        <w:rPr>
          <w:lang w:eastAsia="zh-HK"/>
        </w:rPr>
        <w:t xml:space="preserve"> </w:t>
      </w:r>
      <w:r w:rsidR="00794956" w:rsidRPr="00B373CA">
        <w:rPr>
          <w:lang w:eastAsia="zh-HK"/>
        </w:rPr>
        <w:t>th</w:t>
      </w:r>
      <w:r>
        <w:rPr>
          <w:lang w:eastAsia="zh-HK"/>
        </w:rPr>
        <w:t>os</w:t>
      </w:r>
      <w:r w:rsidR="00794956" w:rsidRPr="00B373CA">
        <w:rPr>
          <w:lang w:eastAsia="zh-HK"/>
        </w:rPr>
        <w:t>e acts are ultra vires.</w:t>
      </w:r>
      <w:r w:rsidR="00794956">
        <w:rPr>
          <w:lang w:eastAsia="zh-HK"/>
        </w:rPr>
        <w:t xml:space="preserve">  </w:t>
      </w:r>
    </w:p>
    <w:p w:rsidR="00794956" w:rsidRDefault="00794956" w:rsidP="00BE2CC8">
      <w:pPr>
        <w:pStyle w:val="Bob1"/>
        <w:tabs>
          <w:tab w:val="clear" w:pos="720"/>
          <w:tab w:val="left" w:pos="1440"/>
        </w:tabs>
        <w:ind w:left="0" w:firstLine="0"/>
        <w:jc w:val="both"/>
        <w:rPr>
          <w:lang w:eastAsia="zh-HK"/>
        </w:rPr>
      </w:pPr>
      <w:r w:rsidRPr="00B373CA">
        <w:rPr>
          <w:lang w:eastAsia="zh-HK"/>
        </w:rPr>
        <w:t xml:space="preserve">Authorisation </w:t>
      </w:r>
      <w:r>
        <w:rPr>
          <w:lang w:eastAsia="zh-HK"/>
        </w:rPr>
        <w:t>for</w:t>
      </w:r>
      <w:r w:rsidRPr="00B373CA">
        <w:rPr>
          <w:lang w:eastAsia="zh-HK"/>
        </w:rPr>
        <w:t xml:space="preserve"> those acts is to be found elsewhere.  Properly viewed for what they </w:t>
      </w:r>
      <w:r>
        <w:rPr>
          <w:lang w:eastAsia="zh-HK"/>
        </w:rPr>
        <w:t>are</w:t>
      </w:r>
      <w:r w:rsidRPr="00B373CA">
        <w:rPr>
          <w:lang w:eastAsia="zh-HK"/>
        </w:rPr>
        <w:t xml:space="preserve"> (</w:t>
      </w:r>
      <w:proofErr w:type="spellStart"/>
      <w:r w:rsidRPr="00B373CA">
        <w:rPr>
          <w:lang w:eastAsia="zh-HK"/>
        </w:rPr>
        <w:t>ie</w:t>
      </w:r>
      <w:proofErr w:type="spellEnd"/>
      <w:r w:rsidRPr="00B373CA">
        <w:rPr>
          <w:lang w:eastAsia="zh-HK"/>
        </w:rPr>
        <w:t xml:space="preserve">, communications aimed at preventing </w:t>
      </w:r>
      <w:r>
        <w:rPr>
          <w:lang w:eastAsia="zh-HK"/>
        </w:rPr>
        <w:t>money laundering</w:t>
      </w:r>
      <w:r w:rsidRPr="00B373CA">
        <w:rPr>
          <w:lang w:eastAsia="zh-HK"/>
        </w:rPr>
        <w:t xml:space="preserve"> and securing the suspect assets pending further investigation), </w:t>
      </w:r>
      <w:r>
        <w:rPr>
          <w:lang w:eastAsia="zh-HK"/>
        </w:rPr>
        <w:t>such</w:t>
      </w:r>
      <w:r w:rsidRPr="00B373CA">
        <w:rPr>
          <w:lang w:eastAsia="zh-HK"/>
        </w:rPr>
        <w:t xml:space="preserve"> acts </w:t>
      </w:r>
      <w:r>
        <w:rPr>
          <w:lang w:eastAsia="zh-HK"/>
        </w:rPr>
        <w:t xml:space="preserve">are </w:t>
      </w:r>
      <w:r w:rsidRPr="00B373CA">
        <w:rPr>
          <w:lang w:eastAsia="zh-HK"/>
        </w:rPr>
        <w:t>performed pursuant to the statutory duties and powers of police officers laid down in the Police Force Ordinance (“</w:t>
      </w:r>
      <w:r w:rsidRPr="00BE2CC8">
        <w:rPr>
          <w:u w:val="single"/>
          <w:lang w:eastAsia="zh-HK"/>
        </w:rPr>
        <w:t>PFO</w:t>
      </w:r>
      <w:r w:rsidRPr="00B373CA">
        <w:rPr>
          <w:lang w:eastAsia="zh-HK"/>
        </w:rPr>
        <w:t>”).</w:t>
      </w:r>
      <w:r w:rsidRPr="00B373CA">
        <w:rPr>
          <w:rStyle w:val="FootnoteReference"/>
          <w:lang w:eastAsia="zh-HK"/>
        </w:rPr>
        <w:footnoteReference w:id="96"/>
      </w:r>
      <w:r w:rsidRPr="00B373CA">
        <w:rPr>
          <w:lang w:eastAsia="zh-HK"/>
        </w:rPr>
        <w:t xml:space="preserve"> </w:t>
      </w:r>
      <w:r w:rsidR="00D50FEF">
        <w:rPr>
          <w:lang w:eastAsia="zh-HK"/>
        </w:rPr>
        <w:t xml:space="preserve"> </w:t>
      </w:r>
    </w:p>
    <w:p w:rsidR="002B6801" w:rsidRDefault="002B6801">
      <w:pPr>
        <w:spacing w:after="0" w:line="240" w:lineRule="auto"/>
        <w:rPr>
          <w:lang w:eastAsia="zh-HK"/>
        </w:rPr>
      </w:pPr>
      <w:r>
        <w:rPr>
          <w:lang w:eastAsia="zh-HK"/>
        </w:rPr>
        <w:br w:type="page"/>
      </w:r>
    </w:p>
    <w:p w:rsidR="00794956" w:rsidRPr="00B373CA" w:rsidRDefault="00794956" w:rsidP="00BE2CC8">
      <w:pPr>
        <w:pStyle w:val="Bob1"/>
        <w:tabs>
          <w:tab w:val="clear" w:pos="720"/>
          <w:tab w:val="left" w:pos="1440"/>
        </w:tabs>
        <w:ind w:left="0" w:firstLine="0"/>
        <w:jc w:val="both"/>
        <w:rPr>
          <w:lang w:eastAsia="zh-HK"/>
        </w:rPr>
      </w:pPr>
      <w:r w:rsidRPr="00B373CA">
        <w:rPr>
          <w:lang w:eastAsia="zh-HK"/>
        </w:rPr>
        <w:lastRenderedPageBreak/>
        <w:t>PFO section 10 materially provides:</w:t>
      </w:r>
    </w:p>
    <w:p w:rsidR="00794956" w:rsidRPr="00B373CA" w:rsidRDefault="00794956" w:rsidP="00BE2CC8">
      <w:pPr>
        <w:pStyle w:val="Bob1"/>
        <w:numPr>
          <w:ilvl w:val="0"/>
          <w:numId w:val="0"/>
        </w:numPr>
        <w:spacing w:after="120" w:line="240" w:lineRule="auto"/>
        <w:ind w:left="720"/>
        <w:jc w:val="both"/>
        <w:rPr>
          <w:sz w:val="24"/>
          <w:lang w:eastAsia="zh-HK"/>
        </w:rPr>
      </w:pPr>
      <w:r w:rsidRPr="00B373CA">
        <w:rPr>
          <w:sz w:val="24"/>
          <w:lang w:eastAsia="zh-HK"/>
        </w:rPr>
        <w:t>“The duties of the police force</w:t>
      </w:r>
      <w:r w:rsidRPr="00B373CA">
        <w:rPr>
          <w:rStyle w:val="FootnoteReference"/>
          <w:sz w:val="24"/>
          <w:lang w:eastAsia="zh-HK"/>
        </w:rPr>
        <w:footnoteReference w:id="97"/>
      </w:r>
      <w:r w:rsidRPr="00B373CA">
        <w:rPr>
          <w:sz w:val="24"/>
          <w:lang w:eastAsia="zh-HK"/>
        </w:rPr>
        <w:t xml:space="preserve"> shall be to take lawful measures for— </w:t>
      </w:r>
      <w:r w:rsidRPr="00B373CA">
        <w:rPr>
          <w:sz w:val="24"/>
          <w:lang w:eastAsia="zh-HK"/>
        </w:rPr>
        <w:tab/>
        <w:t xml:space="preserve"> </w:t>
      </w:r>
    </w:p>
    <w:p w:rsidR="00794956" w:rsidRPr="00B373CA" w:rsidRDefault="00794956" w:rsidP="00B65A5D">
      <w:pPr>
        <w:pStyle w:val="Bob1"/>
        <w:numPr>
          <w:ilvl w:val="0"/>
          <w:numId w:val="0"/>
        </w:numPr>
        <w:spacing w:after="120" w:line="240" w:lineRule="auto"/>
        <w:ind w:left="1440"/>
        <w:rPr>
          <w:sz w:val="24"/>
          <w:lang w:eastAsia="zh-HK"/>
        </w:rPr>
      </w:pPr>
      <w:r w:rsidRPr="00B373CA">
        <w:rPr>
          <w:sz w:val="24"/>
          <w:lang w:eastAsia="zh-HK"/>
        </w:rPr>
        <w:t>(b)</w:t>
      </w:r>
      <w:r w:rsidRPr="00B373CA">
        <w:rPr>
          <w:sz w:val="24"/>
          <w:lang w:eastAsia="zh-HK"/>
        </w:rPr>
        <w:tab/>
      </w:r>
      <w:proofErr w:type="gramStart"/>
      <w:r w:rsidRPr="00B373CA">
        <w:rPr>
          <w:sz w:val="24"/>
          <w:lang w:eastAsia="zh-HK"/>
        </w:rPr>
        <w:t>preventing</w:t>
      </w:r>
      <w:proofErr w:type="gramEnd"/>
      <w:r w:rsidRPr="00B373CA">
        <w:rPr>
          <w:sz w:val="24"/>
          <w:lang w:eastAsia="zh-HK"/>
        </w:rPr>
        <w:t xml:space="preserve"> and detecting crimes and offences; </w:t>
      </w:r>
      <w:r w:rsidR="001E7805">
        <w:rPr>
          <w:sz w:val="24"/>
          <w:lang w:eastAsia="zh-HK"/>
        </w:rPr>
        <w:t>[and]</w:t>
      </w:r>
    </w:p>
    <w:p w:rsidR="00794956" w:rsidRPr="00B373CA" w:rsidRDefault="00794956" w:rsidP="00B65A5D">
      <w:pPr>
        <w:pStyle w:val="Bob1"/>
        <w:numPr>
          <w:ilvl w:val="0"/>
          <w:numId w:val="0"/>
        </w:numPr>
        <w:spacing w:after="120" w:line="240" w:lineRule="auto"/>
        <w:ind w:left="1440"/>
        <w:rPr>
          <w:sz w:val="24"/>
          <w:lang w:eastAsia="zh-HK"/>
        </w:rPr>
      </w:pPr>
      <w:r w:rsidRPr="00B373CA">
        <w:rPr>
          <w:sz w:val="24"/>
          <w:lang w:eastAsia="zh-HK"/>
        </w:rPr>
        <w:t>(c)</w:t>
      </w:r>
      <w:r w:rsidRPr="00B373CA">
        <w:rPr>
          <w:sz w:val="24"/>
          <w:lang w:eastAsia="zh-HK"/>
        </w:rPr>
        <w:tab/>
      </w:r>
      <w:proofErr w:type="gramStart"/>
      <w:r w:rsidRPr="00B373CA">
        <w:rPr>
          <w:sz w:val="24"/>
          <w:lang w:eastAsia="zh-HK"/>
        </w:rPr>
        <w:t>preventing</w:t>
      </w:r>
      <w:proofErr w:type="gramEnd"/>
      <w:r w:rsidRPr="00B373CA">
        <w:rPr>
          <w:sz w:val="24"/>
          <w:lang w:eastAsia="zh-HK"/>
        </w:rPr>
        <w:t xml:space="preserve"> injury to life and property</w:t>
      </w:r>
      <w:r w:rsidR="001E7805">
        <w:rPr>
          <w:sz w:val="24"/>
          <w:lang w:eastAsia="zh-HK"/>
        </w:rPr>
        <w:t xml:space="preserve"> ...</w:t>
      </w:r>
      <w:r w:rsidRPr="00B373CA">
        <w:rPr>
          <w:sz w:val="24"/>
          <w:lang w:eastAsia="zh-HK"/>
        </w:rPr>
        <w:t xml:space="preserve"> </w:t>
      </w:r>
      <w:r w:rsidR="001E7805">
        <w:rPr>
          <w:sz w:val="24"/>
          <w:lang w:eastAsia="zh-HK"/>
        </w:rPr>
        <w:t>“</w:t>
      </w:r>
    </w:p>
    <w:p w:rsidR="00BE2CC8" w:rsidRDefault="00794956" w:rsidP="00BE2CC8">
      <w:pPr>
        <w:pStyle w:val="Bob1"/>
        <w:numPr>
          <w:ilvl w:val="0"/>
          <w:numId w:val="1"/>
        </w:numPr>
        <w:tabs>
          <w:tab w:val="clear" w:pos="720"/>
          <w:tab w:val="left" w:pos="1440"/>
        </w:tabs>
        <w:spacing w:before="240"/>
        <w:ind w:left="0" w:firstLine="0"/>
        <w:jc w:val="both"/>
        <w:rPr>
          <w:lang w:eastAsia="zh-HK"/>
        </w:rPr>
      </w:pPr>
      <w:r w:rsidRPr="00B373CA">
        <w:rPr>
          <w:lang w:eastAsia="zh-HK"/>
        </w:rPr>
        <w:t xml:space="preserve">In communicating with the banks at [Steps 2 and 5], the police were taking lawful measures to prevent the crime of money laundering; </w:t>
      </w:r>
      <w:r w:rsidR="00057AF6">
        <w:rPr>
          <w:lang w:eastAsia="zh-HK"/>
        </w:rPr>
        <w:t xml:space="preserve">to seek information in aid of </w:t>
      </w:r>
      <w:r w:rsidRPr="00B373CA">
        <w:rPr>
          <w:lang w:eastAsia="zh-HK"/>
        </w:rPr>
        <w:t>their investigations aimed at detecting crime; and to prevent</w:t>
      </w:r>
      <w:r>
        <w:rPr>
          <w:lang w:eastAsia="zh-HK"/>
        </w:rPr>
        <w:t xml:space="preserve"> the flight and</w:t>
      </w:r>
      <w:r w:rsidRPr="00B373CA">
        <w:rPr>
          <w:lang w:eastAsia="zh-HK"/>
        </w:rPr>
        <w:t xml:space="preserve"> dissipation of (</w:t>
      </w:r>
      <w:r>
        <w:rPr>
          <w:lang w:eastAsia="zh-HK"/>
        </w:rPr>
        <w:t xml:space="preserve">and </w:t>
      </w:r>
      <w:r w:rsidRPr="00B373CA">
        <w:rPr>
          <w:lang w:eastAsia="zh-HK"/>
        </w:rPr>
        <w:t>thus</w:t>
      </w:r>
      <w:r>
        <w:rPr>
          <w:lang w:eastAsia="zh-HK"/>
        </w:rPr>
        <w:t xml:space="preserve"> </w:t>
      </w:r>
      <w:r w:rsidRPr="00B373CA">
        <w:rPr>
          <w:lang w:eastAsia="zh-HK"/>
        </w:rPr>
        <w:t>loss and injury to) property suspected of being the proceeds of crime</w:t>
      </w:r>
      <w:r w:rsidR="00C42F49">
        <w:rPr>
          <w:lang w:eastAsia="zh-HK"/>
        </w:rPr>
        <w:t xml:space="preserve"> with a view to </w:t>
      </w:r>
      <w:r w:rsidR="00531C8F">
        <w:rPr>
          <w:lang w:eastAsia="zh-HK"/>
        </w:rPr>
        <w:t>its</w:t>
      </w:r>
      <w:r w:rsidR="00C42F49">
        <w:rPr>
          <w:lang w:eastAsia="zh-HK"/>
        </w:rPr>
        <w:t xml:space="preserve"> possible confiscation</w:t>
      </w:r>
      <w:r w:rsidRPr="00B373CA">
        <w:rPr>
          <w:lang w:eastAsia="zh-HK"/>
        </w:rPr>
        <w:t>.</w:t>
      </w:r>
    </w:p>
    <w:p w:rsidR="00794956" w:rsidRDefault="00794956" w:rsidP="00BE2CC8">
      <w:pPr>
        <w:pStyle w:val="Bob1"/>
        <w:numPr>
          <w:ilvl w:val="0"/>
          <w:numId w:val="1"/>
        </w:numPr>
        <w:tabs>
          <w:tab w:val="clear" w:pos="720"/>
          <w:tab w:val="left" w:pos="1440"/>
        </w:tabs>
        <w:spacing w:before="240"/>
        <w:ind w:left="0" w:firstLine="0"/>
        <w:jc w:val="both"/>
        <w:rPr>
          <w:lang w:eastAsia="zh-HK"/>
        </w:rPr>
      </w:pPr>
      <w:r w:rsidRPr="00B373CA">
        <w:rPr>
          <w:lang w:eastAsia="zh-HK"/>
        </w:rPr>
        <w:t xml:space="preserve">  The Court of Appeal referred to </w:t>
      </w:r>
      <w:r w:rsidRPr="00BE2CC8">
        <w:rPr>
          <w:i/>
        </w:rPr>
        <w:t>Rice v Connolly</w:t>
      </w:r>
      <w:r w:rsidRPr="00B373CA">
        <w:t>,</w:t>
      </w:r>
      <w:r w:rsidRPr="00B373CA">
        <w:rPr>
          <w:rStyle w:val="FootnoteReference"/>
        </w:rPr>
        <w:footnoteReference w:id="98"/>
      </w:r>
      <w:r w:rsidRPr="00B373CA">
        <w:t xml:space="preserve"> in which Lord Parker CJ held that it is part of </w:t>
      </w:r>
      <w:r w:rsidRPr="00B373CA">
        <w:rPr>
          <w:lang w:eastAsia="zh-HK"/>
        </w:rPr>
        <w:t xml:space="preserve">the common law duty of police constables to take all steps which appear necessary for preventing crime and protecting property from criminal injury.  </w:t>
      </w:r>
      <w:r w:rsidRPr="00B373CA">
        <w:t>Th</w:t>
      </w:r>
      <w:r>
        <w:t>ose common law rules</w:t>
      </w:r>
      <w:r w:rsidRPr="00B373CA">
        <w:t xml:space="preserve"> provide an additional basis for holding that the police actions at [Steps 2 and 5] were intra vires</w:t>
      </w:r>
      <w:r>
        <w:t>,</w:t>
      </w:r>
      <w:r w:rsidRPr="00B373CA">
        <w:t xml:space="preserve"> although the position is more explicit under the PFO.</w:t>
      </w:r>
    </w:p>
    <w:p w:rsidR="00794956" w:rsidRPr="00B373CA" w:rsidRDefault="00794956" w:rsidP="00BE2CC8">
      <w:pPr>
        <w:pStyle w:val="Bob1"/>
        <w:numPr>
          <w:ilvl w:val="0"/>
          <w:numId w:val="1"/>
        </w:numPr>
        <w:tabs>
          <w:tab w:val="clear" w:pos="720"/>
          <w:tab w:val="left" w:pos="1440"/>
        </w:tabs>
        <w:spacing w:before="240"/>
        <w:ind w:left="0" w:firstLine="0"/>
        <w:jc w:val="both"/>
        <w:rPr>
          <w:lang w:eastAsia="zh-HK"/>
        </w:rPr>
      </w:pPr>
      <w:r w:rsidRPr="00B373CA">
        <w:rPr>
          <w:lang w:eastAsia="zh-HK"/>
        </w:rPr>
        <w:t xml:space="preserve">The second flaw in the ultra vires argument consists of the appellants mischaracterising the acts of the police as freezing the accounts.  </w:t>
      </w:r>
      <w:r>
        <w:rPr>
          <w:lang w:eastAsia="zh-HK"/>
        </w:rPr>
        <w:t xml:space="preserve">The </w:t>
      </w:r>
      <w:r w:rsidRPr="00B373CA">
        <w:rPr>
          <w:lang w:eastAsia="zh-HK"/>
        </w:rPr>
        <w:t xml:space="preserve">communications at [Steps 2 and 5] </w:t>
      </w:r>
      <w:r>
        <w:rPr>
          <w:lang w:eastAsia="zh-HK"/>
        </w:rPr>
        <w:t>as analysed in Section</w:t>
      </w:r>
      <w:r w:rsidR="00C42F49">
        <w:rPr>
          <w:lang w:eastAsia="zh-HK"/>
        </w:rPr>
        <w:t>s</w:t>
      </w:r>
      <w:r>
        <w:rPr>
          <w:lang w:eastAsia="zh-HK"/>
        </w:rPr>
        <w:t xml:space="preserve"> </w:t>
      </w:r>
      <w:r w:rsidR="00C42F49">
        <w:rPr>
          <w:lang w:eastAsia="zh-HK"/>
        </w:rPr>
        <w:t>E and F</w:t>
      </w:r>
      <w:r w:rsidRPr="00B373CA">
        <w:rPr>
          <w:lang w:eastAsia="zh-HK"/>
        </w:rPr>
        <w:t xml:space="preserve"> above do not involve </w:t>
      </w:r>
      <w:r>
        <w:rPr>
          <w:lang w:eastAsia="zh-HK"/>
        </w:rPr>
        <w:t xml:space="preserve">the police </w:t>
      </w:r>
      <w:r w:rsidRPr="00B373CA">
        <w:rPr>
          <w:lang w:eastAsia="zh-HK"/>
        </w:rPr>
        <w:t>freezing</w:t>
      </w:r>
      <w:r w:rsidR="00C42F49">
        <w:rPr>
          <w:lang w:eastAsia="zh-HK"/>
        </w:rPr>
        <w:t xml:space="preserve"> or ordering the banks to freeze the</w:t>
      </w:r>
      <w:r w:rsidRPr="00B373CA">
        <w:rPr>
          <w:lang w:eastAsia="zh-HK"/>
        </w:rPr>
        <w:t xml:space="preserve"> accounts.  </w:t>
      </w:r>
      <w:r w:rsidR="00C42F49" w:rsidRPr="00BE2CC8">
        <w:rPr>
          <w:szCs w:val="28"/>
        </w:rPr>
        <w:t xml:space="preserve">As we have noted, </w:t>
      </w:r>
      <w:r w:rsidRPr="00B373CA">
        <w:rPr>
          <w:lang w:eastAsia="zh-HK"/>
        </w:rPr>
        <w:t xml:space="preserve">motivated by </w:t>
      </w:r>
      <w:r>
        <w:rPr>
          <w:lang w:eastAsia="zh-HK"/>
        </w:rPr>
        <w:t>the</w:t>
      </w:r>
      <w:r w:rsidRPr="00B373CA">
        <w:rPr>
          <w:lang w:eastAsia="zh-HK"/>
        </w:rPr>
        <w:t xml:space="preserve"> wish to </w:t>
      </w:r>
      <w:r w:rsidR="00D50FEF">
        <w:rPr>
          <w:lang w:eastAsia="zh-HK"/>
        </w:rPr>
        <w:t xml:space="preserve">meet its anti-money laundering obligations and to </w:t>
      </w:r>
      <w:r w:rsidRPr="00B373CA">
        <w:rPr>
          <w:lang w:eastAsia="zh-HK"/>
        </w:rPr>
        <w:t>avoid criminal</w:t>
      </w:r>
      <w:r w:rsidR="00D50FEF">
        <w:rPr>
          <w:lang w:eastAsia="zh-HK"/>
        </w:rPr>
        <w:t>, regulatory</w:t>
      </w:r>
      <w:r w:rsidRPr="00B373CA">
        <w:rPr>
          <w:lang w:eastAsia="zh-HK"/>
        </w:rPr>
        <w:t xml:space="preserve"> </w:t>
      </w:r>
      <w:r>
        <w:rPr>
          <w:lang w:eastAsia="zh-HK"/>
        </w:rPr>
        <w:t>and</w:t>
      </w:r>
      <w:r w:rsidRPr="00B373CA">
        <w:rPr>
          <w:lang w:eastAsia="zh-HK"/>
        </w:rPr>
        <w:t xml:space="preserve"> </w:t>
      </w:r>
      <w:r w:rsidR="00D50FEF">
        <w:rPr>
          <w:lang w:eastAsia="zh-HK"/>
        </w:rPr>
        <w:t xml:space="preserve">reputational sanctions, </w:t>
      </w:r>
      <w:r w:rsidR="00C42F49">
        <w:rPr>
          <w:lang w:eastAsia="zh-HK"/>
        </w:rPr>
        <w:t xml:space="preserve">it is the bank </w:t>
      </w:r>
      <w:r w:rsidRPr="00B373CA">
        <w:rPr>
          <w:lang w:eastAsia="zh-HK"/>
        </w:rPr>
        <w:t xml:space="preserve">which </w:t>
      </w:r>
      <w:r>
        <w:rPr>
          <w:lang w:eastAsia="zh-HK"/>
        </w:rPr>
        <w:t>disables and freezes its customer’s</w:t>
      </w:r>
      <w:r w:rsidRPr="00B373CA">
        <w:rPr>
          <w:lang w:eastAsia="zh-HK"/>
        </w:rPr>
        <w:t xml:space="preserve"> account</w:t>
      </w:r>
      <w:r w:rsidR="00C42F49">
        <w:rPr>
          <w:lang w:eastAsia="zh-HK"/>
        </w:rPr>
        <w:t xml:space="preserve"> when it decides that the suspicion is not dispelled</w:t>
      </w:r>
      <w:r w:rsidRPr="00B373CA">
        <w:rPr>
          <w:lang w:eastAsia="zh-HK"/>
        </w:rPr>
        <w:t xml:space="preserve">. </w:t>
      </w:r>
      <w:r>
        <w:rPr>
          <w:lang w:eastAsia="zh-HK"/>
        </w:rPr>
        <w:t xml:space="preserve"> The bank is not the agent of the police in this connection. </w:t>
      </w:r>
      <w:r w:rsidRPr="00B373CA">
        <w:rPr>
          <w:lang w:eastAsia="zh-HK"/>
        </w:rPr>
        <w:t xml:space="preserve"> </w:t>
      </w:r>
      <w:r>
        <w:rPr>
          <w:lang w:eastAsia="zh-HK"/>
        </w:rPr>
        <w:t xml:space="preserve">This </w:t>
      </w:r>
      <w:r w:rsidR="00C42F49">
        <w:rPr>
          <w:lang w:eastAsia="zh-HK"/>
        </w:rPr>
        <w:lastRenderedPageBreak/>
        <w:t>point was</w:t>
      </w:r>
      <w:r>
        <w:rPr>
          <w:lang w:eastAsia="zh-HK"/>
        </w:rPr>
        <w:t xml:space="preserve"> </w:t>
      </w:r>
      <w:r w:rsidR="00C42F49">
        <w:rPr>
          <w:lang w:eastAsia="zh-HK"/>
        </w:rPr>
        <w:t xml:space="preserve">prominently made </w:t>
      </w:r>
      <w:r>
        <w:rPr>
          <w:lang w:eastAsia="zh-HK"/>
        </w:rPr>
        <w:t>by the Court of Appeal</w:t>
      </w:r>
      <w:r>
        <w:rPr>
          <w:rStyle w:val="FootnoteReference"/>
          <w:lang w:eastAsia="zh-HK"/>
        </w:rPr>
        <w:footnoteReference w:id="99"/>
      </w:r>
      <w:r>
        <w:rPr>
          <w:lang w:eastAsia="zh-HK"/>
        </w:rPr>
        <w:t xml:space="preserve"> and, a</w:t>
      </w:r>
      <w:r w:rsidRPr="00B373CA">
        <w:rPr>
          <w:lang w:eastAsia="zh-HK"/>
        </w:rPr>
        <w:t>s G Lam JA pointed out:</w:t>
      </w:r>
    </w:p>
    <w:p w:rsidR="00794956" w:rsidRPr="00B373CA" w:rsidRDefault="00794956" w:rsidP="00BE2CC8">
      <w:pPr>
        <w:pStyle w:val="Bob1"/>
        <w:numPr>
          <w:ilvl w:val="0"/>
          <w:numId w:val="0"/>
        </w:numPr>
        <w:spacing w:line="240" w:lineRule="auto"/>
        <w:ind w:left="720"/>
        <w:jc w:val="both"/>
        <w:rPr>
          <w:sz w:val="24"/>
        </w:rPr>
      </w:pPr>
      <w:r w:rsidRPr="00B373CA">
        <w:rPr>
          <w:sz w:val="24"/>
          <w:lang w:eastAsia="zh-HK"/>
        </w:rPr>
        <w:t>“</w:t>
      </w:r>
      <w:r w:rsidRPr="00B373CA">
        <w:rPr>
          <w:sz w:val="24"/>
        </w:rPr>
        <w:t>The withholding of consent no more ‘freezes’ an account than the giving of consent compels the bank to release money.  The police have no power to require the bank to do anything.”</w:t>
      </w:r>
      <w:r w:rsidRPr="00B373CA">
        <w:rPr>
          <w:rStyle w:val="FootnoteReference"/>
          <w:sz w:val="24"/>
        </w:rPr>
        <w:footnoteReference w:id="100"/>
      </w:r>
    </w:p>
    <w:p w:rsidR="00794956" w:rsidRDefault="00D50FEF" w:rsidP="00BE2CC8">
      <w:pPr>
        <w:pStyle w:val="Bob1"/>
        <w:numPr>
          <w:ilvl w:val="0"/>
          <w:numId w:val="1"/>
        </w:numPr>
        <w:tabs>
          <w:tab w:val="clear" w:pos="720"/>
          <w:tab w:val="left" w:pos="1440"/>
        </w:tabs>
        <w:ind w:left="0" w:firstLine="0"/>
        <w:jc w:val="both"/>
        <w:rPr>
          <w:lang w:eastAsia="zh-HK"/>
        </w:rPr>
      </w:pPr>
      <w:r>
        <w:rPr>
          <w:lang w:eastAsia="zh-HK"/>
        </w:rPr>
        <w:t>As previously noted, the bank is obliged to and does exercise its own judgment.  As pointed out by the HKMA,</w:t>
      </w:r>
      <w:r>
        <w:rPr>
          <w:rStyle w:val="FootnoteReference"/>
          <w:lang w:eastAsia="zh-HK"/>
        </w:rPr>
        <w:footnoteReference w:id="101"/>
      </w:r>
      <w:r>
        <w:rPr>
          <w:lang w:eastAsia="zh-HK"/>
        </w:rPr>
        <w:t xml:space="preserve"> there </w:t>
      </w:r>
      <w:r w:rsidR="00794956">
        <w:rPr>
          <w:lang w:eastAsia="zh-HK"/>
        </w:rPr>
        <w:t xml:space="preserve">may </w:t>
      </w:r>
      <w:r w:rsidR="00F27807">
        <w:rPr>
          <w:lang w:eastAsia="zh-HK"/>
        </w:rPr>
        <w:t xml:space="preserve">well </w:t>
      </w:r>
      <w:r w:rsidR="00794956">
        <w:rPr>
          <w:lang w:eastAsia="zh-HK"/>
        </w:rPr>
        <w:t xml:space="preserve">be cases where the bank is </w:t>
      </w:r>
      <w:r w:rsidR="00F27807">
        <w:rPr>
          <w:lang w:eastAsia="zh-HK"/>
        </w:rPr>
        <w:t xml:space="preserve">quite </w:t>
      </w:r>
      <w:r w:rsidR="00794956">
        <w:rPr>
          <w:lang w:eastAsia="zh-HK"/>
        </w:rPr>
        <w:t>satisfied</w:t>
      </w:r>
      <w:r w:rsidR="007040ED">
        <w:rPr>
          <w:lang w:eastAsia="zh-HK"/>
        </w:rPr>
        <w:t xml:space="preserve"> in the light of its customer due diligence records and</w:t>
      </w:r>
      <w:r w:rsidR="00794956">
        <w:rPr>
          <w:lang w:eastAsia="zh-HK"/>
        </w:rPr>
        <w:t xml:space="preserve"> after </w:t>
      </w:r>
      <w:r w:rsidR="00252E90">
        <w:rPr>
          <w:lang w:eastAsia="zh-HK"/>
        </w:rPr>
        <w:t xml:space="preserve">making inquiries </w:t>
      </w:r>
      <w:r w:rsidR="00F27807">
        <w:rPr>
          <w:lang w:eastAsia="zh-HK"/>
        </w:rPr>
        <w:t xml:space="preserve">of its </w:t>
      </w:r>
      <w:r w:rsidR="00794956">
        <w:rPr>
          <w:lang w:eastAsia="zh-HK"/>
        </w:rPr>
        <w:t>customer, that the police suspicions are unfounded</w:t>
      </w:r>
      <w:r w:rsidR="007040ED">
        <w:rPr>
          <w:lang w:eastAsia="zh-HK"/>
        </w:rPr>
        <w:t>.  It may then</w:t>
      </w:r>
      <w:r w:rsidR="00794956">
        <w:rPr>
          <w:lang w:eastAsia="zh-HK"/>
        </w:rPr>
        <w:t xml:space="preserve"> proceed </w:t>
      </w:r>
      <w:r w:rsidR="00F27807">
        <w:rPr>
          <w:lang w:eastAsia="zh-HK"/>
        </w:rPr>
        <w:t xml:space="preserve">lawfully </w:t>
      </w:r>
      <w:r w:rsidR="00794956">
        <w:rPr>
          <w:lang w:eastAsia="zh-HK"/>
        </w:rPr>
        <w:t>to operate the customer’s account (which is not frozen) notwithstanding</w:t>
      </w:r>
      <w:r w:rsidR="0042318F">
        <w:rPr>
          <w:lang w:eastAsia="zh-HK"/>
        </w:rPr>
        <w:t xml:space="preserve"> information</w:t>
      </w:r>
      <w:r w:rsidR="00794956">
        <w:rPr>
          <w:lang w:eastAsia="zh-HK"/>
        </w:rPr>
        <w:t xml:space="preserve"> received from the police.  </w:t>
      </w:r>
      <w:r w:rsidR="00F27807">
        <w:rPr>
          <w:lang w:eastAsia="zh-HK"/>
        </w:rPr>
        <w:t>I</w:t>
      </w:r>
      <w:r w:rsidR="00693D15">
        <w:rPr>
          <w:lang w:eastAsia="zh-HK"/>
        </w:rPr>
        <w:t xml:space="preserve">t is </w:t>
      </w:r>
      <w:r w:rsidR="007040ED">
        <w:rPr>
          <w:lang w:eastAsia="zh-HK"/>
        </w:rPr>
        <w:t xml:space="preserve">entirely unfounded </w:t>
      </w:r>
      <w:r w:rsidR="00693D15">
        <w:rPr>
          <w:lang w:eastAsia="zh-HK"/>
        </w:rPr>
        <w:t xml:space="preserve">to suggest, as the appellants do, that upon hearing </w:t>
      </w:r>
      <w:r w:rsidR="00F27807">
        <w:rPr>
          <w:lang w:eastAsia="zh-HK"/>
        </w:rPr>
        <w:t xml:space="preserve">of suspicions </w:t>
      </w:r>
      <w:r w:rsidR="00693D15">
        <w:rPr>
          <w:lang w:eastAsia="zh-HK"/>
        </w:rPr>
        <w:t xml:space="preserve">from the police, </w:t>
      </w:r>
      <w:r w:rsidR="00F27807">
        <w:rPr>
          <w:lang w:eastAsia="zh-HK"/>
        </w:rPr>
        <w:t>banks</w:t>
      </w:r>
      <w:r w:rsidR="008E2D48">
        <w:rPr>
          <w:lang w:eastAsia="zh-HK"/>
        </w:rPr>
        <w:t xml:space="preserve"> would regard such communications as</w:t>
      </w:r>
      <w:r w:rsidR="00693D15">
        <w:rPr>
          <w:lang w:eastAsia="zh-HK"/>
        </w:rPr>
        <w:t xml:space="preserve"> </w:t>
      </w:r>
      <w:r w:rsidR="008E2D48">
        <w:rPr>
          <w:lang w:eastAsia="zh-HK"/>
        </w:rPr>
        <w:t>“</w:t>
      </w:r>
      <w:r w:rsidR="00693D15" w:rsidRPr="00693D15">
        <w:rPr>
          <w:lang w:eastAsia="zh-HK"/>
        </w:rPr>
        <w:t>instructions, which would invariably be obeyed, that the accounts of any person, company, or other entity should be frozen</w:t>
      </w:r>
      <w:r w:rsidR="008E2D48">
        <w:rPr>
          <w:lang w:eastAsia="zh-HK"/>
        </w:rPr>
        <w:t>”.</w:t>
      </w:r>
    </w:p>
    <w:p w:rsidR="00794956" w:rsidRDefault="00794956" w:rsidP="00BE2CC8">
      <w:pPr>
        <w:pStyle w:val="Bob1"/>
        <w:numPr>
          <w:ilvl w:val="0"/>
          <w:numId w:val="1"/>
        </w:numPr>
        <w:tabs>
          <w:tab w:val="clear" w:pos="720"/>
          <w:tab w:val="left" w:pos="1440"/>
        </w:tabs>
        <w:ind w:left="0" w:firstLine="0"/>
        <w:jc w:val="both"/>
        <w:rPr>
          <w:lang w:eastAsia="zh-HK"/>
        </w:rPr>
      </w:pPr>
      <w:r w:rsidRPr="00B373CA">
        <w:rPr>
          <w:lang w:eastAsia="zh-HK"/>
        </w:rPr>
        <w:t xml:space="preserve">Since the actions of the police do not involve </w:t>
      </w:r>
      <w:r>
        <w:rPr>
          <w:lang w:eastAsia="zh-HK"/>
        </w:rPr>
        <w:t xml:space="preserve">the </w:t>
      </w:r>
      <w:r w:rsidRPr="00B373CA">
        <w:rPr>
          <w:lang w:eastAsia="zh-HK"/>
        </w:rPr>
        <w:t xml:space="preserve">freezing </w:t>
      </w:r>
      <w:r>
        <w:rPr>
          <w:lang w:eastAsia="zh-HK"/>
        </w:rPr>
        <w:t xml:space="preserve">of </w:t>
      </w:r>
      <w:r w:rsidRPr="00B373CA">
        <w:rPr>
          <w:lang w:eastAsia="zh-HK"/>
        </w:rPr>
        <w:t xml:space="preserve">bank accounts, a search for statutory authorisation to operate such a freeze is misguided.  </w:t>
      </w:r>
      <w:r>
        <w:rPr>
          <w:lang w:eastAsia="zh-HK"/>
        </w:rPr>
        <w:t>I</w:t>
      </w:r>
      <w:r w:rsidRPr="00B373CA">
        <w:rPr>
          <w:lang w:eastAsia="zh-HK"/>
        </w:rPr>
        <w:t xml:space="preserve">t is fallacious to conclude, when </w:t>
      </w:r>
      <w:r>
        <w:rPr>
          <w:lang w:eastAsia="zh-HK"/>
        </w:rPr>
        <w:t>such</w:t>
      </w:r>
      <w:r w:rsidRPr="00B373CA">
        <w:rPr>
          <w:lang w:eastAsia="zh-HK"/>
        </w:rPr>
        <w:t xml:space="preserve"> search proves fruitless, that the (mischaracterised) police action is ultra vires.  The acts</w:t>
      </w:r>
      <w:r>
        <w:rPr>
          <w:lang w:eastAsia="zh-HK"/>
        </w:rPr>
        <w:t xml:space="preserve"> at [Steps 2 and 5]</w:t>
      </w:r>
      <w:r w:rsidRPr="00B373CA">
        <w:rPr>
          <w:lang w:eastAsia="zh-HK"/>
        </w:rPr>
        <w:t xml:space="preserve"> fall within the </w:t>
      </w:r>
      <w:r>
        <w:rPr>
          <w:lang w:eastAsia="zh-HK"/>
        </w:rPr>
        <w:t>usual</w:t>
      </w:r>
      <w:r w:rsidRPr="00B373CA">
        <w:rPr>
          <w:lang w:eastAsia="zh-HK"/>
        </w:rPr>
        <w:t xml:space="preserve"> statutory powers and duties of the police</w:t>
      </w:r>
      <w:r>
        <w:rPr>
          <w:lang w:eastAsia="zh-HK"/>
        </w:rPr>
        <w:t xml:space="preserve"> under</w:t>
      </w:r>
      <w:r w:rsidRPr="00B373CA">
        <w:rPr>
          <w:lang w:eastAsia="zh-HK"/>
        </w:rPr>
        <w:t xml:space="preserve"> the PFO.</w:t>
      </w:r>
    </w:p>
    <w:p w:rsidR="00252E90" w:rsidRDefault="00252E90" w:rsidP="00BE2CC8">
      <w:pPr>
        <w:pStyle w:val="Bob1"/>
        <w:numPr>
          <w:ilvl w:val="0"/>
          <w:numId w:val="1"/>
        </w:numPr>
        <w:tabs>
          <w:tab w:val="clear" w:pos="720"/>
          <w:tab w:val="left" w:pos="1440"/>
        </w:tabs>
        <w:ind w:left="0" w:firstLine="0"/>
        <w:jc w:val="both"/>
        <w:rPr>
          <w:lang w:eastAsia="zh-HK"/>
        </w:rPr>
      </w:pPr>
      <w:r>
        <w:rPr>
          <w:lang w:eastAsia="zh-HK"/>
        </w:rPr>
        <w:t xml:space="preserve">The third flaw, closely related to the second, involves the contention that the (mischaracterised) act of freezing by the police is not </w:t>
      </w:r>
      <w:r w:rsidR="002715ED">
        <w:rPr>
          <w:lang w:eastAsia="zh-HK"/>
        </w:rPr>
        <w:t>authorize</w:t>
      </w:r>
      <w:r>
        <w:rPr>
          <w:lang w:eastAsia="zh-HK"/>
        </w:rPr>
        <w:t xml:space="preserve">d by OSCO since the only lawful means of </w:t>
      </w:r>
      <w:r w:rsidR="00823770">
        <w:rPr>
          <w:lang w:eastAsia="zh-HK"/>
        </w:rPr>
        <w:t>immobilising</w:t>
      </w:r>
      <w:r>
        <w:rPr>
          <w:lang w:eastAsia="zh-HK"/>
        </w:rPr>
        <w:t xml:space="preserve"> an account is by obtaining a </w:t>
      </w:r>
      <w:r>
        <w:rPr>
          <w:lang w:eastAsia="zh-HK"/>
        </w:rPr>
        <w:lastRenderedPageBreak/>
        <w:t>restraint order under OSCO</w:t>
      </w:r>
      <w:r w:rsidR="00693D15">
        <w:rPr>
          <w:lang w:eastAsia="zh-HK"/>
        </w:rPr>
        <w:t xml:space="preserve"> section 15.  Accordingly, so it is argued, the Ordinance </w:t>
      </w:r>
      <w:r>
        <w:rPr>
          <w:lang w:eastAsia="zh-HK"/>
        </w:rPr>
        <w:t xml:space="preserve">does not </w:t>
      </w:r>
      <w:r w:rsidR="002715ED">
        <w:rPr>
          <w:lang w:eastAsia="zh-HK"/>
        </w:rPr>
        <w:t>authorize</w:t>
      </w:r>
      <w:r>
        <w:rPr>
          <w:lang w:eastAsia="zh-HK"/>
        </w:rPr>
        <w:t xml:space="preserve"> the </w:t>
      </w:r>
      <w:r w:rsidR="00693D15">
        <w:rPr>
          <w:lang w:eastAsia="zh-HK"/>
        </w:rPr>
        <w:t>police to “</w:t>
      </w:r>
      <w:r w:rsidR="00693D15" w:rsidRPr="00693D15">
        <w:rPr>
          <w:lang w:eastAsia="zh-HK"/>
        </w:rPr>
        <w:t>contact banks in secret and give instructions</w:t>
      </w:r>
      <w:r w:rsidR="008E2D48">
        <w:rPr>
          <w:lang w:eastAsia="zh-HK"/>
        </w:rPr>
        <w:t>” leading</w:t>
      </w:r>
      <w:r w:rsidR="00693D15" w:rsidRPr="00693D15">
        <w:rPr>
          <w:lang w:eastAsia="zh-HK"/>
        </w:rPr>
        <w:t xml:space="preserve"> </w:t>
      </w:r>
      <w:r w:rsidR="008E2D48">
        <w:rPr>
          <w:lang w:eastAsia="zh-HK"/>
        </w:rPr>
        <w:t>“</w:t>
      </w:r>
      <w:r w:rsidR="00693D15" w:rsidRPr="00693D15">
        <w:rPr>
          <w:lang w:eastAsia="zh-HK"/>
        </w:rPr>
        <w:t>invariably</w:t>
      </w:r>
      <w:r w:rsidR="008E2D48">
        <w:rPr>
          <w:lang w:eastAsia="zh-HK"/>
        </w:rPr>
        <w:t>” to the freezing of the account.</w:t>
      </w:r>
    </w:p>
    <w:p w:rsidR="00693D15" w:rsidRDefault="00693D15" w:rsidP="00BE2CC8">
      <w:pPr>
        <w:pStyle w:val="Bob1"/>
        <w:numPr>
          <w:ilvl w:val="0"/>
          <w:numId w:val="1"/>
        </w:numPr>
        <w:tabs>
          <w:tab w:val="clear" w:pos="720"/>
          <w:tab w:val="left" w:pos="1440"/>
        </w:tabs>
        <w:ind w:left="0" w:firstLine="0"/>
        <w:jc w:val="both"/>
        <w:rPr>
          <w:lang w:eastAsia="zh-HK"/>
        </w:rPr>
      </w:pPr>
      <w:r>
        <w:rPr>
          <w:lang w:eastAsia="zh-HK"/>
        </w:rPr>
        <w:t xml:space="preserve">As we have noted, the </w:t>
      </w:r>
      <w:r w:rsidR="00AE5863">
        <w:rPr>
          <w:lang w:eastAsia="zh-HK"/>
        </w:rPr>
        <w:t xml:space="preserve">aforesaid </w:t>
      </w:r>
      <w:r w:rsidR="008E2D48">
        <w:rPr>
          <w:lang w:eastAsia="zh-HK"/>
        </w:rPr>
        <w:t>suggestion</w:t>
      </w:r>
      <w:r>
        <w:rPr>
          <w:lang w:eastAsia="zh-HK"/>
        </w:rPr>
        <w:t xml:space="preserve"> </w:t>
      </w:r>
      <w:r w:rsidR="00AE5863">
        <w:rPr>
          <w:lang w:eastAsia="zh-HK"/>
        </w:rPr>
        <w:t xml:space="preserve">would </w:t>
      </w:r>
      <w:r>
        <w:rPr>
          <w:lang w:eastAsia="zh-HK"/>
        </w:rPr>
        <w:t xml:space="preserve">leave a surprising gap </w:t>
      </w:r>
      <w:r w:rsidR="008E2D48">
        <w:rPr>
          <w:lang w:eastAsia="zh-HK"/>
        </w:rPr>
        <w:t xml:space="preserve">given the evidential threshold for obtaining </w:t>
      </w:r>
      <w:r w:rsidR="00AE5863">
        <w:rPr>
          <w:lang w:eastAsia="zh-HK"/>
        </w:rPr>
        <w:t xml:space="preserve">a section 15 </w:t>
      </w:r>
      <w:r w:rsidR="008E2D48">
        <w:rPr>
          <w:lang w:eastAsia="zh-HK"/>
        </w:rPr>
        <w:t>order</w:t>
      </w:r>
      <w:r>
        <w:rPr>
          <w:lang w:eastAsia="zh-HK"/>
        </w:rPr>
        <w:t xml:space="preserve">.  </w:t>
      </w:r>
      <w:r w:rsidR="00823770">
        <w:rPr>
          <w:lang w:eastAsia="zh-HK"/>
        </w:rPr>
        <w:t xml:space="preserve">We do not accept that any </w:t>
      </w:r>
      <w:r>
        <w:rPr>
          <w:lang w:eastAsia="zh-HK"/>
        </w:rPr>
        <w:t xml:space="preserve">such gap exists.  </w:t>
      </w:r>
      <w:r w:rsidR="008E2D48">
        <w:rPr>
          <w:lang w:eastAsia="zh-HK"/>
        </w:rPr>
        <w:t xml:space="preserve">In cases like the present, </w:t>
      </w:r>
      <w:r>
        <w:rPr>
          <w:lang w:eastAsia="zh-HK"/>
        </w:rPr>
        <w:t xml:space="preserve">PFO section 10 powers </w:t>
      </w:r>
      <w:r w:rsidR="00D91884">
        <w:rPr>
          <w:lang w:eastAsia="zh-HK"/>
        </w:rPr>
        <w:t xml:space="preserve">provide ample authority for </w:t>
      </w:r>
      <w:r>
        <w:rPr>
          <w:lang w:eastAsia="zh-HK"/>
        </w:rPr>
        <w:t xml:space="preserve">the police to </w:t>
      </w:r>
      <w:r w:rsidR="00D91884">
        <w:rPr>
          <w:lang w:eastAsia="zh-HK"/>
        </w:rPr>
        <w:t xml:space="preserve">instigate </w:t>
      </w:r>
      <w:r w:rsidR="008E2D48">
        <w:rPr>
          <w:lang w:eastAsia="zh-HK"/>
        </w:rPr>
        <w:t>disable</w:t>
      </w:r>
      <w:r w:rsidR="00D91884">
        <w:rPr>
          <w:lang w:eastAsia="zh-HK"/>
        </w:rPr>
        <w:t xml:space="preserve">ment </w:t>
      </w:r>
      <w:r w:rsidR="00AE5863">
        <w:rPr>
          <w:lang w:eastAsia="zh-HK"/>
        </w:rPr>
        <w:t xml:space="preserve">by banks </w:t>
      </w:r>
      <w:r w:rsidR="00D91884">
        <w:rPr>
          <w:lang w:eastAsia="zh-HK"/>
        </w:rPr>
        <w:t>of</w:t>
      </w:r>
      <w:r w:rsidR="008E2D48">
        <w:rPr>
          <w:lang w:eastAsia="zh-HK"/>
        </w:rPr>
        <w:t xml:space="preserve"> their customers’ accounts</w:t>
      </w:r>
      <w:r w:rsidR="00D91884">
        <w:rPr>
          <w:lang w:eastAsia="zh-HK"/>
        </w:rPr>
        <w:t>,</w:t>
      </w:r>
      <w:r w:rsidR="008E2D48">
        <w:rPr>
          <w:lang w:eastAsia="zh-HK"/>
        </w:rPr>
        <w:t xml:space="preserve"> with a view to avoid</w:t>
      </w:r>
      <w:r w:rsidR="00D91884">
        <w:rPr>
          <w:lang w:eastAsia="zh-HK"/>
        </w:rPr>
        <w:t>ing</w:t>
      </w:r>
      <w:r w:rsidR="008E2D48">
        <w:rPr>
          <w:lang w:eastAsia="zh-HK"/>
        </w:rPr>
        <w:t xml:space="preserve"> dissipation </w:t>
      </w:r>
      <w:r w:rsidR="00D91884">
        <w:rPr>
          <w:lang w:eastAsia="zh-HK"/>
        </w:rPr>
        <w:t xml:space="preserve">of the funds </w:t>
      </w:r>
      <w:r w:rsidR="008E2D48">
        <w:rPr>
          <w:lang w:eastAsia="zh-HK"/>
        </w:rPr>
        <w:t>pending further investigation</w:t>
      </w:r>
      <w:r w:rsidR="00823770">
        <w:rPr>
          <w:lang w:eastAsia="zh-HK"/>
        </w:rPr>
        <w:t xml:space="preserve"> and possibly seeking a restraint order from the court</w:t>
      </w:r>
      <w:r w:rsidR="008E2D48">
        <w:rPr>
          <w:lang w:eastAsia="zh-HK"/>
        </w:rPr>
        <w:t xml:space="preserve">.  As the FPM recognises, </w:t>
      </w:r>
      <w:r w:rsidR="00D91884">
        <w:rPr>
          <w:lang w:eastAsia="zh-HK"/>
        </w:rPr>
        <w:t>instigation of a bank’s</w:t>
      </w:r>
      <w:r w:rsidR="008E2D48">
        <w:rPr>
          <w:lang w:eastAsia="zh-HK"/>
        </w:rPr>
        <w:t xml:space="preserve"> freezing</w:t>
      </w:r>
      <w:r w:rsidR="00D91884">
        <w:rPr>
          <w:lang w:eastAsia="zh-HK"/>
        </w:rPr>
        <w:t xml:space="preserve"> of a customer’s account</w:t>
      </w:r>
      <w:r w:rsidR="008E2D48">
        <w:rPr>
          <w:lang w:eastAsia="zh-HK"/>
        </w:rPr>
        <w:t xml:space="preserve"> </w:t>
      </w:r>
      <w:r w:rsidR="00D91884">
        <w:rPr>
          <w:lang w:eastAsia="zh-HK"/>
        </w:rPr>
        <w:t xml:space="preserve">is </w:t>
      </w:r>
      <w:r w:rsidR="008E2D48">
        <w:rPr>
          <w:lang w:eastAsia="zh-HK"/>
        </w:rPr>
        <w:t>a temporary and provisional measure</w:t>
      </w:r>
      <w:r w:rsidR="00AE5863">
        <w:rPr>
          <w:lang w:eastAsia="zh-HK"/>
        </w:rPr>
        <w:t xml:space="preserve"> to </w:t>
      </w:r>
      <w:r w:rsidR="00A654E1">
        <w:rPr>
          <w:lang w:eastAsia="zh-HK"/>
        </w:rPr>
        <w:t xml:space="preserve">secure suspect property while </w:t>
      </w:r>
      <w:r w:rsidR="00AE5863">
        <w:rPr>
          <w:lang w:eastAsia="zh-HK"/>
        </w:rPr>
        <w:t>investigation proceed</w:t>
      </w:r>
      <w:r w:rsidR="00A654E1">
        <w:rPr>
          <w:lang w:eastAsia="zh-HK"/>
        </w:rPr>
        <w:t>s</w:t>
      </w:r>
      <w:r w:rsidR="00AE5863">
        <w:rPr>
          <w:lang w:eastAsia="zh-HK"/>
        </w:rPr>
        <w:t>.  It is a measure that is</w:t>
      </w:r>
      <w:r w:rsidR="008E2D48">
        <w:rPr>
          <w:lang w:eastAsia="zh-HK"/>
        </w:rPr>
        <w:t xml:space="preserve"> review</w:t>
      </w:r>
      <w:r w:rsidR="00AE5863">
        <w:rPr>
          <w:lang w:eastAsia="zh-HK"/>
        </w:rPr>
        <w:t>ed each month</w:t>
      </w:r>
      <w:r w:rsidR="008E2D48">
        <w:rPr>
          <w:lang w:eastAsia="zh-HK"/>
        </w:rPr>
        <w:t xml:space="preserve"> and of a finite duration </w:t>
      </w:r>
      <w:r w:rsidR="00823770">
        <w:rPr>
          <w:lang w:eastAsia="zh-HK"/>
        </w:rPr>
        <w:t xml:space="preserve">pending a decision as to whether </w:t>
      </w:r>
      <w:r w:rsidR="00AE5863">
        <w:rPr>
          <w:lang w:eastAsia="zh-HK"/>
        </w:rPr>
        <w:t>the court’s jurisdiction</w:t>
      </w:r>
      <w:r w:rsidR="00823770">
        <w:rPr>
          <w:lang w:eastAsia="zh-HK"/>
        </w:rPr>
        <w:t xml:space="preserve"> will be invoked</w:t>
      </w:r>
      <w:r w:rsidR="00AE5863">
        <w:rPr>
          <w:lang w:eastAsia="zh-HK"/>
        </w:rPr>
        <w:t xml:space="preserve">, </w:t>
      </w:r>
      <w:r w:rsidR="008E2D48">
        <w:rPr>
          <w:lang w:eastAsia="zh-HK"/>
        </w:rPr>
        <w:t xml:space="preserve">when OSCO sections 8, 14 and 15 </w:t>
      </w:r>
      <w:r w:rsidR="00AE5863">
        <w:rPr>
          <w:lang w:eastAsia="zh-HK"/>
        </w:rPr>
        <w:t xml:space="preserve">would </w:t>
      </w:r>
      <w:r w:rsidR="008E2D48">
        <w:rPr>
          <w:lang w:eastAsia="zh-HK"/>
        </w:rPr>
        <w:t>come into play.</w:t>
      </w:r>
    </w:p>
    <w:p w:rsidR="00CB5BC0" w:rsidRDefault="00CB5BC0" w:rsidP="00B03689">
      <w:pPr>
        <w:pStyle w:val="docmapheading"/>
        <w:keepNext/>
      </w:pPr>
      <w:r>
        <w:t>G.2</w:t>
      </w:r>
      <w:r>
        <w:tab/>
        <w:t xml:space="preserve">Improper purpose </w:t>
      </w:r>
    </w:p>
    <w:p w:rsidR="00CB5BC0" w:rsidRDefault="00CB5BC0" w:rsidP="00443ECC">
      <w:pPr>
        <w:pStyle w:val="Bob1"/>
        <w:numPr>
          <w:ilvl w:val="0"/>
          <w:numId w:val="1"/>
        </w:numPr>
        <w:tabs>
          <w:tab w:val="clear" w:pos="720"/>
          <w:tab w:val="left" w:pos="1440"/>
        </w:tabs>
        <w:ind w:left="0" w:firstLine="0"/>
        <w:jc w:val="both"/>
        <w:rPr>
          <w:lang w:eastAsia="zh-HK"/>
        </w:rPr>
      </w:pPr>
      <w:r w:rsidRPr="00B373CA">
        <w:rPr>
          <w:lang w:eastAsia="zh-HK"/>
        </w:rPr>
        <w:t xml:space="preserve">The improper purpose ground (in the </w:t>
      </w:r>
      <w:proofErr w:type="spellStart"/>
      <w:r w:rsidRPr="00B373CA">
        <w:rPr>
          <w:i/>
          <w:lang w:eastAsia="zh-HK"/>
        </w:rPr>
        <w:t>Padfield</w:t>
      </w:r>
      <w:proofErr w:type="spellEnd"/>
      <w:r w:rsidRPr="00B373CA">
        <w:rPr>
          <w:lang w:eastAsia="zh-HK"/>
        </w:rPr>
        <w:t xml:space="preserve"> sense</w:t>
      </w:r>
      <w:r w:rsidRPr="00B373CA">
        <w:rPr>
          <w:rStyle w:val="FootnoteReference"/>
          <w:lang w:eastAsia="zh-HK"/>
        </w:rPr>
        <w:footnoteReference w:id="102"/>
      </w:r>
      <w:r w:rsidRPr="00B373CA">
        <w:rPr>
          <w:lang w:eastAsia="zh-HK"/>
        </w:rPr>
        <w:t xml:space="preserve">) is similarly misdirected.  It </w:t>
      </w:r>
      <w:r>
        <w:rPr>
          <w:lang w:eastAsia="zh-HK"/>
        </w:rPr>
        <w:t>involves the contention that,</w:t>
      </w:r>
      <w:r w:rsidRPr="00B373CA">
        <w:rPr>
          <w:lang w:eastAsia="zh-HK"/>
        </w:rPr>
        <w:t xml:space="preserve"> having been given </w:t>
      </w:r>
      <w:r>
        <w:rPr>
          <w:lang w:eastAsia="zh-HK"/>
        </w:rPr>
        <w:t>a</w:t>
      </w:r>
      <w:r w:rsidRPr="00B373CA">
        <w:rPr>
          <w:lang w:eastAsia="zh-HK"/>
        </w:rPr>
        <w:t xml:space="preserve"> statutory power</w:t>
      </w:r>
      <w:r>
        <w:rPr>
          <w:lang w:eastAsia="zh-HK"/>
        </w:rPr>
        <w:t>,</w:t>
      </w:r>
      <w:r w:rsidRPr="00B373CA">
        <w:rPr>
          <w:lang w:eastAsia="zh-HK"/>
        </w:rPr>
        <w:t xml:space="preserve"> </w:t>
      </w:r>
      <w:r>
        <w:rPr>
          <w:lang w:eastAsia="zh-HK"/>
        </w:rPr>
        <w:t xml:space="preserve">the police </w:t>
      </w:r>
      <w:r w:rsidRPr="00B373CA">
        <w:rPr>
          <w:lang w:eastAsia="zh-HK"/>
        </w:rPr>
        <w:t>misus</w:t>
      </w:r>
      <w:r w:rsidR="00B03689">
        <w:rPr>
          <w:lang w:eastAsia="zh-HK"/>
        </w:rPr>
        <w:t>e</w:t>
      </w:r>
      <w:r w:rsidRPr="00B373CA">
        <w:rPr>
          <w:lang w:eastAsia="zh-HK"/>
        </w:rPr>
        <w:t xml:space="preserve"> </w:t>
      </w:r>
      <w:r>
        <w:rPr>
          <w:lang w:eastAsia="zh-HK"/>
        </w:rPr>
        <w:t xml:space="preserve">it </w:t>
      </w:r>
      <w:r w:rsidRPr="00B373CA">
        <w:rPr>
          <w:lang w:eastAsia="zh-HK"/>
        </w:rPr>
        <w:t>for an improper purpose</w:t>
      </w:r>
      <w:r>
        <w:rPr>
          <w:lang w:eastAsia="zh-HK"/>
        </w:rPr>
        <w:t>.</w:t>
      </w:r>
      <w:r w:rsidRPr="00B373CA">
        <w:rPr>
          <w:lang w:eastAsia="zh-HK"/>
        </w:rPr>
        <w:t xml:space="preserve"> </w:t>
      </w:r>
      <w:r>
        <w:rPr>
          <w:lang w:eastAsia="zh-HK"/>
        </w:rPr>
        <w:t xml:space="preserve">What then is the relevant power and how has it been misused?  The appellants rely again on OSCO section </w:t>
      </w:r>
      <w:proofErr w:type="gramStart"/>
      <w:r>
        <w:rPr>
          <w:lang w:eastAsia="zh-HK"/>
        </w:rPr>
        <w:t>25A(</w:t>
      </w:r>
      <w:proofErr w:type="gramEnd"/>
      <w:r>
        <w:rPr>
          <w:lang w:eastAsia="zh-HK"/>
        </w:rPr>
        <w:t xml:space="preserve">2)(a) which, as we have seen, is one part of a provision concerned with immunising persons who </w:t>
      </w:r>
      <w:r>
        <w:rPr>
          <w:lang w:eastAsia="zh-TW"/>
        </w:rPr>
        <w:t xml:space="preserve">deal with suspicious property where proper disclosure is made.  The appellants argue that the power to consent impliedly includes the power to refuse consent and that such implied power has been misused “as an active measure to </w:t>
      </w:r>
      <w:r>
        <w:rPr>
          <w:lang w:eastAsia="zh-TW"/>
        </w:rPr>
        <w:lastRenderedPageBreak/>
        <w:t>freeze bank accounts pending any restraint under OSCO sections 14-15”.</w:t>
      </w:r>
      <w:r>
        <w:rPr>
          <w:rStyle w:val="FootnoteReference"/>
          <w:lang w:eastAsia="zh-TW"/>
        </w:rPr>
        <w:footnoteReference w:id="103"/>
      </w:r>
      <w:r>
        <w:rPr>
          <w:lang w:eastAsia="zh-TW"/>
        </w:rPr>
        <w:t xml:space="preserve">  The appellants submit that:</w:t>
      </w:r>
    </w:p>
    <w:p w:rsidR="00CB5BC0" w:rsidRDefault="00CB5BC0" w:rsidP="00443ECC">
      <w:pPr>
        <w:pStyle w:val="Bob1"/>
        <w:numPr>
          <w:ilvl w:val="0"/>
          <w:numId w:val="0"/>
        </w:numPr>
        <w:spacing w:line="240" w:lineRule="auto"/>
        <w:ind w:left="720"/>
        <w:jc w:val="both"/>
        <w:rPr>
          <w:sz w:val="24"/>
          <w:lang w:eastAsia="zh-HK"/>
        </w:rPr>
      </w:pPr>
      <w:r w:rsidRPr="00F465B7">
        <w:rPr>
          <w:sz w:val="24"/>
          <w:lang w:eastAsia="zh-HK"/>
        </w:rPr>
        <w:t xml:space="preserve">“The Judge therefore rightly concluded that </w:t>
      </w:r>
      <w:r>
        <w:rPr>
          <w:sz w:val="24"/>
          <w:lang w:eastAsia="zh-HK"/>
        </w:rPr>
        <w:t>....</w:t>
      </w:r>
      <w:r w:rsidRPr="00F465B7">
        <w:rPr>
          <w:sz w:val="24"/>
          <w:lang w:eastAsia="zh-HK"/>
        </w:rPr>
        <w:t xml:space="preserve"> </w:t>
      </w:r>
      <w:proofErr w:type="gramStart"/>
      <w:r w:rsidRPr="00F465B7">
        <w:rPr>
          <w:sz w:val="24"/>
          <w:lang w:eastAsia="zh-HK"/>
        </w:rPr>
        <w:t>the</w:t>
      </w:r>
      <w:proofErr w:type="gramEnd"/>
      <w:r w:rsidRPr="00F465B7">
        <w:rPr>
          <w:sz w:val="24"/>
          <w:lang w:eastAsia="zh-HK"/>
        </w:rPr>
        <w:t xml:space="preserve"> po</w:t>
      </w:r>
      <w:r>
        <w:rPr>
          <w:sz w:val="24"/>
          <w:lang w:eastAsia="zh-HK"/>
        </w:rPr>
        <w:t>wer to withhold consent under s</w:t>
      </w:r>
      <w:r w:rsidR="00814799">
        <w:rPr>
          <w:sz w:val="24"/>
          <w:lang w:eastAsia="zh-HK"/>
        </w:rPr>
        <w:t>.</w:t>
      </w:r>
      <w:r w:rsidRPr="00F465B7">
        <w:rPr>
          <w:sz w:val="24"/>
          <w:lang w:eastAsia="zh-HK"/>
        </w:rPr>
        <w:t xml:space="preserve">25A(2)(a) of OSCO is in the context of the NCR used for an improper purpose in the </w:t>
      </w:r>
      <w:proofErr w:type="spellStart"/>
      <w:r w:rsidRPr="00F465B7">
        <w:rPr>
          <w:i/>
          <w:sz w:val="24"/>
          <w:lang w:eastAsia="zh-HK"/>
        </w:rPr>
        <w:t>Padfield</w:t>
      </w:r>
      <w:proofErr w:type="spellEnd"/>
      <w:r w:rsidRPr="00F465B7">
        <w:rPr>
          <w:sz w:val="24"/>
          <w:lang w:eastAsia="zh-HK"/>
        </w:rPr>
        <w:t xml:space="preserve"> sense [CFI§92].”</w:t>
      </w:r>
      <w:r>
        <w:rPr>
          <w:rStyle w:val="FootnoteReference"/>
          <w:sz w:val="24"/>
          <w:lang w:eastAsia="zh-HK"/>
        </w:rPr>
        <w:footnoteReference w:id="104"/>
      </w:r>
    </w:p>
    <w:p w:rsidR="00CB5BC0" w:rsidRDefault="00CB5BC0" w:rsidP="00443ECC">
      <w:pPr>
        <w:pStyle w:val="Bob1"/>
        <w:numPr>
          <w:ilvl w:val="0"/>
          <w:numId w:val="1"/>
        </w:numPr>
        <w:tabs>
          <w:tab w:val="clear" w:pos="720"/>
          <w:tab w:val="left" w:pos="1440"/>
        </w:tabs>
        <w:ind w:left="0" w:firstLine="0"/>
        <w:jc w:val="both"/>
        <w:rPr>
          <w:lang w:eastAsia="zh-HK"/>
        </w:rPr>
      </w:pPr>
      <w:r>
        <w:rPr>
          <w:lang w:eastAsia="zh-HK"/>
        </w:rPr>
        <w:t xml:space="preserve">That argument must be rejected.  As explained above, properly construed, section </w:t>
      </w:r>
      <w:proofErr w:type="gramStart"/>
      <w:r>
        <w:rPr>
          <w:lang w:eastAsia="zh-HK"/>
        </w:rPr>
        <w:t>25A(</w:t>
      </w:r>
      <w:proofErr w:type="gramEnd"/>
      <w:r>
        <w:rPr>
          <w:lang w:eastAsia="zh-HK"/>
        </w:rPr>
        <w:t xml:space="preserve">2)(a) is </w:t>
      </w:r>
      <w:r w:rsidRPr="00B373CA">
        <w:rPr>
          <w:lang w:eastAsia="zh-HK"/>
        </w:rPr>
        <w:t xml:space="preserve">not </w:t>
      </w:r>
      <w:r>
        <w:rPr>
          <w:lang w:eastAsia="zh-HK"/>
        </w:rPr>
        <w:t xml:space="preserve">the source of the police powers to deal with </w:t>
      </w:r>
      <w:r w:rsidRPr="00B373CA">
        <w:rPr>
          <w:lang w:eastAsia="zh-HK"/>
        </w:rPr>
        <w:t xml:space="preserve">the bank </w:t>
      </w:r>
      <w:r>
        <w:rPr>
          <w:lang w:eastAsia="zh-HK"/>
        </w:rPr>
        <w:t>at [Steps 2 and 5].  Rath</w:t>
      </w:r>
      <w:r w:rsidR="00AF7BB3">
        <w:rPr>
          <w:lang w:eastAsia="zh-HK"/>
        </w:rPr>
        <w:t>er, those powers derive from</w:t>
      </w:r>
      <w:r>
        <w:rPr>
          <w:lang w:eastAsia="zh-HK"/>
        </w:rPr>
        <w:t xml:space="preserve"> PFO section 10 and are exercised for lawful purposes thereunder.  The appellants’ argument </w:t>
      </w:r>
      <w:r w:rsidR="00EE47E8">
        <w:rPr>
          <w:lang w:eastAsia="zh-HK"/>
        </w:rPr>
        <w:t xml:space="preserve">erroneously attributes the relevant power to section </w:t>
      </w:r>
      <w:proofErr w:type="gramStart"/>
      <w:r w:rsidR="00EE47E8">
        <w:rPr>
          <w:lang w:eastAsia="zh-HK"/>
        </w:rPr>
        <w:t>25A(</w:t>
      </w:r>
      <w:proofErr w:type="gramEnd"/>
      <w:r w:rsidR="00EE47E8">
        <w:rPr>
          <w:lang w:eastAsia="zh-HK"/>
        </w:rPr>
        <w:t xml:space="preserve">2)(a) and, on that faulty premise, argues that such power has been misused.  </w:t>
      </w:r>
    </w:p>
    <w:p w:rsidR="00CB5BC0" w:rsidRDefault="00CB5BC0" w:rsidP="00443ECC">
      <w:pPr>
        <w:pStyle w:val="Bob1"/>
        <w:numPr>
          <w:ilvl w:val="0"/>
          <w:numId w:val="1"/>
        </w:numPr>
        <w:tabs>
          <w:tab w:val="clear" w:pos="720"/>
          <w:tab w:val="left" w:pos="1440"/>
        </w:tabs>
        <w:ind w:left="0" w:firstLine="0"/>
        <w:jc w:val="both"/>
        <w:rPr>
          <w:lang w:eastAsia="zh-HK"/>
        </w:rPr>
      </w:pPr>
      <w:r>
        <w:rPr>
          <w:lang w:eastAsia="zh-HK"/>
        </w:rPr>
        <w:t>Secondly, the improper purpose argument again involves mischaracterising the actions of the police as freezing the accounts.  For the reasons given above, it is not the police, but the banks, which freeze the accounts so that the alleged misuse of powers is not made out.  Moreover, even if the “freezing” were properly attributed to the actions of the police, this occurred, as the appellants accept, “</w:t>
      </w:r>
      <w:r>
        <w:rPr>
          <w:lang w:eastAsia="zh-TW"/>
        </w:rPr>
        <w:t>pending any restraint under OSCO sections 14-15”.  Such a temporary measure aimed at preventing dissipation of suspect assets pending further investigation and possible invocation of the court’s jurisdiction is not a misuse of, but consistent with, the powers conferred by the PFO.</w:t>
      </w:r>
    </w:p>
    <w:p w:rsidR="004D7961" w:rsidRPr="00B373CA" w:rsidRDefault="00B65A5D" w:rsidP="004D7961">
      <w:pPr>
        <w:pStyle w:val="docmapheading"/>
        <w:rPr>
          <w:lang w:eastAsia="zh-HK"/>
        </w:rPr>
      </w:pPr>
      <w:r>
        <w:rPr>
          <w:lang w:eastAsia="zh-HK"/>
        </w:rPr>
        <w:t>H</w:t>
      </w:r>
      <w:r w:rsidR="004D7961" w:rsidRPr="00B373CA">
        <w:rPr>
          <w:lang w:eastAsia="zh-HK"/>
        </w:rPr>
        <w:t>.</w:t>
      </w:r>
      <w:r w:rsidR="004D7961" w:rsidRPr="00B373CA">
        <w:rPr>
          <w:lang w:eastAsia="zh-HK"/>
        </w:rPr>
        <w:tab/>
        <w:t>Q2: The constitutional challenge</w:t>
      </w:r>
      <w:r w:rsidR="004D7961">
        <w:rPr>
          <w:lang w:eastAsia="zh-HK"/>
        </w:rPr>
        <w:t xml:space="preserve"> </w:t>
      </w:r>
    </w:p>
    <w:p w:rsidR="004D7961" w:rsidRDefault="004D7961" w:rsidP="00443ECC">
      <w:pPr>
        <w:pStyle w:val="Bob1"/>
        <w:numPr>
          <w:ilvl w:val="0"/>
          <w:numId w:val="1"/>
        </w:numPr>
        <w:tabs>
          <w:tab w:val="clear" w:pos="720"/>
          <w:tab w:val="left" w:pos="1440"/>
        </w:tabs>
        <w:ind w:left="0" w:firstLine="0"/>
        <w:jc w:val="both"/>
        <w:rPr>
          <w:lang w:eastAsia="zh-HK"/>
        </w:rPr>
      </w:pPr>
      <w:r w:rsidRPr="00B373CA">
        <w:rPr>
          <w:lang w:eastAsia="zh-HK"/>
        </w:rPr>
        <w:t xml:space="preserve">The appellants seek to challenge the constitutionality of the CP’s issue of the LNCs, alleging that this not only infringes the right to property under </w:t>
      </w:r>
      <w:r>
        <w:rPr>
          <w:lang w:eastAsia="zh-HK"/>
        </w:rPr>
        <w:t>the Basic Law (</w:t>
      </w:r>
      <w:r w:rsidRPr="00B373CA">
        <w:rPr>
          <w:lang w:eastAsia="zh-HK"/>
        </w:rPr>
        <w:t>BL6 and BL105</w:t>
      </w:r>
      <w:r>
        <w:rPr>
          <w:lang w:eastAsia="zh-HK"/>
        </w:rPr>
        <w:t>)</w:t>
      </w:r>
      <w:r w:rsidRPr="00B373CA">
        <w:rPr>
          <w:lang w:eastAsia="zh-HK"/>
        </w:rPr>
        <w:t xml:space="preserve">, but also the right to private and family life under </w:t>
      </w:r>
      <w:r>
        <w:rPr>
          <w:lang w:eastAsia="zh-HK"/>
        </w:rPr>
        <w:t>the Bill of Rights (</w:t>
      </w:r>
      <w:r w:rsidRPr="00B373CA">
        <w:rPr>
          <w:lang w:eastAsia="zh-HK"/>
        </w:rPr>
        <w:t>BOR14</w:t>
      </w:r>
      <w:r>
        <w:rPr>
          <w:lang w:eastAsia="zh-HK"/>
        </w:rPr>
        <w:t>)</w:t>
      </w:r>
      <w:r w:rsidRPr="00B373CA">
        <w:rPr>
          <w:lang w:eastAsia="zh-HK"/>
        </w:rPr>
        <w:t xml:space="preserve">; and the right of access to the court and to legal advice </w:t>
      </w:r>
      <w:r w:rsidRPr="00B373CA">
        <w:rPr>
          <w:lang w:eastAsia="zh-HK"/>
        </w:rPr>
        <w:lastRenderedPageBreak/>
        <w:t xml:space="preserve">under </w:t>
      </w:r>
      <w:r>
        <w:rPr>
          <w:lang w:eastAsia="zh-HK"/>
        </w:rPr>
        <w:t>both constitutional instruments (</w:t>
      </w:r>
      <w:r w:rsidRPr="00B373CA">
        <w:rPr>
          <w:lang w:eastAsia="zh-HK"/>
        </w:rPr>
        <w:t>BL35 and BOR10</w:t>
      </w:r>
      <w:r>
        <w:rPr>
          <w:lang w:eastAsia="zh-HK"/>
        </w:rPr>
        <w:t>)</w:t>
      </w:r>
      <w:r w:rsidRPr="00B373CA">
        <w:rPr>
          <w:lang w:eastAsia="zh-HK"/>
        </w:rPr>
        <w:t xml:space="preserve">.  They argue that </w:t>
      </w:r>
      <w:r w:rsidR="00EE47E8">
        <w:rPr>
          <w:lang w:eastAsia="zh-HK"/>
        </w:rPr>
        <w:t>use</w:t>
      </w:r>
      <w:r w:rsidRPr="00B373CA">
        <w:rPr>
          <w:lang w:eastAsia="zh-HK"/>
        </w:rPr>
        <w:t xml:space="preserve"> of the LNCs fails to meet the constitutional “prescribed by law” and proportionality requirements.  </w:t>
      </w:r>
    </w:p>
    <w:p w:rsidR="004D7961" w:rsidRPr="00B373CA" w:rsidRDefault="004D7961" w:rsidP="00443ECC">
      <w:pPr>
        <w:pStyle w:val="Bob1"/>
        <w:numPr>
          <w:ilvl w:val="0"/>
          <w:numId w:val="1"/>
        </w:numPr>
        <w:tabs>
          <w:tab w:val="clear" w:pos="720"/>
          <w:tab w:val="left" w:pos="1440"/>
        </w:tabs>
        <w:ind w:left="0" w:firstLine="0"/>
        <w:jc w:val="both"/>
        <w:rPr>
          <w:lang w:eastAsia="zh-HK"/>
        </w:rPr>
      </w:pPr>
      <w:r w:rsidRPr="00B373CA">
        <w:rPr>
          <w:lang w:eastAsia="zh-HK"/>
        </w:rPr>
        <w:t xml:space="preserve">In dealing with such constitutional challenges, the first step is to identify the constitutional right invoked.  Secondly, one has to identify the legislative rule or executive or administrative </w:t>
      </w:r>
      <w:r>
        <w:rPr>
          <w:lang w:eastAsia="zh-HK"/>
        </w:rPr>
        <w:t xml:space="preserve">policy, </w:t>
      </w:r>
      <w:r w:rsidRPr="00B373CA">
        <w:rPr>
          <w:lang w:eastAsia="zh-HK"/>
        </w:rPr>
        <w:t>decision or act which is challenged (“</w:t>
      </w:r>
      <w:r w:rsidRPr="00443ECC">
        <w:rPr>
          <w:u w:val="single"/>
          <w:lang w:eastAsia="zh-HK"/>
        </w:rPr>
        <w:t>the impugned measure</w:t>
      </w:r>
      <w:r w:rsidRPr="00B373CA">
        <w:rPr>
          <w:lang w:eastAsia="zh-HK"/>
        </w:rPr>
        <w:t xml:space="preserve">”) and examine whether and </w:t>
      </w:r>
      <w:r>
        <w:rPr>
          <w:lang w:eastAsia="zh-HK"/>
        </w:rPr>
        <w:t>in what way</w:t>
      </w:r>
      <w:r w:rsidRPr="00B373CA">
        <w:rPr>
          <w:lang w:eastAsia="zh-HK"/>
        </w:rPr>
        <w:t xml:space="preserve"> that impugned measure infringes and so engages the protected right relied on.  Only if that right is engaged, does one </w:t>
      </w:r>
      <w:r>
        <w:rPr>
          <w:lang w:eastAsia="zh-HK"/>
        </w:rPr>
        <w:t xml:space="preserve">need to </w:t>
      </w:r>
      <w:r w:rsidR="00A654E1">
        <w:rPr>
          <w:lang w:eastAsia="zh-HK"/>
        </w:rPr>
        <w:t>go</w:t>
      </w:r>
      <w:r w:rsidRPr="00B373CA">
        <w:rPr>
          <w:lang w:eastAsia="zh-HK"/>
        </w:rPr>
        <w:t xml:space="preserve"> on to consider legal certainty, proportionality and remedies.</w:t>
      </w:r>
    </w:p>
    <w:p w:rsidR="004D7961" w:rsidRPr="00B373CA" w:rsidRDefault="00B65A5D" w:rsidP="004D7961">
      <w:pPr>
        <w:pStyle w:val="docmapheading"/>
        <w:keepNext/>
        <w:rPr>
          <w:lang w:eastAsia="zh-HK"/>
        </w:rPr>
      </w:pPr>
      <w:r>
        <w:rPr>
          <w:lang w:eastAsia="zh-HK"/>
        </w:rPr>
        <w:t>H</w:t>
      </w:r>
      <w:r w:rsidR="004D7961" w:rsidRPr="00B373CA">
        <w:rPr>
          <w:lang w:eastAsia="zh-HK"/>
        </w:rPr>
        <w:t>.1</w:t>
      </w:r>
      <w:r w:rsidR="004D7961" w:rsidRPr="00B373CA">
        <w:rPr>
          <w:lang w:eastAsia="zh-HK"/>
        </w:rPr>
        <w:tab/>
        <w:t>The challenge based on property rights</w:t>
      </w:r>
    </w:p>
    <w:p w:rsidR="004D7961" w:rsidRPr="00B373CA" w:rsidRDefault="004D7961" w:rsidP="00443ECC">
      <w:pPr>
        <w:pStyle w:val="Bob1"/>
        <w:numPr>
          <w:ilvl w:val="0"/>
          <w:numId w:val="1"/>
        </w:numPr>
        <w:tabs>
          <w:tab w:val="clear" w:pos="720"/>
          <w:tab w:val="left" w:pos="1440"/>
        </w:tabs>
        <w:ind w:left="0" w:firstLine="0"/>
        <w:jc w:val="both"/>
        <w:rPr>
          <w:lang w:eastAsia="zh-HK"/>
        </w:rPr>
      </w:pPr>
      <w:r w:rsidRPr="00B373CA">
        <w:rPr>
          <w:lang w:eastAsia="zh-HK"/>
        </w:rPr>
        <w:t>The Basic Law Articles relied on by the appellants</w:t>
      </w:r>
      <w:r w:rsidR="00B65A5D">
        <w:rPr>
          <w:lang w:eastAsia="zh-HK"/>
        </w:rPr>
        <w:t xml:space="preserve"> regarding property rights</w:t>
      </w:r>
      <w:r w:rsidRPr="00B373CA">
        <w:rPr>
          <w:lang w:eastAsia="zh-HK"/>
        </w:rPr>
        <w:t xml:space="preserve"> materially provide as follows:</w:t>
      </w:r>
    </w:p>
    <w:p w:rsidR="004D7961" w:rsidRPr="00B373CA" w:rsidRDefault="004D7961" w:rsidP="00443ECC">
      <w:pPr>
        <w:pStyle w:val="Bob1"/>
        <w:numPr>
          <w:ilvl w:val="0"/>
          <w:numId w:val="0"/>
        </w:numPr>
        <w:spacing w:line="240" w:lineRule="auto"/>
        <w:ind w:left="720"/>
        <w:jc w:val="both"/>
        <w:rPr>
          <w:sz w:val="24"/>
          <w:lang w:eastAsia="zh-HK"/>
        </w:rPr>
      </w:pPr>
      <w:r w:rsidRPr="00B373CA">
        <w:rPr>
          <w:sz w:val="24"/>
          <w:u w:val="single"/>
          <w:lang w:eastAsia="zh-HK"/>
        </w:rPr>
        <w:t>BL6</w:t>
      </w:r>
      <w:r w:rsidRPr="00B373CA">
        <w:rPr>
          <w:sz w:val="24"/>
          <w:lang w:eastAsia="zh-HK"/>
        </w:rPr>
        <w:t>: “The [HKSAR] shall protect the right of private ownership of property in accordance with law.</w:t>
      </w:r>
    </w:p>
    <w:p w:rsidR="004D7961" w:rsidRPr="00B373CA" w:rsidRDefault="004D7961" w:rsidP="00443ECC">
      <w:pPr>
        <w:pStyle w:val="Bob1"/>
        <w:numPr>
          <w:ilvl w:val="0"/>
          <w:numId w:val="0"/>
        </w:numPr>
        <w:spacing w:line="240" w:lineRule="auto"/>
        <w:ind w:left="720"/>
        <w:jc w:val="both"/>
        <w:rPr>
          <w:sz w:val="24"/>
          <w:lang w:eastAsia="zh-HK"/>
        </w:rPr>
      </w:pPr>
      <w:r w:rsidRPr="00B373CA">
        <w:rPr>
          <w:sz w:val="24"/>
          <w:u w:val="single"/>
          <w:lang w:eastAsia="zh-HK"/>
        </w:rPr>
        <w:t>BL105</w:t>
      </w:r>
      <w:r w:rsidRPr="00B373CA">
        <w:rPr>
          <w:sz w:val="24"/>
          <w:lang w:eastAsia="zh-HK"/>
        </w:rPr>
        <w:t>: “The [HKSAR] shall, in accordance with law, protect the right of individuals and legal persons to the acquisition, use, disposal and inheritance of property and their right to compensation for lawful deprivation of their property.”</w:t>
      </w:r>
    </w:p>
    <w:p w:rsidR="004D7961" w:rsidRPr="00B373CA" w:rsidRDefault="004D7961" w:rsidP="00443ECC">
      <w:pPr>
        <w:pStyle w:val="Bob1"/>
        <w:numPr>
          <w:ilvl w:val="0"/>
          <w:numId w:val="1"/>
        </w:numPr>
        <w:tabs>
          <w:tab w:val="clear" w:pos="720"/>
          <w:tab w:val="left" w:pos="1440"/>
        </w:tabs>
        <w:ind w:left="0" w:firstLine="0"/>
        <w:jc w:val="both"/>
        <w:rPr>
          <w:lang w:eastAsia="zh-HK"/>
        </w:rPr>
      </w:pPr>
      <w:r>
        <w:rPr>
          <w:lang w:eastAsia="zh-HK"/>
        </w:rPr>
        <w:t>As previously noted, t</w:t>
      </w:r>
      <w:r w:rsidRPr="00B373CA">
        <w:rPr>
          <w:lang w:eastAsia="zh-HK"/>
        </w:rPr>
        <w:t xml:space="preserve">he </w:t>
      </w:r>
      <w:r>
        <w:rPr>
          <w:lang w:eastAsia="zh-HK"/>
        </w:rPr>
        <w:t>appellants</w:t>
      </w:r>
      <w:r w:rsidRPr="00B373CA">
        <w:rPr>
          <w:lang w:eastAsia="zh-HK"/>
        </w:rPr>
        <w:t xml:space="preserve"> identif</w:t>
      </w:r>
      <w:r>
        <w:rPr>
          <w:lang w:eastAsia="zh-HK"/>
        </w:rPr>
        <w:t>y</w:t>
      </w:r>
      <w:r w:rsidRPr="00B373CA">
        <w:rPr>
          <w:lang w:eastAsia="zh-HK"/>
        </w:rPr>
        <w:t xml:space="preserve"> the so-called </w:t>
      </w:r>
      <w:r>
        <w:rPr>
          <w:lang w:eastAsia="zh-HK"/>
        </w:rPr>
        <w:t>“No Consent Regime”</w:t>
      </w:r>
      <w:r w:rsidR="00EE47E8">
        <w:rPr>
          <w:lang w:eastAsia="zh-HK"/>
        </w:rPr>
        <w:t>, shorthand for the criticised actions of the police,</w:t>
      </w:r>
      <w:r w:rsidRPr="00B373CA">
        <w:rPr>
          <w:lang w:eastAsia="zh-HK"/>
        </w:rPr>
        <w:t xml:space="preserve"> as the impugned measure, the relief claimed being for a Declaration:</w:t>
      </w:r>
    </w:p>
    <w:p w:rsidR="004D7961" w:rsidRPr="00B373CA" w:rsidRDefault="004D7961" w:rsidP="00443ECC">
      <w:pPr>
        <w:pStyle w:val="Bob1"/>
        <w:numPr>
          <w:ilvl w:val="0"/>
          <w:numId w:val="0"/>
        </w:numPr>
        <w:spacing w:line="240" w:lineRule="auto"/>
        <w:ind w:left="720"/>
        <w:jc w:val="both"/>
        <w:rPr>
          <w:sz w:val="24"/>
          <w:lang w:eastAsia="zh-HK"/>
        </w:rPr>
      </w:pPr>
      <w:r w:rsidRPr="00B373CA">
        <w:rPr>
          <w:sz w:val="24"/>
          <w:lang w:eastAsia="zh-HK"/>
        </w:rPr>
        <w:t>“... that the ‘No Consent Regime’ (defined below at §64),</w:t>
      </w:r>
      <w:r>
        <w:rPr>
          <w:rStyle w:val="FootnoteReference"/>
          <w:sz w:val="24"/>
          <w:lang w:eastAsia="zh-HK"/>
        </w:rPr>
        <w:footnoteReference w:id="105"/>
      </w:r>
      <w:r w:rsidRPr="00B373CA">
        <w:rPr>
          <w:sz w:val="24"/>
          <w:lang w:eastAsia="zh-HK"/>
        </w:rPr>
        <w:t xml:space="preserve"> purportedly operated under [OSCO], is ... incompatible with [the aforesaid Articles of the Basic Law and the Bill of Rights] ... and accordingly unconstitutional.”</w:t>
      </w:r>
      <w:r w:rsidRPr="002410DD">
        <w:rPr>
          <w:rStyle w:val="FootnoteReference"/>
          <w:lang w:eastAsia="zh-HK"/>
        </w:rPr>
        <w:t xml:space="preserve"> </w:t>
      </w:r>
      <w:r w:rsidRPr="00B373CA">
        <w:rPr>
          <w:rStyle w:val="FootnoteReference"/>
          <w:lang w:eastAsia="zh-HK"/>
        </w:rPr>
        <w:footnoteReference w:id="106"/>
      </w:r>
    </w:p>
    <w:p w:rsidR="004D7961" w:rsidRDefault="003C084A" w:rsidP="00443ECC">
      <w:pPr>
        <w:pStyle w:val="Bob1"/>
        <w:numPr>
          <w:ilvl w:val="0"/>
          <w:numId w:val="1"/>
        </w:numPr>
        <w:tabs>
          <w:tab w:val="clear" w:pos="720"/>
          <w:tab w:val="num" w:pos="1440"/>
        </w:tabs>
        <w:ind w:left="0" w:firstLine="0"/>
        <w:jc w:val="both"/>
        <w:rPr>
          <w:lang w:eastAsia="zh-HK"/>
        </w:rPr>
      </w:pPr>
      <w:r>
        <w:rPr>
          <w:lang w:eastAsia="zh-HK"/>
        </w:rPr>
        <w:lastRenderedPageBreak/>
        <w:t xml:space="preserve">Those actions </w:t>
      </w:r>
      <w:r w:rsidR="004D7961" w:rsidRPr="00B373CA">
        <w:rPr>
          <w:lang w:eastAsia="zh-HK"/>
        </w:rPr>
        <w:t xml:space="preserve">are said to </w:t>
      </w:r>
      <w:r w:rsidR="004D7961">
        <w:rPr>
          <w:lang w:eastAsia="zh-HK"/>
        </w:rPr>
        <w:t xml:space="preserve">involve </w:t>
      </w:r>
      <w:r w:rsidR="004D7961" w:rsidRPr="00B373CA">
        <w:rPr>
          <w:lang w:eastAsia="zh-HK"/>
        </w:rPr>
        <w:t>an objectionable freezing of the accounts</w:t>
      </w:r>
      <w:r>
        <w:rPr>
          <w:lang w:eastAsia="zh-HK"/>
        </w:rPr>
        <w:t xml:space="preserve"> by the police which, </w:t>
      </w:r>
      <w:r w:rsidR="004D7961" w:rsidRPr="00B373CA">
        <w:rPr>
          <w:lang w:eastAsia="zh-HK"/>
        </w:rPr>
        <w:t xml:space="preserve">as </w:t>
      </w:r>
      <w:r w:rsidR="004D7961">
        <w:rPr>
          <w:lang w:eastAsia="zh-HK"/>
        </w:rPr>
        <w:t>we</w:t>
      </w:r>
      <w:r w:rsidR="004D7961" w:rsidRPr="00B373CA">
        <w:rPr>
          <w:lang w:eastAsia="zh-HK"/>
        </w:rPr>
        <w:t xml:space="preserve"> have sought to </w:t>
      </w:r>
      <w:r w:rsidR="00155DBC">
        <w:rPr>
          <w:lang w:eastAsia="zh-HK"/>
        </w:rPr>
        <w:t>show</w:t>
      </w:r>
      <w:r w:rsidR="004D7961" w:rsidRPr="00B373CA">
        <w:rPr>
          <w:lang w:eastAsia="zh-HK"/>
        </w:rPr>
        <w:t xml:space="preserve">, </w:t>
      </w:r>
      <w:r>
        <w:rPr>
          <w:lang w:eastAsia="zh-HK"/>
        </w:rPr>
        <w:t>mischaracterises</w:t>
      </w:r>
      <w:r w:rsidR="004D7961" w:rsidRPr="00B373CA">
        <w:rPr>
          <w:lang w:eastAsia="zh-HK"/>
        </w:rPr>
        <w:t xml:space="preserve"> those actions</w:t>
      </w:r>
      <w:r w:rsidR="004D7961">
        <w:rPr>
          <w:lang w:eastAsia="zh-HK"/>
        </w:rPr>
        <w:t>.</w:t>
      </w:r>
      <w:r w:rsidR="004D7961" w:rsidRPr="00B373CA">
        <w:rPr>
          <w:lang w:eastAsia="zh-HK"/>
        </w:rPr>
        <w:t xml:space="preserve"> </w:t>
      </w:r>
      <w:r w:rsidR="004D7961">
        <w:rPr>
          <w:lang w:eastAsia="zh-HK"/>
        </w:rPr>
        <w:t xml:space="preserve"> That</w:t>
      </w:r>
      <w:r w:rsidR="004D7961" w:rsidRPr="00B373CA">
        <w:rPr>
          <w:lang w:eastAsia="zh-HK"/>
        </w:rPr>
        <w:t xml:space="preserve"> </w:t>
      </w:r>
      <w:r w:rsidR="004D7961">
        <w:rPr>
          <w:lang w:eastAsia="zh-HK"/>
        </w:rPr>
        <w:t xml:space="preserve">mischaracterisation infects </w:t>
      </w:r>
      <w:r w:rsidR="004D7961" w:rsidRPr="00B373CA">
        <w:rPr>
          <w:lang w:eastAsia="zh-HK"/>
        </w:rPr>
        <w:t>the constitutional challenge</w:t>
      </w:r>
      <w:r w:rsidR="004D7961">
        <w:rPr>
          <w:lang w:eastAsia="zh-HK"/>
        </w:rPr>
        <w:t xml:space="preserve">, undermining the contention that the </w:t>
      </w:r>
      <w:r w:rsidR="004D7961" w:rsidRPr="00B373CA">
        <w:rPr>
          <w:lang w:eastAsia="zh-HK"/>
        </w:rPr>
        <w:t xml:space="preserve">impugned </w:t>
      </w:r>
      <w:r w:rsidR="004D7961">
        <w:rPr>
          <w:lang w:eastAsia="zh-HK"/>
        </w:rPr>
        <w:t xml:space="preserve">measure </w:t>
      </w:r>
      <w:r w:rsidR="004D7961" w:rsidRPr="00B373CA">
        <w:rPr>
          <w:lang w:eastAsia="zh-HK"/>
        </w:rPr>
        <w:t>infringe</w:t>
      </w:r>
      <w:r w:rsidR="004D7961">
        <w:rPr>
          <w:lang w:eastAsia="zh-HK"/>
        </w:rPr>
        <w:t>s</w:t>
      </w:r>
      <w:r w:rsidR="004D7961" w:rsidRPr="00B373CA">
        <w:rPr>
          <w:lang w:eastAsia="zh-HK"/>
        </w:rPr>
        <w:t xml:space="preserve"> the</w:t>
      </w:r>
      <w:r w:rsidR="00155DBC">
        <w:rPr>
          <w:lang w:eastAsia="zh-HK"/>
        </w:rPr>
        <w:t xml:space="preserve"> relevant protected rights</w:t>
      </w:r>
      <w:r w:rsidR="004D7961" w:rsidRPr="00B373CA">
        <w:rPr>
          <w:lang w:eastAsia="zh-HK"/>
        </w:rPr>
        <w:t xml:space="preserve">.   </w:t>
      </w:r>
    </w:p>
    <w:p w:rsidR="004D7961" w:rsidRDefault="004D7961" w:rsidP="00443ECC">
      <w:pPr>
        <w:pStyle w:val="Bob1"/>
        <w:numPr>
          <w:ilvl w:val="0"/>
          <w:numId w:val="1"/>
        </w:numPr>
        <w:tabs>
          <w:tab w:val="clear" w:pos="720"/>
          <w:tab w:val="num" w:pos="1440"/>
        </w:tabs>
        <w:ind w:left="0" w:firstLine="0"/>
        <w:jc w:val="both"/>
        <w:rPr>
          <w:lang w:eastAsia="zh-HK"/>
        </w:rPr>
      </w:pPr>
      <w:r w:rsidRPr="00B373CA">
        <w:rPr>
          <w:lang w:eastAsia="zh-HK"/>
        </w:rPr>
        <w:t>The appellants’ Written Case</w:t>
      </w:r>
      <w:r w:rsidRPr="00B373CA">
        <w:rPr>
          <w:rStyle w:val="FootnoteReference"/>
          <w:lang w:eastAsia="zh-HK"/>
        </w:rPr>
        <w:footnoteReference w:id="107"/>
      </w:r>
      <w:r w:rsidRPr="00B373CA">
        <w:rPr>
          <w:lang w:eastAsia="zh-HK"/>
        </w:rPr>
        <w:t xml:space="preserve"> states by way of elaboration that “the NCR [</w:t>
      </w:r>
      <w:proofErr w:type="spellStart"/>
      <w:r w:rsidRPr="00B373CA">
        <w:rPr>
          <w:lang w:eastAsia="zh-HK"/>
        </w:rPr>
        <w:t>ie</w:t>
      </w:r>
      <w:proofErr w:type="spellEnd"/>
      <w:r w:rsidRPr="00B373CA">
        <w:rPr>
          <w:lang w:eastAsia="zh-HK"/>
        </w:rPr>
        <w:t xml:space="preserve">, the </w:t>
      </w:r>
      <w:r>
        <w:rPr>
          <w:lang w:eastAsia="zh-HK"/>
        </w:rPr>
        <w:t>“No Consent Regime”</w:t>
      </w:r>
      <w:r w:rsidRPr="00B373CA">
        <w:rPr>
          <w:lang w:eastAsia="zh-HK"/>
        </w:rPr>
        <w:t xml:space="preserve">] engages the right to use of property under BL6 and 105”.  Thus, the allegation is not that the appellants have been deprived of their property altogether but that they have been deprived of the right to </w:t>
      </w:r>
      <w:r w:rsidRPr="00443ECC">
        <w:rPr>
          <w:i/>
          <w:lang w:eastAsia="zh-HK"/>
        </w:rPr>
        <w:t>use</w:t>
      </w:r>
      <w:r w:rsidRPr="00B373CA">
        <w:rPr>
          <w:lang w:eastAsia="zh-HK"/>
        </w:rPr>
        <w:t xml:space="preserve"> that property (protected by BL105).  This is</w:t>
      </w:r>
      <w:r>
        <w:rPr>
          <w:lang w:eastAsia="zh-HK"/>
        </w:rPr>
        <w:t xml:space="preserve"> unsurprising</w:t>
      </w:r>
      <w:r w:rsidRPr="00B373CA">
        <w:rPr>
          <w:lang w:eastAsia="zh-HK"/>
        </w:rPr>
        <w:t xml:space="preserve">.  Neither </w:t>
      </w:r>
      <w:r>
        <w:rPr>
          <w:lang w:eastAsia="zh-HK"/>
        </w:rPr>
        <w:t>an LNC</w:t>
      </w:r>
      <w:r w:rsidRPr="00B373CA">
        <w:rPr>
          <w:lang w:eastAsia="zh-HK"/>
        </w:rPr>
        <w:t xml:space="preserve"> nor </w:t>
      </w:r>
      <w:r>
        <w:rPr>
          <w:lang w:eastAsia="zh-HK"/>
        </w:rPr>
        <w:t xml:space="preserve">a restraint order </w:t>
      </w:r>
      <w:r w:rsidRPr="00B373CA">
        <w:rPr>
          <w:lang w:eastAsia="zh-HK"/>
        </w:rPr>
        <w:t>deprive</w:t>
      </w:r>
      <w:r>
        <w:rPr>
          <w:lang w:eastAsia="zh-HK"/>
        </w:rPr>
        <w:t>s</w:t>
      </w:r>
      <w:r w:rsidRPr="00B373CA">
        <w:rPr>
          <w:lang w:eastAsia="zh-HK"/>
        </w:rPr>
        <w:t xml:space="preserve"> the appellants of their property in their bank</w:t>
      </w:r>
      <w:r>
        <w:rPr>
          <w:lang w:eastAsia="zh-HK"/>
        </w:rPr>
        <w:t xml:space="preserve"> funds</w:t>
      </w:r>
      <w:r w:rsidRPr="00B373CA">
        <w:rPr>
          <w:lang w:eastAsia="zh-HK"/>
        </w:rPr>
        <w:t>.  Unless and until a confiscation order is made</w:t>
      </w:r>
      <w:r w:rsidR="00155DBC">
        <w:rPr>
          <w:lang w:eastAsia="zh-HK"/>
        </w:rPr>
        <w:t xml:space="preserve"> by the court</w:t>
      </w:r>
      <w:r w:rsidR="0022511D">
        <w:rPr>
          <w:lang w:eastAsia="zh-HK"/>
        </w:rPr>
        <w:t xml:space="preserve"> to be satisfied by the frozen funds</w:t>
      </w:r>
      <w:r w:rsidRPr="00B373CA">
        <w:rPr>
          <w:lang w:eastAsia="zh-HK"/>
        </w:rPr>
        <w:t>, the bank remains indebted to them in the amounts of their credit balances and the</w:t>
      </w:r>
      <w:r>
        <w:rPr>
          <w:lang w:eastAsia="zh-HK"/>
        </w:rPr>
        <w:t>y</w:t>
      </w:r>
      <w:r w:rsidRPr="00B373CA">
        <w:rPr>
          <w:lang w:eastAsia="zh-HK"/>
        </w:rPr>
        <w:t xml:space="preserve"> </w:t>
      </w:r>
      <w:r>
        <w:rPr>
          <w:lang w:eastAsia="zh-HK"/>
        </w:rPr>
        <w:t xml:space="preserve">would immediately recover use of the funds </w:t>
      </w:r>
      <w:r w:rsidRPr="00B373CA">
        <w:rPr>
          <w:lang w:eastAsia="zh-HK"/>
        </w:rPr>
        <w:t xml:space="preserve">if the </w:t>
      </w:r>
      <w:r>
        <w:rPr>
          <w:lang w:eastAsia="zh-HK"/>
        </w:rPr>
        <w:t xml:space="preserve">restraint </w:t>
      </w:r>
      <w:r w:rsidRPr="00B373CA">
        <w:rPr>
          <w:lang w:eastAsia="zh-HK"/>
        </w:rPr>
        <w:t xml:space="preserve">is removed.  Accordingly, the constitutional complaint </w:t>
      </w:r>
      <w:r>
        <w:rPr>
          <w:lang w:eastAsia="zh-HK"/>
        </w:rPr>
        <w:t>is that the</w:t>
      </w:r>
      <w:r w:rsidRPr="00B373CA">
        <w:rPr>
          <w:lang w:eastAsia="zh-HK"/>
        </w:rPr>
        <w:t xml:space="preserve"> </w:t>
      </w:r>
      <w:r>
        <w:rPr>
          <w:lang w:eastAsia="zh-HK"/>
        </w:rPr>
        <w:t xml:space="preserve">(mischaracterised) </w:t>
      </w:r>
      <w:r w:rsidRPr="00B373CA">
        <w:rPr>
          <w:lang w:eastAsia="zh-HK"/>
        </w:rPr>
        <w:t>“freeze” deprives the</w:t>
      </w:r>
      <w:r>
        <w:rPr>
          <w:lang w:eastAsia="zh-HK"/>
        </w:rPr>
        <w:t xml:space="preserve"> appellants</w:t>
      </w:r>
      <w:r w:rsidRPr="00B373CA">
        <w:rPr>
          <w:lang w:eastAsia="zh-HK"/>
        </w:rPr>
        <w:t xml:space="preserve"> temporarily of the </w:t>
      </w:r>
      <w:r w:rsidRPr="00443ECC">
        <w:rPr>
          <w:i/>
          <w:lang w:eastAsia="zh-HK"/>
        </w:rPr>
        <w:t>use</w:t>
      </w:r>
      <w:r w:rsidRPr="00B373CA">
        <w:rPr>
          <w:lang w:eastAsia="zh-HK"/>
        </w:rPr>
        <w:t xml:space="preserve"> of the funds.  </w:t>
      </w:r>
    </w:p>
    <w:p w:rsidR="004D7961" w:rsidRDefault="004D7961" w:rsidP="00443ECC">
      <w:pPr>
        <w:pStyle w:val="Bob1"/>
        <w:numPr>
          <w:ilvl w:val="0"/>
          <w:numId w:val="1"/>
        </w:numPr>
        <w:tabs>
          <w:tab w:val="clear" w:pos="720"/>
          <w:tab w:val="num" w:pos="1440"/>
        </w:tabs>
        <w:ind w:left="0" w:firstLine="0"/>
        <w:jc w:val="both"/>
        <w:rPr>
          <w:lang w:eastAsia="zh-HK"/>
        </w:rPr>
      </w:pPr>
      <w:r>
        <w:rPr>
          <w:lang w:eastAsia="zh-HK"/>
        </w:rPr>
        <w:t xml:space="preserve">As previously explained, the withholding of consent to deal with the funds </w:t>
      </w:r>
      <w:r w:rsidR="00CE30A0">
        <w:rPr>
          <w:lang w:eastAsia="zh-HK"/>
        </w:rPr>
        <w:t xml:space="preserve">under section </w:t>
      </w:r>
      <w:proofErr w:type="gramStart"/>
      <w:r w:rsidR="00CE30A0">
        <w:rPr>
          <w:lang w:eastAsia="zh-HK"/>
        </w:rPr>
        <w:t>25A(</w:t>
      </w:r>
      <w:proofErr w:type="gramEnd"/>
      <w:r w:rsidR="00CE30A0">
        <w:rPr>
          <w:lang w:eastAsia="zh-HK"/>
        </w:rPr>
        <w:t xml:space="preserve">2) </w:t>
      </w:r>
      <w:r>
        <w:rPr>
          <w:lang w:eastAsia="zh-HK"/>
        </w:rPr>
        <w:t xml:space="preserve">amounts to the withholding of a grant of immunity against liability under OSCO section 25(1).  </w:t>
      </w:r>
      <w:r w:rsidRPr="00663B4B">
        <w:rPr>
          <w:lang w:eastAsia="zh-HK"/>
        </w:rPr>
        <w:t xml:space="preserve">The CP does not by his acts in </w:t>
      </w:r>
      <w:r w:rsidR="00862265">
        <w:rPr>
          <w:lang w:eastAsia="zh-HK"/>
        </w:rPr>
        <w:t>[</w:t>
      </w:r>
      <w:r w:rsidRPr="00663B4B">
        <w:rPr>
          <w:lang w:eastAsia="zh-HK"/>
        </w:rPr>
        <w:t>Steps 2 and 5</w:t>
      </w:r>
      <w:r w:rsidR="00862265">
        <w:rPr>
          <w:lang w:eastAsia="zh-HK"/>
        </w:rPr>
        <w:t>]</w:t>
      </w:r>
      <w:r>
        <w:rPr>
          <w:lang w:eastAsia="zh-HK"/>
        </w:rPr>
        <w:t xml:space="preserve"> </w:t>
      </w:r>
      <w:r w:rsidR="00CE30A0">
        <w:rPr>
          <w:lang w:eastAsia="zh-HK"/>
        </w:rPr>
        <w:t xml:space="preserve">freeze, or </w:t>
      </w:r>
      <w:r>
        <w:rPr>
          <w:lang w:eastAsia="zh-HK"/>
        </w:rPr>
        <w:t>make a “crucial contribution”</w:t>
      </w:r>
      <w:r w:rsidRPr="005F4848">
        <w:rPr>
          <w:rStyle w:val="FootnoteReference"/>
          <w:lang w:eastAsia="zh-HK"/>
        </w:rPr>
        <w:footnoteReference w:id="108"/>
      </w:r>
      <w:r>
        <w:rPr>
          <w:lang w:eastAsia="zh-HK"/>
        </w:rPr>
        <w:t xml:space="preserve"> </w:t>
      </w:r>
      <w:r w:rsidRPr="00663B4B">
        <w:rPr>
          <w:lang w:eastAsia="zh-HK"/>
        </w:rPr>
        <w:t>to the bank’s decision to freeze or continue freezing</w:t>
      </w:r>
      <w:r w:rsidR="00155DBC">
        <w:rPr>
          <w:lang w:eastAsia="zh-HK"/>
        </w:rPr>
        <w:t>,</w:t>
      </w:r>
      <w:r w:rsidRPr="00663B4B">
        <w:rPr>
          <w:lang w:eastAsia="zh-HK"/>
        </w:rPr>
        <w:t xml:space="preserve"> the funds.  The “freezing” or continued “freezing” remains the bank’s doing.</w:t>
      </w:r>
      <w:r>
        <w:rPr>
          <w:lang w:eastAsia="zh-HK"/>
        </w:rPr>
        <w:t xml:space="preserve">  T</w:t>
      </w:r>
      <w:r w:rsidRPr="00B373CA">
        <w:rPr>
          <w:lang w:eastAsia="zh-HK"/>
        </w:rPr>
        <w:t>he CP</w:t>
      </w:r>
      <w:r>
        <w:rPr>
          <w:lang w:eastAsia="zh-HK"/>
        </w:rPr>
        <w:t>’s acts</w:t>
      </w:r>
      <w:r w:rsidRPr="00B373CA">
        <w:rPr>
          <w:lang w:eastAsia="zh-HK"/>
        </w:rPr>
        <w:t xml:space="preserve"> </w:t>
      </w:r>
      <w:r>
        <w:rPr>
          <w:lang w:eastAsia="zh-HK"/>
        </w:rPr>
        <w:t xml:space="preserve">therefore </w:t>
      </w:r>
      <w:r w:rsidRPr="00B373CA">
        <w:rPr>
          <w:lang w:eastAsia="zh-HK"/>
        </w:rPr>
        <w:t>did not prevent</w:t>
      </w:r>
      <w:r>
        <w:rPr>
          <w:lang w:eastAsia="zh-HK"/>
        </w:rPr>
        <w:t xml:space="preserve"> the appellants from using the</w:t>
      </w:r>
      <w:r w:rsidRPr="00B373CA">
        <w:rPr>
          <w:lang w:eastAsia="zh-HK"/>
        </w:rPr>
        <w:t xml:space="preserve"> property </w:t>
      </w:r>
      <w:r>
        <w:rPr>
          <w:lang w:eastAsia="zh-HK"/>
        </w:rPr>
        <w:t xml:space="preserve">and thus did not infringe </w:t>
      </w:r>
      <w:r w:rsidRPr="00B373CA">
        <w:rPr>
          <w:lang w:eastAsia="zh-HK"/>
        </w:rPr>
        <w:t>the</w:t>
      </w:r>
      <w:r>
        <w:rPr>
          <w:lang w:eastAsia="zh-HK"/>
        </w:rPr>
        <w:t>ir</w:t>
      </w:r>
      <w:r w:rsidRPr="00B373CA">
        <w:rPr>
          <w:lang w:eastAsia="zh-HK"/>
        </w:rPr>
        <w:t xml:space="preserve"> protected rights</w:t>
      </w:r>
      <w:r>
        <w:rPr>
          <w:lang w:eastAsia="zh-HK"/>
        </w:rPr>
        <w:t xml:space="preserve"> as alleged</w:t>
      </w:r>
      <w:r w:rsidRPr="00B373CA">
        <w:rPr>
          <w:lang w:eastAsia="zh-HK"/>
        </w:rPr>
        <w:t xml:space="preserve">.   </w:t>
      </w:r>
      <w:r>
        <w:rPr>
          <w:lang w:eastAsia="zh-HK"/>
        </w:rPr>
        <w:t xml:space="preserve">BL6 </w:t>
      </w:r>
      <w:r>
        <w:rPr>
          <w:lang w:eastAsia="zh-HK"/>
        </w:rPr>
        <w:lastRenderedPageBreak/>
        <w:t>and BL105 are not engaged and, o</w:t>
      </w:r>
      <w:r w:rsidRPr="00B373CA">
        <w:rPr>
          <w:lang w:eastAsia="zh-HK"/>
        </w:rPr>
        <w:t>n this ground alone, the constitutional challenge based on property rights cannot be sustained.</w:t>
      </w:r>
      <w:r>
        <w:rPr>
          <w:lang w:eastAsia="zh-HK"/>
        </w:rPr>
        <w:t xml:space="preserve">  </w:t>
      </w:r>
      <w:r w:rsidRPr="000445F7">
        <w:rPr>
          <w:lang w:eastAsia="zh-HK"/>
        </w:rPr>
        <w:t>In reaching this conclusion, we differ from the approach adopted by the parties who have proceeded on the basis that the said property rights are engaged.</w:t>
      </w:r>
      <w:r>
        <w:rPr>
          <w:rStyle w:val="FootnoteReference"/>
          <w:lang w:eastAsia="zh-HK"/>
        </w:rPr>
        <w:footnoteReference w:id="109"/>
      </w:r>
      <w:r w:rsidRPr="000445F7">
        <w:rPr>
          <w:lang w:eastAsia="zh-HK"/>
        </w:rPr>
        <w:t xml:space="preserve">  We also note that in the Court of Appeal, </w:t>
      </w:r>
      <w:r>
        <w:rPr>
          <w:lang w:eastAsia="zh-HK"/>
        </w:rPr>
        <w:t xml:space="preserve">although </w:t>
      </w:r>
      <w:r w:rsidRPr="000445F7">
        <w:rPr>
          <w:lang w:eastAsia="zh-HK"/>
        </w:rPr>
        <w:t xml:space="preserve">G Lam JA </w:t>
      </w:r>
      <w:r>
        <w:rPr>
          <w:lang w:eastAsia="zh-HK"/>
        </w:rPr>
        <w:t>found that the freezing of the accounts was the bank’s and not the CP’s action,</w:t>
      </w:r>
      <w:r>
        <w:rPr>
          <w:rStyle w:val="FootnoteReference"/>
          <w:lang w:eastAsia="zh-HK"/>
        </w:rPr>
        <w:footnoteReference w:id="110"/>
      </w:r>
      <w:r>
        <w:rPr>
          <w:lang w:eastAsia="zh-HK"/>
        </w:rPr>
        <w:t xml:space="preserve"> his Lordship </w:t>
      </w:r>
      <w:r w:rsidRPr="000445F7">
        <w:rPr>
          <w:lang w:eastAsia="zh-HK"/>
        </w:rPr>
        <w:t>proceeded on the assumption that such rights are engaged but upheld the constitutionality of the police actions as leg</w:t>
      </w:r>
      <w:r>
        <w:rPr>
          <w:lang w:eastAsia="zh-HK"/>
        </w:rPr>
        <w:t>ally certain and proportionate.</w:t>
      </w:r>
    </w:p>
    <w:p w:rsidR="004D7961" w:rsidRDefault="00B65A5D" w:rsidP="00CE30A0">
      <w:pPr>
        <w:pStyle w:val="docmapheading"/>
        <w:keepNext/>
        <w:rPr>
          <w:lang w:eastAsia="zh-HK"/>
        </w:rPr>
      </w:pPr>
      <w:r>
        <w:rPr>
          <w:lang w:eastAsia="zh-HK"/>
        </w:rPr>
        <w:t>H</w:t>
      </w:r>
      <w:r w:rsidR="004D7961">
        <w:rPr>
          <w:lang w:eastAsia="zh-HK"/>
        </w:rPr>
        <w:t>.2</w:t>
      </w:r>
      <w:r w:rsidR="004D7961">
        <w:rPr>
          <w:lang w:eastAsia="zh-HK"/>
        </w:rPr>
        <w:tab/>
        <w:t>The “prescribed by law” and proportionality questions</w:t>
      </w:r>
    </w:p>
    <w:p w:rsidR="004D7961" w:rsidRDefault="00CE30A0" w:rsidP="00443ECC">
      <w:pPr>
        <w:pStyle w:val="Bob1"/>
        <w:numPr>
          <w:ilvl w:val="0"/>
          <w:numId w:val="1"/>
        </w:numPr>
        <w:tabs>
          <w:tab w:val="clear" w:pos="720"/>
          <w:tab w:val="left" w:pos="1440"/>
        </w:tabs>
        <w:ind w:left="0" w:firstLine="0"/>
        <w:jc w:val="both"/>
      </w:pPr>
      <w:r>
        <w:t>S</w:t>
      </w:r>
      <w:r w:rsidR="004D7961">
        <w:t>ince the arguments were fully canvassed, we will deal briefly with the “prescribed by law” and proportionality questions.  If, contrary to the views just expressed, the police actions did “freeze” the accounts and did deprive the appellants of use of the funds, those questions would in our view, plainly be resolved in favour of upholding the constitutionality of those actions.</w:t>
      </w:r>
    </w:p>
    <w:p w:rsidR="004D7961" w:rsidRDefault="004D7961" w:rsidP="00443ECC">
      <w:pPr>
        <w:pStyle w:val="Bob1"/>
        <w:numPr>
          <w:ilvl w:val="0"/>
          <w:numId w:val="1"/>
        </w:numPr>
        <w:tabs>
          <w:tab w:val="clear" w:pos="720"/>
          <w:tab w:val="left" w:pos="1440"/>
        </w:tabs>
        <w:ind w:left="0" w:firstLine="0"/>
        <w:jc w:val="both"/>
      </w:pPr>
      <w:r>
        <w:t>By the combined effect of the PFO and the FPM, the criticised actions are “prescribed by law”.</w:t>
      </w:r>
      <w:r>
        <w:rPr>
          <w:rStyle w:val="FootnoteReference"/>
        </w:rPr>
        <w:footnoteReference w:id="111"/>
      </w:r>
      <w:r>
        <w:t xml:space="preserve">  Such actions are governed by clear and accessible provisions which confer the applicable powers on the police and identify the principles under which their investigations and interactions with </w:t>
      </w:r>
      <w:r w:rsidR="00F87BB8">
        <w:t xml:space="preserve">banks </w:t>
      </w:r>
      <w:r>
        <w:t>are to be conducted.  Any challenge to such police action by judicial review would be assessed by reference to the aforesaid provisions.  The powers are “prescribed by law” and no legal uncertainty exists.</w:t>
      </w:r>
    </w:p>
    <w:p w:rsidR="004D7961" w:rsidRDefault="004D7961" w:rsidP="00443ECC">
      <w:pPr>
        <w:pStyle w:val="Bob1"/>
        <w:numPr>
          <w:ilvl w:val="0"/>
          <w:numId w:val="1"/>
        </w:numPr>
        <w:tabs>
          <w:tab w:val="clear" w:pos="720"/>
          <w:tab w:val="left" w:pos="1440"/>
        </w:tabs>
        <w:ind w:left="0" w:firstLine="0"/>
        <w:jc w:val="both"/>
      </w:pPr>
      <w:r>
        <w:t xml:space="preserve">Turning to proportionality, the impugned actions plainly have a legitimate aim.  First, at the domestic level, such anti-money laundering measures </w:t>
      </w:r>
      <w:r>
        <w:lastRenderedPageBreak/>
        <w:t>are aimed at facilitating investigation and the detection of crime, as well as at denying the use of banking services to persons seeking to dispose of the proceeds of crime.  The putative temporary “freezing” of bank accounts, allied with the duty of disclosure, aims to secure suspect assets pending investigation and ultimately aims to deprive</w:t>
      </w:r>
      <w:r w:rsidRPr="00215E4C">
        <w:t xml:space="preserve"> perpetrators of crime of the proceeds of their conduct</w:t>
      </w:r>
      <w:r>
        <w:t>.</w:t>
      </w:r>
      <w:r>
        <w:rPr>
          <w:rStyle w:val="FootnoteReference"/>
        </w:rPr>
        <w:footnoteReference w:id="112"/>
      </w:r>
      <w:r w:rsidRPr="00443ECC">
        <w:rPr>
          <w:i/>
        </w:rPr>
        <w:t xml:space="preserve"> </w:t>
      </w:r>
      <w:r>
        <w:t xml:space="preserve"> These are unquestionably legitimate aims.</w:t>
      </w:r>
    </w:p>
    <w:p w:rsidR="004D7961" w:rsidRDefault="004D7961" w:rsidP="00443ECC">
      <w:pPr>
        <w:pStyle w:val="Bob1"/>
        <w:numPr>
          <w:ilvl w:val="0"/>
          <w:numId w:val="1"/>
        </w:numPr>
        <w:tabs>
          <w:tab w:val="clear" w:pos="720"/>
          <w:tab w:val="left" w:pos="1440"/>
        </w:tabs>
        <w:ind w:left="0" w:firstLine="0"/>
        <w:jc w:val="both"/>
      </w:pPr>
      <w:r>
        <w:t xml:space="preserve">Secondly, </w:t>
      </w:r>
      <w:r w:rsidR="00323A8F">
        <w:t>the aim is legitimate at the international level.  E</w:t>
      </w:r>
      <w:r>
        <w:t>nforcement of an effective anti-money laundering scheme</w:t>
      </w:r>
      <w:r w:rsidR="00155DBC">
        <w:t xml:space="preserve"> in accordance with obligations under international conventions applied to Hong Kong </w:t>
      </w:r>
      <w:r>
        <w:t xml:space="preserve">is essential for Hong Kong’s international standing and repute as a major financial centre.  </w:t>
      </w:r>
      <w:r w:rsidR="0066760C">
        <w:t>S</w:t>
      </w:r>
      <w:r>
        <w:t xml:space="preserve">teps </w:t>
      </w:r>
      <w:r w:rsidR="0066760C">
        <w:t xml:space="preserve">taken </w:t>
      </w:r>
      <w:r>
        <w:t xml:space="preserve">to </w:t>
      </w:r>
      <w:r w:rsidR="0066760C">
        <w:t xml:space="preserve">comply with the HKSAR’s international obligations and to </w:t>
      </w:r>
      <w:r>
        <w:t xml:space="preserve">maintain such standing </w:t>
      </w:r>
      <w:r w:rsidR="0066760C">
        <w:t xml:space="preserve">and repute </w:t>
      </w:r>
      <w:r>
        <w:t xml:space="preserve">plainly </w:t>
      </w:r>
      <w:r w:rsidR="0066760C">
        <w:t xml:space="preserve">constitute </w:t>
      </w:r>
      <w:r>
        <w:t xml:space="preserve">a legitimate aim.  </w:t>
      </w:r>
    </w:p>
    <w:p w:rsidR="004D7961" w:rsidRDefault="004D7961" w:rsidP="00443ECC">
      <w:pPr>
        <w:pStyle w:val="Bob1"/>
        <w:numPr>
          <w:ilvl w:val="0"/>
          <w:numId w:val="1"/>
        </w:numPr>
        <w:tabs>
          <w:tab w:val="clear" w:pos="720"/>
          <w:tab w:val="left" w:pos="1440"/>
        </w:tabs>
        <w:ind w:left="0" w:firstLine="0"/>
        <w:jc w:val="both"/>
      </w:pPr>
      <w:r>
        <w:t>The impugned measure putatively involving temporary interference with use of “frozen” suspect funds is undoubtedly rationally connected with the achievement of the aforesaid legitimate aim at both the domestic and international levels.</w:t>
      </w:r>
    </w:p>
    <w:p w:rsidR="004D7961" w:rsidRDefault="004D7961" w:rsidP="00443ECC">
      <w:pPr>
        <w:pStyle w:val="Bob1"/>
        <w:numPr>
          <w:ilvl w:val="0"/>
          <w:numId w:val="1"/>
        </w:numPr>
        <w:tabs>
          <w:tab w:val="clear" w:pos="720"/>
          <w:tab w:val="left" w:pos="1440"/>
        </w:tabs>
        <w:ind w:left="0" w:firstLine="0"/>
        <w:jc w:val="both"/>
      </w:pPr>
      <w:r>
        <w:t>Those measures are clearly no more than reasonably necessary to achieve those legitimate aims, assuming that to be the applicable standard of review</w:t>
      </w:r>
      <w:r w:rsidRPr="002852FC">
        <w:t xml:space="preserve"> </w:t>
      </w:r>
      <w:r>
        <w:t>for present purposes.  Even if, contrary to what</w:t>
      </w:r>
      <w:r w:rsidR="00A654E1">
        <w:t xml:space="preserve"> we have decided</w:t>
      </w:r>
      <w:r>
        <w:t xml:space="preserve">, the police actions “froze” the accounts, such actions were merely a temporary and provisional means of securing suspicious assets until investigations were sufficiently advanced to enable a decision to be made whether to start criminal proceedings or to consent to the release of the funds.  Such interference with the appellants’ use of their funds would thus be of a limited nature and finite duration </w:t>
      </w:r>
      <w:r>
        <w:lastRenderedPageBreak/>
        <w:t xml:space="preserve">and would reflect a reasonable balance between </w:t>
      </w:r>
      <w:r w:rsidR="00A654E1">
        <w:t xml:space="preserve">the </w:t>
      </w:r>
      <w:r>
        <w:t xml:space="preserve">anti-money laundering aims </w:t>
      </w:r>
      <w:r w:rsidR="00A654E1">
        <w:t xml:space="preserve">of society </w:t>
      </w:r>
      <w:r>
        <w:t>and the protection of individual property rights.</w:t>
      </w:r>
    </w:p>
    <w:p w:rsidR="004D7961" w:rsidRPr="00B373CA" w:rsidRDefault="00B65A5D" w:rsidP="00443ECC">
      <w:pPr>
        <w:pStyle w:val="docmapheading"/>
        <w:ind w:left="720" w:hanging="720"/>
        <w:jc w:val="both"/>
        <w:rPr>
          <w:lang w:eastAsia="zh-HK"/>
        </w:rPr>
      </w:pPr>
      <w:r>
        <w:rPr>
          <w:lang w:eastAsia="zh-HK"/>
        </w:rPr>
        <w:t>H</w:t>
      </w:r>
      <w:r w:rsidR="004D7961">
        <w:rPr>
          <w:lang w:eastAsia="zh-HK"/>
        </w:rPr>
        <w:t>.3</w:t>
      </w:r>
      <w:r w:rsidR="004D7961" w:rsidRPr="00B373CA">
        <w:rPr>
          <w:lang w:eastAsia="zh-HK"/>
        </w:rPr>
        <w:tab/>
        <w:t>The challenge based on the right to private and family life under BOR14</w:t>
      </w:r>
    </w:p>
    <w:p w:rsidR="004D7961" w:rsidRPr="00B373CA" w:rsidRDefault="004D7961" w:rsidP="00443ECC">
      <w:pPr>
        <w:pStyle w:val="Bob1"/>
        <w:numPr>
          <w:ilvl w:val="0"/>
          <w:numId w:val="1"/>
        </w:numPr>
        <w:tabs>
          <w:tab w:val="clear" w:pos="720"/>
          <w:tab w:val="left" w:pos="1440"/>
        </w:tabs>
        <w:ind w:left="0" w:firstLine="0"/>
        <w:jc w:val="both"/>
        <w:rPr>
          <w:lang w:eastAsia="zh-HK"/>
        </w:rPr>
      </w:pPr>
      <w:r w:rsidRPr="00B373CA">
        <w:rPr>
          <w:lang w:eastAsia="zh-HK"/>
        </w:rPr>
        <w:t>BOR14 provides:</w:t>
      </w:r>
    </w:p>
    <w:p w:rsidR="004D7961" w:rsidRPr="00B373CA" w:rsidRDefault="004D7961" w:rsidP="00443ECC">
      <w:pPr>
        <w:pStyle w:val="Bob1"/>
        <w:numPr>
          <w:ilvl w:val="0"/>
          <w:numId w:val="0"/>
        </w:numPr>
        <w:spacing w:line="240" w:lineRule="auto"/>
        <w:ind w:left="1440" w:hanging="720"/>
        <w:jc w:val="both"/>
        <w:rPr>
          <w:sz w:val="24"/>
          <w:lang w:eastAsia="zh-HK"/>
        </w:rPr>
      </w:pPr>
      <w:r w:rsidRPr="00B373CA">
        <w:rPr>
          <w:sz w:val="24"/>
          <w:lang w:eastAsia="zh-HK"/>
        </w:rPr>
        <w:t>“(1)</w:t>
      </w:r>
      <w:r w:rsidRPr="00B373CA">
        <w:rPr>
          <w:sz w:val="24"/>
          <w:lang w:eastAsia="zh-HK"/>
        </w:rPr>
        <w:tab/>
        <w:t xml:space="preserve">No one shall be subjected to arbitrary or unlawful interference with his privacy, family, home or correspondence, nor to unlawful attacks on his honour and reputation. </w:t>
      </w:r>
    </w:p>
    <w:p w:rsidR="004D7961" w:rsidRPr="00B373CA" w:rsidRDefault="004D7961" w:rsidP="00443ECC">
      <w:pPr>
        <w:pStyle w:val="Bob1"/>
        <w:numPr>
          <w:ilvl w:val="0"/>
          <w:numId w:val="0"/>
        </w:numPr>
        <w:spacing w:line="240" w:lineRule="auto"/>
        <w:ind w:left="1440" w:hanging="720"/>
        <w:jc w:val="both"/>
        <w:rPr>
          <w:sz w:val="24"/>
          <w:lang w:eastAsia="zh-HK"/>
        </w:rPr>
      </w:pPr>
      <w:r w:rsidRPr="00B373CA">
        <w:rPr>
          <w:sz w:val="24"/>
          <w:lang w:eastAsia="zh-HK"/>
        </w:rPr>
        <w:t>(2)</w:t>
      </w:r>
      <w:r w:rsidRPr="00B373CA">
        <w:rPr>
          <w:sz w:val="24"/>
          <w:lang w:eastAsia="zh-HK"/>
        </w:rPr>
        <w:tab/>
        <w:t>Everyone has the right to the protection of the law against such interference or attacks.”</w:t>
      </w:r>
    </w:p>
    <w:p w:rsidR="004D7961" w:rsidRDefault="004D7961" w:rsidP="00443ECC">
      <w:pPr>
        <w:pStyle w:val="Bob1"/>
        <w:numPr>
          <w:ilvl w:val="0"/>
          <w:numId w:val="1"/>
        </w:numPr>
        <w:tabs>
          <w:tab w:val="clear" w:pos="720"/>
          <w:tab w:val="left" w:pos="1440"/>
        </w:tabs>
        <w:ind w:left="0" w:firstLine="0"/>
        <w:rPr>
          <w:lang w:eastAsia="zh-HK"/>
        </w:rPr>
      </w:pPr>
      <w:r>
        <w:rPr>
          <w:lang w:eastAsia="zh-HK"/>
        </w:rPr>
        <w:t>The appellants assert</w:t>
      </w:r>
      <w:r w:rsidRPr="00B373CA">
        <w:rPr>
          <w:lang w:eastAsia="zh-HK"/>
        </w:rPr>
        <w:t xml:space="preserve"> that</w:t>
      </w:r>
      <w:r>
        <w:rPr>
          <w:lang w:eastAsia="zh-HK"/>
        </w:rPr>
        <w:t>:</w:t>
      </w:r>
      <w:r w:rsidRPr="00B373CA">
        <w:rPr>
          <w:lang w:eastAsia="zh-HK"/>
        </w:rPr>
        <w:t xml:space="preserve"> </w:t>
      </w:r>
    </w:p>
    <w:p w:rsidR="004D7961" w:rsidRPr="009455DC" w:rsidRDefault="004D7961" w:rsidP="00443ECC">
      <w:pPr>
        <w:pStyle w:val="Bob1"/>
        <w:numPr>
          <w:ilvl w:val="0"/>
          <w:numId w:val="0"/>
        </w:numPr>
        <w:spacing w:line="240" w:lineRule="auto"/>
        <w:ind w:left="720"/>
        <w:jc w:val="both"/>
        <w:rPr>
          <w:sz w:val="24"/>
          <w:lang w:eastAsia="zh-HK"/>
        </w:rPr>
      </w:pPr>
      <w:r w:rsidRPr="009455DC">
        <w:rPr>
          <w:sz w:val="24"/>
          <w:lang w:eastAsia="zh-HK"/>
        </w:rPr>
        <w:t>“The [interfering] effect is heightened if State authorities ar</w:t>
      </w:r>
      <w:r w:rsidR="00D30160">
        <w:rPr>
          <w:sz w:val="24"/>
          <w:lang w:eastAsia="zh-HK"/>
        </w:rPr>
        <w:t xml:space="preserve">e involved in a coordinated </w:t>
      </w:r>
      <w:proofErr w:type="spellStart"/>
      <w:r w:rsidR="00D30160">
        <w:rPr>
          <w:sz w:val="24"/>
          <w:lang w:eastAsia="zh-HK"/>
        </w:rPr>
        <w:t>man</w:t>
      </w:r>
      <w:r w:rsidRPr="009455DC">
        <w:rPr>
          <w:sz w:val="24"/>
          <w:lang w:eastAsia="zh-HK"/>
        </w:rPr>
        <w:t>euver</w:t>
      </w:r>
      <w:proofErr w:type="spellEnd"/>
      <w:r w:rsidRPr="009455DC">
        <w:rPr>
          <w:sz w:val="24"/>
          <w:lang w:eastAsia="zh-HK"/>
        </w:rPr>
        <w:t xml:space="preserve"> whereby </w:t>
      </w:r>
      <w:r w:rsidRPr="00D30160">
        <w:rPr>
          <w:i/>
          <w:sz w:val="24"/>
          <w:lang w:eastAsia="zh-HK"/>
        </w:rPr>
        <w:t xml:space="preserve">all </w:t>
      </w:r>
      <w:r w:rsidR="00ED7580">
        <w:rPr>
          <w:sz w:val="24"/>
          <w:lang w:eastAsia="zh-HK"/>
        </w:rPr>
        <w:t>of a person’</w:t>
      </w:r>
      <w:r w:rsidRPr="009455DC">
        <w:rPr>
          <w:sz w:val="24"/>
          <w:lang w:eastAsia="zh-HK"/>
        </w:rPr>
        <w:t>s bank accounts become inoperable at once, thereby generating a freeze on all (or substantially all) of pe</w:t>
      </w:r>
      <w:r w:rsidR="00ED7580">
        <w:rPr>
          <w:sz w:val="24"/>
          <w:lang w:eastAsia="zh-HK"/>
        </w:rPr>
        <w:t>rson’</w:t>
      </w:r>
      <w:r w:rsidRPr="009455DC">
        <w:rPr>
          <w:sz w:val="24"/>
          <w:lang w:eastAsia="zh-HK"/>
        </w:rPr>
        <w:t>s assets. This will likely lead to a grav</w:t>
      </w:r>
      <w:r w:rsidR="00ED7580">
        <w:rPr>
          <w:sz w:val="24"/>
          <w:lang w:eastAsia="zh-HK"/>
        </w:rPr>
        <w:t>e interference with the subject’</w:t>
      </w:r>
      <w:r w:rsidRPr="009455DC">
        <w:rPr>
          <w:sz w:val="24"/>
          <w:lang w:eastAsia="zh-HK"/>
        </w:rPr>
        <w:t>s right to private and family life under BOR 14...”</w:t>
      </w:r>
      <w:r w:rsidRPr="009455DC">
        <w:rPr>
          <w:rStyle w:val="FootnoteReference"/>
        </w:rPr>
        <w:t xml:space="preserve"> </w:t>
      </w:r>
      <w:r w:rsidRPr="00B373CA">
        <w:rPr>
          <w:rStyle w:val="FootnoteReference"/>
        </w:rPr>
        <w:footnoteReference w:id="113"/>
      </w:r>
      <w:r w:rsidR="00D30160">
        <w:t xml:space="preserve"> </w:t>
      </w:r>
      <w:r w:rsidR="00D30160" w:rsidRPr="00D30160">
        <w:rPr>
          <w:sz w:val="24"/>
          <w:lang w:eastAsia="zh-HK"/>
        </w:rPr>
        <w:t>(Italics in original)</w:t>
      </w:r>
    </w:p>
    <w:p w:rsidR="004D7961" w:rsidRDefault="004D7961" w:rsidP="00443ECC">
      <w:pPr>
        <w:pStyle w:val="Bob1"/>
        <w:numPr>
          <w:ilvl w:val="0"/>
          <w:numId w:val="1"/>
        </w:numPr>
        <w:tabs>
          <w:tab w:val="clear" w:pos="720"/>
          <w:tab w:val="left" w:pos="1440"/>
        </w:tabs>
        <w:ind w:left="0" w:firstLine="0"/>
        <w:jc w:val="both"/>
        <w:rPr>
          <w:lang w:eastAsia="zh-HK"/>
        </w:rPr>
      </w:pPr>
      <w:r>
        <w:rPr>
          <w:lang w:eastAsia="zh-HK"/>
        </w:rPr>
        <w:t>However, a</w:t>
      </w:r>
      <w:r w:rsidRPr="00B373CA">
        <w:rPr>
          <w:lang w:eastAsia="zh-HK"/>
        </w:rPr>
        <w:t xml:space="preserve">s Coleman J pointed out: “... </w:t>
      </w:r>
      <w:r w:rsidRPr="00B373CA">
        <w:t>the Applicants have adduced no evidence of any hardship, and have apparently found funds otherwise to live their lives and have managed to instruct solicitors and three Counsel to present and argue the present case.”</w:t>
      </w:r>
      <w:r w:rsidRPr="00B373CA">
        <w:rPr>
          <w:rStyle w:val="FootnoteReference"/>
        </w:rPr>
        <w:footnoteReference w:id="114"/>
      </w:r>
      <w:r w:rsidRPr="00B373CA">
        <w:rPr>
          <w:lang w:eastAsia="zh-HK"/>
        </w:rPr>
        <w:t xml:space="preserve">  This was </w:t>
      </w:r>
      <w:r>
        <w:rPr>
          <w:lang w:eastAsia="zh-HK"/>
        </w:rPr>
        <w:t>endorsed</w:t>
      </w:r>
      <w:r w:rsidRPr="00B373CA">
        <w:rPr>
          <w:lang w:eastAsia="zh-HK"/>
        </w:rPr>
        <w:t xml:space="preserve"> by the Court of Appeal.</w:t>
      </w:r>
      <w:r w:rsidRPr="00B373CA">
        <w:rPr>
          <w:rStyle w:val="FootnoteReference"/>
          <w:lang w:eastAsia="zh-HK"/>
        </w:rPr>
        <w:footnoteReference w:id="115"/>
      </w:r>
      <w:r>
        <w:rPr>
          <w:lang w:eastAsia="zh-HK"/>
        </w:rPr>
        <w:t xml:space="preserve">  A constitutional challenge is not to be entertained </w:t>
      </w:r>
      <w:r>
        <w:t xml:space="preserve">on a merely </w:t>
      </w:r>
      <w:r w:rsidRPr="00B373CA">
        <w:t>hypothetical</w:t>
      </w:r>
      <w:r>
        <w:t xml:space="preserve"> supposition that “all (or substantially all) of </w:t>
      </w:r>
      <w:r w:rsidR="00904095">
        <w:t>[</w:t>
      </w:r>
      <w:r>
        <w:t>a</w:t>
      </w:r>
      <w:r w:rsidR="00904095">
        <w:t>]</w:t>
      </w:r>
      <w:r>
        <w:t xml:space="preserve"> person’s assets” are frozen</w:t>
      </w:r>
      <w:r w:rsidRPr="00B373CA">
        <w:rPr>
          <w:lang w:eastAsia="zh-HK"/>
        </w:rPr>
        <w:t xml:space="preserve">.  </w:t>
      </w:r>
    </w:p>
    <w:p w:rsidR="004D7961" w:rsidRDefault="004D7961" w:rsidP="00443ECC">
      <w:pPr>
        <w:pStyle w:val="Bob1"/>
        <w:numPr>
          <w:ilvl w:val="0"/>
          <w:numId w:val="1"/>
        </w:numPr>
        <w:tabs>
          <w:tab w:val="clear" w:pos="720"/>
          <w:tab w:val="left" w:pos="1440"/>
        </w:tabs>
        <w:ind w:left="0" w:firstLine="0"/>
        <w:jc w:val="both"/>
        <w:rPr>
          <w:lang w:eastAsia="zh-HK"/>
        </w:rPr>
      </w:pPr>
      <w:r w:rsidRPr="00B373CA">
        <w:rPr>
          <w:lang w:eastAsia="zh-HK"/>
        </w:rPr>
        <w:t>In their Written Case, the appellants submit that “BOR14 is ...  systemically engaged” and that “</w:t>
      </w:r>
      <w:r w:rsidRPr="00B373CA">
        <w:t xml:space="preserve">in a systemic challenge, </w:t>
      </w:r>
      <w:r w:rsidRPr="00443ECC">
        <w:rPr>
          <w:rFonts w:eastAsia="Times New Roman"/>
        </w:rPr>
        <w:t>a focal concern is the extent of interference that the impugned systemic features ‘</w:t>
      </w:r>
      <w:r w:rsidRPr="00443ECC">
        <w:rPr>
          <w:rFonts w:eastAsia="Times New Roman"/>
          <w:i/>
          <w:iCs/>
        </w:rPr>
        <w:t xml:space="preserve">are </w:t>
      </w:r>
      <w:r w:rsidRPr="00443ECC">
        <w:rPr>
          <w:rFonts w:eastAsia="Times New Roman"/>
          <w:i/>
          <w:iCs/>
          <w:u w:val="single"/>
        </w:rPr>
        <w:t>capable</w:t>
      </w:r>
      <w:r w:rsidRPr="00443ECC">
        <w:rPr>
          <w:rFonts w:eastAsia="Times New Roman"/>
          <w:i/>
          <w:iCs/>
        </w:rPr>
        <w:t xml:space="preserve"> of </w:t>
      </w:r>
      <w:r w:rsidRPr="00443ECC">
        <w:rPr>
          <w:rFonts w:eastAsia="Times New Roman"/>
          <w:i/>
          <w:iCs/>
        </w:rPr>
        <w:lastRenderedPageBreak/>
        <w:t>causing</w:t>
      </w:r>
      <w:r w:rsidRPr="00443ECC">
        <w:rPr>
          <w:rFonts w:eastAsia="Times New Roman"/>
        </w:rPr>
        <w:t>’”</w:t>
      </w:r>
      <w:r w:rsidR="007A5B52" w:rsidRPr="007A5B52">
        <w:rPr>
          <w:rStyle w:val="FootnoteReference"/>
          <w:lang w:eastAsia="zh-HK"/>
        </w:rPr>
        <w:t xml:space="preserve"> </w:t>
      </w:r>
      <w:r w:rsidR="007A5B52" w:rsidRPr="00B373CA">
        <w:rPr>
          <w:rStyle w:val="FootnoteReference"/>
          <w:lang w:eastAsia="zh-HK"/>
        </w:rPr>
        <w:footnoteReference w:id="116"/>
      </w:r>
      <w:r w:rsidRPr="00443ECC">
        <w:rPr>
          <w:rFonts w:eastAsia="Times New Roman"/>
        </w:rPr>
        <w:t xml:space="preserve">, citing </w:t>
      </w:r>
      <w:proofErr w:type="gramStart"/>
      <w:r w:rsidRPr="00443ECC">
        <w:rPr>
          <w:i/>
        </w:rPr>
        <w:t>R(</w:t>
      </w:r>
      <w:proofErr w:type="gramEnd"/>
      <w:r w:rsidRPr="00443ECC">
        <w:rPr>
          <w:i/>
        </w:rPr>
        <w:t>F) v Secretary of State for the Home Department</w:t>
      </w:r>
      <w:r w:rsidRPr="00B373CA">
        <w:t>,</w:t>
      </w:r>
      <w:r w:rsidRPr="00B373CA">
        <w:rPr>
          <w:rStyle w:val="FootnoteReference"/>
        </w:rPr>
        <w:footnoteReference w:id="117"/>
      </w:r>
      <w:r w:rsidRPr="00B373CA">
        <w:t xml:space="preserve"> in support.  </w:t>
      </w:r>
    </w:p>
    <w:p w:rsidR="004D7961" w:rsidRDefault="004D7961" w:rsidP="00443ECC">
      <w:pPr>
        <w:pStyle w:val="Bob1"/>
        <w:numPr>
          <w:ilvl w:val="0"/>
          <w:numId w:val="1"/>
        </w:numPr>
        <w:tabs>
          <w:tab w:val="clear" w:pos="720"/>
          <w:tab w:val="left" w:pos="1440"/>
        </w:tabs>
        <w:ind w:left="0" w:firstLine="0"/>
        <w:jc w:val="both"/>
        <w:rPr>
          <w:lang w:eastAsia="zh-HK"/>
        </w:rPr>
      </w:pPr>
      <w:r w:rsidRPr="00B373CA">
        <w:t>That submission is</w:t>
      </w:r>
      <w:r>
        <w:t xml:space="preserve"> misplaced</w:t>
      </w:r>
      <w:r w:rsidRPr="00B373CA">
        <w:t xml:space="preserve">.  The </w:t>
      </w:r>
      <w:proofErr w:type="gramStart"/>
      <w:r w:rsidRPr="00443ECC">
        <w:rPr>
          <w:i/>
        </w:rPr>
        <w:t>R(</w:t>
      </w:r>
      <w:proofErr w:type="gramEnd"/>
      <w:r w:rsidRPr="00443ECC">
        <w:rPr>
          <w:i/>
        </w:rPr>
        <w:t>F)</w:t>
      </w:r>
      <w:r w:rsidRPr="00B373CA">
        <w:t xml:space="preserve"> case did indeed involve a “systemic” challenge against a legislative provision, </w:t>
      </w:r>
      <w:r>
        <w:t xml:space="preserve">the contention being </w:t>
      </w:r>
      <w:r w:rsidRPr="00B373CA">
        <w:t xml:space="preserve">that </w:t>
      </w:r>
      <w:r>
        <w:t>s</w:t>
      </w:r>
      <w:r w:rsidRPr="00B373CA">
        <w:t xml:space="preserve">ection 82 of the </w:t>
      </w:r>
      <w:r w:rsidR="00547239">
        <w:t xml:space="preserve">UK’s </w:t>
      </w:r>
      <w:r w:rsidRPr="00B373CA">
        <w:t xml:space="preserve">Sexual Offences Act 2003 was incompatible with </w:t>
      </w:r>
      <w:r w:rsidR="00F70489">
        <w:t xml:space="preserve">Article </w:t>
      </w:r>
      <w:r w:rsidRPr="00B373CA">
        <w:t xml:space="preserve">8 </w:t>
      </w:r>
      <w:r w:rsidR="00F70489">
        <w:t xml:space="preserve">of the European Convention on Human Rights </w:t>
      </w:r>
      <w:r w:rsidRPr="00B373CA">
        <w:t xml:space="preserve">which protects respect for private and family life.  That right was undoubtedly engaged since the challenge was against the notification requirements which the section imposed on the convicted sex offenders involved.  There is no parallel in the present case.  There is no “systemic” challenge to any rule which engages BOR14.  Nor is that right engaged on the facts relating to the challenged actions of the police.  </w:t>
      </w:r>
      <w:r w:rsidR="00547239">
        <w:t xml:space="preserve">We reiterate that </w:t>
      </w:r>
      <w:r>
        <w:t xml:space="preserve">the Court does not entertain </w:t>
      </w:r>
      <w:r w:rsidRPr="00B373CA">
        <w:t>constitutional challenge</w:t>
      </w:r>
      <w:r>
        <w:t>s</w:t>
      </w:r>
      <w:r w:rsidRPr="00B373CA">
        <w:t xml:space="preserve"> </w:t>
      </w:r>
      <w:r>
        <w:t xml:space="preserve">on </w:t>
      </w:r>
      <w:r w:rsidRPr="00B373CA">
        <w:t xml:space="preserve">the basis </w:t>
      </w:r>
      <w:r>
        <w:t xml:space="preserve">of facts which are not shown to exist, merely on the applicant’s suggestion </w:t>
      </w:r>
      <w:r w:rsidRPr="00B373CA">
        <w:t xml:space="preserve">that </w:t>
      </w:r>
      <w:r w:rsidRPr="00443ECC">
        <w:rPr>
          <w:i/>
        </w:rPr>
        <w:t>if hypothetically they did exist</w:t>
      </w:r>
      <w:r w:rsidRPr="00B373CA">
        <w:t xml:space="preserve">, </w:t>
      </w:r>
      <w:r>
        <w:t xml:space="preserve">they </w:t>
      </w:r>
      <w:r w:rsidRPr="00B373CA">
        <w:t xml:space="preserve">would be </w:t>
      </w:r>
      <w:r w:rsidRPr="00443ECC">
        <w:rPr>
          <w:i/>
        </w:rPr>
        <w:t>capable</w:t>
      </w:r>
      <w:r w:rsidRPr="00B373CA">
        <w:t xml:space="preserve"> of engaging the protected right</w:t>
      </w:r>
      <w:r>
        <w:t xml:space="preserve"> invoked</w:t>
      </w:r>
      <w:r w:rsidRPr="00B373CA">
        <w:t xml:space="preserve">.  </w:t>
      </w:r>
    </w:p>
    <w:p w:rsidR="004D7961" w:rsidRPr="00B373CA" w:rsidRDefault="004D7961" w:rsidP="00443ECC">
      <w:pPr>
        <w:pStyle w:val="Bob1"/>
        <w:numPr>
          <w:ilvl w:val="0"/>
          <w:numId w:val="1"/>
        </w:numPr>
        <w:tabs>
          <w:tab w:val="clear" w:pos="720"/>
          <w:tab w:val="left" w:pos="1440"/>
        </w:tabs>
        <w:ind w:left="0" w:firstLine="0"/>
        <w:jc w:val="both"/>
        <w:rPr>
          <w:lang w:eastAsia="zh-HK"/>
        </w:rPr>
      </w:pPr>
      <w:r w:rsidRPr="00B373CA">
        <w:t xml:space="preserve">The same objections apply to the appellants’ suggestion that: </w:t>
      </w:r>
    </w:p>
    <w:p w:rsidR="004D7961" w:rsidRPr="00B373CA" w:rsidRDefault="004D7961" w:rsidP="00443ECC">
      <w:pPr>
        <w:pStyle w:val="Bob1"/>
        <w:numPr>
          <w:ilvl w:val="0"/>
          <w:numId w:val="0"/>
        </w:numPr>
        <w:spacing w:line="240" w:lineRule="auto"/>
        <w:ind w:left="720"/>
        <w:jc w:val="both"/>
        <w:rPr>
          <w:color w:val="000000"/>
          <w:sz w:val="24"/>
          <w:szCs w:val="28"/>
        </w:rPr>
      </w:pPr>
      <w:r w:rsidRPr="00B373CA">
        <w:rPr>
          <w:sz w:val="24"/>
        </w:rPr>
        <w:t>“</w:t>
      </w:r>
      <w:r w:rsidRPr="00B373CA">
        <w:rPr>
          <w:color w:val="000000"/>
          <w:sz w:val="24"/>
          <w:szCs w:val="28"/>
        </w:rPr>
        <w:t>Likewise, a freeze over most or all of a person’s assets is well capable of impairing their ability to retain a lawyer for advice or take legal action to contest the freeze, thus impairing their right of access to legal advice and to the courts under BL35 and BOR10”.</w:t>
      </w:r>
      <w:r w:rsidRPr="00B373CA">
        <w:rPr>
          <w:rStyle w:val="FootnoteReference"/>
          <w:color w:val="000000"/>
          <w:sz w:val="24"/>
          <w:szCs w:val="28"/>
        </w:rPr>
        <w:footnoteReference w:id="118"/>
      </w:r>
    </w:p>
    <w:p w:rsidR="004D7961" w:rsidRPr="00B373CA" w:rsidRDefault="00B8589F" w:rsidP="00443ECC">
      <w:pPr>
        <w:pStyle w:val="Bob1"/>
        <w:numPr>
          <w:ilvl w:val="0"/>
          <w:numId w:val="1"/>
        </w:numPr>
        <w:tabs>
          <w:tab w:val="clear" w:pos="720"/>
          <w:tab w:val="left" w:pos="1440"/>
        </w:tabs>
        <w:ind w:left="0" w:firstLine="0"/>
        <w:jc w:val="both"/>
        <w:rPr>
          <w:lang w:eastAsia="zh-HK"/>
        </w:rPr>
      </w:pPr>
      <w:r>
        <w:rPr>
          <w:lang w:eastAsia="zh-HK"/>
        </w:rPr>
        <w:t xml:space="preserve">The constitutional challenge regarding private and family life </w:t>
      </w:r>
      <w:r w:rsidR="004D7961" w:rsidRPr="00B373CA">
        <w:rPr>
          <w:lang w:eastAsia="zh-HK"/>
        </w:rPr>
        <w:t>set out in Q2</w:t>
      </w:r>
      <w:r w:rsidR="00D34F9E">
        <w:rPr>
          <w:lang w:eastAsia="zh-HK"/>
        </w:rPr>
        <w:t xml:space="preserve"> was not pressed at the hearing.  It</w:t>
      </w:r>
      <w:r w:rsidR="004D7961" w:rsidRPr="00B373CA">
        <w:rPr>
          <w:lang w:eastAsia="zh-HK"/>
        </w:rPr>
        <w:t xml:space="preserve"> fails </w:t>
      </w:r>
      <w:r w:rsidR="004D7961" w:rsidRPr="00B373CA">
        <w:rPr>
          <w:i/>
          <w:lang w:eastAsia="zh-HK"/>
        </w:rPr>
        <w:t xml:space="preserve">in </w:t>
      </w:r>
      <w:proofErr w:type="spellStart"/>
      <w:r w:rsidR="004D7961" w:rsidRPr="00B373CA">
        <w:rPr>
          <w:i/>
          <w:lang w:eastAsia="zh-HK"/>
        </w:rPr>
        <w:t>limine</w:t>
      </w:r>
      <w:proofErr w:type="spellEnd"/>
      <w:r w:rsidR="004D7961" w:rsidRPr="00B373CA">
        <w:rPr>
          <w:i/>
          <w:lang w:eastAsia="zh-HK"/>
        </w:rPr>
        <w:t xml:space="preserve"> </w:t>
      </w:r>
      <w:r w:rsidR="004D7961" w:rsidRPr="00B373CA">
        <w:rPr>
          <w:lang w:eastAsia="zh-HK"/>
        </w:rPr>
        <w:t>and there is no need to consider the legal uncertainty and proportionality arguments.</w:t>
      </w:r>
    </w:p>
    <w:p w:rsidR="004D7961" w:rsidRPr="00B373CA" w:rsidRDefault="00B65A5D" w:rsidP="004D7961">
      <w:pPr>
        <w:pStyle w:val="docmapheading"/>
        <w:keepNext/>
        <w:rPr>
          <w:lang w:eastAsia="zh-HK"/>
        </w:rPr>
      </w:pPr>
      <w:r>
        <w:rPr>
          <w:lang w:eastAsia="zh-HK"/>
        </w:rPr>
        <w:lastRenderedPageBreak/>
        <w:t>I</w:t>
      </w:r>
      <w:r w:rsidR="004D7961">
        <w:rPr>
          <w:lang w:eastAsia="zh-HK"/>
        </w:rPr>
        <w:t>.</w:t>
      </w:r>
      <w:r w:rsidR="004D7961" w:rsidRPr="00B373CA">
        <w:rPr>
          <w:lang w:eastAsia="zh-HK"/>
        </w:rPr>
        <w:tab/>
        <w:t xml:space="preserve">Q3: The fair hearing question </w:t>
      </w:r>
    </w:p>
    <w:p w:rsidR="004D7961" w:rsidRDefault="004D7961" w:rsidP="00443ECC">
      <w:pPr>
        <w:pStyle w:val="Bob1"/>
        <w:numPr>
          <w:ilvl w:val="0"/>
          <w:numId w:val="1"/>
        </w:numPr>
        <w:tabs>
          <w:tab w:val="clear" w:pos="720"/>
          <w:tab w:val="left" w:pos="1440"/>
        </w:tabs>
        <w:rPr>
          <w:lang w:eastAsia="zh-HK"/>
        </w:rPr>
      </w:pPr>
      <w:r>
        <w:rPr>
          <w:lang w:eastAsia="zh-HK"/>
        </w:rPr>
        <w:t>BOR10 relevantly provides:</w:t>
      </w:r>
    </w:p>
    <w:p w:rsidR="004D7961" w:rsidRPr="00C37B9F" w:rsidRDefault="004D7961" w:rsidP="00443ECC">
      <w:pPr>
        <w:pStyle w:val="Bob1"/>
        <w:numPr>
          <w:ilvl w:val="0"/>
          <w:numId w:val="0"/>
        </w:numPr>
        <w:spacing w:line="240" w:lineRule="auto"/>
        <w:ind w:left="360"/>
        <w:jc w:val="both"/>
        <w:rPr>
          <w:sz w:val="24"/>
          <w:lang w:eastAsia="zh-HK"/>
        </w:rPr>
      </w:pPr>
      <w:r w:rsidRPr="00C37B9F">
        <w:rPr>
          <w:sz w:val="24"/>
          <w:lang w:eastAsia="zh-HK"/>
        </w:rPr>
        <w:t xml:space="preserve">“All persons shall be equal before the courts and tribunals. In the determination of </w:t>
      </w:r>
      <w:r>
        <w:rPr>
          <w:sz w:val="24"/>
          <w:lang w:eastAsia="zh-HK"/>
        </w:rPr>
        <w:t xml:space="preserve">... his rights and </w:t>
      </w:r>
      <w:r w:rsidRPr="00C37B9F">
        <w:rPr>
          <w:sz w:val="24"/>
          <w:lang w:eastAsia="zh-HK"/>
        </w:rPr>
        <w:t>obligations in a suit at law, everyone shall be entitled to a fair and public hearing by a competent, independent and impartial tribunal established by law.”</w:t>
      </w:r>
    </w:p>
    <w:p w:rsidR="004D7961" w:rsidRDefault="004D7961" w:rsidP="00443ECC">
      <w:pPr>
        <w:pStyle w:val="Bob1"/>
        <w:numPr>
          <w:ilvl w:val="0"/>
          <w:numId w:val="0"/>
        </w:numPr>
        <w:ind w:left="720" w:hanging="720"/>
        <w:rPr>
          <w:lang w:eastAsia="zh-HK"/>
        </w:rPr>
      </w:pPr>
      <w:r>
        <w:rPr>
          <w:lang w:eastAsia="zh-HK"/>
        </w:rPr>
        <w:t>Common law</w:t>
      </w:r>
      <w:r w:rsidR="00E02BAB">
        <w:rPr>
          <w:lang w:eastAsia="zh-HK"/>
        </w:rPr>
        <w:t xml:space="preserve"> fair hearing</w:t>
      </w:r>
      <w:r>
        <w:rPr>
          <w:lang w:eastAsia="zh-HK"/>
        </w:rPr>
        <w:t xml:space="preserve"> rights are no different for present purposes.  </w:t>
      </w:r>
    </w:p>
    <w:p w:rsidR="004D7961" w:rsidRDefault="004D7961" w:rsidP="00443ECC">
      <w:pPr>
        <w:pStyle w:val="Bob1"/>
        <w:numPr>
          <w:ilvl w:val="0"/>
          <w:numId w:val="1"/>
        </w:numPr>
        <w:tabs>
          <w:tab w:val="clear" w:pos="720"/>
          <w:tab w:val="left" w:pos="1440"/>
        </w:tabs>
        <w:ind w:left="0" w:firstLine="0"/>
        <w:jc w:val="both"/>
        <w:rPr>
          <w:lang w:eastAsia="zh-HK"/>
        </w:rPr>
      </w:pPr>
      <w:r>
        <w:rPr>
          <w:lang w:eastAsia="zh-HK"/>
        </w:rPr>
        <w:t>The appellants contend that “</w:t>
      </w:r>
      <w:r>
        <w:t>BOR 10 is engaged because the issuance of a letter of no consent involves a ‘determination of ... rights and obligations in a suit at law’”.</w:t>
      </w:r>
      <w:r>
        <w:rPr>
          <w:rStyle w:val="FootnoteReference"/>
        </w:rPr>
        <w:footnoteReference w:id="119"/>
      </w:r>
      <w:r>
        <w:t xml:space="preserve">  </w:t>
      </w:r>
      <w:r w:rsidRPr="00B373CA">
        <w:rPr>
          <w:lang w:eastAsia="zh-HK"/>
        </w:rPr>
        <w:t xml:space="preserve">The appellants </w:t>
      </w:r>
      <w:r>
        <w:rPr>
          <w:lang w:eastAsia="zh-HK"/>
        </w:rPr>
        <w:t>argue</w:t>
      </w:r>
      <w:r w:rsidRPr="00B373CA">
        <w:rPr>
          <w:lang w:eastAsia="zh-HK"/>
        </w:rPr>
        <w:t xml:space="preserve"> that</w:t>
      </w:r>
      <w:r>
        <w:rPr>
          <w:lang w:eastAsia="zh-HK"/>
        </w:rPr>
        <w:t xml:space="preserve"> this is so </w:t>
      </w:r>
      <w:r w:rsidRPr="00D45C3A">
        <w:t xml:space="preserve">since “[an] LNC </w:t>
      </w:r>
      <w:r w:rsidRPr="00D45C3A">
        <w:rPr>
          <w:color w:val="000000"/>
          <w:lang w:val="en-US"/>
        </w:rPr>
        <w:t>effectively achieves an indefinite freeze of assets without the formalities of a restraint order, with potential for irreversible prejudice”</w:t>
      </w:r>
      <w:r w:rsidRPr="00D45C3A">
        <w:t>; and because it “determines human rights, including the BL105 right to use property in a bank account”.</w:t>
      </w:r>
      <w:r w:rsidRPr="00D45C3A">
        <w:rPr>
          <w:rStyle w:val="FootnoteReference"/>
          <w:szCs w:val="28"/>
        </w:rPr>
        <w:footnoteReference w:id="120"/>
      </w:r>
      <w:r w:rsidRPr="00D45C3A">
        <w:rPr>
          <w:lang w:eastAsia="zh-HK"/>
        </w:rPr>
        <w:t xml:space="preserve"> </w:t>
      </w:r>
    </w:p>
    <w:p w:rsidR="004D7961" w:rsidRDefault="004D7961" w:rsidP="00443ECC">
      <w:pPr>
        <w:pStyle w:val="Bob1"/>
        <w:numPr>
          <w:ilvl w:val="0"/>
          <w:numId w:val="1"/>
        </w:numPr>
        <w:tabs>
          <w:tab w:val="clear" w:pos="720"/>
          <w:tab w:val="left" w:pos="1440"/>
        </w:tabs>
        <w:ind w:left="0" w:firstLine="0"/>
        <w:jc w:val="both"/>
        <w:rPr>
          <w:lang w:eastAsia="zh-HK"/>
        </w:rPr>
      </w:pPr>
      <w:r>
        <w:t>Their complaint, as spelt out in Q3, is of procedural unfairness:</w:t>
      </w:r>
    </w:p>
    <w:p w:rsidR="004D7961" w:rsidRPr="00415FEE" w:rsidRDefault="004D7961" w:rsidP="00443ECC">
      <w:pPr>
        <w:pStyle w:val="Bob1"/>
        <w:numPr>
          <w:ilvl w:val="0"/>
          <w:numId w:val="0"/>
        </w:numPr>
        <w:spacing w:line="240" w:lineRule="auto"/>
        <w:ind w:left="720"/>
        <w:jc w:val="both"/>
        <w:rPr>
          <w:sz w:val="24"/>
        </w:rPr>
      </w:pPr>
      <w:r w:rsidRPr="00415FEE">
        <w:rPr>
          <w:sz w:val="24"/>
          <w:lang w:eastAsia="zh-TW"/>
        </w:rPr>
        <w:t>“... in that there was (1) no or no adequate notice of the decision to issue the LNCs, before or after the issue; (2) no or no adequate opportunity to provide meaningful representations as to whether the LNCs should be maintained; (3) no or no adequate reasons given for the decision to issue the LNCs; and (4) no hearing before an independent and impartial tribunal in terms of art 10.”</w:t>
      </w:r>
    </w:p>
    <w:p w:rsidR="004D7961" w:rsidRDefault="001B261E" w:rsidP="00443ECC">
      <w:pPr>
        <w:pStyle w:val="Bob1"/>
        <w:numPr>
          <w:ilvl w:val="0"/>
          <w:numId w:val="1"/>
        </w:numPr>
        <w:tabs>
          <w:tab w:val="clear" w:pos="720"/>
          <w:tab w:val="left" w:pos="1440"/>
        </w:tabs>
        <w:ind w:left="0" w:firstLine="0"/>
        <w:jc w:val="both"/>
        <w:rPr>
          <w:lang w:eastAsia="zh-HK"/>
        </w:rPr>
      </w:pPr>
      <w:r>
        <w:rPr>
          <w:lang w:eastAsia="zh-HK"/>
        </w:rPr>
        <w:t xml:space="preserve">These </w:t>
      </w:r>
      <w:r w:rsidR="004D7961">
        <w:rPr>
          <w:lang w:eastAsia="zh-HK"/>
        </w:rPr>
        <w:t>submissions betray two fundamental misconceptions.  First, they are based on the mischaracterisation already mentioned, namely, that the so-called “No Consent Regime” involves the police freezing bank accounts and thus interfer</w:t>
      </w:r>
      <w:r w:rsidR="00E02BAB">
        <w:rPr>
          <w:lang w:eastAsia="zh-HK"/>
        </w:rPr>
        <w:t>es</w:t>
      </w:r>
      <w:r w:rsidR="004D7961">
        <w:rPr>
          <w:lang w:eastAsia="zh-HK"/>
        </w:rPr>
        <w:t xml:space="preserve"> with the appellants’ property rights relied on as constituting the rights referred to in BOR10.  Secondly, they invite the court to treat the investigation process as involving a “</w:t>
      </w:r>
      <w:r w:rsidR="004D7961">
        <w:t xml:space="preserve">determination of ... rights and obligations </w:t>
      </w:r>
      <w:r w:rsidR="004D7961" w:rsidRPr="00D45C3A">
        <w:rPr>
          <w:i/>
        </w:rPr>
        <w:t>in a suit at law</w:t>
      </w:r>
      <w:r w:rsidR="004D7961">
        <w:t xml:space="preserve">”.  </w:t>
      </w:r>
    </w:p>
    <w:p w:rsidR="004D7961" w:rsidRDefault="004D7961" w:rsidP="00443ECC">
      <w:pPr>
        <w:pStyle w:val="Bob1"/>
        <w:numPr>
          <w:ilvl w:val="0"/>
          <w:numId w:val="1"/>
        </w:numPr>
        <w:tabs>
          <w:tab w:val="clear" w:pos="720"/>
          <w:tab w:val="left" w:pos="1440"/>
        </w:tabs>
        <w:ind w:left="0" w:firstLine="0"/>
        <w:jc w:val="both"/>
        <w:rPr>
          <w:lang w:eastAsia="zh-HK"/>
        </w:rPr>
      </w:pPr>
      <w:r w:rsidRPr="00D45C3A">
        <w:rPr>
          <w:lang w:eastAsia="zh-HK"/>
        </w:rPr>
        <w:lastRenderedPageBreak/>
        <w:t>In communicating with the banks and in issuing the LNCs at [Steps 2 and</w:t>
      </w:r>
      <w:r>
        <w:rPr>
          <w:lang w:eastAsia="zh-HK"/>
        </w:rPr>
        <w:t xml:space="preserve"> 5], the police did none of the things complained of.  As </w:t>
      </w:r>
      <w:r w:rsidRPr="00B373CA">
        <w:rPr>
          <w:lang w:eastAsia="zh-HK"/>
        </w:rPr>
        <w:t xml:space="preserve">discussed in Section </w:t>
      </w:r>
      <w:r w:rsidR="00792340">
        <w:rPr>
          <w:lang w:eastAsia="zh-HK"/>
        </w:rPr>
        <w:t>F</w:t>
      </w:r>
      <w:r w:rsidRPr="00B373CA">
        <w:rPr>
          <w:lang w:eastAsia="zh-HK"/>
        </w:rPr>
        <w:t xml:space="preserve"> above</w:t>
      </w:r>
      <w:r>
        <w:rPr>
          <w:lang w:eastAsia="zh-HK"/>
        </w:rPr>
        <w:t xml:space="preserve">, they did not freeze the accounts and certainly did not determine the appellants’ rights to those funds.  It defies common sense to suggest that police investigations of suspected money laundering should be </w:t>
      </w:r>
      <w:r w:rsidR="00E02BAB">
        <w:rPr>
          <w:lang w:eastAsia="zh-HK"/>
        </w:rPr>
        <w:t>treated</w:t>
      </w:r>
      <w:r>
        <w:rPr>
          <w:lang w:eastAsia="zh-HK"/>
        </w:rPr>
        <w:t xml:space="preserve"> as if the police were conducting a “suit at law” involving a public hearing in some adjudicative forum, giving the suspects notice, reasons and an opportunity to make representations.  A clear statutory purpose of OSCO is to avoid prejudicing the investigation, as demonstrated by </w:t>
      </w:r>
      <w:r w:rsidRPr="00E2075F">
        <w:rPr>
          <w:lang w:eastAsia="zh-HK"/>
        </w:rPr>
        <w:t xml:space="preserve">section </w:t>
      </w:r>
      <w:proofErr w:type="gramStart"/>
      <w:r w:rsidRPr="00E2075F">
        <w:rPr>
          <w:lang w:eastAsia="zh-HK"/>
        </w:rPr>
        <w:t>25A(</w:t>
      </w:r>
      <w:proofErr w:type="gramEnd"/>
      <w:r w:rsidRPr="00E2075F">
        <w:rPr>
          <w:lang w:eastAsia="zh-HK"/>
        </w:rPr>
        <w:t>5)</w:t>
      </w:r>
      <w:r>
        <w:rPr>
          <w:lang w:eastAsia="zh-HK"/>
        </w:rPr>
        <w:t xml:space="preserve"> referred to in Section </w:t>
      </w:r>
      <w:r w:rsidR="00792340">
        <w:rPr>
          <w:lang w:eastAsia="zh-HK"/>
        </w:rPr>
        <w:t>D.1</w:t>
      </w:r>
      <w:r>
        <w:rPr>
          <w:lang w:eastAsia="zh-HK"/>
        </w:rPr>
        <w:t xml:space="preserve"> above.  The police were fully entitled to keep sensitive aspects of their investigations confidential.  Incidentally, the complaint about the appellants not being given a chance to make representations rings especially hollow since, as Coleman J pointed out,</w:t>
      </w:r>
      <w:r>
        <w:rPr>
          <w:rStyle w:val="FootnoteReference"/>
          <w:lang w:eastAsia="zh-HK"/>
        </w:rPr>
        <w:footnoteReference w:id="121"/>
      </w:r>
      <w:r>
        <w:rPr>
          <w:lang w:eastAsia="zh-HK"/>
        </w:rPr>
        <w:t xml:space="preserve"> they have consistently chosen to exercise their right of silence despite being repeatedly requested to assist in the investigation.  They had every opportunity, if they so wished, to make representations with a view to dispelling the suspicion.  They chose to stay silent.</w:t>
      </w:r>
      <w:r>
        <w:rPr>
          <w:rStyle w:val="FootnoteReference"/>
          <w:lang w:eastAsia="zh-HK"/>
        </w:rPr>
        <w:footnoteReference w:id="122"/>
      </w:r>
    </w:p>
    <w:p w:rsidR="004D7961" w:rsidRDefault="004D7961" w:rsidP="00443ECC">
      <w:pPr>
        <w:pStyle w:val="Bob1"/>
        <w:numPr>
          <w:ilvl w:val="0"/>
          <w:numId w:val="1"/>
        </w:numPr>
        <w:tabs>
          <w:tab w:val="clear" w:pos="720"/>
          <w:tab w:val="left" w:pos="1440"/>
        </w:tabs>
        <w:ind w:left="0" w:firstLine="0"/>
        <w:jc w:val="both"/>
        <w:rPr>
          <w:lang w:eastAsia="zh-HK"/>
        </w:rPr>
      </w:pPr>
      <w:r>
        <w:rPr>
          <w:lang w:eastAsia="zh-HK"/>
        </w:rPr>
        <w:t xml:space="preserve">It has in any event been open to the appellants throughout to seek relief against the banks in a “suit at law” for withholding their funds.  It has also been open to them to resort to the courts in bringing judicial review proceedings against the CP, as indeed they have done. </w:t>
      </w:r>
    </w:p>
    <w:p w:rsidR="004D7961" w:rsidRDefault="00FB72AB" w:rsidP="00443ECC">
      <w:pPr>
        <w:pStyle w:val="Bob1"/>
        <w:numPr>
          <w:ilvl w:val="0"/>
          <w:numId w:val="1"/>
        </w:numPr>
        <w:tabs>
          <w:tab w:val="clear" w:pos="720"/>
          <w:tab w:val="left" w:pos="1440"/>
        </w:tabs>
        <w:ind w:left="0" w:firstLine="0"/>
        <w:jc w:val="both"/>
        <w:rPr>
          <w:lang w:eastAsia="zh-HK"/>
        </w:rPr>
      </w:pPr>
      <w:r>
        <w:rPr>
          <w:lang w:eastAsia="zh-HK"/>
        </w:rPr>
        <w:t>Accordingly, neither the BOR1</w:t>
      </w:r>
      <w:r>
        <w:rPr>
          <w:rFonts w:hint="eastAsia"/>
          <w:lang w:eastAsia="zh-TW"/>
        </w:rPr>
        <w:t>0</w:t>
      </w:r>
      <w:r w:rsidR="004D7961">
        <w:rPr>
          <w:lang w:eastAsia="zh-HK"/>
        </w:rPr>
        <w:t xml:space="preserve"> nor the common law fair hearing rights are engaged.  The suggestion that the police actions involving the use of LNCs have somehow infringed those rights is</w:t>
      </w:r>
      <w:r w:rsidR="00057AF6">
        <w:rPr>
          <w:lang w:eastAsia="zh-HK"/>
        </w:rPr>
        <w:t xml:space="preserve"> untenable</w:t>
      </w:r>
      <w:r w:rsidR="004D7961">
        <w:rPr>
          <w:lang w:eastAsia="zh-HK"/>
        </w:rPr>
        <w:t>.</w:t>
      </w:r>
    </w:p>
    <w:p w:rsidR="00A313A6" w:rsidRPr="00B373CA" w:rsidRDefault="00A313A6" w:rsidP="001C1555">
      <w:pPr>
        <w:pStyle w:val="docmapheading"/>
        <w:keepNext/>
        <w:rPr>
          <w:lang w:eastAsia="zh-HK"/>
        </w:rPr>
      </w:pPr>
      <w:r>
        <w:rPr>
          <w:lang w:eastAsia="zh-HK"/>
        </w:rPr>
        <w:lastRenderedPageBreak/>
        <w:t>J.</w:t>
      </w:r>
      <w:r>
        <w:rPr>
          <w:lang w:eastAsia="zh-HK"/>
        </w:rPr>
        <w:tab/>
        <w:t xml:space="preserve">LNCs overtaken by restraint order </w:t>
      </w:r>
    </w:p>
    <w:p w:rsidR="00A313A6" w:rsidRPr="00B373CA" w:rsidRDefault="00A313A6" w:rsidP="00443ECC">
      <w:pPr>
        <w:pStyle w:val="Bob1"/>
        <w:numPr>
          <w:ilvl w:val="0"/>
          <w:numId w:val="1"/>
        </w:numPr>
        <w:tabs>
          <w:tab w:val="clear" w:pos="720"/>
          <w:tab w:val="left" w:pos="1440"/>
        </w:tabs>
        <w:ind w:left="0" w:firstLine="0"/>
        <w:jc w:val="both"/>
        <w:rPr>
          <w:lang w:eastAsia="zh-HK"/>
        </w:rPr>
      </w:pPr>
      <w:r w:rsidRPr="00B373CA">
        <w:rPr>
          <w:lang w:eastAsia="zh-HK"/>
        </w:rPr>
        <w:t xml:space="preserve">Another difficulty stands in the way of the appellants’ </w:t>
      </w:r>
      <w:r>
        <w:rPr>
          <w:lang w:eastAsia="zh-HK"/>
        </w:rPr>
        <w:t>case</w:t>
      </w:r>
      <w:r w:rsidRPr="00B373CA">
        <w:rPr>
          <w:lang w:eastAsia="zh-HK"/>
        </w:rPr>
        <w:t xml:space="preserve">.  </w:t>
      </w:r>
      <w:r>
        <w:rPr>
          <w:lang w:eastAsia="zh-HK"/>
        </w:rPr>
        <w:t>T</w:t>
      </w:r>
      <w:r w:rsidRPr="00B373CA">
        <w:rPr>
          <w:lang w:eastAsia="zh-HK"/>
        </w:rPr>
        <w:t xml:space="preserve">he actions </w:t>
      </w:r>
      <w:r>
        <w:rPr>
          <w:lang w:eastAsia="zh-HK"/>
        </w:rPr>
        <w:t>of the police</w:t>
      </w:r>
      <w:r w:rsidRPr="00B373CA">
        <w:rPr>
          <w:lang w:eastAsia="zh-HK"/>
        </w:rPr>
        <w:t xml:space="preserve"> </w:t>
      </w:r>
      <w:r>
        <w:rPr>
          <w:lang w:eastAsia="zh-HK"/>
        </w:rPr>
        <w:t xml:space="preserve">were taken always with the intention of invoking the court’s jurisdiction if and when investigations were thought to justify that course.  Restraint </w:t>
      </w:r>
      <w:r w:rsidRPr="00B373CA">
        <w:rPr>
          <w:lang w:eastAsia="zh-HK"/>
        </w:rPr>
        <w:t xml:space="preserve">orders </w:t>
      </w:r>
      <w:r>
        <w:rPr>
          <w:lang w:eastAsia="zh-HK"/>
        </w:rPr>
        <w:t>have now in fact been obtained so that the earlier actions (by the bank and/or the police), preserv</w:t>
      </w:r>
      <w:r w:rsidR="00E244FF">
        <w:rPr>
          <w:lang w:eastAsia="zh-HK"/>
        </w:rPr>
        <w:t>ing</w:t>
      </w:r>
      <w:r>
        <w:rPr>
          <w:lang w:eastAsia="zh-HK"/>
        </w:rPr>
        <w:t xml:space="preserve"> the position, have been overtaken by court orders which keep the “freeze” in place</w:t>
      </w:r>
      <w:r w:rsidRPr="00B373CA">
        <w:rPr>
          <w:lang w:eastAsia="zh-HK"/>
        </w:rPr>
        <w:t>.  Th</w:t>
      </w:r>
      <w:r w:rsidR="00550658">
        <w:rPr>
          <w:lang w:eastAsia="zh-HK"/>
        </w:rPr>
        <w:t>e</w:t>
      </w:r>
      <w:r>
        <w:rPr>
          <w:lang w:eastAsia="zh-HK"/>
        </w:rPr>
        <w:t xml:space="preserve"> LNCs having fallen away, t</w:t>
      </w:r>
      <w:r w:rsidRPr="00B373CA">
        <w:rPr>
          <w:lang w:eastAsia="zh-HK"/>
        </w:rPr>
        <w:t xml:space="preserve">he </w:t>
      </w:r>
      <w:r>
        <w:rPr>
          <w:lang w:eastAsia="zh-HK"/>
        </w:rPr>
        <w:t>declaration sought regarding the lawfulness of the so-called “No Consent Regime” has become academic.</w:t>
      </w:r>
      <w:r w:rsidRPr="00B373CA">
        <w:rPr>
          <w:rStyle w:val="FootnoteReference"/>
          <w:lang w:eastAsia="zh-HK"/>
        </w:rPr>
        <w:footnoteReference w:id="123"/>
      </w:r>
      <w:r w:rsidRPr="00B373CA">
        <w:rPr>
          <w:lang w:eastAsia="zh-HK"/>
        </w:rPr>
        <w:t xml:space="preserve"> </w:t>
      </w:r>
      <w:r>
        <w:rPr>
          <w:lang w:eastAsia="zh-HK"/>
        </w:rPr>
        <w:t xml:space="preserve"> </w:t>
      </w:r>
      <w:r w:rsidR="00550658">
        <w:rPr>
          <w:lang w:eastAsia="zh-HK"/>
        </w:rPr>
        <w:t>Moreover, the complaint about the police using an un</w:t>
      </w:r>
      <w:r w:rsidR="002715ED">
        <w:rPr>
          <w:lang w:eastAsia="zh-HK"/>
        </w:rPr>
        <w:t>authorize</w:t>
      </w:r>
      <w:r w:rsidR="00550658">
        <w:rPr>
          <w:lang w:eastAsia="zh-HK"/>
        </w:rPr>
        <w:t xml:space="preserve">d “freezing” mechanism instead of seeking a restraint order under OSCO section 15 is </w:t>
      </w:r>
      <w:r w:rsidR="00E244FF">
        <w:rPr>
          <w:lang w:eastAsia="zh-HK"/>
        </w:rPr>
        <w:t xml:space="preserve">seriously </w:t>
      </w:r>
      <w:r w:rsidR="00550658">
        <w:rPr>
          <w:lang w:eastAsia="zh-HK"/>
        </w:rPr>
        <w:t>undermined by the fact that</w:t>
      </w:r>
      <w:r w:rsidR="00E244FF">
        <w:rPr>
          <w:lang w:eastAsia="zh-HK"/>
        </w:rPr>
        <w:t>, given full access to the court,</w:t>
      </w:r>
      <w:r w:rsidR="00550658">
        <w:rPr>
          <w:lang w:eastAsia="zh-HK"/>
        </w:rPr>
        <w:t xml:space="preserve"> the appellants </w:t>
      </w:r>
      <w:r w:rsidR="00E244FF">
        <w:rPr>
          <w:lang w:eastAsia="zh-HK"/>
        </w:rPr>
        <w:t xml:space="preserve">failed in their </w:t>
      </w:r>
      <w:r w:rsidR="00550658">
        <w:rPr>
          <w:lang w:eastAsia="zh-HK"/>
        </w:rPr>
        <w:t xml:space="preserve">application to prevent extension of </w:t>
      </w:r>
      <w:r w:rsidR="00E244FF">
        <w:rPr>
          <w:lang w:eastAsia="zh-HK"/>
        </w:rPr>
        <w:t xml:space="preserve">the restraint </w:t>
      </w:r>
      <w:r w:rsidR="00550658">
        <w:rPr>
          <w:lang w:eastAsia="zh-HK"/>
        </w:rPr>
        <w:t>order’s validity</w:t>
      </w:r>
      <w:r w:rsidR="00E244FF">
        <w:rPr>
          <w:lang w:eastAsia="zh-HK"/>
        </w:rPr>
        <w:t>.  T</w:t>
      </w:r>
      <w:r w:rsidR="00550658">
        <w:rPr>
          <w:lang w:eastAsia="zh-HK"/>
        </w:rPr>
        <w:t xml:space="preserve">he “freeze” ordered by the court remains in place. </w:t>
      </w:r>
    </w:p>
    <w:p w:rsidR="00A313A6" w:rsidRDefault="00A313A6" w:rsidP="00A313A6">
      <w:pPr>
        <w:pStyle w:val="docmapheading"/>
        <w:keepNext/>
        <w:rPr>
          <w:lang w:eastAsia="zh-HK"/>
        </w:rPr>
      </w:pPr>
      <w:r>
        <w:rPr>
          <w:lang w:eastAsia="zh-HK"/>
        </w:rPr>
        <w:t>K.</w:t>
      </w:r>
      <w:r>
        <w:rPr>
          <w:lang w:eastAsia="zh-HK"/>
        </w:rPr>
        <w:tab/>
        <w:t xml:space="preserve">Q4: The </w:t>
      </w:r>
      <w:proofErr w:type="spellStart"/>
      <w:r>
        <w:rPr>
          <w:lang w:eastAsia="zh-HK"/>
        </w:rPr>
        <w:t>Interush</w:t>
      </w:r>
      <w:proofErr w:type="spellEnd"/>
      <w:r>
        <w:rPr>
          <w:lang w:eastAsia="zh-HK"/>
        </w:rPr>
        <w:t xml:space="preserve"> question </w:t>
      </w:r>
    </w:p>
    <w:p w:rsidR="00A313A6" w:rsidRDefault="00A313A6" w:rsidP="00443ECC">
      <w:pPr>
        <w:pStyle w:val="Bob1"/>
        <w:numPr>
          <w:ilvl w:val="0"/>
          <w:numId w:val="1"/>
        </w:numPr>
        <w:tabs>
          <w:tab w:val="clear" w:pos="720"/>
          <w:tab w:val="left" w:pos="1440"/>
        </w:tabs>
        <w:ind w:left="0" w:firstLine="0"/>
        <w:jc w:val="both"/>
        <w:rPr>
          <w:lang w:eastAsia="zh-HK"/>
        </w:rPr>
      </w:pPr>
      <w:r>
        <w:rPr>
          <w:lang w:eastAsia="zh-HK"/>
        </w:rPr>
        <w:t>In Section</w:t>
      </w:r>
      <w:r w:rsidR="00792340">
        <w:rPr>
          <w:lang w:eastAsia="zh-HK"/>
        </w:rPr>
        <w:t xml:space="preserve"> B</w:t>
      </w:r>
      <w:r>
        <w:rPr>
          <w:lang w:eastAsia="zh-HK"/>
        </w:rPr>
        <w:t xml:space="preserve"> above, we drew attention to doubts raised by the </w:t>
      </w:r>
      <w:proofErr w:type="spellStart"/>
      <w:r>
        <w:rPr>
          <w:i/>
          <w:lang w:eastAsia="zh-HK"/>
        </w:rPr>
        <w:t>Interush</w:t>
      </w:r>
      <w:proofErr w:type="spellEnd"/>
      <w:r>
        <w:rPr>
          <w:i/>
          <w:lang w:eastAsia="zh-HK"/>
        </w:rPr>
        <w:t xml:space="preserve"> </w:t>
      </w:r>
      <w:r>
        <w:rPr>
          <w:lang w:eastAsia="zh-HK"/>
        </w:rPr>
        <w:t xml:space="preserve">question and concluded that the issues in </w:t>
      </w:r>
      <w:r>
        <w:rPr>
          <w:lang w:eastAsia="zh-TW"/>
        </w:rPr>
        <w:t>this appeal</w:t>
      </w:r>
      <w:r w:rsidRPr="00B373CA">
        <w:rPr>
          <w:lang w:eastAsia="zh-TW"/>
        </w:rPr>
        <w:t xml:space="preserve"> </w:t>
      </w:r>
      <w:r>
        <w:rPr>
          <w:lang w:eastAsia="zh-TW"/>
        </w:rPr>
        <w:t xml:space="preserve">are confined </w:t>
      </w:r>
      <w:r w:rsidRPr="00B373CA">
        <w:rPr>
          <w:lang w:eastAsia="zh-TW"/>
        </w:rPr>
        <w:t>to challeng</w:t>
      </w:r>
      <w:r w:rsidR="001C1555">
        <w:rPr>
          <w:lang w:eastAsia="zh-TW"/>
        </w:rPr>
        <w:t>es to</w:t>
      </w:r>
      <w:r w:rsidRPr="00B373CA">
        <w:rPr>
          <w:lang w:eastAsia="zh-TW"/>
        </w:rPr>
        <w:t xml:space="preserve"> </w:t>
      </w:r>
      <w:r>
        <w:rPr>
          <w:lang w:eastAsia="zh-TW"/>
        </w:rPr>
        <w:t>the</w:t>
      </w:r>
      <w:r w:rsidRPr="00B373CA">
        <w:rPr>
          <w:lang w:eastAsia="zh-TW"/>
        </w:rPr>
        <w:t xml:space="preserve"> </w:t>
      </w:r>
      <w:r>
        <w:rPr>
          <w:lang w:eastAsia="zh-TW"/>
        </w:rPr>
        <w:t>so-called “No Consent Regime”</w:t>
      </w:r>
      <w:r w:rsidRPr="00B373CA">
        <w:rPr>
          <w:lang w:eastAsia="zh-TW"/>
        </w:rPr>
        <w:t>.</w:t>
      </w:r>
      <w:r w:rsidRPr="00B373CA">
        <w:rPr>
          <w:rStyle w:val="FootnoteReference"/>
          <w:lang w:eastAsia="zh-TW"/>
        </w:rPr>
        <w:footnoteReference w:id="124"/>
      </w:r>
      <w:r>
        <w:rPr>
          <w:lang w:eastAsia="zh-TW"/>
        </w:rPr>
        <w:t xml:space="preserve">  The appellants do not seek to make the “full frontal” argument that OSCO sections 25(1) and 25A are </w:t>
      </w:r>
      <w:r w:rsidR="001C1555">
        <w:rPr>
          <w:lang w:eastAsia="zh-TW"/>
        </w:rPr>
        <w:t xml:space="preserve">in themselves </w:t>
      </w:r>
      <w:r>
        <w:rPr>
          <w:lang w:eastAsia="zh-TW"/>
        </w:rPr>
        <w:t>unconstitutional,</w:t>
      </w:r>
      <w:r w:rsidRPr="00FB232B">
        <w:rPr>
          <w:lang w:eastAsia="zh-TW"/>
        </w:rPr>
        <w:t xml:space="preserve"> </w:t>
      </w:r>
      <w:r>
        <w:rPr>
          <w:lang w:eastAsia="zh-TW"/>
        </w:rPr>
        <w:t xml:space="preserve">unsuccessfully advanced in </w:t>
      </w:r>
      <w:proofErr w:type="spellStart"/>
      <w:r>
        <w:rPr>
          <w:i/>
          <w:lang w:eastAsia="zh-TW"/>
        </w:rPr>
        <w:t>Interush</w:t>
      </w:r>
      <w:proofErr w:type="spellEnd"/>
      <w:r>
        <w:rPr>
          <w:lang w:eastAsia="zh-TW"/>
        </w:rPr>
        <w:t>.</w:t>
      </w:r>
    </w:p>
    <w:p w:rsidR="00A313A6" w:rsidRDefault="00A313A6" w:rsidP="00443ECC">
      <w:pPr>
        <w:pStyle w:val="Bob1"/>
        <w:numPr>
          <w:ilvl w:val="0"/>
          <w:numId w:val="1"/>
        </w:numPr>
        <w:tabs>
          <w:tab w:val="clear" w:pos="720"/>
          <w:tab w:val="left" w:pos="1440"/>
        </w:tabs>
        <w:ind w:left="0" w:firstLine="0"/>
        <w:jc w:val="both"/>
        <w:rPr>
          <w:lang w:eastAsia="zh-HK"/>
        </w:rPr>
      </w:pPr>
      <w:r>
        <w:rPr>
          <w:lang w:eastAsia="zh-TW"/>
        </w:rPr>
        <w:t xml:space="preserve">For the reasons given above, we have concluded that none of the constitutional rights </w:t>
      </w:r>
      <w:r w:rsidR="00322C32">
        <w:rPr>
          <w:lang w:eastAsia="zh-TW"/>
        </w:rPr>
        <w:t xml:space="preserve">invoked by the appellants </w:t>
      </w:r>
      <w:r>
        <w:rPr>
          <w:lang w:eastAsia="zh-TW"/>
        </w:rPr>
        <w:t>are engaged, principally because the</w:t>
      </w:r>
      <w:r w:rsidR="00322C32">
        <w:rPr>
          <w:lang w:eastAsia="zh-TW"/>
        </w:rPr>
        <w:t>y</w:t>
      </w:r>
      <w:r>
        <w:rPr>
          <w:lang w:eastAsia="zh-TW"/>
        </w:rPr>
        <w:t xml:space="preserve"> have mischaracterised the nature and effect of the police actions at [Steps 2 and 5].  </w:t>
      </w:r>
      <w:r>
        <w:rPr>
          <w:lang w:eastAsia="zh-HK"/>
        </w:rPr>
        <w:t xml:space="preserve">We have therefore dealt </w:t>
      </w:r>
      <w:r w:rsidR="00550658">
        <w:rPr>
          <w:lang w:eastAsia="zh-HK"/>
        </w:rPr>
        <w:t xml:space="preserve">only </w:t>
      </w:r>
      <w:r>
        <w:rPr>
          <w:lang w:eastAsia="zh-HK"/>
        </w:rPr>
        <w:t xml:space="preserve">briefly with the questions of legal certainty and proportionality.  Those questions are relevant to determining whether an </w:t>
      </w:r>
      <w:r>
        <w:rPr>
          <w:lang w:eastAsia="zh-HK"/>
        </w:rPr>
        <w:lastRenderedPageBreak/>
        <w:t xml:space="preserve">infringing encroachment is justified.  Since no infringement has been established, those issues do not arise.  </w:t>
      </w:r>
      <w:r w:rsidR="00322C32">
        <w:rPr>
          <w:lang w:eastAsia="zh-HK"/>
        </w:rPr>
        <w:t>Accordingly</w:t>
      </w:r>
      <w:r>
        <w:rPr>
          <w:lang w:eastAsia="zh-HK"/>
        </w:rPr>
        <w:t xml:space="preserve">, Q4, which raises issues concerning the necessity and proportionality of the impugned police actions in the context of the </w:t>
      </w:r>
      <w:proofErr w:type="spellStart"/>
      <w:r w:rsidRPr="00443ECC">
        <w:rPr>
          <w:i/>
          <w:lang w:eastAsia="zh-HK"/>
        </w:rPr>
        <w:t>Interush</w:t>
      </w:r>
      <w:proofErr w:type="spellEnd"/>
      <w:r w:rsidRPr="00443ECC">
        <w:rPr>
          <w:i/>
          <w:lang w:eastAsia="zh-HK"/>
        </w:rPr>
        <w:t xml:space="preserve"> </w:t>
      </w:r>
      <w:r>
        <w:rPr>
          <w:lang w:eastAsia="zh-HK"/>
        </w:rPr>
        <w:t>decision</w:t>
      </w:r>
      <w:r w:rsidR="000572A9">
        <w:rPr>
          <w:lang w:eastAsia="zh-HK"/>
        </w:rPr>
        <w:t>, appears irrelevant</w:t>
      </w:r>
      <w:r w:rsidR="00322C32">
        <w:rPr>
          <w:lang w:eastAsia="zh-HK"/>
        </w:rPr>
        <w:t xml:space="preserve"> for present purposes</w:t>
      </w:r>
      <w:r>
        <w:rPr>
          <w:lang w:eastAsia="zh-HK"/>
        </w:rPr>
        <w:t xml:space="preserve">.  </w:t>
      </w:r>
    </w:p>
    <w:p w:rsidR="00A313A6" w:rsidRDefault="00A313A6" w:rsidP="00443ECC">
      <w:pPr>
        <w:pStyle w:val="Bob1"/>
        <w:numPr>
          <w:ilvl w:val="0"/>
          <w:numId w:val="1"/>
        </w:numPr>
        <w:tabs>
          <w:tab w:val="clear" w:pos="720"/>
          <w:tab w:val="left" w:pos="1440"/>
        </w:tabs>
        <w:ind w:left="0" w:firstLine="0"/>
        <w:jc w:val="both"/>
        <w:rPr>
          <w:lang w:eastAsia="zh-HK"/>
        </w:rPr>
      </w:pPr>
      <w:proofErr w:type="spellStart"/>
      <w:r w:rsidRPr="00443ECC">
        <w:rPr>
          <w:i/>
          <w:lang w:eastAsia="zh-HK"/>
        </w:rPr>
        <w:t>Interush</w:t>
      </w:r>
      <w:proofErr w:type="spellEnd"/>
      <w:r w:rsidRPr="00443ECC">
        <w:rPr>
          <w:i/>
          <w:lang w:eastAsia="zh-HK"/>
        </w:rPr>
        <w:t xml:space="preserve"> </w:t>
      </w:r>
      <w:r>
        <w:rPr>
          <w:lang w:eastAsia="zh-HK"/>
        </w:rPr>
        <w:t xml:space="preserve">proceeded on a quite different analysis.  </w:t>
      </w:r>
      <w:r w:rsidR="000572A9">
        <w:rPr>
          <w:lang w:eastAsia="zh-HK"/>
        </w:rPr>
        <w:t>I</w:t>
      </w:r>
      <w:r>
        <w:rPr>
          <w:lang w:eastAsia="zh-HK"/>
        </w:rPr>
        <w:t>t was concerned with a direct challenge to the constitutionality of certain OSCO provisions.  Section 25A (but not section 25(1)) was held to engage the protected property rights invoked.</w:t>
      </w:r>
      <w:r>
        <w:rPr>
          <w:rStyle w:val="FootnoteReference"/>
          <w:lang w:eastAsia="zh-HK"/>
        </w:rPr>
        <w:footnoteReference w:id="125"/>
      </w:r>
      <w:r>
        <w:rPr>
          <w:lang w:eastAsia="zh-HK"/>
        </w:rPr>
        <w:t xml:space="preserve">  The so-called “full frontal” challenge arose because the CP’s practice involving the use of LNCs was treated as being based on section 25A(2)(a),</w:t>
      </w:r>
      <w:r>
        <w:rPr>
          <w:rStyle w:val="FootnoteReference"/>
          <w:lang w:eastAsia="zh-HK"/>
        </w:rPr>
        <w:footnoteReference w:id="126"/>
      </w:r>
      <w:r>
        <w:rPr>
          <w:lang w:eastAsia="zh-HK"/>
        </w:rPr>
        <w:t xml:space="preserve"> </w:t>
      </w:r>
      <w:proofErr w:type="spellStart"/>
      <w:r>
        <w:rPr>
          <w:lang w:eastAsia="zh-HK"/>
        </w:rPr>
        <w:t>ie</w:t>
      </w:r>
      <w:proofErr w:type="spellEnd"/>
      <w:r>
        <w:rPr>
          <w:lang w:eastAsia="zh-HK"/>
        </w:rPr>
        <w:t xml:space="preserve">, that the </w:t>
      </w:r>
      <w:r w:rsidR="000572A9">
        <w:rPr>
          <w:lang w:eastAsia="zh-HK"/>
        </w:rPr>
        <w:t>grant or withholding</w:t>
      </w:r>
      <w:r>
        <w:rPr>
          <w:lang w:eastAsia="zh-HK"/>
        </w:rPr>
        <w:t xml:space="preserve"> of consent </w:t>
      </w:r>
      <w:r w:rsidR="000572A9">
        <w:rPr>
          <w:lang w:eastAsia="zh-HK"/>
        </w:rPr>
        <w:t xml:space="preserve">for </w:t>
      </w:r>
      <w:r>
        <w:rPr>
          <w:lang w:eastAsia="zh-HK"/>
        </w:rPr>
        <w:t xml:space="preserve">dealing with the funds was governed by that provision.  The appellant’s contention was therefore that section </w:t>
      </w:r>
      <w:proofErr w:type="gramStart"/>
      <w:r>
        <w:rPr>
          <w:lang w:eastAsia="zh-HK"/>
        </w:rPr>
        <w:t>25A(</w:t>
      </w:r>
      <w:proofErr w:type="gramEnd"/>
      <w:r>
        <w:rPr>
          <w:lang w:eastAsia="zh-HK"/>
        </w:rPr>
        <w:t>2)(a) was unconstitutional so that the practice based on that provision was necessarily unlawful – hence the so-called “systemic” challenge.</w:t>
      </w:r>
    </w:p>
    <w:p w:rsidR="00A313A6" w:rsidRDefault="00A313A6" w:rsidP="00443ECC">
      <w:pPr>
        <w:pStyle w:val="Bob1"/>
        <w:numPr>
          <w:ilvl w:val="0"/>
          <w:numId w:val="1"/>
        </w:numPr>
        <w:tabs>
          <w:tab w:val="clear" w:pos="720"/>
          <w:tab w:val="left" w:pos="1440"/>
        </w:tabs>
        <w:ind w:left="0" w:firstLine="0"/>
        <w:jc w:val="both"/>
        <w:rPr>
          <w:lang w:eastAsia="zh-HK"/>
        </w:rPr>
      </w:pPr>
      <w:r>
        <w:rPr>
          <w:lang w:eastAsia="zh-HK"/>
        </w:rPr>
        <w:t xml:space="preserve">It was on that basis that the Court of Appeal in </w:t>
      </w:r>
      <w:proofErr w:type="spellStart"/>
      <w:r w:rsidRPr="00443ECC">
        <w:rPr>
          <w:i/>
          <w:lang w:eastAsia="zh-HK"/>
        </w:rPr>
        <w:t>Interush</w:t>
      </w:r>
      <w:proofErr w:type="spellEnd"/>
      <w:r w:rsidRPr="00443ECC">
        <w:rPr>
          <w:i/>
          <w:lang w:eastAsia="zh-HK"/>
        </w:rPr>
        <w:t xml:space="preserve"> </w:t>
      </w:r>
      <w:r>
        <w:rPr>
          <w:lang w:eastAsia="zh-HK"/>
        </w:rPr>
        <w:t xml:space="preserve">came to consider and to reject the legal uncertainty </w:t>
      </w:r>
      <w:r w:rsidR="00322C32">
        <w:rPr>
          <w:lang w:eastAsia="zh-HK"/>
        </w:rPr>
        <w:t xml:space="preserve">and proportionality </w:t>
      </w:r>
      <w:r>
        <w:rPr>
          <w:lang w:eastAsia="zh-HK"/>
        </w:rPr>
        <w:t>argument</w:t>
      </w:r>
      <w:r w:rsidR="00322C32">
        <w:rPr>
          <w:lang w:eastAsia="zh-HK"/>
        </w:rPr>
        <w:t>s</w:t>
      </w:r>
      <w:r>
        <w:rPr>
          <w:lang w:eastAsia="zh-HK"/>
        </w:rPr>
        <w:t>.</w:t>
      </w:r>
      <w:r>
        <w:rPr>
          <w:rStyle w:val="FootnoteReference"/>
          <w:lang w:eastAsia="zh-HK"/>
        </w:rPr>
        <w:footnoteReference w:id="127"/>
      </w:r>
      <w:r>
        <w:rPr>
          <w:lang w:eastAsia="zh-HK"/>
        </w:rPr>
        <w:t xml:space="preserve">  It held that “[t</w:t>
      </w:r>
      <w:r w:rsidRPr="00620455">
        <w:rPr>
          <w:lang w:eastAsia="zh-HK"/>
        </w:rPr>
        <w:t>he</w:t>
      </w:r>
      <w:r>
        <w:rPr>
          <w:lang w:eastAsia="zh-HK"/>
        </w:rPr>
        <w:t>]</w:t>
      </w:r>
      <w:r w:rsidRPr="00620455">
        <w:rPr>
          <w:lang w:eastAsia="zh-HK"/>
        </w:rPr>
        <w:t xml:space="preserve"> real contention in this appeal is that of proportionality</w:t>
      </w:r>
      <w:r>
        <w:rPr>
          <w:lang w:eastAsia="zh-HK"/>
        </w:rPr>
        <w:t>”,</w:t>
      </w:r>
      <w:r>
        <w:rPr>
          <w:rStyle w:val="FootnoteReference"/>
          <w:lang w:eastAsia="zh-HK"/>
        </w:rPr>
        <w:footnoteReference w:id="128"/>
      </w:r>
      <w:r>
        <w:rPr>
          <w:lang w:eastAsia="zh-HK"/>
        </w:rPr>
        <w:t xml:space="preserve"> and went on to hold that the impugned acts were proportionate.</w:t>
      </w:r>
      <w:r>
        <w:rPr>
          <w:rStyle w:val="FootnoteReference"/>
          <w:lang w:eastAsia="zh-HK"/>
        </w:rPr>
        <w:footnoteReference w:id="129"/>
      </w:r>
      <w:r>
        <w:rPr>
          <w:lang w:eastAsia="zh-HK"/>
        </w:rPr>
        <w:t xml:space="preserve"> It will be apparent that the present analysis </w:t>
      </w:r>
      <w:r w:rsidR="000572A9">
        <w:rPr>
          <w:lang w:eastAsia="zh-HK"/>
        </w:rPr>
        <w:t>has adopted</w:t>
      </w:r>
      <w:r>
        <w:rPr>
          <w:lang w:eastAsia="zh-HK"/>
        </w:rPr>
        <w:t xml:space="preserve"> a very different approach to section </w:t>
      </w:r>
      <w:proofErr w:type="gramStart"/>
      <w:r>
        <w:rPr>
          <w:lang w:eastAsia="zh-HK"/>
        </w:rPr>
        <w:t>25A(</w:t>
      </w:r>
      <w:proofErr w:type="gramEnd"/>
      <w:r>
        <w:rPr>
          <w:lang w:eastAsia="zh-HK"/>
        </w:rPr>
        <w:t xml:space="preserve">2)(a) as set out in Section </w:t>
      </w:r>
      <w:r w:rsidR="00792340">
        <w:rPr>
          <w:lang w:eastAsia="zh-HK"/>
        </w:rPr>
        <w:t>G.1</w:t>
      </w:r>
      <w:r>
        <w:rPr>
          <w:lang w:eastAsia="zh-HK"/>
        </w:rPr>
        <w:t xml:space="preserve"> above. </w:t>
      </w:r>
    </w:p>
    <w:p w:rsidR="00A313A6" w:rsidRDefault="00A313A6" w:rsidP="00443ECC">
      <w:pPr>
        <w:pStyle w:val="Bob1"/>
        <w:numPr>
          <w:ilvl w:val="0"/>
          <w:numId w:val="1"/>
        </w:numPr>
        <w:tabs>
          <w:tab w:val="clear" w:pos="720"/>
          <w:tab w:val="left" w:pos="1440"/>
        </w:tabs>
        <w:ind w:left="0" w:firstLine="0"/>
        <w:jc w:val="both"/>
        <w:rPr>
          <w:lang w:eastAsia="zh-HK"/>
        </w:rPr>
      </w:pPr>
      <w:r>
        <w:rPr>
          <w:lang w:eastAsia="zh-HK"/>
        </w:rPr>
        <w:t xml:space="preserve">The correctness or otherwise of the </w:t>
      </w:r>
      <w:proofErr w:type="spellStart"/>
      <w:r w:rsidRPr="00443ECC">
        <w:rPr>
          <w:i/>
          <w:lang w:eastAsia="zh-HK"/>
        </w:rPr>
        <w:t>Interush</w:t>
      </w:r>
      <w:proofErr w:type="spellEnd"/>
      <w:r w:rsidRPr="00443ECC">
        <w:rPr>
          <w:i/>
          <w:lang w:eastAsia="zh-HK"/>
        </w:rPr>
        <w:t xml:space="preserve"> </w:t>
      </w:r>
      <w:r>
        <w:rPr>
          <w:lang w:eastAsia="zh-HK"/>
        </w:rPr>
        <w:t xml:space="preserve">decision is obviously not the subject of this appeal and it is sufficient to note that the analytical basis of </w:t>
      </w:r>
      <w:r>
        <w:rPr>
          <w:lang w:eastAsia="zh-HK"/>
        </w:rPr>
        <w:lastRenderedPageBreak/>
        <w:t>that</w:t>
      </w:r>
      <w:r w:rsidRPr="00443ECC">
        <w:rPr>
          <w:i/>
          <w:lang w:eastAsia="zh-HK"/>
        </w:rPr>
        <w:t xml:space="preserve"> </w:t>
      </w:r>
      <w:r>
        <w:rPr>
          <w:lang w:eastAsia="zh-HK"/>
        </w:rPr>
        <w:t>judgment differs</w:t>
      </w:r>
      <w:r w:rsidR="000572A9">
        <w:rPr>
          <w:lang w:eastAsia="zh-HK"/>
        </w:rPr>
        <w:t xml:space="preserve"> substantially</w:t>
      </w:r>
      <w:r>
        <w:rPr>
          <w:lang w:eastAsia="zh-HK"/>
        </w:rPr>
        <w:t>, calling into question the relevance of Q4 for present purposes.  It may nonetheless be pertinent to query a</w:t>
      </w:r>
      <w:r w:rsidR="000572A9">
        <w:rPr>
          <w:lang w:eastAsia="zh-HK"/>
        </w:rPr>
        <w:t>n important</w:t>
      </w:r>
      <w:r>
        <w:rPr>
          <w:lang w:eastAsia="zh-HK"/>
        </w:rPr>
        <w:t xml:space="preserve"> aspect of the reasoning</w:t>
      </w:r>
      <w:r w:rsidR="000572A9">
        <w:rPr>
          <w:lang w:eastAsia="zh-HK"/>
        </w:rPr>
        <w:t xml:space="preserve"> in </w:t>
      </w:r>
      <w:proofErr w:type="spellStart"/>
      <w:r w:rsidR="000572A9" w:rsidRPr="00443ECC">
        <w:rPr>
          <w:i/>
          <w:lang w:eastAsia="zh-HK"/>
        </w:rPr>
        <w:t>Interush</w:t>
      </w:r>
      <w:proofErr w:type="spellEnd"/>
      <w:r>
        <w:rPr>
          <w:lang w:eastAsia="zh-HK"/>
        </w:rPr>
        <w:t>.  On the one hand, the Court of Appeal accepted “</w:t>
      </w:r>
      <w:r w:rsidRPr="003145A9">
        <w:rPr>
          <w:lang w:eastAsia="zh-HK"/>
        </w:rPr>
        <w:t xml:space="preserve">that the </w:t>
      </w:r>
      <w:r>
        <w:rPr>
          <w:lang w:eastAsia="zh-HK"/>
        </w:rPr>
        <w:t>‘</w:t>
      </w:r>
      <w:r w:rsidRPr="003145A9">
        <w:rPr>
          <w:lang w:eastAsia="zh-HK"/>
        </w:rPr>
        <w:t>Letter of No Consent</w:t>
      </w:r>
      <w:r>
        <w:rPr>
          <w:lang w:eastAsia="zh-HK"/>
        </w:rPr>
        <w:t>’</w:t>
      </w:r>
      <w:r w:rsidRPr="003145A9">
        <w:rPr>
          <w:lang w:eastAsia="zh-HK"/>
        </w:rPr>
        <w:t xml:space="preserve"> does not by itself freeze the accounts of the applicants</w:t>
      </w:r>
      <w:r>
        <w:rPr>
          <w:lang w:eastAsia="zh-HK"/>
        </w:rPr>
        <w:t>”</w:t>
      </w:r>
      <w:r>
        <w:rPr>
          <w:rStyle w:val="FootnoteReference"/>
          <w:lang w:eastAsia="zh-HK"/>
        </w:rPr>
        <w:footnoteReference w:id="130"/>
      </w:r>
      <w:r>
        <w:rPr>
          <w:lang w:eastAsia="zh-HK"/>
        </w:rPr>
        <w:t xml:space="preserve"> reiterating that: </w:t>
      </w:r>
    </w:p>
    <w:p w:rsidR="00A313A6" w:rsidRPr="003145A9" w:rsidRDefault="00A313A6" w:rsidP="00443ECC">
      <w:pPr>
        <w:pStyle w:val="Bob1"/>
        <w:numPr>
          <w:ilvl w:val="0"/>
          <w:numId w:val="0"/>
        </w:numPr>
        <w:spacing w:line="240" w:lineRule="auto"/>
        <w:ind w:left="720"/>
        <w:jc w:val="both"/>
        <w:rPr>
          <w:sz w:val="24"/>
          <w:lang w:eastAsia="zh-HK"/>
        </w:rPr>
      </w:pPr>
      <w:r w:rsidRPr="003145A9">
        <w:rPr>
          <w:sz w:val="24"/>
          <w:lang w:eastAsia="zh-HK"/>
        </w:rPr>
        <w:t xml:space="preserve">“... </w:t>
      </w:r>
      <w:proofErr w:type="gramStart"/>
      <w:r w:rsidRPr="003145A9">
        <w:rPr>
          <w:sz w:val="24"/>
          <w:lang w:eastAsia="zh-HK"/>
        </w:rPr>
        <w:t>the</w:t>
      </w:r>
      <w:proofErr w:type="gramEnd"/>
      <w:r w:rsidRPr="003145A9">
        <w:rPr>
          <w:sz w:val="24"/>
          <w:lang w:eastAsia="zh-HK"/>
        </w:rPr>
        <w:t xml:space="preserve"> consent regime does not freeze the bank account. The freezing of the account is by the financial institution itself.”</w:t>
      </w:r>
      <w:r>
        <w:rPr>
          <w:rStyle w:val="FootnoteReference"/>
          <w:sz w:val="24"/>
          <w:lang w:eastAsia="zh-HK"/>
        </w:rPr>
        <w:footnoteReference w:id="131"/>
      </w:r>
    </w:p>
    <w:p w:rsidR="00A313A6" w:rsidRDefault="00A313A6" w:rsidP="00443ECC">
      <w:pPr>
        <w:pStyle w:val="Bob1"/>
        <w:numPr>
          <w:ilvl w:val="0"/>
          <w:numId w:val="1"/>
        </w:numPr>
        <w:tabs>
          <w:tab w:val="clear" w:pos="720"/>
          <w:tab w:val="left" w:pos="1440"/>
        </w:tabs>
        <w:ind w:left="0" w:firstLine="0"/>
        <w:jc w:val="both"/>
        <w:rPr>
          <w:lang w:eastAsia="zh-HK"/>
        </w:rPr>
      </w:pPr>
      <w:r>
        <w:rPr>
          <w:lang w:eastAsia="zh-HK"/>
        </w:rPr>
        <w:t>Yet it held, on the other hand, that the LNC engaged the property right in that it:</w:t>
      </w:r>
    </w:p>
    <w:p w:rsidR="00A313A6" w:rsidRPr="0014524B" w:rsidRDefault="00A313A6" w:rsidP="00443ECC">
      <w:pPr>
        <w:pStyle w:val="Bob1"/>
        <w:numPr>
          <w:ilvl w:val="0"/>
          <w:numId w:val="0"/>
        </w:numPr>
        <w:spacing w:line="240" w:lineRule="auto"/>
        <w:ind w:left="720"/>
        <w:jc w:val="both"/>
        <w:rPr>
          <w:sz w:val="24"/>
          <w:lang w:eastAsia="zh-HK"/>
        </w:rPr>
      </w:pPr>
      <w:r w:rsidRPr="0014524B">
        <w:rPr>
          <w:sz w:val="24"/>
          <w:lang w:eastAsia="zh-HK"/>
        </w:rPr>
        <w:t>“</w:t>
      </w:r>
      <w:r>
        <w:rPr>
          <w:sz w:val="24"/>
          <w:lang w:eastAsia="zh-HK"/>
        </w:rPr>
        <w:t xml:space="preserve">... </w:t>
      </w:r>
      <w:proofErr w:type="gramStart"/>
      <w:r w:rsidRPr="0014524B">
        <w:rPr>
          <w:sz w:val="24"/>
          <w:lang w:eastAsia="zh-HK"/>
        </w:rPr>
        <w:t>has</w:t>
      </w:r>
      <w:proofErr w:type="gramEnd"/>
      <w:r w:rsidRPr="0014524B">
        <w:rPr>
          <w:sz w:val="24"/>
          <w:lang w:eastAsia="zh-HK"/>
        </w:rPr>
        <w:t xml:space="preserve"> affected the use by the applicants of their money in the bank accounts. Although the </w:t>
      </w:r>
      <w:r>
        <w:rPr>
          <w:sz w:val="24"/>
          <w:lang w:eastAsia="zh-HK"/>
        </w:rPr>
        <w:t>‘</w:t>
      </w:r>
      <w:r w:rsidRPr="0014524B">
        <w:rPr>
          <w:sz w:val="24"/>
          <w:lang w:eastAsia="zh-HK"/>
        </w:rPr>
        <w:t>temporary freezing</w:t>
      </w:r>
      <w:r>
        <w:rPr>
          <w:sz w:val="24"/>
          <w:lang w:eastAsia="zh-HK"/>
        </w:rPr>
        <w:t>’</w:t>
      </w:r>
      <w:r w:rsidRPr="0014524B">
        <w:rPr>
          <w:sz w:val="24"/>
          <w:lang w:eastAsia="zh-HK"/>
        </w:rPr>
        <w:t xml:space="preserve"> of the applicants</w:t>
      </w:r>
      <w:r w:rsidR="0086093A">
        <w:rPr>
          <w:sz w:val="24"/>
          <w:lang w:eastAsia="zh-HK"/>
        </w:rPr>
        <w:t>’</w:t>
      </w:r>
      <w:r w:rsidRPr="0014524B">
        <w:rPr>
          <w:sz w:val="24"/>
          <w:lang w:eastAsia="zh-HK"/>
        </w:rPr>
        <w:t xml:space="preserve"> accounts does not constitute a deprivation of their property, the </w:t>
      </w:r>
      <w:r w:rsidRPr="00E64175">
        <w:rPr>
          <w:i/>
          <w:sz w:val="24"/>
          <w:u w:val="single"/>
          <w:lang w:eastAsia="zh-HK"/>
        </w:rPr>
        <w:t>use</w:t>
      </w:r>
      <w:r w:rsidRPr="0014524B">
        <w:rPr>
          <w:sz w:val="24"/>
          <w:lang w:eastAsia="zh-HK"/>
        </w:rPr>
        <w:t xml:space="preserve"> by the applicants of their property in the nature of the debt which has an economic value is affected.”</w:t>
      </w:r>
      <w:r w:rsidRPr="0014524B">
        <w:rPr>
          <w:rStyle w:val="FootnoteReference"/>
          <w:sz w:val="24"/>
          <w:lang w:eastAsia="zh-HK"/>
        </w:rPr>
        <w:footnoteReference w:id="132"/>
      </w:r>
    </w:p>
    <w:p w:rsidR="00A313A6" w:rsidRDefault="00A313A6" w:rsidP="00443ECC">
      <w:pPr>
        <w:pStyle w:val="Bob1"/>
        <w:numPr>
          <w:ilvl w:val="0"/>
          <w:numId w:val="0"/>
        </w:numPr>
        <w:jc w:val="both"/>
        <w:rPr>
          <w:lang w:eastAsia="zh-HK"/>
        </w:rPr>
      </w:pPr>
      <w:r>
        <w:rPr>
          <w:lang w:eastAsia="zh-HK"/>
        </w:rPr>
        <w:t>It was on this basis that a proportionality assessment was deemed necessary.</w:t>
      </w:r>
    </w:p>
    <w:p w:rsidR="00550658" w:rsidRDefault="00A313A6" w:rsidP="00443ECC">
      <w:pPr>
        <w:pStyle w:val="Bob1"/>
        <w:numPr>
          <w:ilvl w:val="0"/>
          <w:numId w:val="1"/>
        </w:numPr>
        <w:tabs>
          <w:tab w:val="clear" w:pos="720"/>
          <w:tab w:val="left" w:pos="1440"/>
        </w:tabs>
        <w:ind w:left="0" w:firstLine="0"/>
        <w:jc w:val="both"/>
        <w:rPr>
          <w:lang w:eastAsia="zh-HK"/>
        </w:rPr>
      </w:pPr>
      <w:r>
        <w:rPr>
          <w:lang w:eastAsia="zh-HK"/>
        </w:rPr>
        <w:t xml:space="preserve">With respect, if the impugned acts did not freeze the accounts and the freezing </w:t>
      </w:r>
      <w:r w:rsidR="00057AF6">
        <w:rPr>
          <w:lang w:eastAsia="zh-HK"/>
        </w:rPr>
        <w:t xml:space="preserve">or continued freezing </w:t>
      </w:r>
      <w:r>
        <w:rPr>
          <w:lang w:eastAsia="zh-HK"/>
        </w:rPr>
        <w:t xml:space="preserve">was “by the financial institution itself”, it is not easy to see how the acts of the police are thought to have infringed the applicants’ right to use of their property.  </w:t>
      </w:r>
    </w:p>
    <w:p w:rsidR="00550658" w:rsidRDefault="00550658" w:rsidP="00550658">
      <w:pPr>
        <w:pStyle w:val="docmapheading"/>
        <w:keepNext/>
        <w:rPr>
          <w:lang w:eastAsia="zh-HK"/>
        </w:rPr>
      </w:pPr>
      <w:r>
        <w:rPr>
          <w:lang w:eastAsia="zh-HK"/>
        </w:rPr>
        <w:t>L.</w:t>
      </w:r>
      <w:r>
        <w:rPr>
          <w:lang w:eastAsia="zh-HK"/>
        </w:rPr>
        <w:tab/>
        <w:t xml:space="preserve">Conclusion </w:t>
      </w:r>
    </w:p>
    <w:p w:rsidR="00504AE0" w:rsidRDefault="00504AE0" w:rsidP="00443ECC">
      <w:pPr>
        <w:pStyle w:val="Bob1"/>
        <w:numPr>
          <w:ilvl w:val="0"/>
          <w:numId w:val="1"/>
        </w:numPr>
        <w:tabs>
          <w:tab w:val="clear" w:pos="720"/>
          <w:tab w:val="left" w:pos="1440"/>
        </w:tabs>
        <w:ind w:left="0" w:firstLine="0"/>
        <w:jc w:val="both"/>
        <w:rPr>
          <w:lang w:eastAsia="zh-HK"/>
        </w:rPr>
      </w:pPr>
      <w:r>
        <w:rPr>
          <w:lang w:eastAsia="zh-HK"/>
        </w:rPr>
        <w:t xml:space="preserve">Our answers to the </w:t>
      </w:r>
      <w:r w:rsidR="003B05C9">
        <w:rPr>
          <w:lang w:eastAsia="zh-HK"/>
        </w:rPr>
        <w:t>four Q</w:t>
      </w:r>
      <w:r>
        <w:rPr>
          <w:lang w:eastAsia="zh-HK"/>
        </w:rPr>
        <w:t xml:space="preserve">uestions are as follows: Q1: No.  Q2: Yes.  Q3: No.  Q4: </w:t>
      </w:r>
      <w:proofErr w:type="spellStart"/>
      <w:r>
        <w:rPr>
          <w:i/>
          <w:lang w:eastAsia="zh-HK"/>
        </w:rPr>
        <w:t>Interush</w:t>
      </w:r>
      <w:proofErr w:type="spellEnd"/>
      <w:r>
        <w:rPr>
          <w:i/>
          <w:lang w:eastAsia="zh-HK"/>
        </w:rPr>
        <w:t xml:space="preserve"> </w:t>
      </w:r>
      <w:r>
        <w:rPr>
          <w:lang w:eastAsia="zh-HK"/>
        </w:rPr>
        <w:t xml:space="preserve">adopted an analysis which </w:t>
      </w:r>
      <w:r w:rsidR="00AC240C">
        <w:rPr>
          <w:lang w:eastAsia="zh-HK"/>
        </w:rPr>
        <w:t>we do</w:t>
      </w:r>
      <w:r>
        <w:rPr>
          <w:lang w:eastAsia="zh-HK"/>
        </w:rPr>
        <w:t xml:space="preserve"> not </w:t>
      </w:r>
      <w:r w:rsidR="00AC240C">
        <w:rPr>
          <w:lang w:eastAsia="zh-HK"/>
        </w:rPr>
        <w:t>fully support</w:t>
      </w:r>
      <w:r>
        <w:rPr>
          <w:lang w:eastAsia="zh-HK"/>
        </w:rPr>
        <w:t>.  However, the Court of Appeal arrived at the correct result.</w:t>
      </w:r>
    </w:p>
    <w:p w:rsidR="00550658" w:rsidRDefault="00550658" w:rsidP="00443ECC">
      <w:pPr>
        <w:pStyle w:val="Bob1"/>
        <w:numPr>
          <w:ilvl w:val="0"/>
          <w:numId w:val="1"/>
        </w:numPr>
        <w:tabs>
          <w:tab w:val="clear" w:pos="720"/>
          <w:tab w:val="left" w:pos="1440"/>
        </w:tabs>
        <w:ind w:left="0" w:firstLine="0"/>
        <w:jc w:val="both"/>
        <w:rPr>
          <w:lang w:eastAsia="zh-HK"/>
        </w:rPr>
      </w:pPr>
      <w:r>
        <w:rPr>
          <w:lang w:eastAsia="zh-HK"/>
        </w:rPr>
        <w:t>For the foregoing reasons we dismiss the appeal.</w:t>
      </w:r>
    </w:p>
    <w:p w:rsidR="00DA1DF6" w:rsidRPr="009033D4" w:rsidRDefault="00DA1DF6" w:rsidP="00DA1DF6">
      <w:pPr>
        <w:pStyle w:val="docmapheading"/>
        <w:rPr>
          <w:b/>
          <w:i w:val="0"/>
          <w:spacing w:val="0"/>
          <w:lang w:eastAsia="zh-HK"/>
        </w:rPr>
      </w:pPr>
      <w:r w:rsidRPr="009033D4">
        <w:rPr>
          <w:b/>
          <w:i w:val="0"/>
          <w:spacing w:val="0"/>
          <w:lang w:eastAsia="zh-HK"/>
        </w:rPr>
        <w:lastRenderedPageBreak/>
        <w:t xml:space="preserve">Mr Justice </w:t>
      </w:r>
      <w:proofErr w:type="spellStart"/>
      <w:r w:rsidRPr="009033D4">
        <w:rPr>
          <w:b/>
          <w:i w:val="0"/>
          <w:spacing w:val="0"/>
          <w:lang w:eastAsia="zh-HK"/>
        </w:rPr>
        <w:t>Fok</w:t>
      </w:r>
      <w:proofErr w:type="spellEnd"/>
      <w:r w:rsidRPr="009033D4">
        <w:rPr>
          <w:b/>
          <w:i w:val="0"/>
          <w:spacing w:val="0"/>
          <w:lang w:eastAsia="zh-HK"/>
        </w:rPr>
        <w:t xml:space="preserve"> PJ</w:t>
      </w:r>
      <w:r w:rsidR="009033D4" w:rsidRPr="009033D4">
        <w:rPr>
          <w:b/>
          <w:i w:val="0"/>
          <w:spacing w:val="0"/>
          <w:lang w:eastAsia="zh-HK"/>
        </w:rPr>
        <w:t>:</w:t>
      </w:r>
    </w:p>
    <w:p w:rsidR="00DA1DF6" w:rsidRPr="009033D4" w:rsidRDefault="00AF7BB3" w:rsidP="00AF7BB3">
      <w:pPr>
        <w:pStyle w:val="Bob1"/>
        <w:tabs>
          <w:tab w:val="clear" w:pos="720"/>
          <w:tab w:val="left" w:pos="1440"/>
        </w:tabs>
        <w:ind w:left="0" w:firstLine="0"/>
        <w:jc w:val="both"/>
        <w:rPr>
          <w:lang w:eastAsia="zh-HK"/>
        </w:rPr>
      </w:pPr>
      <w:r>
        <w:rPr>
          <w:lang w:eastAsia="zh-HK"/>
        </w:rPr>
        <w:t>I agree with the joint judgment of Chief Justice Cheung and Mr Justice Ribeiro PJ.</w:t>
      </w:r>
    </w:p>
    <w:p w:rsidR="00DA1DF6" w:rsidRPr="009033D4" w:rsidRDefault="00DA1DF6" w:rsidP="00DA1DF6">
      <w:pPr>
        <w:pStyle w:val="docmapheading"/>
        <w:rPr>
          <w:b/>
          <w:i w:val="0"/>
          <w:spacing w:val="0"/>
          <w:lang w:eastAsia="zh-HK"/>
        </w:rPr>
      </w:pPr>
      <w:r w:rsidRPr="009033D4">
        <w:rPr>
          <w:b/>
          <w:i w:val="0"/>
          <w:spacing w:val="0"/>
          <w:lang w:eastAsia="zh-HK"/>
        </w:rPr>
        <w:t>Mr Justice Lam PJ</w:t>
      </w:r>
      <w:r w:rsidR="009033D4" w:rsidRPr="009033D4">
        <w:rPr>
          <w:b/>
          <w:i w:val="0"/>
          <w:spacing w:val="0"/>
          <w:lang w:eastAsia="zh-HK"/>
        </w:rPr>
        <w:t>:</w:t>
      </w:r>
    </w:p>
    <w:p w:rsidR="00AF7BB3" w:rsidRPr="009033D4" w:rsidRDefault="00AF7BB3" w:rsidP="00AF7BB3">
      <w:pPr>
        <w:pStyle w:val="Bob1"/>
        <w:tabs>
          <w:tab w:val="clear" w:pos="720"/>
          <w:tab w:val="left" w:pos="1440"/>
        </w:tabs>
        <w:ind w:left="0" w:firstLine="0"/>
        <w:jc w:val="both"/>
        <w:rPr>
          <w:lang w:eastAsia="zh-HK"/>
        </w:rPr>
      </w:pPr>
      <w:r>
        <w:rPr>
          <w:lang w:eastAsia="zh-HK"/>
        </w:rPr>
        <w:t>I agree with the joint judgment of Chief Justice Cheung and Mr Justice Ribeiro PJ.</w:t>
      </w:r>
    </w:p>
    <w:p w:rsidR="00DA1DF6" w:rsidRPr="009033D4" w:rsidRDefault="00DA1DF6" w:rsidP="00DA1DF6">
      <w:pPr>
        <w:pStyle w:val="docmapheading"/>
        <w:rPr>
          <w:b/>
          <w:i w:val="0"/>
          <w:spacing w:val="0"/>
          <w:lang w:eastAsia="zh-HK"/>
        </w:rPr>
      </w:pPr>
      <w:r w:rsidRPr="009033D4">
        <w:rPr>
          <w:b/>
          <w:i w:val="0"/>
          <w:spacing w:val="0"/>
          <w:lang w:eastAsia="zh-HK"/>
        </w:rPr>
        <w:t xml:space="preserve">Lord Collins of </w:t>
      </w:r>
      <w:proofErr w:type="spellStart"/>
      <w:r w:rsidRPr="009033D4">
        <w:rPr>
          <w:b/>
          <w:i w:val="0"/>
          <w:spacing w:val="0"/>
          <w:lang w:eastAsia="zh-HK"/>
        </w:rPr>
        <w:t>Mapesbury</w:t>
      </w:r>
      <w:proofErr w:type="spellEnd"/>
      <w:r w:rsidR="009033D4" w:rsidRPr="009033D4">
        <w:rPr>
          <w:b/>
          <w:i w:val="0"/>
          <w:spacing w:val="0"/>
          <w:lang w:eastAsia="zh-HK"/>
        </w:rPr>
        <w:t xml:space="preserve"> NPJ:</w:t>
      </w:r>
    </w:p>
    <w:p w:rsidR="00AF7BB3" w:rsidRPr="009033D4" w:rsidRDefault="00AF7BB3" w:rsidP="00AF7BB3">
      <w:pPr>
        <w:pStyle w:val="Bob1"/>
        <w:tabs>
          <w:tab w:val="clear" w:pos="720"/>
          <w:tab w:val="left" w:pos="1440"/>
        </w:tabs>
        <w:ind w:left="0" w:firstLine="0"/>
        <w:jc w:val="both"/>
        <w:rPr>
          <w:lang w:eastAsia="zh-HK"/>
        </w:rPr>
      </w:pPr>
      <w:r>
        <w:rPr>
          <w:lang w:eastAsia="zh-HK"/>
        </w:rPr>
        <w:t>I agree with the joint judgment of Chief Justice Cheung and Mr Justice Ribeiro PJ.</w:t>
      </w:r>
    </w:p>
    <w:p w:rsidR="00DA1DF6" w:rsidRPr="009033D4" w:rsidRDefault="00DA1DF6" w:rsidP="00DA1DF6">
      <w:pPr>
        <w:pStyle w:val="docmapheading"/>
        <w:rPr>
          <w:b/>
          <w:i w:val="0"/>
          <w:spacing w:val="0"/>
          <w:lang w:eastAsia="zh-HK"/>
        </w:rPr>
      </w:pPr>
      <w:r w:rsidRPr="009033D4">
        <w:rPr>
          <w:b/>
          <w:i w:val="0"/>
          <w:spacing w:val="0"/>
          <w:lang w:eastAsia="zh-HK"/>
        </w:rPr>
        <w:t>Chief Justice Cheung</w:t>
      </w:r>
      <w:r w:rsidR="009033D4" w:rsidRPr="009033D4">
        <w:rPr>
          <w:b/>
          <w:i w:val="0"/>
          <w:spacing w:val="0"/>
          <w:lang w:eastAsia="zh-HK"/>
        </w:rPr>
        <w:t>:</w:t>
      </w:r>
    </w:p>
    <w:p w:rsidR="00DA1DF6" w:rsidRPr="009033D4" w:rsidRDefault="00AF7BB3" w:rsidP="00443ECC">
      <w:pPr>
        <w:pStyle w:val="Bob1"/>
        <w:tabs>
          <w:tab w:val="clear" w:pos="720"/>
          <w:tab w:val="left" w:pos="1440"/>
        </w:tabs>
        <w:ind w:left="0" w:firstLine="0"/>
        <w:rPr>
          <w:lang w:eastAsia="zh-HK"/>
        </w:rPr>
      </w:pPr>
      <w:r>
        <w:rPr>
          <w:lang w:eastAsia="zh-HK"/>
        </w:rPr>
        <w:t>Accordingly, the Court u</w:t>
      </w:r>
      <w:r w:rsidR="00B75BC1">
        <w:rPr>
          <w:lang w:eastAsia="zh-HK"/>
        </w:rPr>
        <w:t>nanimously dismisses the appeal</w:t>
      </w:r>
      <w:r>
        <w:rPr>
          <w:lang w:eastAsia="zh-HK"/>
        </w:rPr>
        <w:t>.</w:t>
      </w:r>
    </w:p>
    <w:p w:rsidR="00B611E3" w:rsidRDefault="00B611E3" w:rsidP="000F409E">
      <w:pPr>
        <w:pStyle w:val="BodyTextIndent"/>
        <w:tabs>
          <w:tab w:val="left" w:pos="0"/>
          <w:tab w:val="left" w:pos="540"/>
        </w:tabs>
        <w:ind w:left="0" w:right="118" w:firstLine="0"/>
        <w:rPr>
          <w:sz w:val="28"/>
          <w:szCs w:val="28"/>
        </w:rPr>
      </w:pPr>
    </w:p>
    <w:p w:rsidR="00B611E3" w:rsidRDefault="00B611E3" w:rsidP="000F409E">
      <w:pPr>
        <w:pStyle w:val="BodyTextIndent"/>
        <w:tabs>
          <w:tab w:val="left" w:pos="0"/>
          <w:tab w:val="left" w:pos="540"/>
        </w:tabs>
        <w:ind w:left="0" w:right="118" w:firstLine="0"/>
        <w:rPr>
          <w:sz w:val="28"/>
          <w:szCs w:val="28"/>
        </w:rPr>
      </w:pPr>
    </w:p>
    <w:p w:rsidR="00055D39" w:rsidRDefault="00055D39" w:rsidP="000F409E">
      <w:pPr>
        <w:pStyle w:val="BodyTextIndent"/>
        <w:tabs>
          <w:tab w:val="left" w:pos="0"/>
          <w:tab w:val="left" w:pos="540"/>
        </w:tabs>
        <w:ind w:left="0" w:right="118" w:firstLine="0"/>
        <w:rPr>
          <w:sz w:val="28"/>
          <w:szCs w:val="28"/>
        </w:rPr>
      </w:pPr>
    </w:p>
    <w:p w:rsidR="000F409E" w:rsidRDefault="000F409E" w:rsidP="000F409E">
      <w:pPr>
        <w:pStyle w:val="BodyTextIndent"/>
        <w:tabs>
          <w:tab w:val="left" w:pos="0"/>
          <w:tab w:val="left" w:pos="540"/>
        </w:tabs>
        <w:ind w:left="0" w:right="118" w:firstLine="0"/>
        <w:rPr>
          <w:sz w:val="28"/>
          <w:szCs w:val="28"/>
        </w:rPr>
      </w:pPr>
    </w:p>
    <w:tbl>
      <w:tblPr>
        <w:tblW w:w="9188" w:type="dxa"/>
        <w:jc w:val="center"/>
        <w:tblLook w:val="0000" w:firstRow="0" w:lastRow="0" w:firstColumn="0" w:lastColumn="0" w:noHBand="0" w:noVBand="0"/>
      </w:tblPr>
      <w:tblGrid>
        <w:gridCol w:w="3062"/>
        <w:gridCol w:w="3063"/>
        <w:gridCol w:w="3063"/>
      </w:tblGrid>
      <w:tr w:rsidR="000F409E" w:rsidRPr="00DE74BA" w:rsidTr="00987F4A">
        <w:trPr>
          <w:trHeight w:val="576"/>
          <w:jc w:val="center"/>
        </w:trPr>
        <w:tc>
          <w:tcPr>
            <w:tcW w:w="3062" w:type="dxa"/>
            <w:vAlign w:val="bottom"/>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w:t>
            </w:r>
            <w:r>
              <w:rPr>
                <w:sz w:val="28"/>
                <w:szCs w:val="28"/>
              </w:rPr>
              <w:t>Andrew Cheung</w:t>
            </w:r>
            <w:r w:rsidRPr="00DE74BA">
              <w:rPr>
                <w:sz w:val="28"/>
                <w:szCs w:val="28"/>
              </w:rPr>
              <w:t>)</w:t>
            </w:r>
          </w:p>
        </w:tc>
        <w:tc>
          <w:tcPr>
            <w:tcW w:w="3063" w:type="dxa"/>
            <w:vAlign w:val="bottom"/>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w:t>
            </w:r>
            <w:r w:rsidRPr="000C0D35">
              <w:rPr>
                <w:sz w:val="28"/>
                <w:szCs w:val="28"/>
              </w:rPr>
              <w:t>R A V Ribeiro</w:t>
            </w:r>
            <w:r w:rsidRPr="00DE74BA">
              <w:rPr>
                <w:sz w:val="28"/>
                <w:szCs w:val="28"/>
              </w:rPr>
              <w:t>)</w:t>
            </w:r>
          </w:p>
        </w:tc>
        <w:tc>
          <w:tcPr>
            <w:tcW w:w="3063" w:type="dxa"/>
            <w:vAlign w:val="bottom"/>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w:t>
            </w:r>
            <w:r>
              <w:rPr>
                <w:sz w:val="28"/>
                <w:szCs w:val="28"/>
              </w:rPr>
              <w:t xml:space="preserve">Joseph </w:t>
            </w:r>
            <w:proofErr w:type="spellStart"/>
            <w:r>
              <w:rPr>
                <w:sz w:val="28"/>
                <w:szCs w:val="28"/>
              </w:rPr>
              <w:t>Fok</w:t>
            </w:r>
            <w:proofErr w:type="spellEnd"/>
            <w:r w:rsidRPr="00DE74BA">
              <w:rPr>
                <w:sz w:val="28"/>
                <w:szCs w:val="28"/>
              </w:rPr>
              <w:t>)</w:t>
            </w:r>
          </w:p>
        </w:tc>
      </w:tr>
      <w:tr w:rsidR="000F409E" w:rsidRPr="00DE74BA" w:rsidTr="00987F4A">
        <w:trPr>
          <w:trHeight w:val="288"/>
          <w:jc w:val="center"/>
        </w:trPr>
        <w:tc>
          <w:tcPr>
            <w:tcW w:w="3062" w:type="dxa"/>
            <w:vAlign w:val="center"/>
          </w:tcPr>
          <w:p w:rsidR="000F409E" w:rsidRPr="00DE74BA" w:rsidRDefault="000F409E" w:rsidP="00987F4A">
            <w:pPr>
              <w:pStyle w:val="BodyTextIndent"/>
              <w:tabs>
                <w:tab w:val="left" w:pos="540"/>
              </w:tabs>
              <w:ind w:left="450" w:right="118" w:hanging="450"/>
              <w:jc w:val="center"/>
              <w:rPr>
                <w:sz w:val="28"/>
                <w:szCs w:val="28"/>
              </w:rPr>
            </w:pPr>
            <w:r w:rsidRPr="004E346B">
              <w:rPr>
                <w:sz w:val="28"/>
                <w:szCs w:val="28"/>
              </w:rPr>
              <w:t>Chief Justice</w:t>
            </w:r>
          </w:p>
        </w:tc>
        <w:tc>
          <w:tcPr>
            <w:tcW w:w="3063" w:type="dxa"/>
            <w:vAlign w:val="center"/>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Permanent Judge</w:t>
            </w:r>
          </w:p>
        </w:tc>
        <w:tc>
          <w:tcPr>
            <w:tcW w:w="3063" w:type="dxa"/>
            <w:vAlign w:val="center"/>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Permanent Judge</w:t>
            </w:r>
          </w:p>
        </w:tc>
      </w:tr>
    </w:tbl>
    <w:p w:rsidR="000F409E" w:rsidRDefault="000F409E" w:rsidP="000F409E">
      <w:pPr>
        <w:pStyle w:val="BodyTextIndent"/>
        <w:tabs>
          <w:tab w:val="left" w:pos="540"/>
        </w:tabs>
        <w:ind w:left="450" w:right="118" w:hanging="450"/>
        <w:rPr>
          <w:kern w:val="0"/>
          <w:sz w:val="28"/>
          <w:lang w:val="en-GB"/>
        </w:rPr>
      </w:pPr>
    </w:p>
    <w:p w:rsidR="000F409E" w:rsidRDefault="000F409E" w:rsidP="000F409E">
      <w:pPr>
        <w:pStyle w:val="BodyTextIndent"/>
        <w:tabs>
          <w:tab w:val="left" w:pos="540"/>
        </w:tabs>
        <w:ind w:left="450" w:right="118" w:hanging="450"/>
        <w:rPr>
          <w:kern w:val="0"/>
          <w:sz w:val="28"/>
          <w:lang w:val="en-GB"/>
        </w:rPr>
      </w:pPr>
    </w:p>
    <w:p w:rsidR="000F409E" w:rsidRPr="00DE74BA" w:rsidRDefault="000F409E" w:rsidP="000F409E">
      <w:pPr>
        <w:pStyle w:val="BodyTextIndent"/>
        <w:tabs>
          <w:tab w:val="left" w:pos="540"/>
        </w:tabs>
        <w:ind w:left="450" w:right="118" w:hanging="450"/>
        <w:rPr>
          <w:kern w:val="0"/>
          <w:sz w:val="28"/>
          <w:lang w:val="en-GB"/>
        </w:rPr>
      </w:pPr>
    </w:p>
    <w:p w:rsidR="000F409E" w:rsidRDefault="000F409E" w:rsidP="000F409E">
      <w:pPr>
        <w:pStyle w:val="BodyTextIndent"/>
        <w:tabs>
          <w:tab w:val="left" w:pos="540"/>
        </w:tabs>
        <w:ind w:left="450" w:right="118" w:hanging="450"/>
        <w:rPr>
          <w:kern w:val="0"/>
          <w:sz w:val="28"/>
          <w:lang w:val="en-GB"/>
        </w:rPr>
      </w:pPr>
    </w:p>
    <w:tbl>
      <w:tblPr>
        <w:tblW w:w="9188" w:type="dxa"/>
        <w:jc w:val="center"/>
        <w:tblLook w:val="0000" w:firstRow="0" w:lastRow="0" w:firstColumn="0" w:lastColumn="0" w:noHBand="0" w:noVBand="0"/>
      </w:tblPr>
      <w:tblGrid>
        <w:gridCol w:w="4594"/>
        <w:gridCol w:w="4594"/>
      </w:tblGrid>
      <w:tr w:rsidR="000F409E" w:rsidRPr="00DE74BA" w:rsidTr="00987F4A">
        <w:trPr>
          <w:trHeight w:val="576"/>
          <w:jc w:val="center"/>
        </w:trPr>
        <w:tc>
          <w:tcPr>
            <w:tcW w:w="4594" w:type="dxa"/>
            <w:vAlign w:val="bottom"/>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w:t>
            </w:r>
            <w:r>
              <w:rPr>
                <w:sz w:val="28"/>
                <w:szCs w:val="28"/>
              </w:rPr>
              <w:t>M H Lam</w:t>
            </w:r>
            <w:r w:rsidRPr="00DE74BA">
              <w:rPr>
                <w:sz w:val="28"/>
                <w:szCs w:val="28"/>
              </w:rPr>
              <w:t>)</w:t>
            </w:r>
          </w:p>
        </w:tc>
        <w:tc>
          <w:tcPr>
            <w:tcW w:w="4594" w:type="dxa"/>
            <w:vAlign w:val="bottom"/>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w:t>
            </w:r>
            <w:r w:rsidR="00FD56AC">
              <w:rPr>
                <w:color w:val="000000"/>
                <w:kern w:val="0"/>
                <w:sz w:val="28"/>
                <w:szCs w:val="28"/>
              </w:rPr>
              <w:t xml:space="preserve">Lord Collins of </w:t>
            </w:r>
            <w:proofErr w:type="spellStart"/>
            <w:r w:rsidR="00FD56AC">
              <w:rPr>
                <w:color w:val="000000"/>
                <w:kern w:val="0"/>
                <w:sz w:val="28"/>
                <w:szCs w:val="28"/>
              </w:rPr>
              <w:t>Mapesbury</w:t>
            </w:r>
            <w:proofErr w:type="spellEnd"/>
            <w:r w:rsidRPr="00DE74BA">
              <w:rPr>
                <w:sz w:val="28"/>
                <w:szCs w:val="28"/>
              </w:rPr>
              <w:t>)</w:t>
            </w:r>
          </w:p>
        </w:tc>
      </w:tr>
      <w:tr w:rsidR="000F409E" w:rsidRPr="00DE74BA" w:rsidTr="00987F4A">
        <w:trPr>
          <w:trHeight w:val="288"/>
          <w:jc w:val="center"/>
        </w:trPr>
        <w:tc>
          <w:tcPr>
            <w:tcW w:w="4594" w:type="dxa"/>
            <w:vAlign w:val="center"/>
          </w:tcPr>
          <w:p w:rsidR="000F409E" w:rsidRPr="00DE74BA" w:rsidRDefault="000F409E" w:rsidP="00987F4A">
            <w:pPr>
              <w:pStyle w:val="BodyTextIndent"/>
              <w:tabs>
                <w:tab w:val="left" w:pos="540"/>
              </w:tabs>
              <w:ind w:left="450" w:right="118" w:hanging="450"/>
              <w:jc w:val="center"/>
              <w:rPr>
                <w:sz w:val="28"/>
                <w:szCs w:val="28"/>
              </w:rPr>
            </w:pPr>
            <w:r w:rsidRPr="00DE74BA">
              <w:rPr>
                <w:sz w:val="28"/>
                <w:szCs w:val="28"/>
              </w:rPr>
              <w:t>Permanent Judge</w:t>
            </w:r>
          </w:p>
        </w:tc>
        <w:tc>
          <w:tcPr>
            <w:tcW w:w="4594" w:type="dxa"/>
            <w:vAlign w:val="center"/>
          </w:tcPr>
          <w:p w:rsidR="000F409E" w:rsidRPr="00DE74BA" w:rsidRDefault="000F409E" w:rsidP="00987F4A">
            <w:pPr>
              <w:pStyle w:val="BodyTextIndent"/>
              <w:tabs>
                <w:tab w:val="left" w:pos="540"/>
              </w:tabs>
              <w:ind w:left="450" w:right="118" w:hanging="450"/>
              <w:jc w:val="center"/>
              <w:rPr>
                <w:sz w:val="28"/>
                <w:szCs w:val="28"/>
              </w:rPr>
            </w:pPr>
            <w:r>
              <w:rPr>
                <w:sz w:val="28"/>
                <w:szCs w:val="28"/>
              </w:rPr>
              <w:t>Non-</w:t>
            </w:r>
            <w:r w:rsidRPr="00DE74BA">
              <w:rPr>
                <w:sz w:val="28"/>
                <w:szCs w:val="28"/>
              </w:rPr>
              <w:t>Permanent Judge</w:t>
            </w:r>
          </w:p>
        </w:tc>
      </w:tr>
    </w:tbl>
    <w:p w:rsidR="00055D39" w:rsidRDefault="00055D39" w:rsidP="000F409E">
      <w:pPr>
        <w:pStyle w:val="BodyTextIndent"/>
        <w:tabs>
          <w:tab w:val="left" w:pos="540"/>
        </w:tabs>
        <w:ind w:left="450" w:right="118" w:hanging="450"/>
        <w:rPr>
          <w:kern w:val="0"/>
          <w:sz w:val="28"/>
          <w:lang w:val="en-GB"/>
        </w:rPr>
      </w:pPr>
    </w:p>
    <w:p w:rsidR="000F409E" w:rsidRDefault="000F409E" w:rsidP="000F409E">
      <w:pPr>
        <w:pStyle w:val="BodyTextIndent"/>
        <w:tabs>
          <w:tab w:val="left" w:pos="540"/>
        </w:tabs>
        <w:ind w:left="450" w:right="118" w:hanging="450"/>
        <w:rPr>
          <w:kern w:val="0"/>
          <w:sz w:val="28"/>
          <w:lang w:val="en-GB"/>
        </w:rPr>
      </w:pPr>
      <w:r w:rsidRPr="0029499A">
        <w:rPr>
          <w:kern w:val="0"/>
          <w:sz w:val="28"/>
          <w:lang w:val="en-GB"/>
        </w:rPr>
        <w:t>Mr Abraham Chan SC, Mr Timothy Parker and Mr Geoff</w:t>
      </w:r>
      <w:r>
        <w:rPr>
          <w:kern w:val="0"/>
          <w:sz w:val="28"/>
          <w:lang w:val="en-GB"/>
        </w:rPr>
        <w:t xml:space="preserve">rey Yeung, instructed by </w:t>
      </w:r>
      <w:r w:rsidRPr="0029499A">
        <w:rPr>
          <w:kern w:val="0"/>
          <w:sz w:val="28"/>
          <w:lang w:val="en-GB"/>
        </w:rPr>
        <w:t xml:space="preserve">O </w:t>
      </w:r>
      <w:proofErr w:type="spellStart"/>
      <w:r w:rsidRPr="0029499A">
        <w:rPr>
          <w:kern w:val="0"/>
          <w:sz w:val="28"/>
          <w:lang w:val="en-GB"/>
        </w:rPr>
        <w:t>Tse</w:t>
      </w:r>
      <w:proofErr w:type="spellEnd"/>
      <w:r w:rsidRPr="0029499A">
        <w:rPr>
          <w:kern w:val="0"/>
          <w:sz w:val="28"/>
          <w:lang w:val="en-GB"/>
        </w:rPr>
        <w:t xml:space="preserve"> &amp; Co.</w:t>
      </w:r>
      <w:r>
        <w:rPr>
          <w:kern w:val="0"/>
          <w:sz w:val="28"/>
          <w:lang w:val="en-GB"/>
        </w:rPr>
        <w:t>, for the</w:t>
      </w:r>
      <w:r w:rsidRPr="00803649">
        <w:rPr>
          <w:kern w:val="0"/>
          <w:sz w:val="28"/>
          <w:lang w:val="en-GB"/>
        </w:rPr>
        <w:t xml:space="preserve"> </w:t>
      </w:r>
      <w:r>
        <w:rPr>
          <w:kern w:val="0"/>
          <w:sz w:val="28"/>
          <w:lang w:val="en-GB"/>
        </w:rPr>
        <w:t>1</w:t>
      </w:r>
      <w:r w:rsidRPr="007B6AF5">
        <w:rPr>
          <w:kern w:val="0"/>
          <w:sz w:val="28"/>
          <w:vertAlign w:val="superscript"/>
          <w:lang w:val="en-GB"/>
        </w:rPr>
        <w:t>st</w:t>
      </w:r>
      <w:r>
        <w:rPr>
          <w:kern w:val="0"/>
          <w:sz w:val="28"/>
          <w:lang w:val="en-GB"/>
        </w:rPr>
        <w:t xml:space="preserve"> to 4</w:t>
      </w:r>
      <w:r w:rsidRPr="007B6AF5">
        <w:rPr>
          <w:kern w:val="0"/>
          <w:sz w:val="28"/>
          <w:vertAlign w:val="superscript"/>
          <w:lang w:val="en-GB"/>
        </w:rPr>
        <w:t>th</w:t>
      </w:r>
      <w:r>
        <w:rPr>
          <w:kern w:val="0"/>
          <w:sz w:val="28"/>
          <w:lang w:val="en-GB"/>
        </w:rPr>
        <w:t xml:space="preserve"> Applicants (Appellants)</w:t>
      </w:r>
    </w:p>
    <w:p w:rsidR="000F409E" w:rsidRDefault="000F409E" w:rsidP="000F409E">
      <w:pPr>
        <w:pStyle w:val="BodyTextIndent"/>
        <w:tabs>
          <w:tab w:val="left" w:pos="540"/>
        </w:tabs>
        <w:ind w:left="450" w:right="118" w:hanging="450"/>
        <w:rPr>
          <w:kern w:val="0"/>
          <w:sz w:val="28"/>
          <w:lang w:val="en-GB"/>
        </w:rPr>
      </w:pPr>
    </w:p>
    <w:p w:rsidR="000F409E" w:rsidRPr="00055D39" w:rsidRDefault="000F409E" w:rsidP="00055D39">
      <w:pPr>
        <w:pStyle w:val="BodyTextIndent"/>
        <w:tabs>
          <w:tab w:val="left" w:pos="540"/>
        </w:tabs>
        <w:ind w:left="450" w:right="118" w:hanging="450"/>
        <w:rPr>
          <w:kern w:val="0"/>
          <w:sz w:val="28"/>
          <w:lang w:val="en-GB"/>
        </w:rPr>
      </w:pPr>
      <w:r w:rsidRPr="0029499A">
        <w:rPr>
          <w:kern w:val="0"/>
          <w:sz w:val="28"/>
          <w:lang w:val="en-GB"/>
        </w:rPr>
        <w:t>Mr Benjamin Yu SC</w:t>
      </w:r>
      <w:r>
        <w:rPr>
          <w:kern w:val="0"/>
          <w:sz w:val="28"/>
          <w:lang w:val="en-GB"/>
        </w:rPr>
        <w:t xml:space="preserve">, </w:t>
      </w:r>
      <w:r w:rsidRPr="0029499A">
        <w:rPr>
          <w:kern w:val="0"/>
          <w:sz w:val="28"/>
          <w:lang w:val="en-GB"/>
        </w:rPr>
        <w:t xml:space="preserve">Mr Jenkin </w:t>
      </w:r>
      <w:proofErr w:type="spellStart"/>
      <w:r w:rsidRPr="0029499A">
        <w:rPr>
          <w:kern w:val="0"/>
          <w:sz w:val="28"/>
          <w:lang w:val="en-GB"/>
        </w:rPr>
        <w:t>Suen</w:t>
      </w:r>
      <w:proofErr w:type="spellEnd"/>
      <w:r w:rsidRPr="0029499A">
        <w:rPr>
          <w:kern w:val="0"/>
          <w:sz w:val="28"/>
          <w:lang w:val="en-GB"/>
        </w:rPr>
        <w:t xml:space="preserve"> SC instructed by, Ms Crystal Chan, SPP of and Mr Peter Dong instructed by </w:t>
      </w:r>
      <w:r>
        <w:rPr>
          <w:kern w:val="0"/>
          <w:sz w:val="28"/>
          <w:lang w:val="en-GB"/>
        </w:rPr>
        <w:t xml:space="preserve">the </w:t>
      </w:r>
      <w:r w:rsidRPr="0029499A">
        <w:rPr>
          <w:kern w:val="0"/>
          <w:sz w:val="28"/>
          <w:lang w:val="en-GB"/>
        </w:rPr>
        <w:t>Department of Justice, for the Respondent</w:t>
      </w:r>
    </w:p>
    <w:sectPr w:rsidR="000F409E" w:rsidRPr="00055D39" w:rsidSect="00C152D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3B1" w:rsidRDefault="008473B1" w:rsidP="00CC0407">
      <w:pPr>
        <w:spacing w:after="0" w:line="240" w:lineRule="auto"/>
      </w:pPr>
      <w:r>
        <w:separator/>
      </w:r>
    </w:p>
  </w:endnote>
  <w:endnote w:type="continuationSeparator" w:id="0">
    <w:p w:rsidR="008473B1" w:rsidRDefault="008473B1"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BC1" w:rsidRDefault="003A3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BC1" w:rsidRDefault="003A3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BC1" w:rsidRDefault="003A3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3B1" w:rsidRDefault="008473B1" w:rsidP="00CC0407">
      <w:pPr>
        <w:spacing w:after="0" w:line="240" w:lineRule="auto"/>
      </w:pPr>
      <w:r>
        <w:separator/>
      </w:r>
    </w:p>
  </w:footnote>
  <w:footnote w:type="continuationSeparator" w:id="0">
    <w:p w:rsidR="008473B1" w:rsidRDefault="008473B1" w:rsidP="00CC0407">
      <w:pPr>
        <w:spacing w:after="0" w:line="240" w:lineRule="auto"/>
      </w:pPr>
      <w:r>
        <w:continuationSeparator/>
      </w:r>
    </w:p>
  </w:footnote>
  <w:footnote w:id="1">
    <w:p w:rsidR="008E2D48" w:rsidRPr="007B5FAD" w:rsidRDefault="008E2D48" w:rsidP="000F409E">
      <w:pPr>
        <w:pStyle w:val="FootnoteText"/>
        <w:tabs>
          <w:tab w:val="left" w:pos="360"/>
        </w:tabs>
        <w:ind w:left="360" w:hanging="360"/>
        <w:rPr>
          <w:lang w:val="en-GB"/>
        </w:rPr>
      </w:pPr>
      <w:r w:rsidRPr="007B5FAD">
        <w:rPr>
          <w:rStyle w:val="FootnoteReference"/>
          <w:lang w:val="en-GB"/>
        </w:rPr>
        <w:footnoteRef/>
      </w:r>
      <w:r w:rsidRPr="007B5FAD">
        <w:rPr>
          <w:lang w:val="en-GB"/>
        </w:rPr>
        <w:t xml:space="preserve"> </w:t>
      </w:r>
      <w:r w:rsidRPr="007B5FAD">
        <w:rPr>
          <w:lang w:val="en-GB"/>
        </w:rPr>
        <w:tab/>
        <w:t>Cap 455.</w:t>
      </w:r>
    </w:p>
  </w:footnote>
  <w:footnote w:id="2">
    <w:p w:rsidR="008E2D48" w:rsidRPr="007B5FAD" w:rsidRDefault="008E2D48" w:rsidP="000F409E">
      <w:pPr>
        <w:pStyle w:val="FootnoteText"/>
        <w:tabs>
          <w:tab w:val="left" w:pos="360"/>
        </w:tabs>
        <w:ind w:left="360" w:hanging="360"/>
        <w:rPr>
          <w:lang w:val="en-GB"/>
        </w:rPr>
      </w:pPr>
      <w:r w:rsidRPr="007B5FAD">
        <w:rPr>
          <w:rStyle w:val="FootnoteReference"/>
          <w:lang w:val="en-GB"/>
        </w:rPr>
        <w:footnoteRef/>
      </w:r>
      <w:r w:rsidRPr="007B5FAD">
        <w:rPr>
          <w:lang w:val="en-GB"/>
        </w:rPr>
        <w:t xml:space="preserve"> </w:t>
      </w:r>
      <w:r w:rsidRPr="007B5FAD">
        <w:rPr>
          <w:lang w:val="en-GB"/>
        </w:rPr>
        <w:tab/>
      </w:r>
      <w:r>
        <w:rPr>
          <w:lang w:val="en-GB"/>
        </w:rPr>
        <w:t xml:space="preserve">Contrary to </w:t>
      </w:r>
      <w:r w:rsidRPr="007B5FAD">
        <w:rPr>
          <w:lang w:val="en-GB"/>
        </w:rPr>
        <w:t>the Securities and Futures Ordinance (Cap 571).</w:t>
      </w:r>
    </w:p>
  </w:footnote>
  <w:footnote w:id="3">
    <w:p w:rsidR="008E2D48" w:rsidRPr="007B5FAD" w:rsidRDefault="008E2D48" w:rsidP="000F409E">
      <w:pPr>
        <w:pStyle w:val="FootnoteText"/>
        <w:tabs>
          <w:tab w:val="left" w:pos="360"/>
        </w:tabs>
        <w:ind w:left="360" w:hanging="360"/>
        <w:rPr>
          <w:lang w:val="en-GB"/>
        </w:rPr>
      </w:pPr>
      <w:r w:rsidRPr="007B5FAD">
        <w:rPr>
          <w:rStyle w:val="FootnoteReference"/>
          <w:lang w:val="en-GB"/>
        </w:rPr>
        <w:footnoteRef/>
      </w:r>
      <w:r w:rsidRPr="007B5FAD">
        <w:rPr>
          <w:lang w:val="en-GB"/>
        </w:rPr>
        <w:t xml:space="preserve"> </w:t>
      </w:r>
      <w:r w:rsidRPr="007B5FAD">
        <w:rPr>
          <w:lang w:val="en-GB"/>
        </w:rPr>
        <w:tab/>
        <w:t xml:space="preserve">Bank of China Hong Kong, Bank of East Asia, the </w:t>
      </w:r>
      <w:proofErr w:type="spellStart"/>
      <w:r w:rsidRPr="007B5FAD">
        <w:rPr>
          <w:lang w:val="en-GB"/>
        </w:rPr>
        <w:t>Hongkong</w:t>
      </w:r>
      <w:proofErr w:type="spellEnd"/>
      <w:r w:rsidRPr="007B5FAD">
        <w:rPr>
          <w:lang w:val="en-GB"/>
        </w:rPr>
        <w:t xml:space="preserve"> and Shanghai Banking Corporation and Hang Seng Bank.</w:t>
      </w:r>
    </w:p>
  </w:footnote>
  <w:footnote w:id="4">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00EA0002">
        <w:rPr>
          <w:lang w:val="en-GB"/>
        </w:rPr>
        <w:t xml:space="preserve"> </w:t>
      </w:r>
      <w:r w:rsidR="00EA0002">
        <w:rPr>
          <w:lang w:val="en-GB"/>
        </w:rPr>
        <w:tab/>
        <w:t>[2022</w:t>
      </w:r>
      <w:r w:rsidRPr="007B5FAD">
        <w:rPr>
          <w:lang w:val="en-GB"/>
        </w:rPr>
        <w:t xml:space="preserve">] </w:t>
      </w:r>
      <w:r w:rsidR="00EA0002">
        <w:rPr>
          <w:lang w:val="en-GB"/>
        </w:rPr>
        <w:t>1 HKLRD</w:t>
      </w:r>
      <w:r w:rsidRPr="007B5FAD">
        <w:rPr>
          <w:lang w:val="en-GB"/>
        </w:rPr>
        <w:t xml:space="preserve"> </w:t>
      </w:r>
      <w:r w:rsidR="00EA0002">
        <w:rPr>
          <w:lang w:val="en-GB"/>
        </w:rPr>
        <w:t>480</w:t>
      </w:r>
      <w:r w:rsidRPr="007B5FAD">
        <w:rPr>
          <w:lang w:val="en-GB"/>
        </w:rPr>
        <w:t>.</w:t>
      </w:r>
    </w:p>
  </w:footnote>
  <w:footnote w:id="5">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r>
      <w:r w:rsidR="008251C7">
        <w:rPr>
          <w:lang w:val="en-GB"/>
        </w:rPr>
        <w:t xml:space="preserve">Cheung, Yuen and G Lam JJA </w:t>
      </w:r>
      <w:r w:rsidRPr="007B5FAD">
        <w:rPr>
          <w:lang w:val="en-GB"/>
        </w:rPr>
        <w:t xml:space="preserve">[2023] </w:t>
      </w:r>
      <w:r w:rsidR="00EA0002">
        <w:rPr>
          <w:lang w:val="en-GB"/>
        </w:rPr>
        <w:t>2 HKLRD 839</w:t>
      </w:r>
      <w:r w:rsidR="008251C7">
        <w:rPr>
          <w:lang w:val="en-GB"/>
        </w:rPr>
        <w:t>, G Lam JA giving the judgment of the Court</w:t>
      </w:r>
      <w:r w:rsidRPr="007B5FAD">
        <w:rPr>
          <w:lang w:val="en-GB"/>
        </w:rPr>
        <w:t>.</w:t>
      </w:r>
    </w:p>
  </w:footnote>
  <w:footnote w:id="6">
    <w:p w:rsidR="008E2D48" w:rsidRPr="007B5FAD" w:rsidRDefault="008E2D48" w:rsidP="000F409E">
      <w:pPr>
        <w:pStyle w:val="FootnoteText"/>
        <w:tabs>
          <w:tab w:val="left" w:pos="360"/>
        </w:tabs>
        <w:rPr>
          <w:lang w:val="en-GB"/>
        </w:rPr>
      </w:pPr>
      <w:r w:rsidRPr="007B5FAD">
        <w:rPr>
          <w:rStyle w:val="FootnoteReference"/>
          <w:lang w:val="en-GB"/>
        </w:rPr>
        <w:footnoteRef/>
      </w:r>
      <w:r w:rsidRPr="007B5FAD">
        <w:rPr>
          <w:lang w:val="en-GB" w:eastAsia="zh-TW"/>
        </w:rPr>
        <w:t xml:space="preserve"> </w:t>
      </w:r>
      <w:r w:rsidRPr="007B5FAD">
        <w:rPr>
          <w:lang w:val="en-GB" w:eastAsia="zh-TW"/>
        </w:rPr>
        <w:tab/>
        <w:t>[2023] HKCA 959.</w:t>
      </w:r>
    </w:p>
  </w:footnote>
  <w:footnote w:id="7">
    <w:p w:rsidR="008E2D48" w:rsidRPr="007B5FAD" w:rsidRDefault="008E2D48" w:rsidP="000F409E">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[2019] 1 HKLRD 892 (“</w:t>
      </w:r>
      <w:proofErr w:type="spellStart"/>
      <w:r w:rsidRPr="007B5FAD">
        <w:rPr>
          <w:i/>
          <w:u w:val="single"/>
          <w:lang w:val="en-GB"/>
        </w:rPr>
        <w:t>Interush</w:t>
      </w:r>
      <w:proofErr w:type="spellEnd"/>
      <w:r w:rsidRPr="007B5FAD">
        <w:rPr>
          <w:lang w:val="en-GB"/>
        </w:rPr>
        <w:t>”).</w:t>
      </w:r>
    </w:p>
  </w:footnote>
  <w:footnote w:id="8">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 xml:space="preserve">at §1.1.  The applicants also sought to mount what were referred to as fact-specific constitutional challenges to decisions to withhold consent to proposed dealing with the relevant property.  </w:t>
      </w:r>
    </w:p>
  </w:footnote>
  <w:footnote w:id="9">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r>
      <w:r w:rsidRPr="007B5FAD">
        <w:rPr>
          <w:i/>
          <w:lang w:val="en-GB"/>
        </w:rPr>
        <w:t xml:space="preserve">Ibid </w:t>
      </w:r>
      <w:r w:rsidRPr="007B5FAD">
        <w:rPr>
          <w:lang w:val="en-GB"/>
        </w:rPr>
        <w:t xml:space="preserve">at </w:t>
      </w:r>
      <w:r w:rsidRPr="007B5FAD">
        <w:rPr>
          <w:lang w:val="en-GB" w:eastAsia="zh-TW"/>
        </w:rPr>
        <w:t>§6.27.</w:t>
      </w:r>
    </w:p>
  </w:footnote>
  <w:footnote w:id="10">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At §145.</w:t>
      </w:r>
    </w:p>
  </w:footnote>
  <w:footnote w:id="11">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eastAsia="zh-TW"/>
        </w:rPr>
        <w:t xml:space="preserve"> </w:t>
      </w:r>
      <w:r w:rsidRPr="007B5FAD">
        <w:rPr>
          <w:lang w:val="en-GB" w:eastAsia="zh-TW"/>
        </w:rPr>
        <w:tab/>
        <w:t>[2023] HKCA 959 at §9.</w:t>
      </w:r>
      <w:r w:rsidRPr="007B5FAD">
        <w:rPr>
          <w:lang w:val="en-GB"/>
        </w:rPr>
        <w:t xml:space="preserve"> </w:t>
      </w:r>
    </w:p>
  </w:footnote>
  <w:footnote w:id="12">
    <w:p w:rsidR="008E2D48" w:rsidRPr="007B5FAD" w:rsidRDefault="008E2D48" w:rsidP="000F409E">
      <w:pPr>
        <w:pStyle w:val="FootnoteText"/>
        <w:tabs>
          <w:tab w:val="left" w:pos="360"/>
        </w:tabs>
        <w:rPr>
          <w:lang w:val="en-GB"/>
        </w:rPr>
      </w:pPr>
      <w:r w:rsidRPr="007B5FAD">
        <w:rPr>
          <w:rStyle w:val="FootnoteReference"/>
          <w:lang w:val="en-GB"/>
        </w:rPr>
        <w:footnoteRef/>
      </w:r>
      <w:r w:rsidRPr="007B5FAD">
        <w:rPr>
          <w:lang w:val="en-GB" w:eastAsia="zh-TW"/>
        </w:rPr>
        <w:t xml:space="preserve"> </w:t>
      </w:r>
      <w:r w:rsidRPr="007B5FAD">
        <w:rPr>
          <w:lang w:val="en-GB" w:eastAsia="zh-TW"/>
        </w:rPr>
        <w:tab/>
      </w:r>
      <w:r>
        <w:rPr>
          <w:lang w:val="en-GB" w:eastAsia="zh-TW"/>
        </w:rPr>
        <w:t>See Appellants’ Supplemental Case, ASC§§12-15.</w:t>
      </w:r>
    </w:p>
  </w:footnote>
  <w:footnote w:id="13">
    <w:p w:rsidR="008E2D48" w:rsidRPr="007B5FAD" w:rsidRDefault="008E2D48" w:rsidP="000F409E">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Amended Form 86</w:t>
      </w:r>
      <w:r w:rsidR="00051BCA">
        <w:rPr>
          <w:lang w:val="en-GB"/>
        </w:rPr>
        <w:t>,</w:t>
      </w:r>
      <w:r w:rsidRPr="007B5FAD">
        <w:rPr>
          <w:lang w:val="en-GB"/>
        </w:rPr>
        <w:t xml:space="preserve"> at §§58-64.</w:t>
      </w:r>
    </w:p>
  </w:footnote>
  <w:footnote w:id="14">
    <w:p w:rsidR="008E2D48" w:rsidRPr="007B5FAD" w:rsidRDefault="008E2D48" w:rsidP="000F409E">
      <w:pPr>
        <w:pStyle w:val="FootnoteText"/>
        <w:tabs>
          <w:tab w:val="left" w:pos="360"/>
        </w:tabs>
        <w:rPr>
          <w:lang w:val="en-GB"/>
        </w:rPr>
      </w:pPr>
      <w:r w:rsidRPr="007B5FAD">
        <w:rPr>
          <w:rStyle w:val="FootnoteReference"/>
          <w:lang w:val="en-GB"/>
        </w:rPr>
        <w:footnoteRef/>
      </w:r>
      <w:r w:rsidR="003F152B">
        <w:rPr>
          <w:lang w:val="en-GB"/>
        </w:rPr>
        <w:t xml:space="preserve"> </w:t>
      </w:r>
      <w:r w:rsidR="003F152B">
        <w:rPr>
          <w:lang w:val="en-GB"/>
        </w:rPr>
        <w:tab/>
        <w:t>Amended Form 86</w:t>
      </w:r>
      <w:r w:rsidR="00051BCA">
        <w:rPr>
          <w:lang w:val="en-GB"/>
        </w:rPr>
        <w:t>,</w:t>
      </w:r>
      <w:r w:rsidR="003F152B">
        <w:rPr>
          <w:lang w:val="en-GB"/>
        </w:rPr>
        <w:t xml:space="preserve"> at</w:t>
      </w:r>
      <w:r w:rsidRPr="007B5FAD">
        <w:rPr>
          <w:lang w:val="en-GB"/>
        </w:rPr>
        <w:t xml:space="preserve"> §§108-109.</w:t>
      </w:r>
    </w:p>
  </w:footnote>
  <w:footnote w:id="15">
    <w:p w:rsidR="00456AAF" w:rsidRPr="00E64441" w:rsidRDefault="00456AAF"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E64441">
        <w:rPr>
          <w:lang w:val="en-GB"/>
        </w:rPr>
        <w:t xml:space="preserve">The international conventions, the introduction of anti-money laundering legislation and issues arising in our courts are reviewed in the </w:t>
      </w:r>
      <w:r>
        <w:rPr>
          <w:lang w:val="en-GB"/>
        </w:rPr>
        <w:t xml:space="preserve">Speech of Mr Justice </w:t>
      </w:r>
      <w:proofErr w:type="spellStart"/>
      <w:r>
        <w:rPr>
          <w:lang w:val="en-GB"/>
        </w:rPr>
        <w:t>Fok</w:t>
      </w:r>
      <w:proofErr w:type="spellEnd"/>
      <w:r>
        <w:rPr>
          <w:lang w:val="en-GB"/>
        </w:rPr>
        <w:t xml:space="preserve"> PJ at the </w:t>
      </w:r>
      <w:r w:rsidRPr="00456AAF">
        <w:rPr>
          <w:lang w:val="en-GB"/>
        </w:rPr>
        <w:t>Hong Kong University/UCL/Peking University</w:t>
      </w:r>
      <w:r>
        <w:rPr>
          <w:lang w:val="en-GB"/>
        </w:rPr>
        <w:t xml:space="preserve">, </w:t>
      </w:r>
      <w:r w:rsidRPr="00456AAF">
        <w:rPr>
          <w:lang w:val="en-GB"/>
        </w:rPr>
        <w:t>Third Rule of Law Conference</w:t>
      </w:r>
      <w:r>
        <w:rPr>
          <w:lang w:val="en-GB"/>
        </w:rPr>
        <w:t xml:space="preserve"> (2015)</w:t>
      </w:r>
      <w:r w:rsidRPr="00E64441">
        <w:rPr>
          <w:lang w:val="en-GB"/>
        </w:rPr>
        <w:t>, https://www.hkcfa.hk/filemanager/engagement/en/upload/23/Development%20of%20the%20law%20in%20Hong%20Kong%20on%20Money%20Laundering.pdf.</w:t>
      </w:r>
    </w:p>
  </w:footnote>
  <w:footnote w:id="16">
    <w:p w:rsidR="00294B0B" w:rsidRPr="00E64441" w:rsidRDefault="00294B0B" w:rsidP="000F409E">
      <w:pPr>
        <w:pStyle w:val="FootnoteText"/>
        <w:tabs>
          <w:tab w:val="left" w:pos="360"/>
        </w:tabs>
        <w:ind w:left="360" w:hanging="360"/>
        <w:jc w:val="both"/>
        <w:rPr>
          <w:lang w:val="en-GB"/>
        </w:rPr>
      </w:pPr>
      <w:r w:rsidRPr="00E64441">
        <w:rPr>
          <w:rStyle w:val="FootnoteReference"/>
        </w:rPr>
        <w:footnoteRef/>
      </w:r>
      <w:r w:rsidRPr="00E64441">
        <w:t xml:space="preserve"> </w:t>
      </w:r>
      <w:r w:rsidRPr="00E64441">
        <w:rPr>
          <w:lang w:val="en-GB"/>
        </w:rPr>
        <w:tab/>
        <w:t>Initially applied to Hong Kong by the United Kingdom in 1991 and by the People’s Republic of China as notified to the UN Secretary-General in June 1997.</w:t>
      </w:r>
    </w:p>
  </w:footnote>
  <w:footnote w:id="17">
    <w:p w:rsidR="00EE7A28" w:rsidRPr="00E64441" w:rsidRDefault="00EE7A28" w:rsidP="000F409E">
      <w:pPr>
        <w:pStyle w:val="FootnoteText"/>
        <w:tabs>
          <w:tab w:val="left" w:pos="360"/>
        </w:tabs>
        <w:ind w:left="360" w:hanging="360"/>
        <w:jc w:val="both"/>
        <w:rPr>
          <w:lang w:val="en-GB"/>
        </w:rPr>
      </w:pPr>
      <w:r w:rsidRPr="00E64441">
        <w:rPr>
          <w:rStyle w:val="FootnoteReference"/>
        </w:rPr>
        <w:footnoteRef/>
      </w:r>
      <w:r w:rsidRPr="00E64441">
        <w:t xml:space="preserve"> </w:t>
      </w:r>
      <w:r w:rsidRPr="00E64441">
        <w:rPr>
          <w:lang w:val="en-GB"/>
        </w:rPr>
        <w:tab/>
        <w:t>Vienna Convention Art 3.</w:t>
      </w:r>
    </w:p>
  </w:footnote>
  <w:footnote w:id="18">
    <w:p w:rsidR="00EE7A28" w:rsidRPr="00EE7A28" w:rsidRDefault="00EE7A28" w:rsidP="000F409E">
      <w:pPr>
        <w:pStyle w:val="FootnoteText"/>
        <w:tabs>
          <w:tab w:val="left" w:pos="360"/>
        </w:tabs>
        <w:ind w:left="360" w:hanging="360"/>
        <w:jc w:val="both"/>
        <w:rPr>
          <w:lang w:val="en-GB"/>
        </w:rPr>
      </w:pPr>
      <w:r w:rsidRPr="00E64441">
        <w:rPr>
          <w:rStyle w:val="FootnoteReference"/>
        </w:rPr>
        <w:footnoteRef/>
      </w:r>
      <w:r w:rsidRPr="00E64441">
        <w:t xml:space="preserve"> </w:t>
      </w:r>
      <w:r w:rsidRPr="00E64441">
        <w:rPr>
          <w:lang w:val="en-GB"/>
        </w:rPr>
        <w:tab/>
        <w:t>Vienna Convention Art 5</w:t>
      </w:r>
      <w:r>
        <w:rPr>
          <w:lang w:val="en-GB"/>
        </w:rPr>
        <w:t>.</w:t>
      </w:r>
    </w:p>
  </w:footnote>
  <w:footnote w:id="19">
    <w:p w:rsidR="00456AAF" w:rsidRPr="00456AAF" w:rsidRDefault="00456AAF" w:rsidP="000F409E">
      <w:pPr>
        <w:pStyle w:val="FootnoteText"/>
        <w:tabs>
          <w:tab w:val="left" w:pos="360"/>
        </w:tabs>
        <w:ind w:left="360" w:hanging="360"/>
        <w:jc w:val="both"/>
        <w:rPr>
          <w:lang w:val="en-GB"/>
        </w:rPr>
      </w:pPr>
      <w:r>
        <w:rPr>
          <w:rStyle w:val="FootnoteReference"/>
        </w:rPr>
        <w:footnoteRef/>
      </w:r>
      <w:r>
        <w:t xml:space="preserve"> </w:t>
      </w:r>
      <w:r>
        <w:rPr>
          <w:lang w:val="en-GB"/>
        </w:rPr>
        <w:tab/>
        <w:t>Extended to the HKSAR by the People’s Republic of China on 27 September 2006.</w:t>
      </w:r>
    </w:p>
  </w:footnote>
  <w:footnote w:id="20">
    <w:p w:rsidR="005233ED" w:rsidRPr="005233ED" w:rsidRDefault="005233ED" w:rsidP="000F409E">
      <w:pPr>
        <w:pStyle w:val="FootnoteText"/>
        <w:tabs>
          <w:tab w:val="left" w:pos="360"/>
        </w:tabs>
        <w:ind w:left="360" w:hanging="360"/>
        <w:jc w:val="both"/>
        <w:rPr>
          <w:lang w:val="en-GB"/>
        </w:rPr>
      </w:pPr>
      <w:r>
        <w:rPr>
          <w:rStyle w:val="FootnoteReference"/>
        </w:rPr>
        <w:footnoteRef/>
      </w:r>
      <w:r>
        <w:t xml:space="preserve"> </w:t>
      </w:r>
      <w:r>
        <w:rPr>
          <w:lang w:val="en-GB"/>
        </w:rPr>
        <w:tab/>
        <w:t>Extended to the HKSAR in January 2006.</w:t>
      </w:r>
    </w:p>
  </w:footnote>
  <w:footnote w:id="21">
    <w:p w:rsidR="005233ED" w:rsidRPr="005233ED" w:rsidRDefault="005233ED" w:rsidP="000F409E">
      <w:pPr>
        <w:pStyle w:val="FootnoteText"/>
        <w:tabs>
          <w:tab w:val="left" w:pos="360"/>
        </w:tabs>
        <w:ind w:left="360" w:hanging="360"/>
        <w:jc w:val="both"/>
        <w:rPr>
          <w:lang w:val="en-GB"/>
        </w:rPr>
      </w:pPr>
      <w:r>
        <w:rPr>
          <w:rStyle w:val="FootnoteReference"/>
        </w:rPr>
        <w:footnoteRef/>
      </w:r>
      <w:r>
        <w:t xml:space="preserve"> </w:t>
      </w:r>
      <w:r>
        <w:rPr>
          <w:lang w:val="en-GB"/>
        </w:rPr>
        <w:tab/>
        <w:t>Palermo Convention Arts 6, 7 and 12; UNCAC Arts 14, 23, 24 and 31.</w:t>
      </w:r>
    </w:p>
  </w:footnote>
  <w:footnote w:id="22">
    <w:p w:rsidR="008E2D48" w:rsidRPr="00E0719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Pr="00D26C91">
        <w:t>Drug Trafficking (Recovery of Proceeds) Ordinance (Cap 405)</w:t>
      </w:r>
      <w:r>
        <w:t>.</w:t>
      </w:r>
      <w:r w:rsidR="009A1D9C">
        <w:t xml:space="preserve">  In an earlier version, enacted in 1989, this Ordinance was the first </w:t>
      </w:r>
      <w:r w:rsidR="009A1D9C">
        <w:rPr>
          <w:lang w:val="en-GB"/>
        </w:rPr>
        <w:t xml:space="preserve">anti-money laundering </w:t>
      </w:r>
      <w:r w:rsidR="009A1D9C">
        <w:t>enactment implementing Hong Kong’s adhesion to the Vienna Convention.</w:t>
      </w:r>
    </w:p>
  </w:footnote>
  <w:footnote w:id="23">
    <w:p w:rsidR="008E2D48" w:rsidRPr="00E0719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Pr="00D26C91">
        <w:t>United Nations (Anti-Terroris</w:t>
      </w:r>
      <w:r>
        <w:t>m Measures) Ordinance (Cap 575).</w:t>
      </w:r>
    </w:p>
  </w:footnote>
  <w:footnote w:id="24">
    <w:p w:rsidR="008E2D48" w:rsidRPr="00E0719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Pr="00D26C91">
        <w:t>Weapons of Mass Destruction (Control of Provision of Services) Ordinance (Cap 526)</w:t>
      </w:r>
      <w:r>
        <w:t>.</w:t>
      </w:r>
    </w:p>
  </w:footnote>
  <w:footnote w:id="25">
    <w:p w:rsidR="008E2D48" w:rsidRPr="00E0719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Pr="00D26C91">
        <w:t>United Nations Sanctions Ordinance (Cap 537)</w:t>
      </w:r>
      <w:r>
        <w:t>.</w:t>
      </w:r>
    </w:p>
  </w:footnote>
  <w:footnote w:id="26">
    <w:p w:rsidR="00D9682F" w:rsidRPr="00D9682F" w:rsidRDefault="00D9682F" w:rsidP="000F409E">
      <w:pPr>
        <w:pStyle w:val="FootnoteText"/>
        <w:tabs>
          <w:tab w:val="left" w:pos="360"/>
        </w:tabs>
        <w:ind w:left="360" w:hanging="360"/>
        <w:jc w:val="both"/>
        <w:rPr>
          <w:lang w:val="en-GB"/>
        </w:rPr>
      </w:pPr>
      <w:r>
        <w:rPr>
          <w:rStyle w:val="FootnoteReference"/>
        </w:rPr>
        <w:footnoteRef/>
      </w:r>
      <w:r>
        <w:t xml:space="preserve"> </w:t>
      </w:r>
      <w:r>
        <w:rPr>
          <w:lang w:val="en-GB"/>
        </w:rPr>
        <w:tab/>
        <w:t>Listed in OSCO Schedule</w:t>
      </w:r>
      <w:r w:rsidR="006D01DB">
        <w:rPr>
          <w:lang w:val="en-GB"/>
        </w:rPr>
        <w:t>s</w:t>
      </w:r>
      <w:r>
        <w:rPr>
          <w:lang w:val="en-GB"/>
        </w:rPr>
        <w:t xml:space="preserve"> 1</w:t>
      </w:r>
      <w:r w:rsidR="006D01DB">
        <w:rPr>
          <w:lang w:val="en-GB"/>
        </w:rPr>
        <w:t xml:space="preserve"> and 2</w:t>
      </w:r>
      <w:r>
        <w:rPr>
          <w:lang w:val="en-GB"/>
        </w:rPr>
        <w:t>.</w:t>
      </w:r>
    </w:p>
  </w:footnote>
  <w:footnote w:id="27">
    <w:p w:rsidR="008E2D48" w:rsidRPr="006C3F82"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 xml:space="preserve">As recognized by this Court in </w:t>
      </w:r>
      <w:r w:rsidRPr="006C3F82">
        <w:rPr>
          <w:i/>
          <w:lang w:val="en-GB"/>
        </w:rPr>
        <w:t>HKSAR v Pang Hung Fai</w:t>
      </w:r>
      <w:r>
        <w:rPr>
          <w:lang w:val="en-GB"/>
        </w:rPr>
        <w:t xml:space="preserve"> (2014) 17 HKCFAR 778 at §36.</w:t>
      </w:r>
    </w:p>
  </w:footnote>
  <w:footnote w:id="28">
    <w:p w:rsidR="008E2D48" w:rsidRPr="00937364"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At §1.13</w:t>
      </w:r>
      <w:r w:rsidR="0034232A">
        <w:rPr>
          <w:lang w:val="en-GB"/>
        </w:rPr>
        <w:t xml:space="preserve">.  </w:t>
      </w:r>
      <w:r w:rsidR="00246C99">
        <w:rPr>
          <w:lang w:val="en-GB"/>
        </w:rPr>
        <w:t xml:space="preserve">The </w:t>
      </w:r>
      <w:r w:rsidR="00A96384">
        <w:rPr>
          <w:lang w:val="en-GB"/>
        </w:rPr>
        <w:t>Guideline</w:t>
      </w:r>
      <w:r w:rsidR="0034232A">
        <w:rPr>
          <w:lang w:val="en-GB"/>
        </w:rPr>
        <w:t xml:space="preserve"> is discussed in Section D.3 below.</w:t>
      </w:r>
    </w:p>
  </w:footnote>
  <w:footnote w:id="29">
    <w:p w:rsidR="008E2D48" w:rsidRPr="00281556"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The Forty Recommendations of the Financial Action Task Force on Money Laundering (1990).</w:t>
      </w:r>
    </w:p>
  </w:footnote>
  <w:footnote w:id="30">
    <w:p w:rsidR="008E2D48" w:rsidRPr="00336960"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Pr="00336960">
        <w:rPr>
          <w:lang w:val="en-GB"/>
        </w:rPr>
        <w:t xml:space="preserve">Incorporating requirements set out in the </w:t>
      </w:r>
      <w:r w:rsidR="00294B0B">
        <w:rPr>
          <w:lang w:val="en-GB"/>
        </w:rPr>
        <w:t>Vienna Convention.</w:t>
      </w:r>
    </w:p>
  </w:footnote>
  <w:footnote w:id="31">
    <w:p w:rsidR="008E2D48" w:rsidRPr="00281556"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96384">
        <w:rPr>
          <w:lang w:val="en-GB"/>
        </w:rPr>
        <w:t>Guideline</w:t>
      </w:r>
      <w:r>
        <w:rPr>
          <w:lang w:val="en-GB"/>
        </w:rPr>
        <w:t xml:space="preserve"> §1.13.</w:t>
      </w:r>
    </w:p>
  </w:footnote>
  <w:footnote w:id="32">
    <w:p w:rsidR="008E2D48" w:rsidRPr="00395041"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Recommendations 4 and 5.</w:t>
      </w:r>
    </w:p>
  </w:footnote>
  <w:footnote w:id="33">
    <w:p w:rsidR="008E2D48" w:rsidRPr="00F0370F"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Recommendation 8.</w:t>
      </w:r>
    </w:p>
  </w:footnote>
  <w:footnote w:id="34">
    <w:p w:rsidR="008E2D48" w:rsidRPr="00DD2DE5"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Pr="00DD2DE5">
        <w:rPr>
          <w:lang w:val="en-GB"/>
        </w:rPr>
        <w:t xml:space="preserve">AMLO </w:t>
      </w:r>
      <w:r>
        <w:rPr>
          <w:lang w:val="en-GB"/>
        </w:rPr>
        <w:t xml:space="preserve">(referred to below) </w:t>
      </w:r>
      <w:r w:rsidRPr="00DD2DE5">
        <w:rPr>
          <w:lang w:val="en-GB"/>
        </w:rPr>
        <w:t xml:space="preserve">Schedule 2 also applies </w:t>
      </w:r>
      <w:r>
        <w:rPr>
          <w:lang w:val="en-GB"/>
        </w:rPr>
        <w:t xml:space="preserve">anti-money laundering measures </w:t>
      </w:r>
      <w:r w:rsidRPr="00DD2DE5">
        <w:rPr>
          <w:lang w:val="en-GB"/>
        </w:rPr>
        <w:t xml:space="preserve">to </w:t>
      </w:r>
      <w:r w:rsidR="004174FF">
        <w:rPr>
          <w:lang w:val="en-GB"/>
        </w:rPr>
        <w:t>“</w:t>
      </w:r>
      <w:r w:rsidRPr="00DD2DE5">
        <w:rPr>
          <w:lang w:val="en-GB"/>
        </w:rPr>
        <w:t>DNFBPs</w:t>
      </w:r>
      <w:r w:rsidR="004174FF">
        <w:rPr>
          <w:lang w:val="en-GB"/>
        </w:rPr>
        <w:t>”</w:t>
      </w:r>
      <w:r w:rsidRPr="00DD2DE5">
        <w:rPr>
          <w:lang w:val="en-GB"/>
        </w:rPr>
        <w:t xml:space="preserve"> (an acronym for persons in the category described as </w:t>
      </w:r>
      <w:r>
        <w:rPr>
          <w:lang w:val="en-GB"/>
        </w:rPr>
        <w:t>“</w:t>
      </w:r>
      <w:r w:rsidRPr="00DD2DE5">
        <w:rPr>
          <w:lang w:val="en-GB"/>
        </w:rPr>
        <w:t>designated non-financial businesses and professions</w:t>
      </w:r>
      <w:r>
        <w:rPr>
          <w:lang w:val="en-GB"/>
        </w:rPr>
        <w:t>”, including</w:t>
      </w:r>
      <w:r w:rsidRPr="00DD2DE5">
        <w:rPr>
          <w:lang w:val="en-GB"/>
        </w:rPr>
        <w:t xml:space="preserve"> accountants, lawyers and estate agents</w:t>
      </w:r>
      <w:r>
        <w:rPr>
          <w:lang w:val="en-GB"/>
        </w:rPr>
        <w:t>), but they are not of present concern.</w:t>
      </w:r>
    </w:p>
  </w:footnote>
  <w:footnote w:id="35">
    <w:p w:rsidR="008E2D48" w:rsidRPr="00556FCE"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Recommendations 12-14.</w:t>
      </w:r>
    </w:p>
  </w:footnote>
  <w:footnote w:id="36">
    <w:p w:rsidR="008E2D48" w:rsidRPr="001E2D40"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Recommendation 20.</w:t>
      </w:r>
    </w:p>
  </w:footnote>
  <w:footnote w:id="37">
    <w:p w:rsidR="008E2D48" w:rsidRPr="00556FCE" w:rsidRDefault="008E2D48" w:rsidP="000F409E">
      <w:pPr>
        <w:pStyle w:val="FootnoteText"/>
        <w:tabs>
          <w:tab w:val="left" w:pos="360"/>
        </w:tabs>
        <w:ind w:left="360" w:hanging="360"/>
        <w:rPr>
          <w:lang w:val="en-GB"/>
        </w:rPr>
      </w:pPr>
      <w:r>
        <w:rPr>
          <w:rStyle w:val="FootnoteReference"/>
        </w:rPr>
        <w:footnoteRef/>
      </w:r>
      <w:r>
        <w:t xml:space="preserve"> </w:t>
      </w:r>
      <w:r>
        <w:rPr>
          <w:lang w:val="en-GB"/>
        </w:rPr>
        <w:tab/>
        <w:t>Recommendation 15.</w:t>
      </w:r>
    </w:p>
  </w:footnote>
  <w:footnote w:id="38">
    <w:p w:rsidR="008E2D48" w:rsidRPr="001E2D40" w:rsidRDefault="008E2D48" w:rsidP="000F409E">
      <w:pPr>
        <w:pStyle w:val="FootnoteText"/>
        <w:tabs>
          <w:tab w:val="left" w:pos="360"/>
        </w:tabs>
        <w:ind w:left="360" w:hanging="360"/>
        <w:rPr>
          <w:lang w:val="en-GB"/>
        </w:rPr>
      </w:pPr>
      <w:r>
        <w:rPr>
          <w:rStyle w:val="FootnoteReference"/>
        </w:rPr>
        <w:footnoteRef/>
      </w:r>
      <w:r>
        <w:t xml:space="preserve"> </w:t>
      </w:r>
      <w:r>
        <w:rPr>
          <w:lang w:val="en-GB"/>
        </w:rPr>
        <w:tab/>
        <w:t>Recommendations 16-18.</w:t>
      </w:r>
    </w:p>
  </w:footnote>
  <w:footnote w:id="39">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eastAsia="zh-TW"/>
        </w:rPr>
        <w:t xml:space="preserve"> </w:t>
      </w:r>
      <w:r w:rsidRPr="007B5FAD">
        <w:rPr>
          <w:lang w:val="en-GB" w:eastAsia="zh-TW"/>
        </w:rPr>
        <w:tab/>
        <w:t>Punishable on conviction on indictment to a fine of $5,000,000 and to imprisonment for 14 years; or on summary conviction to a fine of $500,000 and to imprisonment for 3 years.</w:t>
      </w:r>
    </w:p>
  </w:footnote>
  <w:footnote w:id="40">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eastAsia="zh-TW"/>
        </w:rPr>
        <w:t xml:space="preserve"> </w:t>
      </w:r>
      <w:r w:rsidRPr="007B5FAD">
        <w:rPr>
          <w:lang w:val="en-GB" w:eastAsia="zh-TW"/>
        </w:rPr>
        <w:tab/>
        <w:t xml:space="preserve">Section </w:t>
      </w:r>
      <w:proofErr w:type="gramStart"/>
      <w:r w:rsidRPr="007B5FAD">
        <w:rPr>
          <w:lang w:val="en-GB" w:eastAsia="zh-TW"/>
        </w:rPr>
        <w:t>25A(</w:t>
      </w:r>
      <w:proofErr w:type="gramEnd"/>
      <w:r w:rsidRPr="007B5FAD">
        <w:rPr>
          <w:lang w:val="en-GB" w:eastAsia="zh-TW"/>
        </w:rPr>
        <w:t>7): “A person who contravenes subsection (1) commits an offence and is liable on conviction to a fine at level 5 and to imprisonment for 3 months.”</w:t>
      </w:r>
    </w:p>
  </w:footnote>
  <w:footnote w:id="41">
    <w:p w:rsidR="00853798" w:rsidRPr="00853798" w:rsidRDefault="00853798" w:rsidP="000F409E">
      <w:pPr>
        <w:pStyle w:val="FootnoteText"/>
        <w:tabs>
          <w:tab w:val="left" w:pos="360"/>
        </w:tabs>
        <w:ind w:left="360" w:hanging="360"/>
        <w:jc w:val="both"/>
        <w:rPr>
          <w:lang w:val="en-GB"/>
        </w:rPr>
      </w:pPr>
      <w:r>
        <w:rPr>
          <w:rStyle w:val="FootnoteReference"/>
        </w:rPr>
        <w:footnoteRef/>
      </w:r>
      <w:r>
        <w:t xml:space="preserve"> </w:t>
      </w:r>
      <w:r>
        <w:rPr>
          <w:lang w:val="en-GB"/>
        </w:rPr>
        <w:tab/>
        <w:t>There is no evidence before the Court of the terms of the customer contracts entered into by the appellants.  But common experience suggests that such contracts are likely to contain terms protecting banks against liability where they are acting in accordance with their statutory and regulatory obligations.</w:t>
      </w:r>
    </w:p>
  </w:footnote>
  <w:footnote w:id="42">
    <w:p w:rsidR="008E2D48" w:rsidRPr="00F00958"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 xml:space="preserve">As discussed in </w:t>
      </w:r>
      <w:r w:rsidRPr="00F00958">
        <w:rPr>
          <w:i/>
          <w:lang w:val="en-GB"/>
        </w:rPr>
        <w:t>SJ v Tam Kit-I</w:t>
      </w:r>
      <w:r w:rsidRPr="00F00958">
        <w:rPr>
          <w:lang w:val="en-GB"/>
        </w:rPr>
        <w:t xml:space="preserve"> (2023) 26 HKCFAR 63</w:t>
      </w:r>
      <w:r>
        <w:rPr>
          <w:lang w:val="en-GB"/>
        </w:rPr>
        <w:t>.</w:t>
      </w:r>
    </w:p>
  </w:footnote>
  <w:footnote w:id="43">
    <w:p w:rsidR="008E2D48" w:rsidRPr="000A1726"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 14(1</w:t>
      </w:r>
      <w:proofErr w:type="gramStart"/>
      <w:r>
        <w:rPr>
          <w:lang w:val="en-GB"/>
        </w:rPr>
        <w:t>)(</w:t>
      </w:r>
      <w:proofErr w:type="gramEnd"/>
      <w:r>
        <w:rPr>
          <w:lang w:val="en-GB"/>
        </w:rPr>
        <w:t>a).</w:t>
      </w:r>
    </w:p>
  </w:footnote>
  <w:footnote w:id="44">
    <w:p w:rsidR="008E2D48" w:rsidRPr="000A1726"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 2(15).</w:t>
      </w:r>
    </w:p>
  </w:footnote>
  <w:footnote w:id="45">
    <w:p w:rsidR="008E2D48" w:rsidRPr="000A1726"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sections 14(1</w:t>
      </w:r>
      <w:proofErr w:type="gramStart"/>
      <w:r>
        <w:rPr>
          <w:lang w:val="en-GB"/>
        </w:rPr>
        <w:t>)(</w:t>
      </w:r>
      <w:proofErr w:type="gramEnd"/>
      <w:r>
        <w:rPr>
          <w:lang w:val="en-GB"/>
        </w:rPr>
        <w:t>c)(ii) and 14(2).</w:t>
      </w:r>
    </w:p>
  </w:footnote>
  <w:footnote w:id="46">
    <w:p w:rsidR="008E2D48" w:rsidRPr="00F00958"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 14(1</w:t>
      </w:r>
      <w:proofErr w:type="gramStart"/>
      <w:r>
        <w:rPr>
          <w:lang w:val="en-GB"/>
        </w:rPr>
        <w:t>)(</w:t>
      </w:r>
      <w:proofErr w:type="spellStart"/>
      <w:proofErr w:type="gramEnd"/>
      <w:r>
        <w:rPr>
          <w:lang w:val="en-GB"/>
        </w:rPr>
        <w:t>ba</w:t>
      </w:r>
      <w:proofErr w:type="spellEnd"/>
      <w:r>
        <w:rPr>
          <w:lang w:val="en-GB"/>
        </w:rPr>
        <w:t>).</w:t>
      </w:r>
    </w:p>
  </w:footnote>
  <w:footnote w:id="47">
    <w:p w:rsidR="008E2D48" w:rsidRPr="00555B9C"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sections 14(1A), 14(1B) and 14(4).</w:t>
      </w:r>
    </w:p>
  </w:footnote>
  <w:footnote w:id="48">
    <w:p w:rsidR="008E2D48" w:rsidRPr="00F00958"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 15(4).</w:t>
      </w:r>
    </w:p>
  </w:footnote>
  <w:footnote w:id="49">
    <w:p w:rsidR="008E2D48" w:rsidRPr="00555B9C"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OSCO sections 15(5) and 15(6).  Proceedings for an offence are “concluded” as defined in section 2(16).</w:t>
      </w:r>
    </w:p>
  </w:footnote>
  <w:footnote w:id="50">
    <w:p w:rsidR="008E2D48" w:rsidRPr="002544D5"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 xml:space="preserve">OSCO section 11.  The proceeds must amount to at least </w:t>
      </w:r>
      <w:r w:rsidR="005B0CFE">
        <w:rPr>
          <w:lang w:val="en-GB"/>
        </w:rPr>
        <w:t>$</w:t>
      </w:r>
      <w:r>
        <w:rPr>
          <w:lang w:val="en-GB"/>
        </w:rPr>
        <w:t>100,000: OSCO section 8(4).</w:t>
      </w:r>
    </w:p>
  </w:footnote>
  <w:footnote w:id="51">
    <w:p w:rsidR="008E2D48" w:rsidRPr="007D2083"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 xml:space="preserve">As discussed in </w:t>
      </w:r>
      <w:r w:rsidRPr="007D2083">
        <w:rPr>
          <w:i/>
          <w:lang w:val="en-GB"/>
        </w:rPr>
        <w:t>SJ v Tam Kit-I</w:t>
      </w:r>
      <w:r w:rsidRPr="007D2083">
        <w:rPr>
          <w:lang w:val="en-GB"/>
        </w:rPr>
        <w:t xml:space="preserve"> (2023) 26 HKCFAR 63</w:t>
      </w:r>
      <w:r>
        <w:rPr>
          <w:lang w:val="en-GB"/>
        </w:rPr>
        <w:t>.</w:t>
      </w:r>
    </w:p>
  </w:footnote>
  <w:footnote w:id="52">
    <w:p w:rsidR="008E2D48" w:rsidRPr="004C604B"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Cap 615.</w:t>
      </w:r>
    </w:p>
  </w:footnote>
  <w:footnote w:id="53">
    <w:p w:rsidR="0083156F" w:rsidRPr="0043209D" w:rsidRDefault="0083156F" w:rsidP="000F409E">
      <w:pPr>
        <w:pStyle w:val="FootnoteText"/>
        <w:tabs>
          <w:tab w:val="left" w:pos="360"/>
        </w:tabs>
        <w:ind w:left="360" w:hanging="360"/>
        <w:jc w:val="both"/>
        <w:rPr>
          <w:lang w:val="en-GB"/>
        </w:rPr>
      </w:pPr>
      <w:r>
        <w:rPr>
          <w:rStyle w:val="FootnoteReference"/>
        </w:rPr>
        <w:footnoteRef/>
      </w:r>
      <w:r>
        <w:t xml:space="preserve"> </w:t>
      </w:r>
      <w:r>
        <w:rPr>
          <w:lang w:val="en-GB"/>
        </w:rPr>
        <w:tab/>
        <w:t>AMLO section 5(5).  This offence is punishable on conviction on indictment by a fine of $1,000,000 and imprisonment for 2 years, and on summary conviction to a fine at level 6 and imprisonment for 6 months.</w:t>
      </w:r>
    </w:p>
  </w:footnote>
  <w:footnote w:id="54">
    <w:p w:rsidR="008E2D48" w:rsidRPr="00A36A49"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Specified in AMLO section 5(11).</w:t>
      </w:r>
    </w:p>
  </w:footnote>
  <w:footnote w:id="55">
    <w:p w:rsidR="002F6D45" w:rsidRDefault="002F6D45" w:rsidP="00B37C2A">
      <w:pPr>
        <w:pStyle w:val="FootnoteText"/>
        <w:ind w:left="360" w:hanging="360"/>
        <w:rPr>
          <w:lang w:eastAsia="zh-TW"/>
        </w:rPr>
      </w:pPr>
      <w:r>
        <w:rPr>
          <w:rStyle w:val="FootnoteReference"/>
        </w:rPr>
        <w:footnoteRef/>
      </w:r>
      <w:r>
        <w:t xml:space="preserve"> </w:t>
      </w:r>
      <w:r w:rsidR="00B37C2A">
        <w:tab/>
      </w:r>
      <w:r>
        <w:rPr>
          <w:rFonts w:hint="eastAsia"/>
          <w:lang w:eastAsia="zh-TW"/>
        </w:rPr>
        <w:t>A</w:t>
      </w:r>
      <w:r w:rsidRPr="002F6D45">
        <w:rPr>
          <w:rFonts w:hint="eastAsia"/>
          <w:lang w:val="en-GB"/>
        </w:rPr>
        <w:t xml:space="preserve">MLO </w:t>
      </w:r>
      <w:proofErr w:type="spellStart"/>
      <w:r w:rsidRPr="002F6D45">
        <w:rPr>
          <w:rFonts w:hint="eastAsia"/>
          <w:lang w:val="en-GB"/>
        </w:rPr>
        <w:t>Schs</w:t>
      </w:r>
      <w:proofErr w:type="spellEnd"/>
      <w:r w:rsidRPr="002F6D45">
        <w:rPr>
          <w:rFonts w:hint="eastAsia"/>
          <w:lang w:val="en-GB"/>
        </w:rPr>
        <w:t xml:space="preserve"> 3H and 3I.</w:t>
      </w:r>
    </w:p>
  </w:footnote>
  <w:footnote w:id="56">
    <w:p w:rsidR="008E2D48" w:rsidRPr="00AF2D4F"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 xml:space="preserve">AMLO </w:t>
      </w:r>
      <w:proofErr w:type="spellStart"/>
      <w:r>
        <w:rPr>
          <w:lang w:val="en-GB"/>
        </w:rPr>
        <w:t>Sch</w:t>
      </w:r>
      <w:proofErr w:type="spellEnd"/>
      <w:r>
        <w:rPr>
          <w:lang w:val="en-GB"/>
        </w:rPr>
        <w:t xml:space="preserve"> 2, sections 3(1) and 3(4).</w:t>
      </w:r>
    </w:p>
  </w:footnote>
  <w:footnote w:id="57">
    <w:p w:rsidR="008E2D48" w:rsidRPr="00AF2D4F"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R</w:t>
      </w:r>
      <w:proofErr w:type="spellStart"/>
      <w:r>
        <w:rPr>
          <w:szCs w:val="28"/>
        </w:rPr>
        <w:t>eflecting</w:t>
      </w:r>
      <w:proofErr w:type="spellEnd"/>
      <w:r>
        <w:rPr>
          <w:szCs w:val="28"/>
        </w:rPr>
        <w:t xml:space="preserve"> FATF Recommendation 15.</w:t>
      </w:r>
    </w:p>
  </w:footnote>
  <w:footnote w:id="58">
    <w:p w:rsidR="008E2D48" w:rsidRPr="00F25C2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AMLO sections 21(1) and 21(2).</w:t>
      </w:r>
    </w:p>
  </w:footnote>
  <w:footnote w:id="59">
    <w:p w:rsidR="0034232A" w:rsidRPr="0034232A" w:rsidRDefault="0034232A" w:rsidP="000F409E">
      <w:pPr>
        <w:pStyle w:val="FootnoteText"/>
        <w:tabs>
          <w:tab w:val="left" w:pos="360"/>
        </w:tabs>
        <w:ind w:left="360" w:hanging="360"/>
        <w:jc w:val="both"/>
        <w:rPr>
          <w:lang w:val="en-GB"/>
        </w:rPr>
      </w:pPr>
      <w:r>
        <w:rPr>
          <w:rStyle w:val="FootnoteReference"/>
        </w:rPr>
        <w:footnoteRef/>
      </w:r>
      <w:r>
        <w:t xml:space="preserve"> </w:t>
      </w:r>
      <w:r>
        <w:rPr>
          <w:lang w:val="en-GB"/>
        </w:rPr>
        <w:tab/>
        <w:t>AMLO section 7.</w:t>
      </w:r>
    </w:p>
  </w:footnote>
  <w:footnote w:id="60">
    <w:p w:rsidR="008E2D48" w:rsidRPr="006B14B4"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AMLO section 7(2).</w:t>
      </w:r>
    </w:p>
  </w:footnote>
  <w:footnote w:id="61">
    <w:p w:rsidR="0034232A" w:rsidRPr="0034232A" w:rsidRDefault="0034232A" w:rsidP="000F409E">
      <w:pPr>
        <w:pStyle w:val="FootnoteText"/>
        <w:tabs>
          <w:tab w:val="left" w:pos="360"/>
        </w:tabs>
        <w:ind w:left="360" w:hanging="360"/>
        <w:jc w:val="both"/>
        <w:rPr>
          <w:lang w:val="en-GB"/>
        </w:rPr>
      </w:pPr>
      <w:r>
        <w:rPr>
          <w:rStyle w:val="FootnoteReference"/>
        </w:rPr>
        <w:footnoteRef/>
      </w:r>
      <w:r>
        <w:t xml:space="preserve"> </w:t>
      </w:r>
      <w:r>
        <w:rPr>
          <w:lang w:val="en-GB"/>
        </w:rPr>
        <w:tab/>
        <w:t>The October 2018 edition was in force at the time of the events in the present appeal.  The current version was published in May 2023.</w:t>
      </w:r>
    </w:p>
  </w:footnote>
  <w:footnote w:id="62">
    <w:p w:rsidR="005E44D3" w:rsidRPr="005E44D3" w:rsidRDefault="005E44D3"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F7BB3">
        <w:rPr>
          <w:lang w:val="en-GB"/>
        </w:rPr>
        <w:t xml:space="preserve">The </w:t>
      </w:r>
      <w:r w:rsidR="00A96384">
        <w:rPr>
          <w:lang w:val="en-GB"/>
        </w:rPr>
        <w:t>Guideline</w:t>
      </w:r>
      <w:r w:rsidR="009F12D5">
        <w:rPr>
          <w:lang w:val="en-GB"/>
        </w:rPr>
        <w:t xml:space="preserve"> generally refers to “AML/CFT”</w:t>
      </w:r>
      <w:r>
        <w:rPr>
          <w:lang w:val="en-GB"/>
        </w:rPr>
        <w:t xml:space="preserve"> </w:t>
      </w:r>
      <w:r w:rsidR="009F12D5">
        <w:rPr>
          <w:lang w:val="en-GB"/>
        </w:rPr>
        <w:t>(</w:t>
      </w:r>
      <w:r>
        <w:rPr>
          <w:lang w:val="en-GB"/>
        </w:rPr>
        <w:t>“anti-money laundering/counter-financing of terrorism”).  Citations in this judgment refer</w:t>
      </w:r>
      <w:r w:rsidR="009F12D5">
        <w:rPr>
          <w:lang w:val="en-GB"/>
        </w:rPr>
        <w:t xml:space="preserve"> simply</w:t>
      </w:r>
      <w:r>
        <w:rPr>
          <w:lang w:val="en-GB"/>
        </w:rPr>
        <w:t xml:space="preserve"> to “AML” as being of present relevance.</w:t>
      </w:r>
    </w:p>
  </w:footnote>
  <w:footnote w:id="63">
    <w:p w:rsidR="008E2D48" w:rsidRPr="00536C22" w:rsidRDefault="008E2D48" w:rsidP="000F409E">
      <w:pPr>
        <w:pStyle w:val="FootnoteText"/>
        <w:tabs>
          <w:tab w:val="left" w:pos="360"/>
        </w:tabs>
        <w:ind w:left="360" w:hanging="360"/>
        <w:jc w:val="both"/>
        <w:rPr>
          <w:lang w:val="en-GB"/>
        </w:rPr>
      </w:pPr>
      <w:r>
        <w:rPr>
          <w:rStyle w:val="FootnoteReference"/>
        </w:rPr>
        <w:footnoteRef/>
      </w:r>
      <w:r>
        <w:t xml:space="preserve"> </w:t>
      </w:r>
      <w:r w:rsidR="005E44D3">
        <w:rPr>
          <w:lang w:val="en-GB"/>
        </w:rPr>
        <w:tab/>
      </w:r>
      <w:r w:rsidR="00A96384">
        <w:rPr>
          <w:lang w:val="en-GB"/>
        </w:rPr>
        <w:t>Guideline</w:t>
      </w:r>
      <w:r w:rsidR="005E44D3">
        <w:rPr>
          <w:lang w:val="en-GB"/>
        </w:rPr>
        <w:t xml:space="preserve"> §1.4.</w:t>
      </w:r>
    </w:p>
  </w:footnote>
  <w:footnote w:id="64">
    <w:p w:rsidR="008E2D48" w:rsidRPr="00536C22"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96384">
        <w:rPr>
          <w:lang w:val="en-GB"/>
        </w:rPr>
        <w:t>Guideline</w:t>
      </w:r>
      <w:r>
        <w:rPr>
          <w:lang w:val="en-GB"/>
        </w:rPr>
        <w:t xml:space="preserve"> §3.7.</w:t>
      </w:r>
    </w:p>
  </w:footnote>
  <w:footnote w:id="65">
    <w:p w:rsidR="008E2D48" w:rsidRPr="00A35AAE"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7B54EF">
        <w:rPr>
          <w:lang w:val="en-GB"/>
        </w:rPr>
        <w:t>A U</w:t>
      </w:r>
      <w:r w:rsidR="007B54EF" w:rsidRPr="007B5FAD">
        <w:rPr>
          <w:lang w:val="en-GB"/>
        </w:rPr>
        <w:t>nit jointly operated by the police and the Customs &amp; Excise Department</w:t>
      </w:r>
      <w:r w:rsidR="007B54EF">
        <w:rPr>
          <w:lang w:val="en-GB"/>
        </w:rPr>
        <w:t xml:space="preserve"> primarily responsible for dealing with Suspicious Transaction Reports (“</w:t>
      </w:r>
      <w:r w:rsidR="007B54EF">
        <w:rPr>
          <w:u w:val="single"/>
          <w:lang w:val="en-GB"/>
        </w:rPr>
        <w:t>STRs</w:t>
      </w:r>
      <w:r w:rsidR="007B54EF">
        <w:rPr>
          <w:lang w:val="en-GB"/>
        </w:rPr>
        <w:t>”).</w:t>
      </w:r>
      <w:r w:rsidR="005E44D3">
        <w:rPr>
          <w:lang w:val="en-GB"/>
        </w:rPr>
        <w:t xml:space="preserve">  See Section </w:t>
      </w:r>
      <w:r w:rsidR="00FF5E0E">
        <w:rPr>
          <w:lang w:val="en-GB"/>
        </w:rPr>
        <w:t>E below.</w:t>
      </w:r>
    </w:p>
  </w:footnote>
  <w:footnote w:id="66">
    <w:p w:rsidR="008E2D48" w:rsidRPr="00A35AAE"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96384">
        <w:rPr>
          <w:lang w:val="en-GB"/>
        </w:rPr>
        <w:t>Guideline</w:t>
      </w:r>
      <w:r>
        <w:rPr>
          <w:lang w:val="en-GB"/>
        </w:rPr>
        <w:t xml:space="preserve"> §3.10.</w:t>
      </w:r>
    </w:p>
  </w:footnote>
  <w:footnote w:id="67">
    <w:p w:rsidR="008E2D48" w:rsidRPr="00C4758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2F6D45">
        <w:rPr>
          <w:rFonts w:hint="eastAsia"/>
          <w:lang w:val="en-GB" w:eastAsia="zh-TW"/>
        </w:rPr>
        <w:t>AMLO</w:t>
      </w:r>
      <w:r w:rsidR="002F6D45">
        <w:rPr>
          <w:lang w:val="en-GB"/>
        </w:rPr>
        <w:t xml:space="preserve"> </w:t>
      </w:r>
      <w:proofErr w:type="spellStart"/>
      <w:r w:rsidR="002F6D45">
        <w:rPr>
          <w:rFonts w:hint="eastAsia"/>
          <w:lang w:val="en-GB" w:eastAsia="zh-TW"/>
        </w:rPr>
        <w:t>Sch</w:t>
      </w:r>
      <w:proofErr w:type="spellEnd"/>
      <w:r w:rsidR="002F6D45">
        <w:rPr>
          <w:rFonts w:hint="eastAsia"/>
          <w:lang w:val="en-GB" w:eastAsia="zh-TW"/>
        </w:rPr>
        <w:t xml:space="preserve"> </w:t>
      </w:r>
      <w:r w:rsidR="002F6D45">
        <w:rPr>
          <w:lang w:val="en-GB" w:eastAsia="zh-TW"/>
        </w:rPr>
        <w:t>2, section 2(1</w:t>
      </w:r>
      <w:proofErr w:type="gramStart"/>
      <w:r w:rsidR="002F6D45">
        <w:rPr>
          <w:lang w:val="en-GB" w:eastAsia="zh-TW"/>
        </w:rPr>
        <w:t>)(</w:t>
      </w:r>
      <w:proofErr w:type="gramEnd"/>
      <w:r w:rsidR="002F6D45">
        <w:rPr>
          <w:lang w:val="en-GB" w:eastAsia="zh-TW"/>
        </w:rPr>
        <w:t xml:space="preserve">a), </w:t>
      </w:r>
      <w:r w:rsidR="00A96384">
        <w:rPr>
          <w:lang w:val="en-GB"/>
        </w:rPr>
        <w:t>Guideline</w:t>
      </w:r>
      <w:r>
        <w:rPr>
          <w:lang w:val="en-GB"/>
        </w:rPr>
        <w:t xml:space="preserve"> </w:t>
      </w:r>
      <w:r w:rsidR="00416E19">
        <w:rPr>
          <w:lang w:val="en-GB"/>
        </w:rPr>
        <w:t>§</w:t>
      </w:r>
      <w:r>
        <w:rPr>
          <w:lang w:val="en-GB"/>
        </w:rPr>
        <w:t>§</w:t>
      </w:r>
      <w:r w:rsidR="002F6D45">
        <w:rPr>
          <w:lang w:val="en-GB"/>
        </w:rPr>
        <w:t>4.3 and</w:t>
      </w:r>
      <w:r w:rsidR="00416E19">
        <w:rPr>
          <w:lang w:val="en-GB"/>
        </w:rPr>
        <w:t xml:space="preserve"> </w:t>
      </w:r>
      <w:r>
        <w:rPr>
          <w:lang w:val="en-GB"/>
        </w:rPr>
        <w:t>5.1.</w:t>
      </w:r>
    </w:p>
  </w:footnote>
  <w:footnote w:id="68">
    <w:p w:rsidR="008E2D48" w:rsidRPr="00C4758D"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96384">
        <w:rPr>
          <w:lang w:val="en-GB"/>
        </w:rPr>
        <w:t>Guideline</w:t>
      </w:r>
      <w:r>
        <w:rPr>
          <w:lang w:val="en-GB"/>
        </w:rPr>
        <w:t xml:space="preserve"> §5.6.</w:t>
      </w:r>
    </w:p>
  </w:footnote>
  <w:footnote w:id="69">
    <w:p w:rsidR="00FF5E0E" w:rsidRPr="00BB0FC9" w:rsidRDefault="00FF5E0E"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96384">
        <w:rPr>
          <w:lang w:val="en-GB"/>
        </w:rPr>
        <w:t>Guideline</w:t>
      </w:r>
      <w:r>
        <w:rPr>
          <w:lang w:val="en-GB"/>
        </w:rPr>
        <w:t xml:space="preserve"> §7.3.</w:t>
      </w:r>
    </w:p>
  </w:footnote>
  <w:footnote w:id="70">
    <w:p w:rsidR="008E2D48" w:rsidRPr="00F574B1"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r>
      <w:r w:rsidR="00A96384">
        <w:rPr>
          <w:lang w:val="en-GB"/>
        </w:rPr>
        <w:t>Guideline</w:t>
      </w:r>
      <w:r>
        <w:rPr>
          <w:lang w:val="en-GB"/>
        </w:rPr>
        <w:t xml:space="preserve"> §5.1</w:t>
      </w:r>
      <w:r w:rsidR="0011011E">
        <w:rPr>
          <w:lang w:val="en-GB"/>
        </w:rPr>
        <w:t>1</w:t>
      </w:r>
      <w:r>
        <w:rPr>
          <w:lang w:val="en-GB"/>
        </w:rPr>
        <w:t>.</w:t>
      </w:r>
    </w:p>
  </w:footnote>
  <w:footnote w:id="71">
    <w:p w:rsidR="008E2D48" w:rsidRPr="00BB0FC9" w:rsidRDefault="008E2D48" w:rsidP="000F409E">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§7.5.</w:t>
      </w:r>
    </w:p>
  </w:footnote>
  <w:footnote w:id="72">
    <w:p w:rsidR="008E2D48" w:rsidRPr="00FF4F37" w:rsidRDefault="008E2D48" w:rsidP="000F409E">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§7.20.</w:t>
      </w:r>
    </w:p>
  </w:footnote>
  <w:footnote w:id="73">
    <w:p w:rsidR="008E2D48" w:rsidRPr="00FF4F37" w:rsidRDefault="008E2D48" w:rsidP="000F409E">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§7.24.</w:t>
      </w:r>
    </w:p>
  </w:footnote>
  <w:footnote w:id="74">
    <w:p w:rsidR="008E2D48" w:rsidRPr="008624B2" w:rsidRDefault="008E2D48" w:rsidP="000F409E">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§7.26.</w:t>
      </w:r>
    </w:p>
  </w:footnote>
  <w:footnote w:id="75">
    <w:p w:rsidR="008E2D48" w:rsidRPr="00C9744F" w:rsidRDefault="008E2D48" w:rsidP="000F409E">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§7.31.</w:t>
      </w:r>
    </w:p>
  </w:footnote>
  <w:footnote w:id="76">
    <w:p w:rsidR="008E2D48" w:rsidRPr="006E60AD" w:rsidRDefault="008E2D48" w:rsidP="000F409E">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§7.35.</w:t>
      </w:r>
    </w:p>
  </w:footnote>
  <w:footnote w:id="77">
    <w:p w:rsidR="008E2D48" w:rsidRPr="007B5FAD" w:rsidRDefault="008E2D48" w:rsidP="00AF7BB3">
      <w:pPr>
        <w:pStyle w:val="FootnoteText"/>
        <w:tabs>
          <w:tab w:val="left" w:pos="360"/>
        </w:tabs>
        <w:ind w:left="360" w:hanging="360"/>
        <w:jc w:val="both"/>
        <w:rPr>
          <w:lang w:val="en-GB"/>
        </w:rPr>
      </w:pPr>
      <w:r w:rsidRPr="007B5FAD">
        <w:rPr>
          <w:rStyle w:val="FootnoteReference"/>
          <w:lang w:val="en-GB"/>
        </w:rPr>
        <w:footnoteRef/>
      </w:r>
      <w:r>
        <w:rPr>
          <w:lang w:val="en-GB"/>
        </w:rPr>
        <w:t xml:space="preserve"> </w:t>
      </w:r>
      <w:r>
        <w:rPr>
          <w:lang w:val="en-GB"/>
        </w:rPr>
        <w:tab/>
        <w:t>Affirmation</w:t>
      </w:r>
      <w:r w:rsidR="00AF7BB3">
        <w:rPr>
          <w:lang w:val="en-GB"/>
        </w:rPr>
        <w:t xml:space="preserve"> of Supt Leung</w:t>
      </w:r>
      <w:r w:rsidR="00AF7BB3" w:rsidRPr="007B5FAD">
        <w:rPr>
          <w:lang w:val="en-GB"/>
        </w:rPr>
        <w:t xml:space="preserve"> Oi-lam</w:t>
      </w:r>
      <w:r w:rsidR="00AF7BB3">
        <w:rPr>
          <w:lang w:val="en-GB"/>
        </w:rPr>
        <w:t xml:space="preserve">, </w:t>
      </w:r>
      <w:r>
        <w:rPr>
          <w:lang w:val="en-GB"/>
        </w:rPr>
        <w:t>2.7.21, §25.  We shall return to these statistics below.</w:t>
      </w:r>
    </w:p>
  </w:footnote>
  <w:footnote w:id="78">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Chapter 27-19.</w:t>
      </w:r>
    </w:p>
  </w:footnote>
  <w:footnote w:id="79">
    <w:p w:rsidR="008E2D48" w:rsidRPr="009D6221" w:rsidRDefault="008E2D48" w:rsidP="000F409E">
      <w:pPr>
        <w:pStyle w:val="FootnoteText"/>
        <w:tabs>
          <w:tab w:val="left" w:pos="360"/>
        </w:tabs>
        <w:ind w:left="360" w:hanging="360"/>
        <w:jc w:val="both"/>
        <w:rPr>
          <w:lang w:val="en-GB"/>
        </w:rPr>
      </w:pPr>
      <w:r>
        <w:rPr>
          <w:rStyle w:val="FootnoteReference"/>
        </w:rPr>
        <w:footnoteRef/>
      </w:r>
      <w:r>
        <w:t xml:space="preserve"> </w:t>
      </w:r>
      <w:r>
        <w:rPr>
          <w:lang w:val="en-GB"/>
        </w:rPr>
        <w:tab/>
        <w:t>Definitions of “property” in OSCO section 2 and Interpretation and General Clauses Ordinance (Cap 1), section 3.</w:t>
      </w:r>
    </w:p>
  </w:footnote>
  <w:footnote w:id="80">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r>
      <w:r w:rsidRPr="007B5FAD">
        <w:rPr>
          <w:lang w:val="en-GB" w:eastAsia="zh-TW"/>
        </w:rPr>
        <w:t>Subject to extension in exceptional cases which have to be justified to the JFIU.</w:t>
      </w:r>
    </w:p>
  </w:footnote>
  <w:footnote w:id="81">
    <w:p w:rsidR="008E2D48" w:rsidRPr="007B5FAD" w:rsidRDefault="008E2D48" w:rsidP="000F409E">
      <w:pPr>
        <w:pStyle w:val="FootnoteText"/>
        <w:tabs>
          <w:tab w:val="left" w:pos="360"/>
        </w:tabs>
        <w:ind w:left="360" w:hanging="360"/>
        <w:jc w:val="both"/>
        <w:rPr>
          <w:lang w:val="en-GB"/>
        </w:rPr>
      </w:pPr>
      <w:r w:rsidRPr="007B5FAD">
        <w:rPr>
          <w:rStyle w:val="FootnoteReference"/>
          <w:lang w:val="en-GB"/>
        </w:rPr>
        <w:footnoteRef/>
      </w:r>
      <w:r w:rsidRPr="007B5FAD">
        <w:rPr>
          <w:lang w:val="en-GB" w:eastAsia="zh-TW"/>
        </w:rPr>
        <w:t xml:space="preserve"> </w:t>
      </w:r>
      <w:r w:rsidRPr="007B5FAD">
        <w:rPr>
          <w:lang w:val="en-GB" w:eastAsia="zh-TW"/>
        </w:rPr>
        <w:tab/>
        <w:t xml:space="preserve">If a </w:t>
      </w:r>
      <w:proofErr w:type="spellStart"/>
      <w:r w:rsidRPr="007B5FAD">
        <w:rPr>
          <w:lang w:val="en-GB" w:eastAsia="zh-TW"/>
        </w:rPr>
        <w:t>Mareva</w:t>
      </w:r>
      <w:proofErr w:type="spellEnd"/>
      <w:r w:rsidRPr="007B5FAD">
        <w:rPr>
          <w:lang w:val="en-GB" w:eastAsia="zh-TW"/>
        </w:rPr>
        <w:t xml:space="preserve"> injunction has been obtained it will be dealt with in accordance with applicable procedures in the civil action.</w:t>
      </w:r>
    </w:p>
  </w:footnote>
  <w:footnote w:id="82">
    <w:p w:rsidR="008E2D48" w:rsidRPr="007B5FAD" w:rsidRDefault="008E2D48" w:rsidP="000F409E">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 xml:space="preserve">As discussed in </w:t>
      </w:r>
      <w:r w:rsidRPr="007B5FAD">
        <w:rPr>
          <w:i/>
          <w:lang w:val="en-GB"/>
        </w:rPr>
        <w:t xml:space="preserve">SJ v Tam Kit I </w:t>
      </w:r>
      <w:r w:rsidRPr="007B5FAD">
        <w:rPr>
          <w:lang w:val="en-GB"/>
        </w:rPr>
        <w:t>(2023) 26 HKCFAR 63.</w:t>
      </w:r>
    </w:p>
  </w:footnote>
  <w:footnote w:id="83">
    <w:p w:rsidR="008E2D48" w:rsidRPr="007B5FAD" w:rsidRDefault="008E2D48" w:rsidP="000F409E">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CA§23</w:t>
      </w:r>
      <w:r w:rsidR="00824948">
        <w:rPr>
          <w:lang w:val="en-GB"/>
        </w:rPr>
        <w:t xml:space="preserve"> and Respondent’s Supplemental Case, RSC</w:t>
      </w:r>
      <w:r w:rsidR="00824948" w:rsidRPr="007B5FAD">
        <w:rPr>
          <w:lang w:val="en-GB"/>
        </w:rPr>
        <w:t>§</w:t>
      </w:r>
      <w:r w:rsidR="00824948">
        <w:rPr>
          <w:lang w:val="en-GB"/>
        </w:rPr>
        <w:t>2</w:t>
      </w:r>
      <w:r w:rsidRPr="007B5FAD">
        <w:rPr>
          <w:lang w:val="en-GB"/>
        </w:rPr>
        <w:t>.</w:t>
      </w:r>
    </w:p>
  </w:footnote>
  <w:footnote w:id="84">
    <w:p w:rsidR="008E2D48" w:rsidRPr="0047377A" w:rsidRDefault="008E2D48" w:rsidP="000F409E">
      <w:pPr>
        <w:pStyle w:val="FootnoteText"/>
        <w:tabs>
          <w:tab w:val="left" w:pos="360"/>
        </w:tabs>
        <w:ind w:left="360" w:hanging="360"/>
        <w:jc w:val="both"/>
        <w:rPr>
          <w:rFonts w:eastAsia="等线"/>
        </w:rPr>
      </w:pPr>
      <w:r>
        <w:rPr>
          <w:rStyle w:val="FootnoteReference"/>
        </w:rPr>
        <w:footnoteRef/>
      </w:r>
      <w:r>
        <w:t xml:space="preserve"> </w:t>
      </w:r>
      <w:r w:rsidRPr="002D17B7">
        <w:rPr>
          <w:rFonts w:eastAsia="等线"/>
        </w:rPr>
        <w:tab/>
        <w:t>There may also be other considerations, such as the risk of civil liability towards the victim of the crime if the bank continues to deal with the funds after being alerted by the police.</w:t>
      </w:r>
    </w:p>
  </w:footnote>
  <w:footnote w:id="85">
    <w:p w:rsidR="000E603A" w:rsidRPr="000E603A" w:rsidRDefault="000E603A" w:rsidP="000F409E">
      <w:pPr>
        <w:pStyle w:val="FootnoteText"/>
        <w:tabs>
          <w:tab w:val="left" w:pos="360"/>
        </w:tabs>
        <w:ind w:left="360" w:hanging="360"/>
        <w:jc w:val="both"/>
        <w:rPr>
          <w:lang w:val="en-GB"/>
        </w:rPr>
      </w:pPr>
      <w:r>
        <w:rPr>
          <w:rStyle w:val="FootnoteReference"/>
        </w:rPr>
        <w:footnoteRef/>
      </w:r>
      <w:r>
        <w:t xml:space="preserve"> </w:t>
      </w:r>
      <w:r w:rsidR="00AF7BB3">
        <w:tab/>
        <w:t>Mirroring O</w:t>
      </w:r>
      <w:r w:rsidR="001C1830">
        <w:t>S</w:t>
      </w:r>
      <w:r w:rsidR="00AF7BB3">
        <w:t xml:space="preserve">CO section </w:t>
      </w:r>
      <w:proofErr w:type="gramStart"/>
      <w:r w:rsidR="00AF7BB3">
        <w:t>25A(</w:t>
      </w:r>
      <w:proofErr w:type="gramEnd"/>
      <w:r w:rsidR="00AF7BB3">
        <w:t>1),</w:t>
      </w:r>
      <w:r w:rsidR="00AF7BB3">
        <w:rPr>
          <w:lang w:val="en-GB"/>
        </w:rPr>
        <w:t xml:space="preserve"> </w:t>
      </w:r>
      <w:r w:rsidR="00A96384">
        <w:rPr>
          <w:lang w:val="en-GB"/>
        </w:rPr>
        <w:t>Guideline</w:t>
      </w:r>
      <w:r>
        <w:rPr>
          <w:lang w:val="en-GB"/>
        </w:rPr>
        <w:t xml:space="preserve"> §7.19 states: “</w:t>
      </w:r>
      <w:r w:rsidRPr="000E603A">
        <w:rPr>
          <w:lang w:val="en-GB"/>
        </w:rPr>
        <w:t xml:space="preserve">If after completing the review of the internal report, an MLRO decides that there are grounds for knowledge or suspicion, he should disclose the information to the JFIU as soon as it is reasonable to do so after his evaluation is complete </w:t>
      </w:r>
      <w:r w:rsidRPr="000E603A">
        <w:rPr>
          <w:i/>
          <w:lang w:val="en-GB"/>
        </w:rPr>
        <w:t>together with the information on which that knowledge or suspicion is based</w:t>
      </w:r>
      <w:r>
        <w:rPr>
          <w:lang w:val="en-GB"/>
        </w:rPr>
        <w:t>.” (Italics supplied)</w:t>
      </w:r>
    </w:p>
  </w:footnote>
  <w:footnote w:id="86">
    <w:p w:rsidR="008E2D48" w:rsidRPr="007B5FAD" w:rsidRDefault="008E2D48" w:rsidP="000F409E">
      <w:pPr>
        <w:pStyle w:val="FootnoteText"/>
        <w:tabs>
          <w:tab w:val="left" w:pos="360"/>
        </w:tabs>
        <w:ind w:left="360" w:hanging="360"/>
        <w:jc w:val="both"/>
        <w:rPr>
          <w:rFonts w:eastAsia="等线"/>
          <w:lang w:val="en-GB"/>
        </w:rPr>
      </w:pPr>
      <w:r w:rsidRPr="007B5FAD">
        <w:rPr>
          <w:rStyle w:val="FootnoteReference"/>
          <w:lang w:val="en-GB"/>
        </w:rPr>
        <w:footnoteRef/>
      </w:r>
      <w:r w:rsidRPr="007B5FAD">
        <w:rPr>
          <w:lang w:val="en-GB" w:eastAsia="zh-TW"/>
        </w:rPr>
        <w:t xml:space="preserve"> </w:t>
      </w:r>
      <w:r w:rsidRPr="007B5FAD">
        <w:rPr>
          <w:rFonts w:eastAsia="PMingLiU"/>
          <w:lang w:val="en-GB" w:eastAsia="zh-TW"/>
        </w:rPr>
        <w:tab/>
        <w:t>Affirmation</w:t>
      </w:r>
      <w:r w:rsidR="00AF7BB3">
        <w:rPr>
          <w:rFonts w:eastAsia="PMingLiU"/>
          <w:lang w:val="en-GB" w:eastAsia="zh-TW"/>
        </w:rPr>
        <w:t xml:space="preserve"> of</w:t>
      </w:r>
      <w:r w:rsidRPr="007B5FAD">
        <w:rPr>
          <w:rFonts w:eastAsia="PMingLiU"/>
          <w:lang w:val="en-GB" w:eastAsia="zh-TW"/>
        </w:rPr>
        <w:t xml:space="preserve"> Yeung Chin Wing, </w:t>
      </w:r>
      <w:r w:rsidR="00AF7BB3">
        <w:rPr>
          <w:rFonts w:eastAsia="PMingLiU"/>
          <w:lang w:val="en-GB" w:eastAsia="zh-TW"/>
        </w:rPr>
        <w:t>2.7.21 §18</w:t>
      </w:r>
      <w:r w:rsidRPr="007B5FAD">
        <w:rPr>
          <w:rFonts w:eastAsia="PMingLiU"/>
          <w:lang w:val="en-GB" w:eastAsia="zh-TW"/>
        </w:rPr>
        <w:t>.</w:t>
      </w:r>
    </w:p>
  </w:footnote>
  <w:footnote w:id="87">
    <w:p w:rsidR="008E2D48" w:rsidRPr="007B5FAD" w:rsidRDefault="008E2D48" w:rsidP="000F409E">
      <w:pPr>
        <w:pStyle w:val="FootnoteText"/>
        <w:tabs>
          <w:tab w:val="left" w:pos="360"/>
        </w:tabs>
        <w:jc w:val="both"/>
        <w:rPr>
          <w:lang w:val="en-GB"/>
        </w:rPr>
      </w:pPr>
      <w:r w:rsidRPr="007B5FAD">
        <w:rPr>
          <w:rStyle w:val="FootnoteReference"/>
          <w:lang w:val="en-GB"/>
        </w:rPr>
        <w:footnoteRef/>
      </w:r>
      <w:r w:rsidRPr="007B5FAD">
        <w:rPr>
          <w:lang w:val="en-GB"/>
        </w:rPr>
        <w:t xml:space="preserve"> </w:t>
      </w:r>
      <w:r w:rsidRPr="007B5FAD">
        <w:rPr>
          <w:lang w:val="en-GB"/>
        </w:rPr>
        <w:tab/>
      </w:r>
      <w:r w:rsidR="00AF7BB3">
        <w:rPr>
          <w:lang w:val="en-GB"/>
        </w:rPr>
        <w:t>Second affirmation of Supt Leung Oi-lam</w:t>
      </w:r>
      <w:r w:rsidRPr="007B5FAD">
        <w:rPr>
          <w:lang w:val="en-GB"/>
        </w:rPr>
        <w:t>,</w:t>
      </w:r>
      <w:r w:rsidR="00507937">
        <w:rPr>
          <w:lang w:val="en-GB"/>
        </w:rPr>
        <w:t xml:space="preserve"> 24.9</w:t>
      </w:r>
      <w:r w:rsidR="00AF7BB3">
        <w:rPr>
          <w:lang w:val="en-GB"/>
        </w:rPr>
        <w:t>.21, §6</w:t>
      </w:r>
      <w:r w:rsidRPr="007B5FAD">
        <w:rPr>
          <w:lang w:val="en-GB"/>
        </w:rPr>
        <w:t>.</w:t>
      </w:r>
    </w:p>
  </w:footnote>
  <w:footnote w:id="88">
    <w:p w:rsidR="008E2D48" w:rsidRPr="007B5FAD" w:rsidRDefault="008E2D48" w:rsidP="00BE2CC8">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Drug Trafficking (Recovery of Proceeds) Ordinance (Cap 405).</w:t>
      </w:r>
    </w:p>
  </w:footnote>
  <w:footnote w:id="89">
    <w:p w:rsidR="008E2D48" w:rsidRPr="007B5FAD" w:rsidRDefault="008E2D48" w:rsidP="00BE2CC8">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Affirmation</w:t>
      </w:r>
      <w:r w:rsidR="00AF7BB3">
        <w:rPr>
          <w:lang w:val="en-GB"/>
        </w:rPr>
        <w:t xml:space="preserve"> of Supt Leung Oi-la</w:t>
      </w:r>
      <w:r w:rsidR="00613409">
        <w:rPr>
          <w:lang w:val="en-GB"/>
        </w:rPr>
        <w:t>m</w:t>
      </w:r>
      <w:r w:rsidR="00AF7BB3">
        <w:rPr>
          <w:lang w:val="en-GB"/>
        </w:rPr>
        <w:t>, 2.7.21, §25.</w:t>
      </w:r>
    </w:p>
  </w:footnote>
  <w:footnote w:id="90">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Amended Form 86, at §6.2.</w:t>
      </w:r>
    </w:p>
  </w:footnote>
  <w:footnote w:id="91">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Order dated 23 March 2022.</w:t>
      </w:r>
    </w:p>
  </w:footnote>
  <w:footnote w:id="92">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Appellant’s written case (“</w:t>
      </w:r>
      <w:r w:rsidRPr="007B5FAD">
        <w:rPr>
          <w:u w:val="single"/>
          <w:lang w:val="en-GB"/>
        </w:rPr>
        <w:t>AWC</w:t>
      </w:r>
      <w:r w:rsidRPr="007B5FAD">
        <w:rPr>
          <w:lang w:val="en-GB"/>
        </w:rPr>
        <w:t>”) §39.  As contra-indications, the appellants point to the developed procedural safeguards applicable to restraint orders and charging orders under OSCO sections 14 to 16, arguing that they demonstrate that a parallel informal and unregulated freezing mechanism was not intended.</w:t>
      </w:r>
    </w:p>
  </w:footnote>
  <w:footnote w:id="93">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r>
      <w:r w:rsidRPr="007B5FAD">
        <w:rPr>
          <w:i/>
          <w:lang w:val="en-GB"/>
        </w:rPr>
        <w:t>R (</w:t>
      </w:r>
      <w:proofErr w:type="spellStart"/>
      <w:r w:rsidRPr="007B5FAD">
        <w:rPr>
          <w:i/>
          <w:lang w:val="en-GB"/>
        </w:rPr>
        <w:t>Bancoult</w:t>
      </w:r>
      <w:proofErr w:type="spellEnd"/>
      <w:r w:rsidRPr="007B5FAD">
        <w:rPr>
          <w:i/>
          <w:lang w:val="en-GB"/>
        </w:rPr>
        <w:t>) v Secretary of State for Foreign and Commonwealth Affairs (No 2)</w:t>
      </w:r>
      <w:r w:rsidRPr="007B5FAD">
        <w:rPr>
          <w:lang w:val="en-GB"/>
        </w:rPr>
        <w:t xml:space="preserve"> [2008] QB 365 at §59.</w:t>
      </w:r>
    </w:p>
  </w:footnote>
  <w:footnote w:id="94">
    <w:p w:rsidR="003B478A" w:rsidRPr="003B478A" w:rsidRDefault="003B478A" w:rsidP="00BE2CC8">
      <w:pPr>
        <w:pStyle w:val="FootnoteText"/>
        <w:tabs>
          <w:tab w:val="left" w:pos="360"/>
        </w:tabs>
        <w:ind w:left="360" w:hanging="360"/>
        <w:jc w:val="both"/>
        <w:rPr>
          <w:lang w:val="en-GB"/>
        </w:rPr>
      </w:pPr>
      <w:r>
        <w:rPr>
          <w:rStyle w:val="FootnoteReference"/>
        </w:rPr>
        <w:footnoteRef/>
      </w:r>
      <w:r>
        <w:t xml:space="preserve"> </w:t>
      </w:r>
      <w:r>
        <w:rPr>
          <w:lang w:val="en-GB"/>
        </w:rPr>
        <w:tab/>
        <w:t xml:space="preserve">Considered further in Section G.2 below. </w:t>
      </w:r>
    </w:p>
  </w:footnote>
  <w:footnote w:id="95">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 xml:space="preserve">As pointed out in </w:t>
      </w:r>
      <w:r w:rsidRPr="007B5FAD">
        <w:rPr>
          <w:i/>
          <w:lang w:val="en-GB"/>
        </w:rPr>
        <w:t>The Chief Officer, Customs &amp; Excise, Immigration &amp; Nationality Service v Garnet Investments Ltd</w:t>
      </w:r>
      <w:r w:rsidRPr="007B5FAD">
        <w:rPr>
          <w:lang w:val="en-GB"/>
        </w:rPr>
        <w:t xml:space="preserve"> (Guernsey Judgment 19/2011, 6 July 2011) at §27.</w:t>
      </w:r>
    </w:p>
  </w:footnote>
  <w:footnote w:id="96">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Cap 232.</w:t>
      </w:r>
    </w:p>
  </w:footnote>
  <w:footnote w:id="97">
    <w:p w:rsidR="008E2D48" w:rsidRPr="007B5FAD" w:rsidRDefault="008E2D48" w:rsidP="00BE2CC8">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PFO, section 2 makes it clear that these duties apply “to all persons who, at the commencement of this Ordinance, are serving in the police force...”</w:t>
      </w:r>
    </w:p>
  </w:footnote>
  <w:footnote w:id="98">
    <w:p w:rsidR="008E2D48" w:rsidRPr="007B5FAD" w:rsidRDefault="008E2D48" w:rsidP="00BE2CC8">
      <w:pPr>
        <w:pStyle w:val="FootnoteText"/>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[1966] 2 QB 414 at 419, cited at CA§63.</w:t>
      </w:r>
    </w:p>
  </w:footnote>
  <w:footnote w:id="99">
    <w:p w:rsidR="008E2D48" w:rsidRPr="007B5FAD" w:rsidRDefault="008E2D48" w:rsidP="00BE2CC8">
      <w:pPr>
        <w:pStyle w:val="FootnoteText"/>
        <w:ind w:left="360" w:hanging="360"/>
        <w:jc w:val="both"/>
        <w:rPr>
          <w:lang w:val="en-GB"/>
        </w:rPr>
      </w:pPr>
      <w:r w:rsidRPr="007B5FAD">
        <w:rPr>
          <w:rStyle w:val="FootnoteReference"/>
          <w:lang w:val="en-GB"/>
        </w:rPr>
        <w:footnoteRef/>
      </w:r>
      <w:r w:rsidRPr="007B5FAD">
        <w:rPr>
          <w:lang w:val="en-GB"/>
        </w:rPr>
        <w:tab/>
      </w:r>
      <w:r>
        <w:rPr>
          <w:lang w:val="en-GB"/>
        </w:rPr>
        <w:t xml:space="preserve">CA§§54, 58, 71, 76, 83 and 111.  Citing also </w:t>
      </w:r>
      <w:r w:rsidRPr="004F175D">
        <w:rPr>
          <w:i/>
          <w:lang w:val="en-GB"/>
        </w:rPr>
        <w:t>The Chief Officer, Customs &amp; Excise, Immigration &amp; Nationality Service v Garnet Investments Ltd</w:t>
      </w:r>
      <w:r w:rsidRPr="004F175D">
        <w:rPr>
          <w:lang w:val="en-GB"/>
        </w:rPr>
        <w:t xml:space="preserve"> (Guernsey Judgment 19/2011, 6 July 2011)</w:t>
      </w:r>
      <w:r>
        <w:rPr>
          <w:lang w:val="en-GB"/>
        </w:rPr>
        <w:t xml:space="preserve"> at  §§29, 31 and 41.</w:t>
      </w:r>
      <w:r w:rsidRPr="007B5FAD">
        <w:rPr>
          <w:lang w:val="en-GB"/>
        </w:rPr>
        <w:tab/>
      </w:r>
    </w:p>
  </w:footnote>
  <w:footnote w:id="100">
    <w:p w:rsidR="008E2D48" w:rsidRPr="007B5FAD" w:rsidRDefault="008E2D48" w:rsidP="00BE2CC8">
      <w:pPr>
        <w:pStyle w:val="FootnoteText"/>
        <w:tabs>
          <w:tab w:val="left" w:pos="360"/>
        </w:tabs>
        <w:rPr>
          <w:i/>
          <w:lang w:val="en-GB"/>
        </w:rPr>
      </w:pPr>
      <w:r w:rsidRPr="007B5FAD">
        <w:rPr>
          <w:rStyle w:val="FootnoteReference"/>
          <w:lang w:val="en-GB"/>
        </w:rPr>
        <w:footnoteRef/>
      </w:r>
      <w:r w:rsidRPr="007B5FAD">
        <w:rPr>
          <w:lang w:val="en-GB"/>
        </w:rPr>
        <w:t xml:space="preserve"> </w:t>
      </w:r>
      <w:r w:rsidRPr="007B5FAD">
        <w:rPr>
          <w:lang w:val="en-GB"/>
        </w:rPr>
        <w:tab/>
        <w:t>CA§58.</w:t>
      </w:r>
    </w:p>
  </w:footnote>
  <w:footnote w:id="101">
    <w:p w:rsidR="008E2D48" w:rsidRPr="00D50FEF" w:rsidRDefault="008E2D48" w:rsidP="00BE2CC8">
      <w:pPr>
        <w:pStyle w:val="FootnoteText"/>
        <w:tabs>
          <w:tab w:val="left" w:pos="360"/>
        </w:tabs>
        <w:rPr>
          <w:lang w:val="en-GB"/>
        </w:rPr>
      </w:pPr>
      <w:r>
        <w:rPr>
          <w:rStyle w:val="FootnoteReference"/>
        </w:rPr>
        <w:footnoteRef/>
      </w:r>
      <w:r>
        <w:t xml:space="preserve"> </w:t>
      </w:r>
      <w:r>
        <w:rPr>
          <w:lang w:val="en-GB"/>
        </w:rPr>
        <w:tab/>
      </w:r>
      <w:r w:rsidR="00A96384">
        <w:rPr>
          <w:lang w:val="en-GB"/>
        </w:rPr>
        <w:t>Guideline</w:t>
      </w:r>
      <w:r>
        <w:rPr>
          <w:lang w:val="en-GB"/>
        </w:rPr>
        <w:t xml:space="preserve"> §§5.10 and 7.20.</w:t>
      </w:r>
    </w:p>
  </w:footnote>
  <w:footnote w:id="102">
    <w:p w:rsidR="00CB5BC0" w:rsidRPr="007B5FAD" w:rsidRDefault="00CB5BC0"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Padfield</w:t>
      </w:r>
      <w:proofErr w:type="spellEnd"/>
      <w:r w:rsidRPr="007B5FAD">
        <w:rPr>
          <w:i/>
          <w:lang w:val="en-GB"/>
        </w:rPr>
        <w:t xml:space="preserve"> v Minister of Agriculture, Fisheries and Food</w:t>
      </w:r>
      <w:r w:rsidRPr="007B5FAD">
        <w:rPr>
          <w:lang w:val="en-GB"/>
        </w:rPr>
        <w:t xml:space="preserve"> [1968] AC 997.</w:t>
      </w:r>
    </w:p>
  </w:footnote>
  <w:footnote w:id="103">
    <w:p w:rsidR="00CB5BC0" w:rsidRPr="007B5FAD" w:rsidRDefault="00CB5BC0"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AWC§43.</w:t>
      </w:r>
    </w:p>
  </w:footnote>
  <w:footnote w:id="104">
    <w:p w:rsidR="00CB5BC0" w:rsidRPr="007B5FAD" w:rsidRDefault="00CB5BC0"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AWC§49.</w:t>
      </w:r>
    </w:p>
  </w:footnote>
  <w:footnote w:id="105">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Referred to in Section B above.</w:t>
      </w:r>
    </w:p>
  </w:footnote>
  <w:footnote w:id="106">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r>
      <w:r w:rsidRPr="007B5FAD">
        <w:rPr>
          <w:lang w:val="en-GB" w:eastAsia="zh-HK"/>
        </w:rPr>
        <w:t xml:space="preserve">Amended Form 86, </w:t>
      </w:r>
      <w:r w:rsidRPr="007B5FAD">
        <w:rPr>
          <w:lang w:val="en-GB"/>
        </w:rPr>
        <w:t>at §3.</w:t>
      </w:r>
    </w:p>
  </w:footnote>
  <w:footnote w:id="107">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AWC§51.</w:t>
      </w:r>
    </w:p>
  </w:footnote>
  <w:footnote w:id="108">
    <w:p w:rsidR="004D7961" w:rsidRPr="00663B4B" w:rsidRDefault="004D7961" w:rsidP="00443ECC">
      <w:pPr>
        <w:pStyle w:val="FootnoteText"/>
        <w:tabs>
          <w:tab w:val="left" w:pos="360"/>
        </w:tabs>
        <w:ind w:left="360" w:hanging="360"/>
        <w:jc w:val="both"/>
      </w:pPr>
      <w:r w:rsidRPr="00663B4B">
        <w:rPr>
          <w:rStyle w:val="FootnoteReference"/>
        </w:rPr>
        <w:footnoteRef/>
      </w:r>
      <w:r w:rsidRPr="00663B4B">
        <w:t xml:space="preserve"> </w:t>
      </w:r>
      <w:r w:rsidRPr="00663B4B">
        <w:tab/>
      </w:r>
      <w:r w:rsidRPr="00663B4B">
        <w:rPr>
          <w:i/>
        </w:rPr>
        <w:t>A v France</w:t>
      </w:r>
      <w:r w:rsidR="00862265">
        <w:t xml:space="preserve"> (1994</w:t>
      </w:r>
      <w:r w:rsidRPr="00663B4B">
        <w:t xml:space="preserve">) </w:t>
      </w:r>
      <w:r w:rsidR="00862265">
        <w:t>17</w:t>
      </w:r>
      <w:r w:rsidRPr="00663B4B">
        <w:t xml:space="preserve"> </w:t>
      </w:r>
      <w:r w:rsidR="00862265">
        <w:t>EHRR 462</w:t>
      </w:r>
      <w:r w:rsidRPr="00663B4B">
        <w:t xml:space="preserve">, </w:t>
      </w:r>
      <w:r w:rsidRPr="00663B4B">
        <w:rPr>
          <w:lang w:val="en-GB"/>
        </w:rPr>
        <w:t xml:space="preserve">§36; </w:t>
      </w:r>
      <w:r w:rsidRPr="00663B4B">
        <w:rPr>
          <w:i/>
          <w:lang w:val="en-GB"/>
        </w:rPr>
        <w:t>MM v Netherlands</w:t>
      </w:r>
      <w:r w:rsidRPr="00663B4B">
        <w:rPr>
          <w:lang w:val="en-GB"/>
        </w:rPr>
        <w:t xml:space="preserve"> (2004) 39 EHRR 19, §39; </w:t>
      </w:r>
      <w:r w:rsidRPr="00663B4B">
        <w:rPr>
          <w:i/>
          <w:lang w:val="en-GB"/>
        </w:rPr>
        <w:t xml:space="preserve">Van </w:t>
      </w:r>
      <w:proofErr w:type="spellStart"/>
      <w:r w:rsidRPr="00663B4B">
        <w:rPr>
          <w:i/>
          <w:lang w:val="en-GB"/>
        </w:rPr>
        <w:t>Vondel</w:t>
      </w:r>
      <w:proofErr w:type="spellEnd"/>
      <w:r w:rsidRPr="00663B4B">
        <w:rPr>
          <w:i/>
          <w:lang w:val="en-GB"/>
        </w:rPr>
        <w:t xml:space="preserve"> v Netherlands</w:t>
      </w:r>
      <w:r w:rsidRPr="00663B4B">
        <w:rPr>
          <w:lang w:val="en-GB"/>
        </w:rPr>
        <w:t xml:space="preserve"> (2009) 48 EHRR 12, §49, where the authorities’ participation in the interferences by the private individuals with the complainants’ privacy rights were much more direct and substantial.</w:t>
      </w:r>
    </w:p>
  </w:footnote>
  <w:footnote w:id="109">
    <w:p w:rsidR="004D7961" w:rsidRPr="000445F7" w:rsidRDefault="004D7961" w:rsidP="00443ECC">
      <w:pPr>
        <w:pStyle w:val="FootnoteText"/>
        <w:tabs>
          <w:tab w:val="left" w:pos="360"/>
        </w:tabs>
        <w:ind w:left="360" w:hanging="360"/>
        <w:jc w:val="both"/>
        <w:rPr>
          <w:lang w:val="en-GB"/>
        </w:rPr>
      </w:pPr>
      <w:r>
        <w:rPr>
          <w:rStyle w:val="FootnoteReference"/>
        </w:rPr>
        <w:footnoteRef/>
      </w:r>
      <w:r>
        <w:t xml:space="preserve"> </w:t>
      </w:r>
      <w:r>
        <w:rPr>
          <w:lang w:val="en-GB"/>
        </w:rPr>
        <w:tab/>
        <w:t>AWC§51 and RWC§33.</w:t>
      </w:r>
    </w:p>
  </w:footnote>
  <w:footnote w:id="110">
    <w:p w:rsidR="004D7961" w:rsidRPr="00305751" w:rsidRDefault="004D7961" w:rsidP="00443ECC">
      <w:pPr>
        <w:pStyle w:val="FootnoteText"/>
        <w:tabs>
          <w:tab w:val="left" w:pos="360"/>
        </w:tabs>
        <w:jc w:val="both"/>
        <w:rPr>
          <w:lang w:val="en-GB"/>
        </w:rPr>
      </w:pPr>
      <w:r>
        <w:rPr>
          <w:rStyle w:val="FootnoteReference"/>
        </w:rPr>
        <w:footnoteRef/>
      </w:r>
      <w:r>
        <w:t xml:space="preserve"> </w:t>
      </w:r>
      <w:r>
        <w:rPr>
          <w:lang w:val="en-GB"/>
        </w:rPr>
        <w:tab/>
        <w:t>CA§§54, 58, 71, 76, 83 and 111.</w:t>
      </w:r>
    </w:p>
  </w:footnote>
  <w:footnote w:id="111">
    <w:p w:rsidR="004D7961" w:rsidRPr="007B5FAD" w:rsidRDefault="004D7961" w:rsidP="00443ECC">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 xml:space="preserve">In accordance with criteria indicated in </w:t>
      </w:r>
      <w:r w:rsidRPr="007B5FAD">
        <w:rPr>
          <w:i/>
          <w:lang w:val="en-GB"/>
        </w:rPr>
        <w:t>Hysan Development Company Ltd v Town Planning Board</w:t>
      </w:r>
      <w:r w:rsidRPr="007B5FAD">
        <w:rPr>
          <w:lang w:val="en-GB"/>
        </w:rPr>
        <w:t xml:space="preserve"> (2016) 19 HKCFAR 372, §30.</w:t>
      </w:r>
    </w:p>
  </w:footnote>
  <w:footnote w:id="112">
    <w:p w:rsidR="004D7961" w:rsidRPr="007B5FAD" w:rsidRDefault="004D7961" w:rsidP="00443ECC">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 xml:space="preserve">As noted in </w:t>
      </w:r>
      <w:r w:rsidRPr="007B5FAD">
        <w:rPr>
          <w:i/>
          <w:lang w:val="en-GB"/>
        </w:rPr>
        <w:t>HKSAR v Pang Hung Fai</w:t>
      </w:r>
      <w:r w:rsidR="00D0396D">
        <w:rPr>
          <w:lang w:val="en-GB"/>
        </w:rPr>
        <w:t xml:space="preserve"> </w:t>
      </w:r>
      <w:r w:rsidRPr="007B5FAD">
        <w:rPr>
          <w:lang w:val="en-GB"/>
        </w:rPr>
        <w:t>(2014) 17 HKCFAR 778 at §36.</w:t>
      </w:r>
    </w:p>
  </w:footnote>
  <w:footnote w:id="113">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r>
      <w:r w:rsidRPr="007B5FAD">
        <w:rPr>
          <w:lang w:val="en-GB" w:eastAsia="zh-HK"/>
        </w:rPr>
        <w:t>Amended Form 86, a</w:t>
      </w:r>
      <w:r w:rsidRPr="007B5FAD">
        <w:rPr>
          <w:lang w:val="en-GB"/>
        </w:rPr>
        <w:t>t §96.4.</w:t>
      </w:r>
    </w:p>
  </w:footnote>
  <w:footnote w:id="114">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At §149.</w:t>
      </w:r>
    </w:p>
  </w:footnote>
  <w:footnote w:id="115">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At §§114-115.</w:t>
      </w:r>
    </w:p>
  </w:footnote>
  <w:footnote w:id="116">
    <w:p w:rsidR="007A5B52" w:rsidRPr="007B5FAD" w:rsidRDefault="007A5B52" w:rsidP="007A5B52">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 xml:space="preserve">AWC§§52 and 53 </w:t>
      </w:r>
      <w:r w:rsidRPr="007B5FAD">
        <w:rPr>
          <w:rFonts w:eastAsia="Times New Roman"/>
          <w:lang w:val="en-GB"/>
        </w:rPr>
        <w:t>(emphasis in the original)</w:t>
      </w:r>
      <w:r w:rsidRPr="007B5FAD">
        <w:rPr>
          <w:lang w:val="en-GB"/>
        </w:rPr>
        <w:t>.</w:t>
      </w:r>
    </w:p>
  </w:footnote>
  <w:footnote w:id="117">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[2011] 1 AC 331.</w:t>
      </w:r>
    </w:p>
  </w:footnote>
  <w:footnote w:id="118">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AWC§54.</w:t>
      </w:r>
    </w:p>
  </w:footnote>
  <w:footnote w:id="119">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Amended Form 86, at §117.</w:t>
      </w:r>
    </w:p>
  </w:footnote>
  <w:footnote w:id="120">
    <w:p w:rsidR="004D7961" w:rsidRPr="007B5FAD" w:rsidRDefault="004D7961"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AWC§114.</w:t>
      </w:r>
    </w:p>
  </w:footnote>
  <w:footnote w:id="121">
    <w:p w:rsidR="004D7961" w:rsidRPr="007B5FAD" w:rsidRDefault="004D7961" w:rsidP="00443ECC">
      <w:pPr>
        <w:pStyle w:val="FootnoteText"/>
        <w:tabs>
          <w:tab w:val="left" w:pos="360"/>
        </w:tabs>
        <w:ind w:left="360" w:hanging="360"/>
        <w:jc w:val="both"/>
        <w:rPr>
          <w:lang w:val="en-GB"/>
        </w:rPr>
      </w:pPr>
      <w:r w:rsidRPr="007B5FAD">
        <w:rPr>
          <w:rStyle w:val="FootnoteReference"/>
          <w:lang w:val="en-GB"/>
        </w:rPr>
        <w:footnoteRef/>
      </w:r>
      <w:r w:rsidR="002F450F">
        <w:rPr>
          <w:lang w:val="en-GB"/>
        </w:rPr>
        <w:t xml:space="preserve"> </w:t>
      </w:r>
      <w:r w:rsidR="002F450F">
        <w:rPr>
          <w:lang w:val="en-GB"/>
        </w:rPr>
        <w:tab/>
        <w:t>At §129</w:t>
      </w:r>
      <w:r w:rsidRPr="007B5FAD">
        <w:rPr>
          <w:lang w:val="en-GB"/>
        </w:rPr>
        <w:t>.  The Court of Appeal was of the same view: CA§§107-108.</w:t>
      </w:r>
    </w:p>
  </w:footnote>
  <w:footnote w:id="122">
    <w:p w:rsidR="004D7961" w:rsidRPr="00BF54A4" w:rsidRDefault="004D7961" w:rsidP="00443ECC">
      <w:pPr>
        <w:pStyle w:val="FootnoteText"/>
        <w:tabs>
          <w:tab w:val="left" w:pos="360"/>
        </w:tabs>
        <w:ind w:left="360" w:hanging="360"/>
        <w:jc w:val="both"/>
        <w:rPr>
          <w:lang w:val="en-GB"/>
        </w:rPr>
      </w:pPr>
      <w:r>
        <w:rPr>
          <w:rStyle w:val="FootnoteReference"/>
        </w:rPr>
        <w:footnoteRef/>
      </w:r>
      <w:r>
        <w:t xml:space="preserve"> </w:t>
      </w:r>
      <w:r>
        <w:rPr>
          <w:lang w:val="en-GB"/>
        </w:rPr>
        <w:tab/>
        <w:t>As th</w:t>
      </w:r>
      <w:r w:rsidR="002F450F">
        <w:rPr>
          <w:lang w:val="en-GB"/>
        </w:rPr>
        <w:t>e Court of Appeal noted: CA§§107</w:t>
      </w:r>
      <w:r>
        <w:rPr>
          <w:lang w:val="en-GB"/>
        </w:rPr>
        <w:t xml:space="preserve"> and 117.</w:t>
      </w:r>
    </w:p>
  </w:footnote>
  <w:footnote w:id="123">
    <w:p w:rsidR="00A313A6" w:rsidRPr="007B5FAD" w:rsidRDefault="00A313A6" w:rsidP="00443ECC">
      <w:pPr>
        <w:pStyle w:val="FootnoteText"/>
        <w:tabs>
          <w:tab w:val="left" w:pos="360"/>
        </w:tabs>
        <w:ind w:left="360" w:hanging="360"/>
        <w:jc w:val="both"/>
        <w:rPr>
          <w:lang w:val="en-GB"/>
        </w:rPr>
      </w:pPr>
      <w:r w:rsidRPr="007B5FAD">
        <w:rPr>
          <w:rStyle w:val="FootnoteReference"/>
          <w:lang w:val="en-GB"/>
        </w:rPr>
        <w:footnoteRef/>
      </w:r>
      <w:r w:rsidRPr="007B5FAD">
        <w:rPr>
          <w:lang w:val="en-GB"/>
        </w:rPr>
        <w:t xml:space="preserve"> </w:t>
      </w:r>
      <w:r w:rsidRPr="007B5FAD">
        <w:rPr>
          <w:lang w:val="en-GB"/>
        </w:rPr>
        <w:tab/>
        <w:t>Discussed by the Judge at §§35-39 and by the Court of Appeal at CA§§41-42, 118 and 120.</w:t>
      </w:r>
    </w:p>
  </w:footnote>
  <w:footnote w:id="124">
    <w:p w:rsidR="00A313A6" w:rsidRPr="007B5FAD" w:rsidRDefault="00A313A6"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t>Amended Form 86, §§108-109.</w:t>
      </w:r>
    </w:p>
  </w:footnote>
  <w:footnote w:id="125">
    <w:p w:rsidR="00A313A6" w:rsidRPr="007B5FAD" w:rsidRDefault="00A313A6"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§6.27.</w:t>
      </w:r>
    </w:p>
  </w:footnote>
  <w:footnote w:id="126">
    <w:p w:rsidR="00A313A6" w:rsidRPr="007B5FAD" w:rsidRDefault="00A313A6" w:rsidP="00443ECC">
      <w:pPr>
        <w:pStyle w:val="FootnoteText"/>
        <w:tabs>
          <w:tab w:val="left" w:pos="360"/>
        </w:tabs>
        <w:ind w:left="450" w:hanging="45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 xml:space="preserve">at §3.2 defined “consent regime”, tying it to section </w:t>
      </w:r>
      <w:proofErr w:type="gramStart"/>
      <w:r w:rsidRPr="007B5FAD">
        <w:rPr>
          <w:lang w:val="en-GB"/>
        </w:rPr>
        <w:t>25A(</w:t>
      </w:r>
      <w:proofErr w:type="gramEnd"/>
      <w:r w:rsidRPr="007B5FAD">
        <w:rPr>
          <w:lang w:val="en-GB"/>
        </w:rPr>
        <w:t xml:space="preserve">2)(a) stating: “Section 25A(2)(a) provides a defence for that person to continue dealing with those proceeds when an </w:t>
      </w:r>
      <w:r w:rsidR="002715ED">
        <w:rPr>
          <w:lang w:val="en-GB"/>
        </w:rPr>
        <w:t>authori</w:t>
      </w:r>
      <w:r w:rsidR="002815A6">
        <w:rPr>
          <w:lang w:val="en-GB"/>
        </w:rPr>
        <w:t>s</w:t>
      </w:r>
      <w:r w:rsidR="002715ED">
        <w:rPr>
          <w:lang w:val="en-GB"/>
        </w:rPr>
        <w:t>e</w:t>
      </w:r>
      <w:r w:rsidRPr="007B5FAD">
        <w:rPr>
          <w:lang w:val="en-GB"/>
        </w:rPr>
        <w:t>d officer has given his consent (</w:t>
      </w:r>
      <w:r w:rsidR="002815A6">
        <w:rPr>
          <w:lang w:val="en-GB"/>
        </w:rPr>
        <w:t>“</w:t>
      </w:r>
      <w:r w:rsidRPr="007B5FAD">
        <w:rPr>
          <w:lang w:val="en-GB"/>
        </w:rPr>
        <w:t>the consent regime</w:t>
      </w:r>
      <w:r w:rsidR="002815A6">
        <w:rPr>
          <w:lang w:val="en-GB"/>
        </w:rPr>
        <w:t>”</w:t>
      </w:r>
      <w:r w:rsidRPr="007B5FAD">
        <w:rPr>
          <w:lang w:val="en-GB"/>
        </w:rPr>
        <w:t>)...”</w:t>
      </w:r>
    </w:p>
  </w:footnote>
  <w:footnote w:id="127">
    <w:p w:rsidR="00A313A6" w:rsidRPr="007B5FAD" w:rsidRDefault="00A313A6" w:rsidP="00443ECC">
      <w:pPr>
        <w:pStyle w:val="FootnoteText"/>
        <w:tabs>
          <w:tab w:val="left" w:pos="360"/>
        </w:tabs>
        <w:ind w:left="450" w:hanging="45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§6.42.</w:t>
      </w:r>
    </w:p>
  </w:footnote>
  <w:footnote w:id="128">
    <w:p w:rsidR="00A313A6" w:rsidRPr="007B5FAD" w:rsidRDefault="00A313A6" w:rsidP="00443ECC">
      <w:pPr>
        <w:pStyle w:val="FootnoteText"/>
        <w:tabs>
          <w:tab w:val="left" w:pos="360"/>
        </w:tabs>
        <w:ind w:left="450" w:hanging="45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§6.38.</w:t>
      </w:r>
    </w:p>
  </w:footnote>
  <w:footnote w:id="129">
    <w:p w:rsidR="00A313A6" w:rsidRPr="007B5FAD" w:rsidRDefault="00A313A6" w:rsidP="00443ECC">
      <w:pPr>
        <w:pStyle w:val="FootnoteText"/>
        <w:tabs>
          <w:tab w:val="left" w:pos="360"/>
        </w:tabs>
        <w:ind w:left="450" w:hanging="45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§6.52.</w:t>
      </w:r>
    </w:p>
  </w:footnote>
  <w:footnote w:id="130">
    <w:p w:rsidR="00A313A6" w:rsidRPr="007B5FAD" w:rsidRDefault="00A313A6" w:rsidP="00443ECC">
      <w:pPr>
        <w:pStyle w:val="FootnoteText"/>
        <w:tabs>
          <w:tab w:val="left" w:pos="360"/>
        </w:tabs>
        <w:ind w:left="450" w:hanging="45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§6.18.</w:t>
      </w:r>
    </w:p>
  </w:footnote>
  <w:footnote w:id="131">
    <w:p w:rsidR="00A313A6" w:rsidRPr="007B5FAD" w:rsidRDefault="00A313A6" w:rsidP="00443ECC">
      <w:pPr>
        <w:pStyle w:val="FootnoteText"/>
        <w:tabs>
          <w:tab w:val="left" w:pos="360"/>
        </w:tabs>
        <w:ind w:left="450" w:hanging="450"/>
        <w:jc w:val="both"/>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§6.49.</w:t>
      </w:r>
    </w:p>
  </w:footnote>
  <w:footnote w:id="132">
    <w:p w:rsidR="00A313A6" w:rsidRPr="007B5FAD" w:rsidRDefault="00A313A6" w:rsidP="00443ECC">
      <w:pPr>
        <w:pStyle w:val="FootnoteText"/>
        <w:tabs>
          <w:tab w:val="left" w:pos="360"/>
        </w:tabs>
        <w:rPr>
          <w:lang w:val="en-GB"/>
        </w:rPr>
      </w:pPr>
      <w:r w:rsidRPr="007B5FAD">
        <w:rPr>
          <w:rStyle w:val="FootnoteReference"/>
          <w:lang w:val="en-GB"/>
        </w:rPr>
        <w:footnoteRef/>
      </w:r>
      <w:r w:rsidRPr="007B5FAD">
        <w:rPr>
          <w:lang w:val="en-GB"/>
        </w:rPr>
        <w:t xml:space="preserve"> </w:t>
      </w:r>
      <w:r w:rsidRPr="007B5FAD">
        <w:rPr>
          <w:lang w:val="en-GB"/>
        </w:rPr>
        <w:tab/>
      </w:r>
      <w:proofErr w:type="spellStart"/>
      <w:r w:rsidRPr="007B5FAD">
        <w:rPr>
          <w:i/>
          <w:lang w:val="en-GB"/>
        </w:rPr>
        <w:t>Interush</w:t>
      </w:r>
      <w:proofErr w:type="spellEnd"/>
      <w:r w:rsidRPr="007B5FAD">
        <w:rPr>
          <w:i/>
          <w:lang w:val="en-GB"/>
        </w:rPr>
        <w:t xml:space="preserve"> </w:t>
      </w:r>
      <w:r w:rsidRPr="007B5FAD">
        <w:rPr>
          <w:lang w:val="en-GB"/>
        </w:rPr>
        <w:t>at §6.18</w:t>
      </w:r>
      <w:r w:rsidR="00E64175">
        <w:rPr>
          <w:lang w:val="en-GB"/>
        </w:rPr>
        <w:t xml:space="preserve"> </w:t>
      </w:r>
      <w:r w:rsidR="00E64175" w:rsidRPr="007B5FAD">
        <w:rPr>
          <w:rFonts w:eastAsia="Times New Roman"/>
          <w:lang w:val="en-GB"/>
        </w:rPr>
        <w:t>(emphasis in the original)</w:t>
      </w:r>
      <w:r w:rsidRPr="007B5FAD">
        <w:rPr>
          <w:lang w:val="en-GB"/>
        </w:rPr>
        <w:t>.</w:t>
      </w:r>
      <w:r w:rsidR="00E64175">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BC1" w:rsidRDefault="003A3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48" w:rsidRDefault="008E2D48">
    <w:pPr>
      <w:pStyle w:val="Header"/>
      <w:jc w:val="center"/>
    </w:pPr>
    <w:r>
      <w:t>-</w:t>
    </w:r>
    <w:r>
      <w:fldChar w:fldCharType="begin"/>
    </w:r>
    <w:r>
      <w:instrText xml:space="preserve"> PAGE   \* MERGEFORMAT </w:instrText>
    </w:r>
    <w:r>
      <w:fldChar w:fldCharType="separate"/>
    </w:r>
    <w:r w:rsidR="00182B88">
      <w:rPr>
        <w:noProof/>
      </w:rPr>
      <w:t>45</w:t>
    </w:r>
    <w:r>
      <w:rPr>
        <w:noProof/>
      </w:rPr>
      <w:fldChar w:fldCharType="end"/>
    </w:r>
    <w:r>
      <w:t>-</w:t>
    </w:r>
  </w:p>
  <w:p w:rsidR="008E2D48" w:rsidRDefault="008E2D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BC1" w:rsidRDefault="003A3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removePersonalInformation/>
  <w:removeDateAndTime/>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9D"/>
    <w:rsid w:val="000045F9"/>
    <w:rsid w:val="00005FFA"/>
    <w:rsid w:val="0000623D"/>
    <w:rsid w:val="000073F3"/>
    <w:rsid w:val="00010CE8"/>
    <w:rsid w:val="00014371"/>
    <w:rsid w:val="00016FC9"/>
    <w:rsid w:val="0004068A"/>
    <w:rsid w:val="000473AD"/>
    <w:rsid w:val="00051BCA"/>
    <w:rsid w:val="00051ECA"/>
    <w:rsid w:val="0005384A"/>
    <w:rsid w:val="00054BFB"/>
    <w:rsid w:val="00055D39"/>
    <w:rsid w:val="000572A9"/>
    <w:rsid w:val="00057AF6"/>
    <w:rsid w:val="00097950"/>
    <w:rsid w:val="000A6185"/>
    <w:rsid w:val="000B7069"/>
    <w:rsid w:val="000C516E"/>
    <w:rsid w:val="000D259B"/>
    <w:rsid w:val="000D4169"/>
    <w:rsid w:val="000D501A"/>
    <w:rsid w:val="000D7E7A"/>
    <w:rsid w:val="000E18EF"/>
    <w:rsid w:val="000E19BE"/>
    <w:rsid w:val="000E4F1B"/>
    <w:rsid w:val="000E603A"/>
    <w:rsid w:val="000F409E"/>
    <w:rsid w:val="0010345D"/>
    <w:rsid w:val="00105205"/>
    <w:rsid w:val="0011011E"/>
    <w:rsid w:val="0011493B"/>
    <w:rsid w:val="00116189"/>
    <w:rsid w:val="00123377"/>
    <w:rsid w:val="00124090"/>
    <w:rsid w:val="00134DDB"/>
    <w:rsid w:val="001421D8"/>
    <w:rsid w:val="00143BE0"/>
    <w:rsid w:val="00143E48"/>
    <w:rsid w:val="001512CC"/>
    <w:rsid w:val="0015305C"/>
    <w:rsid w:val="00155DBC"/>
    <w:rsid w:val="00155EFA"/>
    <w:rsid w:val="001563EC"/>
    <w:rsid w:val="00162AC7"/>
    <w:rsid w:val="00182B88"/>
    <w:rsid w:val="00183B8C"/>
    <w:rsid w:val="00197F5F"/>
    <w:rsid w:val="001A2838"/>
    <w:rsid w:val="001B261E"/>
    <w:rsid w:val="001B3700"/>
    <w:rsid w:val="001B3FFF"/>
    <w:rsid w:val="001B6B3A"/>
    <w:rsid w:val="001C1555"/>
    <w:rsid w:val="001C167B"/>
    <w:rsid w:val="001C1830"/>
    <w:rsid w:val="001D3173"/>
    <w:rsid w:val="001D3883"/>
    <w:rsid w:val="001E7805"/>
    <w:rsid w:val="001F4B36"/>
    <w:rsid w:val="001F57E0"/>
    <w:rsid w:val="00200074"/>
    <w:rsid w:val="00210A60"/>
    <w:rsid w:val="00211368"/>
    <w:rsid w:val="00223565"/>
    <w:rsid w:val="0022511D"/>
    <w:rsid w:val="00230063"/>
    <w:rsid w:val="002324C2"/>
    <w:rsid w:val="00244938"/>
    <w:rsid w:val="00246C99"/>
    <w:rsid w:val="00247208"/>
    <w:rsid w:val="00252E90"/>
    <w:rsid w:val="00256C69"/>
    <w:rsid w:val="002715ED"/>
    <w:rsid w:val="0028141C"/>
    <w:rsid w:val="002815A6"/>
    <w:rsid w:val="002848B9"/>
    <w:rsid w:val="00294216"/>
    <w:rsid w:val="00294B0B"/>
    <w:rsid w:val="002B6801"/>
    <w:rsid w:val="002C201B"/>
    <w:rsid w:val="002D024F"/>
    <w:rsid w:val="002E642D"/>
    <w:rsid w:val="002F450F"/>
    <w:rsid w:val="002F4CC0"/>
    <w:rsid w:val="002F6D45"/>
    <w:rsid w:val="00313002"/>
    <w:rsid w:val="00313C43"/>
    <w:rsid w:val="00322C32"/>
    <w:rsid w:val="00323A8F"/>
    <w:rsid w:val="00324454"/>
    <w:rsid w:val="00332436"/>
    <w:rsid w:val="003359A1"/>
    <w:rsid w:val="0034232A"/>
    <w:rsid w:val="0036124A"/>
    <w:rsid w:val="003701EF"/>
    <w:rsid w:val="00371A31"/>
    <w:rsid w:val="00377B84"/>
    <w:rsid w:val="00387231"/>
    <w:rsid w:val="003A38F9"/>
    <w:rsid w:val="003A3BC1"/>
    <w:rsid w:val="003A7B24"/>
    <w:rsid w:val="003B05C9"/>
    <w:rsid w:val="003B478A"/>
    <w:rsid w:val="003B48E4"/>
    <w:rsid w:val="003B6FE7"/>
    <w:rsid w:val="003C084A"/>
    <w:rsid w:val="003C1AC3"/>
    <w:rsid w:val="003D7AD9"/>
    <w:rsid w:val="003E2108"/>
    <w:rsid w:val="003F04B1"/>
    <w:rsid w:val="003F124C"/>
    <w:rsid w:val="003F152B"/>
    <w:rsid w:val="003F32D2"/>
    <w:rsid w:val="003F3D77"/>
    <w:rsid w:val="003F7894"/>
    <w:rsid w:val="00403729"/>
    <w:rsid w:val="0041075D"/>
    <w:rsid w:val="0041338E"/>
    <w:rsid w:val="00416E19"/>
    <w:rsid w:val="004174FF"/>
    <w:rsid w:val="00421385"/>
    <w:rsid w:val="004219C7"/>
    <w:rsid w:val="0042318F"/>
    <w:rsid w:val="00436137"/>
    <w:rsid w:val="00443ECC"/>
    <w:rsid w:val="00446040"/>
    <w:rsid w:val="00446814"/>
    <w:rsid w:val="0045329F"/>
    <w:rsid w:val="00456AAF"/>
    <w:rsid w:val="004629C2"/>
    <w:rsid w:val="00462EA7"/>
    <w:rsid w:val="00465541"/>
    <w:rsid w:val="0046781C"/>
    <w:rsid w:val="00473658"/>
    <w:rsid w:val="004767F3"/>
    <w:rsid w:val="00497FF4"/>
    <w:rsid w:val="004A0796"/>
    <w:rsid w:val="004A6C89"/>
    <w:rsid w:val="004B3052"/>
    <w:rsid w:val="004B5ED1"/>
    <w:rsid w:val="004D4CDE"/>
    <w:rsid w:val="004D6130"/>
    <w:rsid w:val="004D7961"/>
    <w:rsid w:val="004E2477"/>
    <w:rsid w:val="004F1232"/>
    <w:rsid w:val="00500E4F"/>
    <w:rsid w:val="00501FE1"/>
    <w:rsid w:val="00504253"/>
    <w:rsid w:val="00504AE0"/>
    <w:rsid w:val="00507937"/>
    <w:rsid w:val="00511E3D"/>
    <w:rsid w:val="005233ED"/>
    <w:rsid w:val="00531C8F"/>
    <w:rsid w:val="00547239"/>
    <w:rsid w:val="00550658"/>
    <w:rsid w:val="00553079"/>
    <w:rsid w:val="005607A5"/>
    <w:rsid w:val="005742C8"/>
    <w:rsid w:val="005751D4"/>
    <w:rsid w:val="005A4AD0"/>
    <w:rsid w:val="005A6AF6"/>
    <w:rsid w:val="005A7B9F"/>
    <w:rsid w:val="005B0CFE"/>
    <w:rsid w:val="005B51FA"/>
    <w:rsid w:val="005C618B"/>
    <w:rsid w:val="005C7FDD"/>
    <w:rsid w:val="005E44D3"/>
    <w:rsid w:val="005E7939"/>
    <w:rsid w:val="00602E7D"/>
    <w:rsid w:val="00603597"/>
    <w:rsid w:val="00613409"/>
    <w:rsid w:val="00617A16"/>
    <w:rsid w:val="006417C4"/>
    <w:rsid w:val="006433CA"/>
    <w:rsid w:val="006547E2"/>
    <w:rsid w:val="0066760C"/>
    <w:rsid w:val="006813F8"/>
    <w:rsid w:val="00681C6B"/>
    <w:rsid w:val="00693D15"/>
    <w:rsid w:val="00694648"/>
    <w:rsid w:val="006C5958"/>
    <w:rsid w:val="006D01DB"/>
    <w:rsid w:val="006D20FC"/>
    <w:rsid w:val="006F6AC3"/>
    <w:rsid w:val="006F6C50"/>
    <w:rsid w:val="007040ED"/>
    <w:rsid w:val="007126F9"/>
    <w:rsid w:val="007201D2"/>
    <w:rsid w:val="00733F94"/>
    <w:rsid w:val="007363BA"/>
    <w:rsid w:val="00752FAA"/>
    <w:rsid w:val="00761EC7"/>
    <w:rsid w:val="007721FF"/>
    <w:rsid w:val="00785B92"/>
    <w:rsid w:val="00792340"/>
    <w:rsid w:val="00794956"/>
    <w:rsid w:val="0079601A"/>
    <w:rsid w:val="007A1A78"/>
    <w:rsid w:val="007A1FBA"/>
    <w:rsid w:val="007A29C8"/>
    <w:rsid w:val="007A3368"/>
    <w:rsid w:val="007A5B52"/>
    <w:rsid w:val="007B0A14"/>
    <w:rsid w:val="007B0EEA"/>
    <w:rsid w:val="007B30CC"/>
    <w:rsid w:val="007B54EF"/>
    <w:rsid w:val="007D27AB"/>
    <w:rsid w:val="007D32DF"/>
    <w:rsid w:val="007F40F5"/>
    <w:rsid w:val="0080748E"/>
    <w:rsid w:val="00811081"/>
    <w:rsid w:val="00814799"/>
    <w:rsid w:val="00814CD3"/>
    <w:rsid w:val="0082268B"/>
    <w:rsid w:val="00823770"/>
    <w:rsid w:val="008239B5"/>
    <w:rsid w:val="00824948"/>
    <w:rsid w:val="008251C7"/>
    <w:rsid w:val="0083156F"/>
    <w:rsid w:val="008473B1"/>
    <w:rsid w:val="00853798"/>
    <w:rsid w:val="0086093A"/>
    <w:rsid w:val="00862265"/>
    <w:rsid w:val="00867B4D"/>
    <w:rsid w:val="008725C1"/>
    <w:rsid w:val="0087557C"/>
    <w:rsid w:val="00884713"/>
    <w:rsid w:val="00894B30"/>
    <w:rsid w:val="008A1593"/>
    <w:rsid w:val="008A3F41"/>
    <w:rsid w:val="008B2E60"/>
    <w:rsid w:val="008C2A82"/>
    <w:rsid w:val="008D3312"/>
    <w:rsid w:val="008D7C97"/>
    <w:rsid w:val="008E245B"/>
    <w:rsid w:val="008E2D48"/>
    <w:rsid w:val="008F0568"/>
    <w:rsid w:val="008F13AC"/>
    <w:rsid w:val="009011D3"/>
    <w:rsid w:val="009033D4"/>
    <w:rsid w:val="00904095"/>
    <w:rsid w:val="009041E0"/>
    <w:rsid w:val="00904D2E"/>
    <w:rsid w:val="009128F1"/>
    <w:rsid w:val="009212F7"/>
    <w:rsid w:val="00921389"/>
    <w:rsid w:val="00924CC7"/>
    <w:rsid w:val="00944019"/>
    <w:rsid w:val="009470B6"/>
    <w:rsid w:val="0095110A"/>
    <w:rsid w:val="00955C8B"/>
    <w:rsid w:val="00970122"/>
    <w:rsid w:val="00970DE3"/>
    <w:rsid w:val="00976763"/>
    <w:rsid w:val="00983A3D"/>
    <w:rsid w:val="00987F4A"/>
    <w:rsid w:val="009A0D4B"/>
    <w:rsid w:val="009A1D9C"/>
    <w:rsid w:val="009C402A"/>
    <w:rsid w:val="009C7992"/>
    <w:rsid w:val="009D13AA"/>
    <w:rsid w:val="009F12D5"/>
    <w:rsid w:val="00A01716"/>
    <w:rsid w:val="00A12ACC"/>
    <w:rsid w:val="00A16A31"/>
    <w:rsid w:val="00A16E3A"/>
    <w:rsid w:val="00A313A6"/>
    <w:rsid w:val="00A51DBF"/>
    <w:rsid w:val="00A63673"/>
    <w:rsid w:val="00A654E1"/>
    <w:rsid w:val="00A87B14"/>
    <w:rsid w:val="00A96384"/>
    <w:rsid w:val="00AA3610"/>
    <w:rsid w:val="00AA432C"/>
    <w:rsid w:val="00AB0343"/>
    <w:rsid w:val="00AB2A09"/>
    <w:rsid w:val="00AB3DC4"/>
    <w:rsid w:val="00AB691F"/>
    <w:rsid w:val="00AC240C"/>
    <w:rsid w:val="00AC7218"/>
    <w:rsid w:val="00AE51B8"/>
    <w:rsid w:val="00AE5863"/>
    <w:rsid w:val="00AF545B"/>
    <w:rsid w:val="00AF6058"/>
    <w:rsid w:val="00AF60C7"/>
    <w:rsid w:val="00AF7BB3"/>
    <w:rsid w:val="00B03689"/>
    <w:rsid w:val="00B14B7A"/>
    <w:rsid w:val="00B17420"/>
    <w:rsid w:val="00B205BD"/>
    <w:rsid w:val="00B23689"/>
    <w:rsid w:val="00B26AF6"/>
    <w:rsid w:val="00B31CEE"/>
    <w:rsid w:val="00B32973"/>
    <w:rsid w:val="00B32CEA"/>
    <w:rsid w:val="00B34478"/>
    <w:rsid w:val="00B35981"/>
    <w:rsid w:val="00B35B88"/>
    <w:rsid w:val="00B37A8B"/>
    <w:rsid w:val="00B37C2A"/>
    <w:rsid w:val="00B40172"/>
    <w:rsid w:val="00B57387"/>
    <w:rsid w:val="00B611E3"/>
    <w:rsid w:val="00B6239A"/>
    <w:rsid w:val="00B654D9"/>
    <w:rsid w:val="00B65A5D"/>
    <w:rsid w:val="00B6652A"/>
    <w:rsid w:val="00B75BC1"/>
    <w:rsid w:val="00B817CD"/>
    <w:rsid w:val="00B8589F"/>
    <w:rsid w:val="00B86D4C"/>
    <w:rsid w:val="00B95EFA"/>
    <w:rsid w:val="00BA2927"/>
    <w:rsid w:val="00BA2DC0"/>
    <w:rsid w:val="00BA4C87"/>
    <w:rsid w:val="00BA71B0"/>
    <w:rsid w:val="00BB1F52"/>
    <w:rsid w:val="00BD04BA"/>
    <w:rsid w:val="00BD4AB5"/>
    <w:rsid w:val="00BD6C49"/>
    <w:rsid w:val="00BE2CC8"/>
    <w:rsid w:val="00BF4FC1"/>
    <w:rsid w:val="00BF67A5"/>
    <w:rsid w:val="00C0040B"/>
    <w:rsid w:val="00C079A9"/>
    <w:rsid w:val="00C108D2"/>
    <w:rsid w:val="00C1117B"/>
    <w:rsid w:val="00C152D2"/>
    <w:rsid w:val="00C1634A"/>
    <w:rsid w:val="00C22BC9"/>
    <w:rsid w:val="00C42F49"/>
    <w:rsid w:val="00C47E46"/>
    <w:rsid w:val="00C72B7E"/>
    <w:rsid w:val="00C80468"/>
    <w:rsid w:val="00C93E42"/>
    <w:rsid w:val="00CB21DD"/>
    <w:rsid w:val="00CB5BC0"/>
    <w:rsid w:val="00CC0407"/>
    <w:rsid w:val="00CC281E"/>
    <w:rsid w:val="00CE30A0"/>
    <w:rsid w:val="00CF0190"/>
    <w:rsid w:val="00CF04BB"/>
    <w:rsid w:val="00D01FCE"/>
    <w:rsid w:val="00D0396D"/>
    <w:rsid w:val="00D11574"/>
    <w:rsid w:val="00D12CC3"/>
    <w:rsid w:val="00D16A80"/>
    <w:rsid w:val="00D2349E"/>
    <w:rsid w:val="00D30160"/>
    <w:rsid w:val="00D34F9E"/>
    <w:rsid w:val="00D353C4"/>
    <w:rsid w:val="00D50FEF"/>
    <w:rsid w:val="00D5500F"/>
    <w:rsid w:val="00D575F4"/>
    <w:rsid w:val="00D65F23"/>
    <w:rsid w:val="00D66842"/>
    <w:rsid w:val="00D80E6F"/>
    <w:rsid w:val="00D8246C"/>
    <w:rsid w:val="00D83816"/>
    <w:rsid w:val="00D83A62"/>
    <w:rsid w:val="00D87794"/>
    <w:rsid w:val="00D91884"/>
    <w:rsid w:val="00D9682F"/>
    <w:rsid w:val="00DA1DF6"/>
    <w:rsid w:val="00DB08BE"/>
    <w:rsid w:val="00DB59BB"/>
    <w:rsid w:val="00DD0FDF"/>
    <w:rsid w:val="00DE003C"/>
    <w:rsid w:val="00DE0B52"/>
    <w:rsid w:val="00DE3982"/>
    <w:rsid w:val="00DF2C04"/>
    <w:rsid w:val="00DF5EE5"/>
    <w:rsid w:val="00DF7559"/>
    <w:rsid w:val="00E02BAB"/>
    <w:rsid w:val="00E062FF"/>
    <w:rsid w:val="00E23949"/>
    <w:rsid w:val="00E244FF"/>
    <w:rsid w:val="00E40B94"/>
    <w:rsid w:val="00E46C79"/>
    <w:rsid w:val="00E60E45"/>
    <w:rsid w:val="00E6264E"/>
    <w:rsid w:val="00E62AB2"/>
    <w:rsid w:val="00E63E5B"/>
    <w:rsid w:val="00E64175"/>
    <w:rsid w:val="00E64441"/>
    <w:rsid w:val="00E7057C"/>
    <w:rsid w:val="00E7609D"/>
    <w:rsid w:val="00E869BC"/>
    <w:rsid w:val="00E87B69"/>
    <w:rsid w:val="00E87E3F"/>
    <w:rsid w:val="00EA0002"/>
    <w:rsid w:val="00EA4A24"/>
    <w:rsid w:val="00EA6C28"/>
    <w:rsid w:val="00EB5F12"/>
    <w:rsid w:val="00ED297B"/>
    <w:rsid w:val="00ED6EBE"/>
    <w:rsid w:val="00ED7580"/>
    <w:rsid w:val="00EE47E8"/>
    <w:rsid w:val="00EE7A28"/>
    <w:rsid w:val="00EF32A5"/>
    <w:rsid w:val="00EF4F33"/>
    <w:rsid w:val="00F01E6F"/>
    <w:rsid w:val="00F06941"/>
    <w:rsid w:val="00F0712F"/>
    <w:rsid w:val="00F074B9"/>
    <w:rsid w:val="00F27807"/>
    <w:rsid w:val="00F30245"/>
    <w:rsid w:val="00F34656"/>
    <w:rsid w:val="00F5188B"/>
    <w:rsid w:val="00F51C68"/>
    <w:rsid w:val="00F57393"/>
    <w:rsid w:val="00F574B1"/>
    <w:rsid w:val="00F612BF"/>
    <w:rsid w:val="00F6375C"/>
    <w:rsid w:val="00F70489"/>
    <w:rsid w:val="00F87BB8"/>
    <w:rsid w:val="00F915C7"/>
    <w:rsid w:val="00F95694"/>
    <w:rsid w:val="00FB72AB"/>
    <w:rsid w:val="00FC372A"/>
    <w:rsid w:val="00FC3E3F"/>
    <w:rsid w:val="00FD14C5"/>
    <w:rsid w:val="00FD56AC"/>
    <w:rsid w:val="00FF02DB"/>
    <w:rsid w:val="00FF5E0E"/>
    <w:rsid w:val="00FF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FKai-SB"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pPr>
      <w:spacing w:after="200" w:line="276" w:lineRule="auto"/>
    </w:pPr>
    <w:rPr>
      <w:kern w:val="2"/>
      <w:sz w:val="28"/>
      <w:szCs w:val="24"/>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Cambria" w:eastAsia="宋体" w:hAnsi="Cambria"/>
      <w:b/>
      <w:bCs/>
      <w:color w:val="365F91"/>
    </w:rPr>
  </w:style>
  <w:style w:type="paragraph" w:styleId="Heading3">
    <w:name w:val="heading 3"/>
    <w:basedOn w:val="Normal"/>
    <w:next w:val="Normal"/>
    <w:link w:val="Heading3Char"/>
    <w:uiPriority w:val="9"/>
    <w:semiHidden/>
    <w:unhideWhenUsed/>
    <w:qFormat/>
    <w:rsid w:val="000F409E"/>
    <w:pPr>
      <w:keepNext/>
      <w:spacing w:before="240" w:after="60"/>
      <w:outlineLvl w:val="2"/>
    </w:pPr>
    <w:rPr>
      <w:rFonts w:ascii="Calibri Light" w:eastAsia="等线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kern w:val="2"/>
      <w:sz w:val="28"/>
      <w:szCs w:val="24"/>
      <w:lang w:val="en-GB"/>
    </w:rPr>
  </w:style>
  <w:style w:type="character" w:customStyle="1" w:styleId="KittyChar">
    <w:name w:val="Kitty Char"/>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rPr>
      <w:kern w:val="2"/>
      <w:sz w:val="28"/>
      <w:szCs w:val="24"/>
      <w:lang w:val="en-GB"/>
    </w:rPr>
  </w:style>
  <w:style w:type="character" w:customStyle="1" w:styleId="Bob1Char">
    <w:name w:val="Bob 1 Char"/>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snapToGrid w:val="0"/>
      <w:color w:val="auto"/>
    </w:rPr>
  </w:style>
  <w:style w:type="character" w:customStyle="1" w:styleId="Heading1Char">
    <w:name w:val="Heading 1 Char"/>
    <w:link w:val="Heading1"/>
    <w:uiPriority w:val="9"/>
    <w:rsid w:val="00BA2DC0"/>
    <w:rPr>
      <w:rFonts w:ascii="Cambria" w:eastAsia="宋体" w:hAnsi="Cambria" w:cs="Times New Roman"/>
      <w:b/>
      <w:bCs/>
      <w:color w:val="365F91"/>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Cambria" w:eastAsia="宋体" w:hAnsi="Cambria"/>
      <w:color w:val="4F81BD"/>
      <w:spacing w:val="15"/>
    </w:rPr>
  </w:style>
  <w:style w:type="character" w:customStyle="1" w:styleId="SubtitleChar">
    <w:name w:val="Subtitle Char"/>
    <w:link w:val="Subtitle"/>
    <w:uiPriority w:val="11"/>
    <w:rsid w:val="00AB0343"/>
    <w:rPr>
      <w:rFonts w:ascii="Cambria" w:eastAsia="宋体" w:hAnsi="Cambria" w:cs="Times New Roman"/>
      <w:i/>
      <w:iCs/>
      <w:color w:val="4F81BD"/>
      <w:spacing w:val="15"/>
      <w:sz w:val="24"/>
      <w:szCs w:val="24"/>
      <w:lang w:val="en-GB"/>
    </w:rPr>
  </w:style>
  <w:style w:type="character" w:customStyle="1" w:styleId="docmapheadingChar">
    <w:name w:val="doc map heading Char"/>
    <w:link w:val="docmapheading"/>
    <w:rsid w:val="009C402A"/>
    <w:rPr>
      <w:rFonts w:ascii="Cambria" w:eastAsia="PMingLiU" w:hAnsi="Cambria" w:cs="Times New Roman"/>
      <w:i/>
      <w:iCs/>
      <w:color w:val="4F81BD"/>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link w:val="Footer"/>
    <w:uiPriority w:val="99"/>
    <w:rsid w:val="00CC0407"/>
    <w:rPr>
      <w:lang w:val="en-GB"/>
    </w:rPr>
  </w:style>
  <w:style w:type="paragraph" w:styleId="FootnoteText">
    <w:name w:val="footnote text"/>
    <w:basedOn w:val="Normal"/>
    <w:link w:val="FootnoteTextChar"/>
    <w:uiPriority w:val="99"/>
    <w:semiHidden/>
    <w:unhideWhenUsed/>
    <w:rsid w:val="002848B9"/>
    <w:pPr>
      <w:spacing w:after="120" w:line="240" w:lineRule="auto"/>
    </w:pPr>
    <w:rPr>
      <w:sz w:val="24"/>
      <w:lang w:val="en-US"/>
    </w:rPr>
  </w:style>
  <w:style w:type="character" w:customStyle="1" w:styleId="FootnoteTextChar">
    <w:name w:val="Footnote Text Char"/>
    <w:link w:val="FootnoteText"/>
    <w:uiPriority w:val="99"/>
    <w:semiHidden/>
    <w:rsid w:val="002848B9"/>
    <w:rPr>
      <w:sz w:val="24"/>
    </w:rPr>
  </w:style>
  <w:style w:type="paragraph" w:customStyle="1" w:styleId="Final">
    <w:name w:val="Final"/>
    <w:basedOn w:val="Normal"/>
    <w:qFormat/>
    <w:rsid w:val="004219C7"/>
    <w:pPr>
      <w:tabs>
        <w:tab w:val="left" w:pos="1440"/>
        <w:tab w:val="center" w:pos="4320"/>
        <w:tab w:val="right" w:pos="8453"/>
      </w:tabs>
      <w:snapToGrid w:val="0"/>
      <w:spacing w:after="440" w:line="360" w:lineRule="auto"/>
      <w:jc w:val="both"/>
    </w:pPr>
    <w:rPr>
      <w:rFonts w:eastAsia="宋体"/>
      <w:kern w:val="0"/>
      <w:szCs w:val="20"/>
    </w:rPr>
  </w:style>
  <w:style w:type="character" w:styleId="FootnoteReference">
    <w:name w:val="footnote reference"/>
    <w:unhideWhenUsed/>
    <w:qFormat/>
    <w:rsid w:val="004219C7"/>
    <w:rPr>
      <w:vertAlign w:val="superscript"/>
    </w:rPr>
  </w:style>
  <w:style w:type="paragraph" w:styleId="BalloonText">
    <w:name w:val="Balloon Text"/>
    <w:basedOn w:val="Normal"/>
    <w:link w:val="BalloonTextChar"/>
    <w:uiPriority w:val="99"/>
    <w:semiHidden/>
    <w:unhideWhenUsed/>
    <w:rsid w:val="00D575F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575F4"/>
    <w:rPr>
      <w:rFonts w:ascii="Segoe UI" w:hAnsi="Segoe UI" w:cs="Segoe UI"/>
      <w:kern w:val="2"/>
      <w:sz w:val="18"/>
      <w:szCs w:val="18"/>
      <w:lang w:eastAsia="zh-CN"/>
    </w:rPr>
  </w:style>
  <w:style w:type="character" w:customStyle="1" w:styleId="Heading3Char">
    <w:name w:val="Heading 3 Char"/>
    <w:link w:val="Heading3"/>
    <w:uiPriority w:val="9"/>
    <w:semiHidden/>
    <w:rsid w:val="000F409E"/>
    <w:rPr>
      <w:rFonts w:ascii="Calibri Light" w:eastAsia="等线 Light" w:hAnsi="Calibri Light" w:cs="Times New Roman"/>
      <w:b/>
      <w:bCs/>
      <w:kern w:val="2"/>
      <w:sz w:val="26"/>
      <w:szCs w:val="26"/>
      <w:lang w:val="en-GB"/>
    </w:rPr>
  </w:style>
  <w:style w:type="paragraph" w:customStyle="1" w:styleId="NormalMF">
    <w:name w:val="NormalMF"/>
    <w:basedOn w:val="Normal"/>
    <w:rsid w:val="000F409E"/>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kern w:val="0"/>
      <w:sz w:val="32"/>
      <w:szCs w:val="20"/>
    </w:rPr>
  </w:style>
  <w:style w:type="paragraph" w:customStyle="1" w:styleId="MF">
    <w:name w:val="MF"/>
    <w:basedOn w:val="NormalMF"/>
    <w:rsid w:val="000F409E"/>
    <w:rPr>
      <w:b w:val="0"/>
      <w:sz w:val="28"/>
    </w:rPr>
  </w:style>
  <w:style w:type="paragraph" w:styleId="BodyTextIndent">
    <w:name w:val="Body Text Indent"/>
    <w:basedOn w:val="Normal"/>
    <w:link w:val="BodyTextIndentChar"/>
    <w:semiHidden/>
    <w:rsid w:val="000F409E"/>
    <w:pPr>
      <w:widowControl w:val="0"/>
      <w:spacing w:after="0" w:line="240" w:lineRule="auto"/>
      <w:ind w:left="284" w:hanging="284"/>
      <w:jc w:val="both"/>
    </w:pPr>
    <w:rPr>
      <w:rFonts w:eastAsia="宋体"/>
      <w:sz w:val="24"/>
      <w:szCs w:val="20"/>
      <w:lang w:val="en-US"/>
    </w:rPr>
  </w:style>
  <w:style w:type="character" w:customStyle="1" w:styleId="BodyTextIndentChar">
    <w:name w:val="Body Text Indent Char"/>
    <w:link w:val="BodyTextIndent"/>
    <w:semiHidden/>
    <w:rsid w:val="000F409E"/>
    <w:rPr>
      <w:rFonts w:eastAsia="宋体"/>
      <w:kern w:val="2"/>
      <w:sz w:val="24"/>
    </w:rPr>
  </w:style>
  <w:style w:type="paragraph" w:customStyle="1" w:styleId="sh">
    <w:name w:val="sh"/>
    <w:basedOn w:val="Normal"/>
    <w:rsid w:val="000F409E"/>
    <w:pPr>
      <w:tabs>
        <w:tab w:val="left" w:pos="720"/>
        <w:tab w:val="left" w:pos="1440"/>
        <w:tab w:val="center" w:pos="4320"/>
        <w:tab w:val="right" w:pos="9072"/>
      </w:tabs>
      <w:spacing w:after="0" w:line="240" w:lineRule="auto"/>
    </w:pPr>
    <w:rPr>
      <w:rFonts w:eastAsia="宋体"/>
      <w:kern w:val="0"/>
      <w:szCs w:val="20"/>
      <w:lang w:val="en-US"/>
    </w:rPr>
  </w:style>
  <w:style w:type="table" w:styleId="TableGrid">
    <w:name w:val="Table Grid"/>
    <w:basedOn w:val="TableNormal"/>
    <w:uiPriority w:val="59"/>
    <w:rsid w:val="000F409E"/>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E6DA-08B6-437A-85C2-5F4291D5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10564</Words>
  <Characters>60215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2024-03-21T06:47:00Z</dcterms:created>
  <dcterms:modified xsi:type="dcterms:W3CDTF">2024-04-10T03:11:00Z</dcterms:modified>
</cp:coreProperties>
</file>