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B3D3B5" w14:textId="77777777" w:rsidR="000976CB" w:rsidRPr="00071E5D" w:rsidRDefault="000976CB" w:rsidP="000976CB">
      <w:pPr>
        <w:spacing w:after="0" w:line="240" w:lineRule="auto"/>
        <w:jc w:val="right"/>
        <w:rPr>
          <w:b/>
        </w:rPr>
      </w:pPr>
      <w:r w:rsidRPr="00071E5D">
        <w:rPr>
          <w:b/>
        </w:rPr>
        <w:t xml:space="preserve">FACV No. </w:t>
      </w:r>
      <w:r>
        <w:rPr>
          <w:rFonts w:hint="eastAsia"/>
          <w:b/>
          <w:lang w:eastAsia="zh-CN"/>
        </w:rPr>
        <w:t>8</w:t>
      </w:r>
      <w:r w:rsidRPr="00071E5D">
        <w:rPr>
          <w:b/>
        </w:rPr>
        <w:t xml:space="preserve"> of 20</w:t>
      </w:r>
      <w:r>
        <w:rPr>
          <w:rFonts w:hint="eastAsia"/>
          <w:b/>
          <w:lang w:eastAsia="zh-CN"/>
        </w:rPr>
        <w:t>23</w:t>
      </w:r>
    </w:p>
    <w:p w14:paraId="2ACDA3F7" w14:textId="1CC6ACD9" w:rsidR="000976CB" w:rsidRPr="00FC2670" w:rsidRDefault="00575A37" w:rsidP="000976CB">
      <w:pPr>
        <w:spacing w:after="0" w:line="240" w:lineRule="auto"/>
        <w:jc w:val="right"/>
        <w:rPr>
          <w:lang w:eastAsia="zh-CN"/>
        </w:rPr>
      </w:pPr>
      <w:r w:rsidRPr="00575A37">
        <w:rPr>
          <w:b/>
        </w:rPr>
        <w:t>[2024] HKCFA 17</w:t>
      </w:r>
      <w:bookmarkStart w:id="0" w:name="_GoBack"/>
      <w:bookmarkEnd w:id="0"/>
    </w:p>
    <w:p w14:paraId="635A37B1" w14:textId="119A3947" w:rsidR="000976CB" w:rsidRDefault="000976CB" w:rsidP="000976CB">
      <w:pPr>
        <w:spacing w:after="0" w:line="240" w:lineRule="auto"/>
        <w:jc w:val="right"/>
        <w:rPr>
          <w:b/>
        </w:rPr>
      </w:pPr>
    </w:p>
    <w:p w14:paraId="649412EF" w14:textId="77777777" w:rsidR="008F3E53" w:rsidRPr="00FD3B2F" w:rsidRDefault="008F3E53" w:rsidP="000976CB">
      <w:pPr>
        <w:spacing w:after="0" w:line="240" w:lineRule="auto"/>
        <w:jc w:val="right"/>
        <w:rPr>
          <w:b/>
        </w:rPr>
      </w:pPr>
    </w:p>
    <w:p w14:paraId="17176E79" w14:textId="77777777" w:rsidR="000976CB" w:rsidRPr="00071E5D" w:rsidRDefault="000976CB" w:rsidP="000976CB">
      <w:pPr>
        <w:spacing w:after="0" w:line="240" w:lineRule="auto"/>
        <w:jc w:val="center"/>
        <w:rPr>
          <w:b/>
          <w:bCs/>
        </w:rPr>
      </w:pPr>
      <w:r w:rsidRPr="00071E5D">
        <w:rPr>
          <w:b/>
          <w:bCs/>
        </w:rPr>
        <w:t>IN THE COURT OF FINAL APPEAL OF THE</w:t>
      </w:r>
    </w:p>
    <w:p w14:paraId="78F5E461" w14:textId="77777777" w:rsidR="000976CB" w:rsidRDefault="000976CB" w:rsidP="000976CB">
      <w:pPr>
        <w:spacing w:after="0" w:line="240" w:lineRule="auto"/>
        <w:jc w:val="center"/>
      </w:pPr>
      <w:r w:rsidRPr="00071E5D">
        <w:rPr>
          <w:b/>
          <w:bCs/>
        </w:rPr>
        <w:t>HONG KONG SPECIAL ADMINISTRATIVE REGION</w:t>
      </w:r>
    </w:p>
    <w:p w14:paraId="0C4767EF" w14:textId="77777777" w:rsidR="000976CB" w:rsidRDefault="000976CB" w:rsidP="000976CB">
      <w:pPr>
        <w:spacing w:after="0" w:line="240" w:lineRule="auto"/>
        <w:jc w:val="center"/>
      </w:pPr>
    </w:p>
    <w:p w14:paraId="2A6AF7B2" w14:textId="77777777" w:rsidR="000976CB" w:rsidRDefault="000976CB" w:rsidP="000976CB">
      <w:pPr>
        <w:spacing w:after="0" w:line="240" w:lineRule="auto"/>
        <w:jc w:val="center"/>
        <w:rPr>
          <w:b/>
          <w:bCs/>
        </w:rPr>
      </w:pPr>
      <w:r w:rsidRPr="00071E5D">
        <w:rPr>
          <w:b/>
          <w:bCs/>
        </w:rPr>
        <w:t xml:space="preserve">FINAL APPEAL NO. </w:t>
      </w:r>
      <w:r>
        <w:rPr>
          <w:b/>
          <w:bCs/>
        </w:rPr>
        <w:t>8</w:t>
      </w:r>
      <w:r w:rsidRPr="00071E5D">
        <w:rPr>
          <w:b/>
          <w:bCs/>
        </w:rPr>
        <w:t xml:space="preserve"> OF 20</w:t>
      </w:r>
      <w:r>
        <w:rPr>
          <w:b/>
          <w:bCs/>
        </w:rPr>
        <w:t>23</w:t>
      </w:r>
      <w:r w:rsidRPr="00071E5D">
        <w:rPr>
          <w:b/>
          <w:bCs/>
        </w:rPr>
        <w:t xml:space="preserve"> (CIVIL)</w:t>
      </w:r>
    </w:p>
    <w:p w14:paraId="64AD2028" w14:textId="77777777" w:rsidR="000976CB" w:rsidRDefault="000976CB" w:rsidP="000976CB">
      <w:pPr>
        <w:spacing w:after="0" w:line="240" w:lineRule="auto"/>
        <w:jc w:val="center"/>
      </w:pPr>
      <w:r w:rsidRPr="00071E5D">
        <w:t xml:space="preserve">(ON APPEAL FROM CACV NO. </w:t>
      </w:r>
      <w:r>
        <w:rPr>
          <w:lang w:eastAsia="zh-CN"/>
        </w:rPr>
        <w:t>355</w:t>
      </w:r>
      <w:r>
        <w:rPr>
          <w:rFonts w:hint="eastAsia"/>
          <w:lang w:eastAsia="zh-CN"/>
        </w:rPr>
        <w:t xml:space="preserve"> </w:t>
      </w:r>
      <w:r>
        <w:t>OF</w:t>
      </w:r>
      <w:r>
        <w:rPr>
          <w:rFonts w:hint="eastAsia"/>
          <w:lang w:eastAsia="zh-CN"/>
        </w:rPr>
        <w:t xml:space="preserve"> 20</w:t>
      </w:r>
      <w:r>
        <w:rPr>
          <w:lang w:eastAsia="zh-CN"/>
        </w:rPr>
        <w:t>21</w:t>
      </w:r>
      <w:r>
        <w:t>)</w:t>
      </w:r>
    </w:p>
    <w:p w14:paraId="60B79D15" w14:textId="77777777" w:rsidR="000976CB" w:rsidRDefault="000976CB" w:rsidP="000976CB">
      <w:pPr>
        <w:spacing w:after="0" w:line="240" w:lineRule="auto"/>
        <w:jc w:val="center"/>
      </w:pPr>
      <w:r>
        <w:t>___________________________</w:t>
      </w:r>
    </w:p>
    <w:p w14:paraId="7F1226CF" w14:textId="77777777" w:rsidR="000976CB" w:rsidRPr="004F5606" w:rsidRDefault="000976CB" w:rsidP="000976CB">
      <w:pPr>
        <w:spacing w:after="0" w:line="240" w:lineRule="auto"/>
        <w:jc w:val="center"/>
      </w:pPr>
    </w:p>
    <w:p w14:paraId="7667E0E3" w14:textId="77777777" w:rsidR="000976CB" w:rsidRPr="009A04C0" w:rsidRDefault="000976CB" w:rsidP="000976CB">
      <w:pPr>
        <w:spacing w:after="0" w:line="240" w:lineRule="auto"/>
        <w:rPr>
          <w:color w:val="000000"/>
        </w:rPr>
      </w:pPr>
      <w:r w:rsidRPr="009A04C0">
        <w:rPr>
          <w:color w:val="000000"/>
        </w:rPr>
        <w:t>B</w:t>
      </w:r>
      <w:r w:rsidRPr="009A04C0">
        <w:rPr>
          <w:rFonts w:hint="eastAsia"/>
          <w:color w:val="000000"/>
          <w:lang w:eastAsia="zh-CN"/>
        </w:rPr>
        <w:t>ETWEEN</w:t>
      </w:r>
    </w:p>
    <w:p w14:paraId="0A2B50E4" w14:textId="77777777" w:rsidR="000976CB" w:rsidRPr="009A04C0" w:rsidRDefault="000976CB" w:rsidP="000976CB">
      <w:pPr>
        <w:spacing w:after="0" w:line="240" w:lineRule="auto"/>
        <w:rPr>
          <w:color w:val="000000"/>
        </w:rPr>
      </w:pPr>
    </w:p>
    <w:tbl>
      <w:tblPr>
        <w:tblW w:w="6860" w:type="dxa"/>
        <w:tblInd w:w="2410" w:type="dxa"/>
        <w:tblLayout w:type="fixed"/>
        <w:tblLook w:val="0000" w:firstRow="0" w:lastRow="0" w:firstColumn="0" w:lastColumn="0" w:noHBand="0" w:noVBand="0"/>
      </w:tblPr>
      <w:tblGrid>
        <w:gridCol w:w="4340"/>
        <w:gridCol w:w="2520"/>
      </w:tblGrid>
      <w:tr w:rsidR="000976CB" w:rsidRPr="000976CB" w14:paraId="03908218" w14:textId="77777777" w:rsidTr="00A65B92">
        <w:trPr>
          <w:cantSplit/>
          <w:trHeight w:val="720"/>
        </w:trPr>
        <w:tc>
          <w:tcPr>
            <w:tcW w:w="4340" w:type="dxa"/>
          </w:tcPr>
          <w:p w14:paraId="3ACAE803" w14:textId="77777777" w:rsidR="000976CB" w:rsidRPr="00692905" w:rsidRDefault="000976CB" w:rsidP="000976CB">
            <w:pPr>
              <w:spacing w:after="0" w:line="240" w:lineRule="auto"/>
              <w:jc w:val="center"/>
              <w:rPr>
                <w:b/>
                <w:bCs/>
                <w:color w:val="000000"/>
                <w:lang w:eastAsia="zh-CN"/>
              </w:rPr>
            </w:pPr>
            <w:r>
              <w:rPr>
                <w:b/>
              </w:rPr>
              <w:t>MK</w:t>
            </w:r>
          </w:p>
        </w:tc>
        <w:tc>
          <w:tcPr>
            <w:tcW w:w="2520" w:type="dxa"/>
          </w:tcPr>
          <w:p w14:paraId="153382E0" w14:textId="77777777" w:rsidR="000976CB" w:rsidRPr="000976CB" w:rsidRDefault="000976CB" w:rsidP="000976CB">
            <w:pPr>
              <w:spacing w:after="0" w:line="240" w:lineRule="auto"/>
              <w:jc w:val="right"/>
            </w:pPr>
            <w:r w:rsidRPr="000976CB">
              <w:rPr>
                <w:lang w:eastAsia="zh-CN"/>
              </w:rPr>
              <w:t>Applicant</w:t>
            </w:r>
          </w:p>
          <w:p w14:paraId="74307F4C" w14:textId="77777777" w:rsidR="000976CB" w:rsidRPr="000976CB" w:rsidRDefault="000976CB" w:rsidP="000976CB">
            <w:pPr>
              <w:spacing w:after="0" w:line="240" w:lineRule="auto"/>
              <w:jc w:val="right"/>
              <w:rPr>
                <w:color w:val="000000"/>
                <w:lang w:eastAsia="zh-CN"/>
              </w:rPr>
            </w:pPr>
            <w:r w:rsidRPr="000976CB">
              <w:t>(App</w:t>
            </w:r>
            <w:r w:rsidRPr="000976CB">
              <w:rPr>
                <w:lang w:eastAsia="zh-CN"/>
              </w:rPr>
              <w:t>e</w:t>
            </w:r>
            <w:r w:rsidRPr="000976CB">
              <w:t>llant)</w:t>
            </w:r>
          </w:p>
        </w:tc>
      </w:tr>
      <w:tr w:rsidR="000976CB" w:rsidRPr="00692905" w14:paraId="5EFAA0E3" w14:textId="77777777" w:rsidTr="00A65B92">
        <w:trPr>
          <w:cantSplit/>
          <w:trHeight w:val="720"/>
        </w:trPr>
        <w:tc>
          <w:tcPr>
            <w:tcW w:w="4340" w:type="dxa"/>
          </w:tcPr>
          <w:p w14:paraId="59DB9361" w14:textId="77777777" w:rsidR="000976CB" w:rsidRPr="00692905" w:rsidRDefault="000976CB" w:rsidP="000976CB">
            <w:pPr>
              <w:tabs>
                <w:tab w:val="center" w:pos="2863"/>
              </w:tabs>
              <w:spacing w:after="0" w:line="240" w:lineRule="auto"/>
              <w:jc w:val="center"/>
              <w:rPr>
                <w:b/>
                <w:bCs/>
                <w:color w:val="000000"/>
                <w:lang w:eastAsia="zh-CN"/>
              </w:rPr>
            </w:pPr>
            <w:r w:rsidRPr="00692905">
              <w:rPr>
                <w:b/>
              </w:rPr>
              <w:t>and</w:t>
            </w:r>
          </w:p>
        </w:tc>
        <w:tc>
          <w:tcPr>
            <w:tcW w:w="2520" w:type="dxa"/>
          </w:tcPr>
          <w:p w14:paraId="57B1E713" w14:textId="77777777" w:rsidR="000976CB" w:rsidRPr="00692905" w:rsidRDefault="000976CB" w:rsidP="000976CB">
            <w:pPr>
              <w:spacing w:after="0" w:line="240" w:lineRule="auto"/>
              <w:jc w:val="right"/>
              <w:rPr>
                <w:b/>
                <w:color w:val="000000"/>
                <w:lang w:eastAsia="zh-CN"/>
              </w:rPr>
            </w:pPr>
          </w:p>
        </w:tc>
      </w:tr>
      <w:tr w:rsidR="000976CB" w:rsidRPr="000976CB" w14:paraId="2D283FCB" w14:textId="77777777" w:rsidTr="00A65B92">
        <w:trPr>
          <w:cantSplit/>
          <w:trHeight w:val="720"/>
        </w:trPr>
        <w:tc>
          <w:tcPr>
            <w:tcW w:w="4340" w:type="dxa"/>
          </w:tcPr>
          <w:p w14:paraId="4FFB0E43" w14:textId="77777777" w:rsidR="000976CB" w:rsidRDefault="000976CB" w:rsidP="000976CB">
            <w:pPr>
              <w:spacing w:after="0" w:line="240" w:lineRule="auto"/>
              <w:jc w:val="center"/>
              <w:rPr>
                <w:caps/>
                <w:lang w:eastAsia="zh-TW"/>
              </w:rPr>
            </w:pPr>
            <w:r>
              <w:rPr>
                <w:b/>
                <w:color w:val="000000"/>
              </w:rPr>
              <w:t>REGISTRAR OF HIGH COURT</w:t>
            </w:r>
          </w:p>
          <w:p w14:paraId="6D5F0C75" w14:textId="77777777" w:rsidR="000976CB" w:rsidRPr="00390430" w:rsidRDefault="000976CB" w:rsidP="000976CB">
            <w:pPr>
              <w:spacing w:after="0" w:line="240" w:lineRule="auto"/>
              <w:jc w:val="center"/>
            </w:pPr>
          </w:p>
        </w:tc>
        <w:tc>
          <w:tcPr>
            <w:tcW w:w="2520" w:type="dxa"/>
          </w:tcPr>
          <w:p w14:paraId="726DE8D3" w14:textId="77777777" w:rsidR="000976CB" w:rsidRPr="000976CB" w:rsidRDefault="000976CB" w:rsidP="000976CB">
            <w:pPr>
              <w:spacing w:after="0" w:line="240" w:lineRule="auto"/>
              <w:jc w:val="right"/>
              <w:rPr>
                <w:rFonts w:eastAsia="DFKai-SB"/>
              </w:rPr>
            </w:pPr>
            <w:r w:rsidRPr="000976CB">
              <w:rPr>
                <w:rFonts w:eastAsia="DFKai-SB"/>
              </w:rPr>
              <w:t>Respondent</w:t>
            </w:r>
          </w:p>
          <w:p w14:paraId="7D89DE76" w14:textId="77777777" w:rsidR="000976CB" w:rsidRPr="000976CB" w:rsidRDefault="000976CB" w:rsidP="000976CB">
            <w:pPr>
              <w:spacing w:after="0" w:line="240" w:lineRule="auto"/>
              <w:jc w:val="right"/>
            </w:pPr>
          </w:p>
        </w:tc>
      </w:tr>
      <w:tr w:rsidR="000976CB" w:rsidRPr="00692905" w14:paraId="75E06567" w14:textId="77777777" w:rsidTr="00A65B92">
        <w:trPr>
          <w:cantSplit/>
          <w:trHeight w:val="720"/>
        </w:trPr>
        <w:tc>
          <w:tcPr>
            <w:tcW w:w="4340" w:type="dxa"/>
          </w:tcPr>
          <w:p w14:paraId="7C240A03" w14:textId="77777777" w:rsidR="000976CB" w:rsidRDefault="000976CB" w:rsidP="000976CB">
            <w:pPr>
              <w:spacing w:after="0" w:line="240" w:lineRule="auto"/>
              <w:jc w:val="center"/>
              <w:rPr>
                <w:color w:val="000000"/>
              </w:rPr>
            </w:pPr>
            <w:r w:rsidRPr="00692905">
              <w:rPr>
                <w:b/>
              </w:rPr>
              <w:t>and</w:t>
            </w:r>
          </w:p>
        </w:tc>
        <w:tc>
          <w:tcPr>
            <w:tcW w:w="2520" w:type="dxa"/>
          </w:tcPr>
          <w:p w14:paraId="0DA108EF" w14:textId="77777777" w:rsidR="000976CB" w:rsidRPr="00692905" w:rsidRDefault="000976CB" w:rsidP="000976CB">
            <w:pPr>
              <w:spacing w:after="0" w:line="240" w:lineRule="auto"/>
              <w:jc w:val="right"/>
              <w:rPr>
                <w:b/>
              </w:rPr>
            </w:pPr>
          </w:p>
        </w:tc>
      </w:tr>
      <w:tr w:rsidR="000976CB" w:rsidRPr="000976CB" w14:paraId="0AFF2266" w14:textId="77777777" w:rsidTr="00A65B92">
        <w:trPr>
          <w:cantSplit/>
          <w:trHeight w:val="720"/>
        </w:trPr>
        <w:tc>
          <w:tcPr>
            <w:tcW w:w="4340" w:type="dxa"/>
          </w:tcPr>
          <w:p w14:paraId="3C9F238B" w14:textId="77777777" w:rsidR="000976CB" w:rsidRPr="00390430" w:rsidRDefault="000976CB" w:rsidP="000976CB">
            <w:pPr>
              <w:spacing w:after="0" w:line="240" w:lineRule="auto"/>
              <w:jc w:val="center"/>
              <w:rPr>
                <w:b/>
                <w:color w:val="000000"/>
              </w:rPr>
            </w:pPr>
            <w:r>
              <w:rPr>
                <w:b/>
                <w:color w:val="000000"/>
              </w:rPr>
              <w:t>DIRECTOR OF LEGAL AID</w:t>
            </w:r>
          </w:p>
        </w:tc>
        <w:tc>
          <w:tcPr>
            <w:tcW w:w="2520" w:type="dxa"/>
          </w:tcPr>
          <w:p w14:paraId="4023608A" w14:textId="77777777" w:rsidR="000976CB" w:rsidRPr="000976CB" w:rsidRDefault="000976CB" w:rsidP="000976CB">
            <w:pPr>
              <w:spacing w:after="0" w:line="240" w:lineRule="auto"/>
              <w:jc w:val="right"/>
              <w:rPr>
                <w:rFonts w:eastAsia="DFKai-SB"/>
              </w:rPr>
            </w:pPr>
            <w:r w:rsidRPr="000976CB">
              <w:rPr>
                <w:rFonts w:eastAsia="DFKai-SB"/>
              </w:rPr>
              <w:t>Interested Party</w:t>
            </w:r>
          </w:p>
          <w:p w14:paraId="283B6E31" w14:textId="77777777" w:rsidR="000976CB" w:rsidRPr="000976CB" w:rsidRDefault="000976CB" w:rsidP="000976CB">
            <w:pPr>
              <w:spacing w:after="0" w:line="240" w:lineRule="auto"/>
              <w:jc w:val="right"/>
              <w:rPr>
                <w:rFonts w:eastAsia="DFKai-SB"/>
              </w:rPr>
            </w:pPr>
            <w:r w:rsidRPr="000976CB">
              <w:rPr>
                <w:rFonts w:eastAsia="DFKai-SB"/>
              </w:rPr>
              <w:t>(Respondent)</w:t>
            </w:r>
          </w:p>
        </w:tc>
      </w:tr>
    </w:tbl>
    <w:p w14:paraId="7889CC4A" w14:textId="4A23C219" w:rsidR="000976CB" w:rsidRPr="004F5606" w:rsidRDefault="000976CB" w:rsidP="000976CB">
      <w:pPr>
        <w:spacing w:after="0" w:line="240" w:lineRule="auto"/>
        <w:jc w:val="center"/>
      </w:pPr>
      <w:r w:rsidRPr="004F5606">
        <w:t>__________</w:t>
      </w:r>
      <w:r>
        <w:t>_______</w:t>
      </w:r>
      <w:r w:rsidRPr="004F5606">
        <w:t>_________</w:t>
      </w:r>
    </w:p>
    <w:p w14:paraId="1A1EA3B5" w14:textId="77777777" w:rsidR="000976CB" w:rsidRPr="009423F5" w:rsidRDefault="000976CB" w:rsidP="000976CB">
      <w:pPr>
        <w:spacing w:after="0" w:line="240" w:lineRule="auto"/>
        <w:jc w:val="center"/>
        <w:rPr>
          <w:lang w:eastAsia="zh-CN"/>
        </w:rPr>
      </w:pPr>
    </w:p>
    <w:p w14:paraId="247B1625" w14:textId="77777777" w:rsidR="000976CB" w:rsidRPr="009423F5" w:rsidRDefault="000976CB" w:rsidP="000976CB">
      <w:pPr>
        <w:spacing w:after="0" w:line="240" w:lineRule="auto"/>
        <w:rPr>
          <w:lang w:eastAsia="zh-CN"/>
        </w:rPr>
      </w:pPr>
    </w:p>
    <w:tbl>
      <w:tblPr>
        <w:tblW w:w="9360" w:type="dxa"/>
        <w:tblLook w:val="0000" w:firstRow="0" w:lastRow="0" w:firstColumn="0" w:lastColumn="0" w:noHBand="0" w:noVBand="0"/>
      </w:tblPr>
      <w:tblGrid>
        <w:gridCol w:w="108"/>
        <w:gridCol w:w="2410"/>
        <w:gridCol w:w="452"/>
        <w:gridCol w:w="3942"/>
        <w:gridCol w:w="2178"/>
        <w:gridCol w:w="270"/>
      </w:tblGrid>
      <w:tr w:rsidR="000976CB" w:rsidRPr="008F2F7E" w14:paraId="7AB71061" w14:textId="77777777" w:rsidTr="00C154CA">
        <w:trPr>
          <w:gridAfter w:val="1"/>
          <w:wAfter w:w="270" w:type="dxa"/>
          <w:trHeight w:val="720"/>
        </w:trPr>
        <w:tc>
          <w:tcPr>
            <w:tcW w:w="2970" w:type="dxa"/>
            <w:gridSpan w:val="3"/>
          </w:tcPr>
          <w:p w14:paraId="210D568B" w14:textId="77777777" w:rsidR="000976CB" w:rsidRPr="00071E5D" w:rsidRDefault="000976CB" w:rsidP="000976CB">
            <w:pPr>
              <w:spacing w:after="0" w:line="240" w:lineRule="auto"/>
              <w:ind w:left="-15" w:right="-180"/>
            </w:pPr>
            <w:r w:rsidRPr="00071E5D">
              <w:t>Before:</w:t>
            </w:r>
          </w:p>
        </w:tc>
        <w:tc>
          <w:tcPr>
            <w:tcW w:w="6120" w:type="dxa"/>
            <w:gridSpan w:val="2"/>
          </w:tcPr>
          <w:p w14:paraId="17BDE8D1" w14:textId="77777777" w:rsidR="000976CB" w:rsidRDefault="000976CB" w:rsidP="000976CB">
            <w:pPr>
              <w:spacing w:after="0" w:line="240" w:lineRule="auto"/>
            </w:pPr>
            <w:r w:rsidRPr="00071E5D">
              <w:t>Mr Justice Ribeiro PJ,</w:t>
            </w:r>
            <w:r>
              <w:t xml:space="preserve"> </w:t>
            </w:r>
            <w:r w:rsidRPr="00071E5D">
              <w:t>Mr Justice Fok PJ,</w:t>
            </w:r>
          </w:p>
          <w:p w14:paraId="6B9956FD" w14:textId="77777777" w:rsidR="000976CB" w:rsidRPr="00071E5D" w:rsidRDefault="000976CB" w:rsidP="000976CB">
            <w:pPr>
              <w:spacing w:after="0" w:line="240" w:lineRule="auto"/>
            </w:pPr>
            <w:r>
              <w:t xml:space="preserve">Mr Justice Lam PJ, </w:t>
            </w:r>
            <w:r w:rsidRPr="00071E5D">
              <w:t>Mr Justice Tang NPJ and</w:t>
            </w:r>
          </w:p>
          <w:p w14:paraId="74AB2989" w14:textId="77777777" w:rsidR="000976CB" w:rsidRPr="00071E5D" w:rsidRDefault="000976CB" w:rsidP="000976CB">
            <w:pPr>
              <w:spacing w:after="0" w:line="240" w:lineRule="auto"/>
            </w:pPr>
            <w:r>
              <w:t xml:space="preserve">Lord </w:t>
            </w:r>
            <w:r w:rsidRPr="00E056AD">
              <w:t xml:space="preserve">Phillips of Worth </w:t>
            </w:r>
            <w:proofErr w:type="spellStart"/>
            <w:r w:rsidRPr="00E056AD">
              <w:t>Matravers</w:t>
            </w:r>
            <w:proofErr w:type="spellEnd"/>
            <w:r w:rsidRPr="00071E5D">
              <w:t xml:space="preserve"> NPJ</w:t>
            </w:r>
          </w:p>
          <w:p w14:paraId="65654FE6" w14:textId="77777777" w:rsidR="000976CB" w:rsidRPr="00071E5D" w:rsidRDefault="000976CB" w:rsidP="000976CB">
            <w:pPr>
              <w:spacing w:after="0" w:line="240" w:lineRule="auto"/>
            </w:pPr>
          </w:p>
        </w:tc>
      </w:tr>
      <w:tr w:rsidR="000976CB" w:rsidRPr="008F2F7E" w14:paraId="2AB6F721" w14:textId="77777777" w:rsidTr="00C154CA">
        <w:trPr>
          <w:gridAfter w:val="1"/>
          <w:wAfter w:w="270" w:type="dxa"/>
          <w:trHeight w:val="918"/>
        </w:trPr>
        <w:tc>
          <w:tcPr>
            <w:tcW w:w="2970" w:type="dxa"/>
            <w:gridSpan w:val="3"/>
          </w:tcPr>
          <w:p w14:paraId="7A22BFD4" w14:textId="509C9E0B" w:rsidR="000976CB" w:rsidRPr="00071E5D" w:rsidRDefault="000976CB" w:rsidP="00C154CA">
            <w:pPr>
              <w:spacing w:after="0" w:line="240" w:lineRule="auto"/>
              <w:ind w:left="-15" w:right="-180"/>
            </w:pPr>
            <w:r w:rsidRPr="00071E5D">
              <w:t xml:space="preserve">Date of Judgment: </w:t>
            </w:r>
          </w:p>
        </w:tc>
        <w:tc>
          <w:tcPr>
            <w:tcW w:w="6120" w:type="dxa"/>
            <w:gridSpan w:val="2"/>
          </w:tcPr>
          <w:p w14:paraId="222619C2" w14:textId="32DFD96C" w:rsidR="000976CB" w:rsidRPr="00071E5D" w:rsidRDefault="00575A37" w:rsidP="000976CB">
            <w:pPr>
              <w:spacing w:after="0" w:line="240" w:lineRule="auto"/>
            </w:pPr>
            <w:r w:rsidRPr="00575A37">
              <w:t>20</w:t>
            </w:r>
            <w:r w:rsidR="000976CB" w:rsidRPr="00575A37">
              <w:t xml:space="preserve"> </w:t>
            </w:r>
            <w:r w:rsidR="000976CB">
              <w:t xml:space="preserve">June </w:t>
            </w:r>
            <w:r w:rsidR="000976CB" w:rsidRPr="00071E5D">
              <w:t>20</w:t>
            </w:r>
            <w:r w:rsidR="000976CB">
              <w:t>24</w:t>
            </w:r>
          </w:p>
        </w:tc>
      </w:tr>
      <w:tr w:rsidR="000976CB" w:rsidRPr="008F3E53" w14:paraId="60D2E426" w14:textId="77777777" w:rsidTr="00C154CA">
        <w:tblPrEx>
          <w:tblLook w:val="04A0" w:firstRow="1" w:lastRow="0" w:firstColumn="1" w:lastColumn="0" w:noHBand="0" w:noVBand="1"/>
        </w:tblPrEx>
        <w:trPr>
          <w:gridBefore w:val="1"/>
          <w:wBefore w:w="108" w:type="dxa"/>
          <w:trHeight w:val="864"/>
        </w:trPr>
        <w:tc>
          <w:tcPr>
            <w:tcW w:w="2410" w:type="dxa"/>
            <w:shd w:val="clear" w:color="auto" w:fill="auto"/>
            <w:vAlign w:val="center"/>
          </w:tcPr>
          <w:p w14:paraId="45FFEE9B" w14:textId="77777777" w:rsidR="000976CB" w:rsidRPr="008F3E53" w:rsidRDefault="000976CB" w:rsidP="000976CB">
            <w:pPr>
              <w:spacing w:after="0" w:line="240" w:lineRule="auto"/>
              <w:ind w:left="-15" w:right="-180"/>
              <w:rPr>
                <w:rFonts w:ascii="Times New Roman Bold" w:hAnsi="Times New Roman Bold" w:hint="eastAsia"/>
                <w:b/>
                <w:bCs/>
                <w:spacing w:val="20"/>
              </w:rPr>
            </w:pPr>
          </w:p>
        </w:tc>
        <w:tc>
          <w:tcPr>
            <w:tcW w:w="4394" w:type="dxa"/>
            <w:gridSpan w:val="2"/>
            <w:tcBorders>
              <w:top w:val="single" w:sz="4" w:space="0" w:color="auto"/>
              <w:bottom w:val="single" w:sz="4" w:space="0" w:color="auto"/>
            </w:tcBorders>
            <w:shd w:val="clear" w:color="auto" w:fill="auto"/>
            <w:vAlign w:val="center"/>
          </w:tcPr>
          <w:p w14:paraId="06718EA6" w14:textId="77777777" w:rsidR="000976CB" w:rsidRPr="008F3E53" w:rsidRDefault="000976CB" w:rsidP="000976CB">
            <w:pPr>
              <w:spacing w:after="0" w:line="240" w:lineRule="auto"/>
              <w:jc w:val="center"/>
              <w:rPr>
                <w:rFonts w:ascii="Times New Roman Bold" w:hAnsi="Times New Roman Bold" w:hint="eastAsia"/>
                <w:b/>
                <w:bCs/>
                <w:spacing w:val="20"/>
              </w:rPr>
            </w:pPr>
            <w:r w:rsidRPr="008F3E53">
              <w:rPr>
                <w:rFonts w:ascii="Times New Roman Bold" w:hAnsi="Times New Roman Bold"/>
                <w:b/>
                <w:bCs/>
                <w:spacing w:val="20"/>
              </w:rPr>
              <w:t>JUDGMENT ON COSTS</w:t>
            </w:r>
          </w:p>
        </w:tc>
        <w:tc>
          <w:tcPr>
            <w:tcW w:w="2448" w:type="dxa"/>
            <w:gridSpan w:val="2"/>
            <w:shd w:val="clear" w:color="auto" w:fill="auto"/>
            <w:vAlign w:val="center"/>
          </w:tcPr>
          <w:p w14:paraId="4D7A1DB7" w14:textId="77777777" w:rsidR="000976CB" w:rsidRPr="008F3E53" w:rsidRDefault="000976CB" w:rsidP="000976CB">
            <w:pPr>
              <w:spacing w:after="0" w:line="240" w:lineRule="auto"/>
              <w:rPr>
                <w:rFonts w:ascii="Times New Roman Bold" w:hAnsi="Times New Roman Bold" w:hint="eastAsia"/>
                <w:b/>
                <w:bCs/>
                <w:spacing w:val="20"/>
              </w:rPr>
            </w:pPr>
          </w:p>
        </w:tc>
      </w:tr>
    </w:tbl>
    <w:p w14:paraId="15876A83" w14:textId="77777777" w:rsidR="000976CB" w:rsidRPr="00C154CA" w:rsidRDefault="000976CB" w:rsidP="000976CB">
      <w:pPr>
        <w:spacing w:after="0" w:line="240" w:lineRule="auto"/>
        <w:rPr>
          <w:sz w:val="16"/>
          <w:szCs w:val="16"/>
        </w:rPr>
      </w:pPr>
    </w:p>
    <w:p w14:paraId="4AD3926C" w14:textId="77777777" w:rsidR="00C154CA" w:rsidRPr="00C154CA" w:rsidRDefault="00C154CA">
      <w:pPr>
        <w:rPr>
          <w:b/>
          <w:bCs/>
          <w:sz w:val="16"/>
          <w:szCs w:val="16"/>
        </w:rPr>
      </w:pPr>
    </w:p>
    <w:p w14:paraId="6EDC798E" w14:textId="4D68DC2D" w:rsidR="004E51BC" w:rsidRPr="00CE5764" w:rsidRDefault="004E51BC">
      <w:pPr>
        <w:rPr>
          <w:b/>
          <w:bCs/>
        </w:rPr>
      </w:pPr>
      <w:r w:rsidRPr="00CE5764">
        <w:rPr>
          <w:b/>
          <w:bCs/>
        </w:rPr>
        <w:t>Mr Justice Ribeiro PJ:</w:t>
      </w:r>
    </w:p>
    <w:p w14:paraId="1D8DDA15" w14:textId="2AB001CF" w:rsidR="004E51BC" w:rsidRDefault="004E51BC" w:rsidP="00BA4612">
      <w:pPr>
        <w:pStyle w:val="Bob1"/>
        <w:tabs>
          <w:tab w:val="clear" w:pos="720"/>
          <w:tab w:val="left" w:pos="1440"/>
        </w:tabs>
        <w:ind w:left="0" w:firstLine="0"/>
        <w:jc w:val="both"/>
      </w:pPr>
      <w:r>
        <w:t xml:space="preserve">On 22 March 2024, the Court unanimously dismissed the appeal in </w:t>
      </w:r>
      <w:r w:rsidR="00C154CA">
        <w:rPr>
          <w:i/>
          <w:iCs/>
        </w:rPr>
        <w:t xml:space="preserve">MK v Director of Legal Aid </w:t>
      </w:r>
      <w:r>
        <w:t>[2024] HKCFA 6.  This is the Court’s judgment on costs, adopting the abbreviations used</w:t>
      </w:r>
      <w:r w:rsidR="00D73818">
        <w:t xml:space="preserve"> in the main judgment</w:t>
      </w:r>
      <w:r>
        <w:t>.</w:t>
      </w:r>
    </w:p>
    <w:p w14:paraId="02F1FC08" w14:textId="57B2FBE4" w:rsidR="004E51BC" w:rsidRDefault="004E51BC" w:rsidP="00BA4612">
      <w:pPr>
        <w:pStyle w:val="Bob1"/>
        <w:tabs>
          <w:tab w:val="clear" w:pos="720"/>
          <w:tab w:val="left" w:pos="1440"/>
        </w:tabs>
        <w:ind w:left="0" w:firstLine="0"/>
        <w:jc w:val="both"/>
      </w:pPr>
      <w:r>
        <w:lastRenderedPageBreak/>
        <w:t xml:space="preserve">The </w:t>
      </w:r>
      <w:r w:rsidR="00D73818">
        <w:t xml:space="preserve">immediate </w:t>
      </w:r>
      <w:r>
        <w:t xml:space="preserve">reason for dismissal of the appeal was the </w:t>
      </w:r>
      <w:r w:rsidR="00CE5764">
        <w:t>decision</w:t>
      </w:r>
      <w:r>
        <w:t xml:space="preserve"> that MK had waived any LPP that had existed.</w:t>
      </w:r>
      <w:r>
        <w:rPr>
          <w:rStyle w:val="FootnoteReference"/>
        </w:rPr>
        <w:footnoteReference w:id="1"/>
      </w:r>
      <w:r>
        <w:t xml:space="preserve">  The </w:t>
      </w:r>
      <w:r w:rsidR="00D73818">
        <w:t xml:space="preserve">Court </w:t>
      </w:r>
      <w:r>
        <w:t xml:space="preserve">went on to consider other issues raised, including the scope and </w:t>
      </w:r>
      <w:r w:rsidRPr="00BA4612">
        <w:rPr>
          <w:i/>
          <w:iCs/>
        </w:rPr>
        <w:t xml:space="preserve">vires </w:t>
      </w:r>
      <w:r>
        <w:t>of LAR 12(10) and its express abrogation of LPP,</w:t>
      </w:r>
      <w:r>
        <w:rPr>
          <w:rStyle w:val="FootnoteReference"/>
        </w:rPr>
        <w:footnoteReference w:id="2"/>
      </w:r>
      <w:r>
        <w:t xml:space="preserve"> as well as the nature and scope of the duties imposed by the legislation on </w:t>
      </w:r>
      <w:r w:rsidR="00D73818">
        <w:t xml:space="preserve">the </w:t>
      </w:r>
      <w:r>
        <w:t>lawyers involved.</w:t>
      </w:r>
      <w:r>
        <w:rPr>
          <w:rStyle w:val="FootnoteReference"/>
        </w:rPr>
        <w:footnoteReference w:id="3"/>
      </w:r>
      <w:r>
        <w:t xml:space="preserve"> </w:t>
      </w:r>
    </w:p>
    <w:p w14:paraId="185E7B60" w14:textId="7B01A243" w:rsidR="004E51BC" w:rsidRDefault="00CE5764" w:rsidP="00BA4612">
      <w:pPr>
        <w:pStyle w:val="Bob1"/>
        <w:tabs>
          <w:tab w:val="clear" w:pos="720"/>
          <w:tab w:val="left" w:pos="1440"/>
        </w:tabs>
        <w:ind w:left="0" w:firstLine="0"/>
        <w:jc w:val="both"/>
      </w:pPr>
      <w:r>
        <w:t>Subsequent c</w:t>
      </w:r>
      <w:r w:rsidR="004E51BC">
        <w:t xml:space="preserve">orrespondence between solicitors indicated that the DLA was seeking costs whereas MK was suggesting that there should be no order on the basis that the appeal had been dismissed on the ground </w:t>
      </w:r>
      <w:r>
        <w:t>of waiver which</w:t>
      </w:r>
      <w:r w:rsidR="004E51BC">
        <w:t xml:space="preserve"> neither party had raised.  I</w:t>
      </w:r>
      <w:r w:rsidR="00D73818">
        <w:t xml:space="preserve">t </w:t>
      </w:r>
      <w:proofErr w:type="gramStart"/>
      <w:r w:rsidR="00D73818">
        <w:t>was</w:t>
      </w:r>
      <w:r w:rsidR="004E51BC">
        <w:t xml:space="preserve"> directed</w:t>
      </w:r>
      <w:proofErr w:type="gramEnd"/>
      <w:r w:rsidR="004E51BC">
        <w:t xml:space="preserve"> that </w:t>
      </w:r>
      <w:r w:rsidR="00D73818">
        <w:t xml:space="preserve">the parties should lodge </w:t>
      </w:r>
      <w:r w:rsidR="004E51BC">
        <w:t>written submissions as to costs</w:t>
      </w:r>
      <w:r w:rsidR="00F00EA2">
        <w:t xml:space="preserve"> by 16 May 2024</w:t>
      </w:r>
      <w:r w:rsidR="004E51BC">
        <w:t>.</w:t>
      </w:r>
    </w:p>
    <w:p w14:paraId="7BAFDBC1" w14:textId="70D665A2" w:rsidR="004E51BC" w:rsidRDefault="004E51BC" w:rsidP="00BA4612">
      <w:pPr>
        <w:pStyle w:val="Bob1"/>
        <w:tabs>
          <w:tab w:val="clear" w:pos="720"/>
          <w:tab w:val="left" w:pos="1440"/>
        </w:tabs>
        <w:ind w:left="0" w:firstLine="0"/>
        <w:jc w:val="both"/>
      </w:pPr>
      <w:r>
        <w:t xml:space="preserve">However, MK’s solicitors then informed the Registrar that </w:t>
      </w:r>
      <w:r w:rsidR="00D73818">
        <w:t>MK</w:t>
      </w:r>
      <w:r>
        <w:t xml:space="preserve"> </w:t>
      </w:r>
      <w:proofErr w:type="gramStart"/>
      <w:r w:rsidR="00D73818">
        <w:t>had been</w:t>
      </w:r>
      <w:r>
        <w:t xml:space="preserve"> adjudged</w:t>
      </w:r>
      <w:proofErr w:type="gramEnd"/>
      <w:r>
        <w:t xml:space="preserve"> bankrupt on 26</w:t>
      </w:r>
      <w:r w:rsidR="00D73818">
        <w:t xml:space="preserve"> March 202</w:t>
      </w:r>
      <w:r>
        <w:t>4.  This was confirmed by the OR who is obviously not in a position to file submissions on costs</w:t>
      </w:r>
      <w:r w:rsidR="00D73818">
        <w:t>.</w:t>
      </w:r>
    </w:p>
    <w:p w14:paraId="248E6FB4" w14:textId="6E820968" w:rsidR="004E51BC" w:rsidRDefault="004E51BC" w:rsidP="00BA4612">
      <w:pPr>
        <w:pStyle w:val="Bob1"/>
        <w:tabs>
          <w:tab w:val="clear" w:pos="720"/>
          <w:tab w:val="left" w:pos="1440"/>
        </w:tabs>
        <w:ind w:left="0" w:firstLine="0"/>
        <w:jc w:val="both"/>
      </w:pPr>
      <w:proofErr w:type="gramStart"/>
      <w:r>
        <w:t xml:space="preserve">Written submissions have been lodged on the DLA’s behalf arguing that </w:t>
      </w:r>
      <w:r w:rsidR="000B3F48">
        <w:t>i</w:t>
      </w:r>
      <w:r>
        <w:t xml:space="preserve">n principle, the Court should order: </w:t>
      </w:r>
      <w:r w:rsidRPr="007F00C2">
        <w:t xml:space="preserve">(1) </w:t>
      </w:r>
      <w:r>
        <w:t xml:space="preserve">that the </w:t>
      </w:r>
      <w:r w:rsidRPr="007F00C2">
        <w:t xml:space="preserve">orders </w:t>
      </w:r>
      <w:r>
        <w:t xml:space="preserve">made by the Court of Appeal </w:t>
      </w:r>
      <w:r w:rsidRPr="007F00C2">
        <w:t xml:space="preserve">should remain, i.e., </w:t>
      </w:r>
      <w:r>
        <w:t xml:space="preserve">that </w:t>
      </w:r>
      <w:r w:rsidRPr="007F00C2">
        <w:t xml:space="preserve">MK should pay </w:t>
      </w:r>
      <w:r>
        <w:t xml:space="preserve">the </w:t>
      </w:r>
      <w:r w:rsidRPr="007F00C2">
        <w:t>DLA</w:t>
      </w:r>
      <w:r>
        <w:t>’s</w:t>
      </w:r>
      <w:r w:rsidRPr="007F00C2">
        <w:t xml:space="preserve"> costs in </w:t>
      </w:r>
      <w:r>
        <w:t xml:space="preserve">the </w:t>
      </w:r>
      <w:r w:rsidRPr="007F00C2">
        <w:t xml:space="preserve">CFI and 70% of his costs in the Court of Appeal; </w:t>
      </w:r>
      <w:r>
        <w:t xml:space="preserve">and </w:t>
      </w:r>
      <w:r w:rsidRPr="007F00C2">
        <w:t xml:space="preserve">(2) </w:t>
      </w:r>
      <w:r>
        <w:t xml:space="preserve">that </w:t>
      </w:r>
      <w:r w:rsidRPr="007F00C2">
        <w:t xml:space="preserve">MK should </w:t>
      </w:r>
      <w:r>
        <w:t>pay</w:t>
      </w:r>
      <w:r w:rsidR="00D73818">
        <w:t xml:space="preserve"> all</w:t>
      </w:r>
      <w:r w:rsidRPr="007F00C2">
        <w:t xml:space="preserve"> the costs in the CFA including the costs of the</w:t>
      </w:r>
      <w:r>
        <w:t xml:space="preserve"> written</w:t>
      </w:r>
      <w:r w:rsidRPr="007F00C2">
        <w:t xml:space="preserve"> submissions</w:t>
      </w:r>
      <w:r>
        <w:t xml:space="preserve"> certified fit for two counsel</w:t>
      </w:r>
      <w:r w:rsidRPr="007F00C2">
        <w:t>.</w:t>
      </w:r>
      <w:proofErr w:type="gramEnd"/>
      <w:r>
        <w:t xml:space="preserve">  In essence, the submission is simply that the costs of the appeal should follow the event.  </w:t>
      </w:r>
    </w:p>
    <w:p w14:paraId="0C8B0F6C" w14:textId="5D951184" w:rsidR="004E51BC" w:rsidRDefault="00F00EA2" w:rsidP="00BA4612">
      <w:pPr>
        <w:pStyle w:val="Bob1"/>
        <w:tabs>
          <w:tab w:val="clear" w:pos="720"/>
          <w:tab w:val="left" w:pos="1440"/>
        </w:tabs>
        <w:ind w:left="0" w:firstLine="0"/>
        <w:jc w:val="both"/>
      </w:pPr>
      <w:r>
        <w:t>A</w:t>
      </w:r>
      <w:r w:rsidR="000B3F48">
        <w:t>bout</w:t>
      </w:r>
      <w:r>
        <w:t xml:space="preserve"> a month has passed since the deadline for lodging submissions expired.  </w:t>
      </w:r>
      <w:r w:rsidR="004E51BC">
        <w:t xml:space="preserve">We have not heard from MK and there is no reason to think </w:t>
      </w:r>
      <w:r w:rsidR="004E51BC">
        <w:lastRenderedPageBreak/>
        <w:t xml:space="preserve">that any costs submissions </w:t>
      </w:r>
      <w:proofErr w:type="gramStart"/>
      <w:r w:rsidR="004E51BC">
        <w:t>will be made</w:t>
      </w:r>
      <w:proofErr w:type="gramEnd"/>
      <w:r w:rsidR="004E51BC">
        <w:t xml:space="preserve"> on her behalf.  </w:t>
      </w:r>
      <w:r w:rsidR="00D73818">
        <w:t xml:space="preserve">We accordingly proceed now to deal with the outstanding costs issues.  </w:t>
      </w:r>
      <w:r w:rsidR="004E51BC">
        <w:t xml:space="preserve">  </w:t>
      </w:r>
    </w:p>
    <w:p w14:paraId="4DDB5CC1" w14:textId="78BB4A71" w:rsidR="004E51BC" w:rsidRDefault="004E51BC" w:rsidP="00BA4612">
      <w:pPr>
        <w:pStyle w:val="Bob1"/>
        <w:tabs>
          <w:tab w:val="clear" w:pos="720"/>
          <w:tab w:val="left" w:pos="1440"/>
        </w:tabs>
        <w:ind w:left="0" w:firstLine="0"/>
        <w:jc w:val="both"/>
      </w:pPr>
      <w:r>
        <w:t xml:space="preserve">The proceedings arose because the DLA revoked MK’s legal aid certificate on the ground that she had wilfully failed to disclose her financial resources.  MK sought to challenge that revocation by judicial review, arguing that the facts relied on by the DLA ought not to </w:t>
      </w:r>
      <w:proofErr w:type="gramStart"/>
      <w:r>
        <w:t>have been taken</w:t>
      </w:r>
      <w:proofErr w:type="gramEnd"/>
      <w:r>
        <w:t xml:space="preserve"> into account since they were protected by LPP.  She succeeded before the Judge but failed in the Court of Appeal and in this Court.  MK was thus unsuccessful and the usual rule that costs follow the event should apply.  The fact that her LPP argument failed in this Court on the ground of waiver not directly raised by the parties below does not alter the position.</w:t>
      </w:r>
      <w:r w:rsidR="00F00EA2">
        <w:rPr>
          <w:rStyle w:val="FootnoteReference"/>
        </w:rPr>
        <w:footnoteReference w:id="4"/>
      </w:r>
      <w:r>
        <w:t xml:space="preserve">  Indeed, as this Court held, she would in any event have lost on the true construction of the applicable rules.</w:t>
      </w:r>
    </w:p>
    <w:p w14:paraId="4B15686F" w14:textId="55AB6260" w:rsidR="004E51BC" w:rsidRDefault="00F00EA2" w:rsidP="00BA4612">
      <w:pPr>
        <w:pStyle w:val="Bob1"/>
        <w:tabs>
          <w:tab w:val="clear" w:pos="720"/>
          <w:tab w:val="left" w:pos="1440"/>
        </w:tabs>
        <w:ind w:left="0" w:firstLine="0"/>
        <w:jc w:val="both"/>
      </w:pPr>
      <w:r>
        <w:t>We note that the DLA has asked for a certificate for two counsel</w:t>
      </w:r>
      <w:r w:rsidR="0065792C">
        <w:t>.  As the Court has stated</w:t>
      </w:r>
      <w:r w:rsidR="000835C8">
        <w:t xml:space="preserve"> on many occasions</w:t>
      </w:r>
      <w:r w:rsidR="0065792C">
        <w:t>, it is unnecessary to apply</w:t>
      </w:r>
      <w:r w:rsidR="0065792C" w:rsidRPr="007B3DEA">
        <w:t xml:space="preserve"> for </w:t>
      </w:r>
      <w:r w:rsidR="000835C8">
        <w:t xml:space="preserve">such </w:t>
      </w:r>
      <w:r w:rsidR="0065792C" w:rsidRPr="007B3DEA">
        <w:t xml:space="preserve">a certificate </w:t>
      </w:r>
      <w:r w:rsidR="000835C8">
        <w:t xml:space="preserve">on </w:t>
      </w:r>
      <w:r w:rsidR="0065792C">
        <w:t xml:space="preserve">a substantive appeal before </w:t>
      </w:r>
      <w:r w:rsidR="0065792C" w:rsidRPr="007B3DEA">
        <w:t>the Court of Final Appeal</w:t>
      </w:r>
      <w:r w:rsidR="00CE5764">
        <w:t xml:space="preserve">. </w:t>
      </w:r>
      <w:r w:rsidR="0065792C">
        <w:t xml:space="preserve"> </w:t>
      </w:r>
      <w:r w:rsidR="00CE5764">
        <w:t>S</w:t>
      </w:r>
      <w:r w:rsidR="0065792C">
        <w:t xml:space="preserve">ubject to the reasonableness of the fees paid, the Registrar will allow such costs.  </w:t>
      </w:r>
      <w:r w:rsidR="000835C8">
        <w:t>An</w:t>
      </w:r>
      <w:r w:rsidR="0065792C">
        <w:t xml:space="preserve"> application </w:t>
      </w:r>
      <w:r w:rsidR="000835C8">
        <w:t xml:space="preserve">for a certificate </w:t>
      </w:r>
      <w:proofErr w:type="gramStart"/>
      <w:r w:rsidR="0065792C">
        <w:t>is only needed</w:t>
      </w:r>
      <w:proofErr w:type="gramEnd"/>
      <w:r w:rsidR="0065792C">
        <w:t xml:space="preserve"> if it is sought to recover the costs of instructing more than two counsel.</w:t>
      </w:r>
      <w:r w:rsidR="0065792C">
        <w:rPr>
          <w:rStyle w:val="FootnoteReference"/>
        </w:rPr>
        <w:footnoteReference w:id="5"/>
      </w:r>
    </w:p>
    <w:p w14:paraId="2C5DE2F2" w14:textId="4F141E95" w:rsidR="00CE5764" w:rsidRDefault="00CE5764" w:rsidP="00BA4612">
      <w:pPr>
        <w:pStyle w:val="Bob1"/>
        <w:tabs>
          <w:tab w:val="clear" w:pos="720"/>
          <w:tab w:val="left" w:pos="1440"/>
        </w:tabs>
        <w:ind w:left="0" w:firstLine="0"/>
        <w:jc w:val="both"/>
      </w:pPr>
      <w:r>
        <w:t>Accordingly, we make the following Orders, namely:</w:t>
      </w:r>
    </w:p>
    <w:p w14:paraId="03B57D29" w14:textId="2066C431" w:rsidR="00CE5764" w:rsidRDefault="00CE5764" w:rsidP="00BA4612">
      <w:pPr>
        <w:pStyle w:val="Bob1"/>
        <w:numPr>
          <w:ilvl w:val="1"/>
          <w:numId w:val="11"/>
        </w:numPr>
        <w:jc w:val="both"/>
      </w:pPr>
      <w:r>
        <w:t xml:space="preserve">That the orders </w:t>
      </w:r>
      <w:r w:rsidR="000835C8">
        <w:t xml:space="preserve">for costs </w:t>
      </w:r>
      <w:r>
        <w:t>made by the Court of Appeal remain in place;</w:t>
      </w:r>
    </w:p>
    <w:p w14:paraId="453BE043" w14:textId="0D5B4A42" w:rsidR="00CE5764" w:rsidRDefault="00CE5764" w:rsidP="00BA4612">
      <w:pPr>
        <w:pStyle w:val="Bob1"/>
        <w:numPr>
          <w:ilvl w:val="1"/>
          <w:numId w:val="11"/>
        </w:numPr>
        <w:jc w:val="both"/>
      </w:pPr>
      <w:r>
        <w:lastRenderedPageBreak/>
        <w:t>That MK pay the Director his costs of and occasioned by this appeal, including the written submissions as to costs.</w:t>
      </w:r>
    </w:p>
    <w:p w14:paraId="30DB2DFE" w14:textId="77777777" w:rsidR="000976CB" w:rsidRDefault="000976CB" w:rsidP="000976CB">
      <w:pPr>
        <w:pStyle w:val="Bob1"/>
        <w:numPr>
          <w:ilvl w:val="0"/>
          <w:numId w:val="0"/>
        </w:numPr>
        <w:spacing w:after="0"/>
        <w:ind w:left="720"/>
        <w:rPr>
          <w:lang w:val="en-US"/>
        </w:rPr>
      </w:pPr>
    </w:p>
    <w:p w14:paraId="638040B7" w14:textId="77777777" w:rsidR="000976CB" w:rsidRPr="00AF789C" w:rsidRDefault="000976CB" w:rsidP="000976CB">
      <w:pPr>
        <w:pStyle w:val="Bob1"/>
        <w:numPr>
          <w:ilvl w:val="0"/>
          <w:numId w:val="0"/>
        </w:numPr>
        <w:spacing w:after="0"/>
        <w:ind w:left="720"/>
        <w:rPr>
          <w:lang w:val="en-US"/>
        </w:rPr>
      </w:pPr>
    </w:p>
    <w:p w14:paraId="4A3F8558" w14:textId="77777777" w:rsidR="000976CB" w:rsidRPr="00AF789C" w:rsidRDefault="000976CB" w:rsidP="000976CB">
      <w:pPr>
        <w:pStyle w:val="Bob1"/>
        <w:numPr>
          <w:ilvl w:val="0"/>
          <w:numId w:val="0"/>
        </w:numPr>
        <w:spacing w:after="0"/>
        <w:ind w:left="720"/>
        <w:rPr>
          <w:lang w:val="en-US"/>
        </w:rPr>
      </w:pPr>
    </w:p>
    <w:tbl>
      <w:tblPr>
        <w:tblW w:w="9180" w:type="dxa"/>
        <w:jc w:val="center"/>
        <w:tblLook w:val="0000" w:firstRow="0" w:lastRow="0" w:firstColumn="0" w:lastColumn="0" w:noHBand="0" w:noVBand="0"/>
      </w:tblPr>
      <w:tblGrid>
        <w:gridCol w:w="3060"/>
        <w:gridCol w:w="3060"/>
        <w:gridCol w:w="3060"/>
      </w:tblGrid>
      <w:tr w:rsidR="000976CB" w:rsidRPr="00AF789C" w14:paraId="7B51E661" w14:textId="77777777" w:rsidTr="00A65B92">
        <w:trPr>
          <w:trHeight w:val="720"/>
          <w:jc w:val="center"/>
        </w:trPr>
        <w:tc>
          <w:tcPr>
            <w:tcW w:w="3060" w:type="dxa"/>
          </w:tcPr>
          <w:p w14:paraId="01EB6B25" w14:textId="77777777" w:rsidR="000976CB" w:rsidRPr="00AF789C" w:rsidRDefault="000976CB" w:rsidP="000976CB">
            <w:pPr>
              <w:spacing w:after="0" w:line="240" w:lineRule="auto"/>
              <w:jc w:val="center"/>
            </w:pPr>
            <w:r w:rsidRPr="00AF789C">
              <w:t>(R A V Ribeiro)</w:t>
            </w:r>
          </w:p>
          <w:p w14:paraId="3F7A2CAE" w14:textId="77777777" w:rsidR="000976CB" w:rsidRPr="00AF789C" w:rsidRDefault="000976CB" w:rsidP="000976CB">
            <w:pPr>
              <w:spacing w:after="0" w:line="240" w:lineRule="auto"/>
              <w:jc w:val="center"/>
            </w:pPr>
            <w:r w:rsidRPr="00AF789C">
              <w:t>Permanent Judge</w:t>
            </w:r>
          </w:p>
        </w:tc>
        <w:tc>
          <w:tcPr>
            <w:tcW w:w="3060" w:type="dxa"/>
          </w:tcPr>
          <w:p w14:paraId="4D10D891" w14:textId="77777777" w:rsidR="000976CB" w:rsidRPr="00AF789C" w:rsidRDefault="000976CB" w:rsidP="000976CB">
            <w:pPr>
              <w:spacing w:after="0" w:line="240" w:lineRule="auto"/>
              <w:jc w:val="center"/>
            </w:pPr>
            <w:r w:rsidRPr="00AF789C">
              <w:t>(Joseph Fok)</w:t>
            </w:r>
          </w:p>
          <w:p w14:paraId="1A511CDA" w14:textId="77777777" w:rsidR="000976CB" w:rsidRPr="00AF789C" w:rsidRDefault="000976CB" w:rsidP="000976CB">
            <w:pPr>
              <w:spacing w:after="0" w:line="240" w:lineRule="auto"/>
              <w:jc w:val="center"/>
            </w:pPr>
            <w:r w:rsidRPr="00AF789C">
              <w:t>Permanent Judge</w:t>
            </w:r>
          </w:p>
        </w:tc>
        <w:tc>
          <w:tcPr>
            <w:tcW w:w="3060" w:type="dxa"/>
          </w:tcPr>
          <w:p w14:paraId="34CC996F" w14:textId="77777777" w:rsidR="000976CB" w:rsidRPr="001D73CD" w:rsidRDefault="000976CB" w:rsidP="000976CB">
            <w:pPr>
              <w:spacing w:after="0" w:line="240" w:lineRule="auto"/>
              <w:jc w:val="center"/>
            </w:pPr>
            <w:r w:rsidRPr="001D73CD">
              <w:t>(M H Lam)</w:t>
            </w:r>
          </w:p>
          <w:p w14:paraId="282700AE" w14:textId="77777777" w:rsidR="000976CB" w:rsidRPr="00AF789C" w:rsidRDefault="000976CB" w:rsidP="000976CB">
            <w:pPr>
              <w:spacing w:after="0" w:line="240" w:lineRule="auto"/>
              <w:jc w:val="center"/>
            </w:pPr>
            <w:r w:rsidRPr="001D73CD">
              <w:t>Permanent Judge</w:t>
            </w:r>
          </w:p>
        </w:tc>
      </w:tr>
    </w:tbl>
    <w:p w14:paraId="100008E8" w14:textId="77777777" w:rsidR="000976CB" w:rsidRPr="00AF789C" w:rsidRDefault="000976CB" w:rsidP="000976CB">
      <w:pPr>
        <w:pStyle w:val="ListParagraph"/>
        <w:spacing w:after="0" w:line="240" w:lineRule="auto"/>
      </w:pPr>
    </w:p>
    <w:p w14:paraId="6C6274E2" w14:textId="77777777" w:rsidR="000976CB" w:rsidRPr="00AF789C" w:rsidRDefault="000976CB" w:rsidP="000976CB">
      <w:pPr>
        <w:pStyle w:val="ListParagraph"/>
        <w:spacing w:after="0" w:line="240" w:lineRule="auto"/>
      </w:pPr>
    </w:p>
    <w:p w14:paraId="182B02AE" w14:textId="77777777" w:rsidR="000976CB" w:rsidRPr="00AF789C" w:rsidRDefault="000976CB" w:rsidP="000976CB">
      <w:pPr>
        <w:pStyle w:val="ListParagraph"/>
        <w:spacing w:after="0" w:line="240" w:lineRule="auto"/>
      </w:pPr>
    </w:p>
    <w:p w14:paraId="45129B5C" w14:textId="77777777" w:rsidR="000976CB" w:rsidRPr="00AF789C" w:rsidRDefault="000976CB" w:rsidP="000976CB">
      <w:pPr>
        <w:pStyle w:val="ListParagraph"/>
        <w:spacing w:after="0" w:line="240" w:lineRule="auto"/>
      </w:pPr>
    </w:p>
    <w:p w14:paraId="75DF0391" w14:textId="77777777" w:rsidR="000976CB" w:rsidRPr="00AF789C" w:rsidRDefault="000976CB" w:rsidP="000976CB">
      <w:pPr>
        <w:pStyle w:val="ListParagraph"/>
        <w:spacing w:after="0" w:line="240" w:lineRule="auto"/>
      </w:pPr>
    </w:p>
    <w:tbl>
      <w:tblPr>
        <w:tblW w:w="0" w:type="auto"/>
        <w:jc w:val="center"/>
        <w:tblLook w:val="0000" w:firstRow="0" w:lastRow="0" w:firstColumn="0" w:lastColumn="0" w:noHBand="0" w:noVBand="0"/>
      </w:tblPr>
      <w:tblGrid>
        <w:gridCol w:w="4005"/>
        <w:gridCol w:w="4005"/>
      </w:tblGrid>
      <w:tr w:rsidR="000976CB" w:rsidRPr="00AF789C" w14:paraId="3AC820A0" w14:textId="77777777" w:rsidTr="00A65B92">
        <w:trPr>
          <w:trHeight w:val="738"/>
          <w:jc w:val="center"/>
        </w:trPr>
        <w:tc>
          <w:tcPr>
            <w:tcW w:w="4005" w:type="dxa"/>
          </w:tcPr>
          <w:p w14:paraId="0798C824" w14:textId="77777777" w:rsidR="000976CB" w:rsidRPr="00AF789C" w:rsidRDefault="000976CB" w:rsidP="000976CB">
            <w:pPr>
              <w:spacing w:after="0" w:line="240" w:lineRule="auto"/>
              <w:jc w:val="center"/>
            </w:pPr>
            <w:r w:rsidRPr="00AF789C">
              <w:t>(</w:t>
            </w:r>
            <w:r>
              <w:t>Robert Tang</w:t>
            </w:r>
            <w:r w:rsidRPr="00AF789C">
              <w:t>)</w:t>
            </w:r>
          </w:p>
          <w:p w14:paraId="0B42C74D" w14:textId="77777777" w:rsidR="000976CB" w:rsidRPr="00AF789C" w:rsidRDefault="000976CB" w:rsidP="000976CB">
            <w:pPr>
              <w:spacing w:after="0" w:line="240" w:lineRule="auto"/>
              <w:jc w:val="center"/>
            </w:pPr>
            <w:r w:rsidRPr="00AF789C">
              <w:rPr>
                <w:lang w:eastAsia="zh-CN"/>
              </w:rPr>
              <w:t>Non-Permanent Judge</w:t>
            </w:r>
          </w:p>
        </w:tc>
        <w:tc>
          <w:tcPr>
            <w:tcW w:w="4005" w:type="dxa"/>
          </w:tcPr>
          <w:p w14:paraId="1BE48D9F" w14:textId="77777777" w:rsidR="000976CB" w:rsidRPr="00AF789C" w:rsidRDefault="000976CB" w:rsidP="000976CB">
            <w:pPr>
              <w:spacing w:after="0" w:line="240" w:lineRule="auto"/>
              <w:jc w:val="center"/>
              <w:rPr>
                <w:lang w:eastAsia="zh-CN"/>
              </w:rPr>
            </w:pPr>
            <w:r w:rsidRPr="00AF789C">
              <w:rPr>
                <w:lang w:eastAsia="zh-CN"/>
              </w:rPr>
              <w:t>(</w:t>
            </w:r>
            <w:r w:rsidRPr="00414E19">
              <w:t xml:space="preserve">Lord </w:t>
            </w:r>
            <w:r>
              <w:t>Phillips</w:t>
            </w:r>
            <w:r w:rsidRPr="00AF789C">
              <w:rPr>
                <w:lang w:eastAsia="zh-CN"/>
              </w:rPr>
              <w:t>)</w:t>
            </w:r>
          </w:p>
          <w:p w14:paraId="2A19CC87" w14:textId="77777777" w:rsidR="000976CB" w:rsidRPr="00AF789C" w:rsidRDefault="000976CB" w:rsidP="000976CB">
            <w:pPr>
              <w:spacing w:after="0" w:line="240" w:lineRule="auto"/>
              <w:ind w:hanging="120"/>
              <w:jc w:val="center"/>
            </w:pPr>
            <w:r w:rsidRPr="00AF789C">
              <w:rPr>
                <w:lang w:eastAsia="zh-CN"/>
              </w:rPr>
              <w:t>Non-Permanent Judge</w:t>
            </w:r>
          </w:p>
        </w:tc>
      </w:tr>
    </w:tbl>
    <w:p w14:paraId="2A985BD7" w14:textId="77777777" w:rsidR="000976CB" w:rsidRDefault="000976CB" w:rsidP="000976CB">
      <w:pPr>
        <w:autoSpaceDE w:val="0"/>
        <w:autoSpaceDN w:val="0"/>
        <w:adjustRightInd w:val="0"/>
        <w:spacing w:after="0" w:line="240" w:lineRule="auto"/>
        <w:ind w:left="720" w:hanging="720"/>
        <w:jc w:val="both"/>
      </w:pPr>
    </w:p>
    <w:p w14:paraId="3208060C" w14:textId="77777777" w:rsidR="000976CB" w:rsidRDefault="000976CB" w:rsidP="000976CB">
      <w:pPr>
        <w:autoSpaceDE w:val="0"/>
        <w:autoSpaceDN w:val="0"/>
        <w:adjustRightInd w:val="0"/>
        <w:spacing w:after="0" w:line="240" w:lineRule="auto"/>
        <w:ind w:left="720" w:hanging="720"/>
        <w:jc w:val="both"/>
      </w:pPr>
    </w:p>
    <w:p w14:paraId="78DCC403" w14:textId="77777777" w:rsidR="000976CB" w:rsidRPr="00802935" w:rsidRDefault="000976CB" w:rsidP="000976CB">
      <w:pPr>
        <w:autoSpaceDE w:val="0"/>
        <w:autoSpaceDN w:val="0"/>
        <w:adjustRightInd w:val="0"/>
        <w:spacing w:after="0" w:line="240" w:lineRule="auto"/>
        <w:ind w:left="720" w:hanging="720"/>
        <w:jc w:val="both"/>
      </w:pPr>
    </w:p>
    <w:p w14:paraId="48589622" w14:textId="77777777" w:rsidR="000976CB" w:rsidRPr="009423F5" w:rsidRDefault="000976CB" w:rsidP="000976CB">
      <w:pPr>
        <w:autoSpaceDE w:val="0"/>
        <w:autoSpaceDN w:val="0"/>
        <w:adjustRightInd w:val="0"/>
        <w:spacing w:after="0" w:line="240" w:lineRule="auto"/>
        <w:ind w:left="720" w:right="1" w:hanging="720"/>
        <w:jc w:val="both"/>
      </w:pPr>
      <w:r>
        <w:t>Jimmie K.S. Wong &amp; Partners, for the Applicant (Appellant)</w:t>
      </w:r>
    </w:p>
    <w:p w14:paraId="098477B0" w14:textId="77777777" w:rsidR="000976CB" w:rsidRPr="009423F5" w:rsidRDefault="000976CB" w:rsidP="000976CB">
      <w:pPr>
        <w:autoSpaceDE w:val="0"/>
        <w:autoSpaceDN w:val="0"/>
        <w:adjustRightInd w:val="0"/>
        <w:spacing w:after="0" w:line="240" w:lineRule="auto"/>
        <w:ind w:left="720" w:right="1" w:hanging="720"/>
        <w:jc w:val="both"/>
      </w:pPr>
    </w:p>
    <w:p w14:paraId="39F04C8A" w14:textId="77777777" w:rsidR="000976CB" w:rsidRDefault="000976CB" w:rsidP="000976CB">
      <w:pPr>
        <w:autoSpaceDE w:val="0"/>
        <w:autoSpaceDN w:val="0"/>
        <w:adjustRightInd w:val="0"/>
        <w:spacing w:after="0" w:line="240" w:lineRule="auto"/>
        <w:ind w:right="-111"/>
        <w:jc w:val="both"/>
      </w:pPr>
      <w:r>
        <w:t>Written submissions by Mr John Cheung</w:t>
      </w:r>
      <w:r w:rsidRPr="009423F5">
        <w:t xml:space="preserve">, instructed by </w:t>
      </w:r>
      <w:r>
        <w:t>the Department of Justice</w:t>
      </w:r>
      <w:r w:rsidRPr="009423F5">
        <w:t xml:space="preserve">, for the </w:t>
      </w:r>
      <w:r>
        <w:t>Interested Party “Director of Legal Aid” (</w:t>
      </w:r>
      <w:r w:rsidRPr="009423F5">
        <w:t>Respondent</w:t>
      </w:r>
      <w:r>
        <w:t>)</w:t>
      </w:r>
    </w:p>
    <w:p w14:paraId="52B52D69" w14:textId="77777777" w:rsidR="000976CB" w:rsidRDefault="000976CB" w:rsidP="000976CB">
      <w:pPr>
        <w:autoSpaceDE w:val="0"/>
        <w:autoSpaceDN w:val="0"/>
        <w:adjustRightInd w:val="0"/>
        <w:spacing w:after="0" w:line="240" w:lineRule="auto"/>
        <w:ind w:left="720" w:hanging="720"/>
        <w:jc w:val="both"/>
      </w:pPr>
    </w:p>
    <w:p w14:paraId="0B9C08D6" w14:textId="77777777" w:rsidR="000976CB" w:rsidRPr="009423F5" w:rsidRDefault="000976CB" w:rsidP="000976CB">
      <w:pPr>
        <w:autoSpaceDE w:val="0"/>
        <w:autoSpaceDN w:val="0"/>
        <w:adjustRightInd w:val="0"/>
        <w:spacing w:after="0" w:line="240" w:lineRule="auto"/>
        <w:ind w:left="720" w:right="1" w:hanging="720"/>
        <w:jc w:val="both"/>
      </w:pPr>
    </w:p>
    <w:p w14:paraId="746A8225" w14:textId="77777777" w:rsidR="000976CB" w:rsidRPr="004E51BC" w:rsidRDefault="000976CB" w:rsidP="000976CB">
      <w:pPr>
        <w:pStyle w:val="Bob1"/>
        <w:numPr>
          <w:ilvl w:val="0"/>
          <w:numId w:val="0"/>
        </w:numPr>
        <w:spacing w:after="0" w:line="240" w:lineRule="auto"/>
        <w:ind w:left="720"/>
        <w:jc w:val="both"/>
      </w:pPr>
    </w:p>
    <w:sectPr w:rsidR="000976CB" w:rsidRPr="004E51BC" w:rsidSect="00C154CA">
      <w:headerReference w:type="default" r:id="rId8"/>
      <w:pgSz w:w="11906" w:h="16838" w:code="9"/>
      <w:pgMar w:top="117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A31ADE" w14:textId="77777777" w:rsidR="00EC612B" w:rsidRDefault="00EC612B" w:rsidP="00CC0407">
      <w:pPr>
        <w:spacing w:after="0" w:line="240" w:lineRule="auto"/>
      </w:pPr>
      <w:r>
        <w:separator/>
      </w:r>
    </w:p>
  </w:endnote>
  <w:endnote w:type="continuationSeparator" w:id="0">
    <w:p w14:paraId="2E71014B" w14:textId="77777777" w:rsidR="00EC612B" w:rsidRDefault="00EC612B" w:rsidP="00CC0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新宋体">
    <w:altName w:val="NSimSun"/>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DFKai-SB">
    <w:panose1 w:val="03000509000000000000"/>
    <w:charset w:val="88"/>
    <w:family w:val="script"/>
    <w:pitch w:val="fixed"/>
    <w:sig w:usb0="00000003" w:usb1="080E0000" w:usb2="00000016" w:usb3="00000000" w:csb0="00100001" w:csb1="00000000"/>
  </w:font>
  <w:font w:name="Times New Roman Bold">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7F91AA" w14:textId="77777777" w:rsidR="00EC612B" w:rsidRDefault="00EC612B" w:rsidP="00CC0407">
      <w:pPr>
        <w:spacing w:after="0" w:line="240" w:lineRule="auto"/>
      </w:pPr>
      <w:r>
        <w:separator/>
      </w:r>
    </w:p>
  </w:footnote>
  <w:footnote w:type="continuationSeparator" w:id="0">
    <w:p w14:paraId="49B73252" w14:textId="77777777" w:rsidR="00EC612B" w:rsidRDefault="00EC612B" w:rsidP="00CC0407">
      <w:pPr>
        <w:spacing w:after="0" w:line="240" w:lineRule="auto"/>
      </w:pPr>
      <w:r>
        <w:continuationSeparator/>
      </w:r>
    </w:p>
  </w:footnote>
  <w:footnote w:id="1">
    <w:p w14:paraId="73822CA1" w14:textId="77777777" w:rsidR="004E51BC" w:rsidRPr="00CE5764" w:rsidRDefault="004E51BC" w:rsidP="00BA4612">
      <w:pPr>
        <w:pStyle w:val="FootnoteText"/>
        <w:tabs>
          <w:tab w:val="left" w:pos="360"/>
        </w:tabs>
        <w:rPr>
          <w:sz w:val="24"/>
          <w:szCs w:val="24"/>
          <w:lang w:val="en-GB"/>
        </w:rPr>
      </w:pPr>
      <w:r w:rsidRPr="00CE5764">
        <w:rPr>
          <w:rStyle w:val="FootnoteReference"/>
          <w:sz w:val="24"/>
          <w:szCs w:val="24"/>
          <w:lang w:val="en-GB"/>
        </w:rPr>
        <w:footnoteRef/>
      </w:r>
      <w:r w:rsidRPr="00CE5764">
        <w:rPr>
          <w:sz w:val="24"/>
          <w:szCs w:val="24"/>
          <w:lang w:val="en-GB"/>
        </w:rPr>
        <w:t xml:space="preserve"> </w:t>
      </w:r>
      <w:r w:rsidRPr="00CE5764">
        <w:rPr>
          <w:sz w:val="24"/>
          <w:szCs w:val="24"/>
          <w:lang w:val="en-GB"/>
        </w:rPr>
        <w:tab/>
        <w:t>At §35.</w:t>
      </w:r>
    </w:p>
  </w:footnote>
  <w:footnote w:id="2">
    <w:p w14:paraId="63F7187E" w14:textId="77777777" w:rsidR="004E51BC" w:rsidRPr="00CE5764" w:rsidRDefault="004E51BC" w:rsidP="00BA4612">
      <w:pPr>
        <w:pStyle w:val="FootnoteText"/>
        <w:tabs>
          <w:tab w:val="left" w:pos="360"/>
        </w:tabs>
        <w:rPr>
          <w:sz w:val="24"/>
          <w:szCs w:val="24"/>
          <w:lang w:val="en-GB"/>
        </w:rPr>
      </w:pPr>
      <w:r w:rsidRPr="00CE5764">
        <w:rPr>
          <w:rStyle w:val="FootnoteReference"/>
          <w:sz w:val="24"/>
          <w:szCs w:val="24"/>
          <w:lang w:val="en-GB"/>
        </w:rPr>
        <w:footnoteRef/>
      </w:r>
      <w:r w:rsidRPr="00CE5764">
        <w:rPr>
          <w:sz w:val="24"/>
          <w:szCs w:val="24"/>
          <w:lang w:val="en-GB"/>
        </w:rPr>
        <w:t xml:space="preserve"> </w:t>
      </w:r>
      <w:r w:rsidRPr="00CE5764">
        <w:rPr>
          <w:sz w:val="24"/>
          <w:szCs w:val="24"/>
          <w:lang w:val="en-GB"/>
        </w:rPr>
        <w:tab/>
        <w:t>At §§66-88.</w:t>
      </w:r>
    </w:p>
  </w:footnote>
  <w:footnote w:id="3">
    <w:p w14:paraId="0CEA4480" w14:textId="54E1A3BD" w:rsidR="004E51BC" w:rsidRPr="00CE5764" w:rsidRDefault="004E51BC" w:rsidP="00BA4612">
      <w:pPr>
        <w:pStyle w:val="FootnoteText"/>
        <w:tabs>
          <w:tab w:val="left" w:pos="360"/>
        </w:tabs>
        <w:rPr>
          <w:sz w:val="24"/>
          <w:szCs w:val="24"/>
          <w:lang w:val="en-GB"/>
        </w:rPr>
      </w:pPr>
      <w:r w:rsidRPr="00CE5764">
        <w:rPr>
          <w:rStyle w:val="FootnoteReference"/>
          <w:sz w:val="24"/>
          <w:szCs w:val="24"/>
          <w:lang w:val="en-GB"/>
        </w:rPr>
        <w:footnoteRef/>
      </w:r>
      <w:r w:rsidRPr="00CE5764">
        <w:rPr>
          <w:sz w:val="24"/>
          <w:szCs w:val="24"/>
          <w:lang w:val="en-GB"/>
        </w:rPr>
        <w:t xml:space="preserve"> </w:t>
      </w:r>
      <w:r w:rsidRPr="00CE5764">
        <w:rPr>
          <w:sz w:val="24"/>
          <w:szCs w:val="24"/>
          <w:lang w:val="en-GB"/>
        </w:rPr>
        <w:tab/>
        <w:t xml:space="preserve">At §102 </w:t>
      </w:r>
      <w:r w:rsidRPr="00CE5764">
        <w:rPr>
          <w:i/>
          <w:iCs/>
          <w:sz w:val="24"/>
          <w:szCs w:val="24"/>
          <w:lang w:val="en-GB"/>
        </w:rPr>
        <w:t>et seq</w:t>
      </w:r>
      <w:r w:rsidRPr="00CE5764">
        <w:rPr>
          <w:sz w:val="24"/>
          <w:szCs w:val="24"/>
          <w:lang w:val="en-GB"/>
        </w:rPr>
        <w:t>.</w:t>
      </w:r>
    </w:p>
  </w:footnote>
  <w:footnote w:id="4">
    <w:p w14:paraId="768D92FF" w14:textId="5DF86A71" w:rsidR="00F00EA2" w:rsidRPr="00CE5764" w:rsidRDefault="00F00EA2" w:rsidP="00BA4612">
      <w:pPr>
        <w:pStyle w:val="FootnoteText"/>
        <w:tabs>
          <w:tab w:val="left" w:pos="360"/>
        </w:tabs>
        <w:ind w:left="360" w:hanging="360"/>
        <w:jc w:val="both"/>
        <w:rPr>
          <w:sz w:val="24"/>
          <w:szCs w:val="24"/>
        </w:rPr>
      </w:pPr>
      <w:r w:rsidRPr="00CE5764">
        <w:rPr>
          <w:rStyle w:val="FootnoteReference"/>
          <w:sz w:val="24"/>
          <w:szCs w:val="24"/>
        </w:rPr>
        <w:footnoteRef/>
      </w:r>
      <w:r w:rsidRPr="00CE5764">
        <w:rPr>
          <w:sz w:val="24"/>
          <w:szCs w:val="24"/>
        </w:rPr>
        <w:t xml:space="preserve"> </w:t>
      </w:r>
      <w:r w:rsidRPr="00CE5764">
        <w:rPr>
          <w:sz w:val="24"/>
          <w:szCs w:val="24"/>
        </w:rPr>
        <w:tab/>
        <w:t xml:space="preserve">See </w:t>
      </w:r>
      <w:r w:rsidRPr="00CE5764">
        <w:rPr>
          <w:i/>
          <w:iCs/>
          <w:sz w:val="24"/>
          <w:szCs w:val="24"/>
        </w:rPr>
        <w:t xml:space="preserve">Luo Xing Juan Angela v The Estate of Hui Shi See, Will, Deceased </w:t>
      </w:r>
      <w:r w:rsidRPr="00CE5764">
        <w:rPr>
          <w:sz w:val="24"/>
          <w:szCs w:val="24"/>
        </w:rPr>
        <w:t>FACV 32/2007 (8 September 2008) at §</w:t>
      </w:r>
      <w:proofErr w:type="gramStart"/>
      <w:r w:rsidRPr="00CE5764">
        <w:rPr>
          <w:sz w:val="24"/>
          <w:szCs w:val="24"/>
        </w:rPr>
        <w:t>4</w:t>
      </w:r>
      <w:proofErr w:type="gramEnd"/>
      <w:r w:rsidRPr="00CE5764">
        <w:rPr>
          <w:sz w:val="24"/>
          <w:szCs w:val="24"/>
        </w:rPr>
        <w:t xml:space="preserve">; </w:t>
      </w:r>
      <w:r w:rsidRPr="00CE5764">
        <w:rPr>
          <w:i/>
          <w:iCs/>
          <w:sz w:val="24"/>
          <w:szCs w:val="24"/>
        </w:rPr>
        <w:t xml:space="preserve">SFC v Isidor Subotic </w:t>
      </w:r>
      <w:r w:rsidRPr="00CE5764">
        <w:rPr>
          <w:sz w:val="24"/>
          <w:szCs w:val="24"/>
        </w:rPr>
        <w:t xml:space="preserve">[2023] HKCFA 40 at §8. </w:t>
      </w:r>
    </w:p>
  </w:footnote>
  <w:footnote w:id="5">
    <w:p w14:paraId="7684224B" w14:textId="512D486A" w:rsidR="0065792C" w:rsidRPr="00CE5764" w:rsidRDefault="0065792C" w:rsidP="008134A5">
      <w:pPr>
        <w:tabs>
          <w:tab w:val="left" w:pos="360"/>
        </w:tabs>
        <w:ind w:left="360" w:hanging="360"/>
        <w:jc w:val="both"/>
        <w:rPr>
          <w:sz w:val="24"/>
          <w:szCs w:val="24"/>
        </w:rPr>
      </w:pPr>
      <w:r w:rsidRPr="00CE5764">
        <w:rPr>
          <w:rStyle w:val="FootnoteReference"/>
          <w:sz w:val="24"/>
          <w:szCs w:val="24"/>
        </w:rPr>
        <w:footnoteRef/>
      </w:r>
      <w:r w:rsidRPr="00CE5764">
        <w:rPr>
          <w:sz w:val="24"/>
          <w:szCs w:val="24"/>
        </w:rPr>
        <w:t xml:space="preserve"> </w:t>
      </w:r>
      <w:r w:rsidRPr="00CE5764">
        <w:rPr>
          <w:sz w:val="24"/>
          <w:szCs w:val="24"/>
        </w:rPr>
        <w:tab/>
      </w:r>
      <w:r w:rsidRPr="00CE5764">
        <w:rPr>
          <w:i/>
          <w:iCs/>
          <w:color w:val="000000"/>
          <w:sz w:val="24"/>
          <w:szCs w:val="24"/>
        </w:rPr>
        <w:t xml:space="preserve">Hebei Enterprises Ltd v </w:t>
      </w:r>
      <w:proofErr w:type="spellStart"/>
      <w:r w:rsidRPr="00CE5764">
        <w:rPr>
          <w:i/>
          <w:iCs/>
          <w:color w:val="000000"/>
          <w:sz w:val="24"/>
          <w:szCs w:val="24"/>
        </w:rPr>
        <w:t>Livasiri</w:t>
      </w:r>
      <w:proofErr w:type="spellEnd"/>
      <w:r w:rsidRPr="00CE5764">
        <w:rPr>
          <w:i/>
          <w:iCs/>
          <w:color w:val="000000"/>
          <w:sz w:val="24"/>
          <w:szCs w:val="24"/>
        </w:rPr>
        <w:t xml:space="preserve"> &amp; Co</w:t>
      </w:r>
      <w:r w:rsidRPr="00CE5764">
        <w:rPr>
          <w:color w:val="000000"/>
          <w:sz w:val="24"/>
          <w:szCs w:val="24"/>
        </w:rPr>
        <w:t xml:space="preserve">, </w:t>
      </w:r>
      <w:proofErr w:type="spellStart"/>
      <w:r w:rsidRPr="00CE5764">
        <w:rPr>
          <w:color w:val="000000"/>
          <w:sz w:val="24"/>
          <w:szCs w:val="24"/>
        </w:rPr>
        <w:t>unrep</w:t>
      </w:r>
      <w:proofErr w:type="spellEnd"/>
      <w:r w:rsidRPr="00CE5764">
        <w:rPr>
          <w:color w:val="000000"/>
          <w:sz w:val="24"/>
          <w:szCs w:val="24"/>
        </w:rPr>
        <w:t xml:space="preserve">, FACV 23/2007 </w:t>
      </w:r>
      <w:r w:rsidR="00135358">
        <w:rPr>
          <w:color w:val="000000"/>
          <w:sz w:val="24"/>
          <w:szCs w:val="24"/>
        </w:rPr>
        <w:t>(</w:t>
      </w:r>
      <w:r w:rsidRPr="00CE5764">
        <w:rPr>
          <w:color w:val="000000"/>
          <w:sz w:val="24"/>
          <w:szCs w:val="24"/>
        </w:rPr>
        <w:t>5 December 2008</w:t>
      </w:r>
      <w:r w:rsidR="00135358">
        <w:rPr>
          <w:color w:val="000000"/>
          <w:sz w:val="24"/>
          <w:szCs w:val="24"/>
        </w:rPr>
        <w:t>)</w:t>
      </w:r>
      <w:r w:rsidRPr="00CE5764">
        <w:rPr>
          <w:color w:val="000000"/>
          <w:sz w:val="24"/>
          <w:szCs w:val="24"/>
        </w:rPr>
        <w:t xml:space="preserve"> at §4; </w:t>
      </w:r>
      <w:r w:rsidRPr="00CE5764">
        <w:rPr>
          <w:i/>
          <w:iCs/>
          <w:sz w:val="24"/>
          <w:szCs w:val="24"/>
        </w:rPr>
        <w:t>Winnie Lo v HKSAR</w:t>
      </w:r>
      <w:r w:rsidRPr="00CE5764">
        <w:rPr>
          <w:sz w:val="24"/>
          <w:szCs w:val="24"/>
        </w:rPr>
        <w:t xml:space="preserve"> FACC2/2011 (6 July 2012) at §10; </w:t>
      </w:r>
      <w:r w:rsidRPr="00CE5764">
        <w:rPr>
          <w:i/>
          <w:iCs/>
          <w:sz w:val="24"/>
          <w:szCs w:val="24"/>
        </w:rPr>
        <w:t>HKSAR v Li Kwok Cheung George</w:t>
      </w:r>
      <w:r w:rsidRPr="00CE5764">
        <w:rPr>
          <w:sz w:val="24"/>
          <w:szCs w:val="24"/>
        </w:rPr>
        <w:t xml:space="preserve"> (2014) 17 HKCFAR 575 at §31; </w:t>
      </w:r>
      <w:r w:rsidR="000835C8" w:rsidRPr="000835C8">
        <w:rPr>
          <w:i/>
          <w:iCs/>
          <w:sz w:val="24"/>
          <w:szCs w:val="24"/>
        </w:rPr>
        <w:t xml:space="preserve">HKSAR v Pang Hung Fai (No 2) </w:t>
      </w:r>
      <w:r w:rsidR="000835C8" w:rsidRPr="000835C8">
        <w:rPr>
          <w:sz w:val="24"/>
          <w:szCs w:val="24"/>
        </w:rPr>
        <w:t xml:space="preserve">(2015) 18 HKCFAR 1 at §§11-12; </w:t>
      </w:r>
      <w:r w:rsidR="00CE5764" w:rsidRPr="00CE5764">
        <w:rPr>
          <w:i/>
          <w:iCs/>
          <w:sz w:val="24"/>
          <w:szCs w:val="24"/>
        </w:rPr>
        <w:t>HKSAR v</w:t>
      </w:r>
      <w:r w:rsidR="00CE5764" w:rsidRPr="00CE5764">
        <w:rPr>
          <w:sz w:val="24"/>
          <w:szCs w:val="24"/>
        </w:rPr>
        <w:t xml:space="preserve"> </w:t>
      </w:r>
      <w:r w:rsidR="00CE5764" w:rsidRPr="00CE5764">
        <w:rPr>
          <w:i/>
          <w:iCs/>
          <w:sz w:val="24"/>
          <w:szCs w:val="24"/>
        </w:rPr>
        <w:t>Chan Kam Ching</w:t>
      </w:r>
      <w:r w:rsidR="00CE5764" w:rsidRPr="00CE5764">
        <w:rPr>
          <w:sz w:val="24"/>
          <w:szCs w:val="24"/>
        </w:rPr>
        <w:t xml:space="preserve"> </w:t>
      </w:r>
      <w:r w:rsidR="00CE5764" w:rsidRPr="00CE5764">
        <w:rPr>
          <w:color w:val="000000"/>
          <w:sz w:val="24"/>
          <w:szCs w:val="24"/>
        </w:rPr>
        <w:t>[2022] HKCFA 13 at §</w:t>
      </w:r>
      <w:r w:rsidR="000835C8">
        <w:rPr>
          <w:color w:val="000000"/>
          <w:sz w:val="24"/>
          <w:szCs w:val="24"/>
        </w:rPr>
        <w:t>§</w:t>
      </w:r>
      <w:r w:rsidR="00CE5764" w:rsidRPr="00CE5764">
        <w:rPr>
          <w:color w:val="000000"/>
          <w:sz w:val="24"/>
          <w:szCs w:val="24"/>
        </w:rPr>
        <w:t>20</w:t>
      </w:r>
      <w:r w:rsidR="000835C8">
        <w:rPr>
          <w:color w:val="000000"/>
          <w:sz w:val="24"/>
          <w:szCs w:val="24"/>
        </w:rPr>
        <w:t>-22</w:t>
      </w:r>
      <w:r w:rsidR="00CE5764" w:rsidRPr="00CE5764">
        <w:rPr>
          <w:sz w:val="24"/>
          <w:szCs w:val="24"/>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58582"/>
      <w:docPartObj>
        <w:docPartGallery w:val="Page Numbers (Top of Page)"/>
        <w:docPartUnique/>
      </w:docPartObj>
    </w:sdtPr>
    <w:sdtEndPr/>
    <w:sdtContent>
      <w:p w14:paraId="3B86924B" w14:textId="5350393C" w:rsidR="0079601A" w:rsidRDefault="0079601A">
        <w:pPr>
          <w:pStyle w:val="Header"/>
          <w:jc w:val="center"/>
        </w:pPr>
        <w:r>
          <w:t>-</w:t>
        </w:r>
        <w:r>
          <w:fldChar w:fldCharType="begin"/>
        </w:r>
        <w:r>
          <w:instrText xml:space="preserve"> PAGE   \* MERGEFORMAT </w:instrText>
        </w:r>
        <w:r>
          <w:fldChar w:fldCharType="separate"/>
        </w:r>
        <w:r w:rsidR="00575A37">
          <w:rPr>
            <w:noProof/>
          </w:rPr>
          <w:t>4</w:t>
        </w:r>
        <w:r>
          <w:rPr>
            <w:noProof/>
          </w:rPr>
          <w:fldChar w:fldCharType="end"/>
        </w:r>
        <w:r>
          <w:t>-</w:t>
        </w:r>
      </w:p>
    </w:sdtContent>
  </w:sdt>
  <w:p w14:paraId="34A7091C" w14:textId="77777777" w:rsidR="0079601A" w:rsidRDefault="007960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9E2"/>
    <w:multiLevelType w:val="multilevel"/>
    <w:tmpl w:val="D3781E24"/>
    <w:lvl w:ilvl="0">
      <w:start w:val="1"/>
      <w:numFmt w:val="decimal"/>
      <w:pStyle w:val="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15:restartNumberingAfterBreak="0">
    <w:nsid w:val="24284230"/>
    <w:multiLevelType w:val="multilevel"/>
    <w:tmpl w:val="B86A6CEC"/>
    <w:lvl w:ilvl="0">
      <w:start w:val="1"/>
      <w:numFmt w:val="decimal"/>
      <w:pStyle w:val="Bob1"/>
      <w:lvlText w:val="%1."/>
      <w:lvlJc w:val="left"/>
      <w:pPr>
        <w:tabs>
          <w:tab w:val="num" w:pos="720"/>
        </w:tabs>
        <w:ind w:left="720" w:hanging="720"/>
      </w:pPr>
      <w:rPr>
        <w:rFonts w:ascii="Times New Roman" w:hAnsi="Times New Roman" w:hint="default"/>
        <w:b w:val="0"/>
        <w:i w:val="0"/>
        <w:sz w:val="28"/>
        <w:szCs w:val="28"/>
      </w:rPr>
    </w:lvl>
    <w:lvl w:ilvl="1">
      <w:start w:val="1"/>
      <w:numFmt w:val="lowerLetter"/>
      <w:lvlText w:val="(%2)"/>
      <w:lvlJc w:val="left"/>
      <w:pPr>
        <w:tabs>
          <w:tab w:val="num" w:pos="1440"/>
        </w:tabs>
        <w:ind w:left="1440" w:hanging="720"/>
      </w:pPr>
      <w:rPr>
        <w:rFonts w:ascii="Times New Roman" w:hAnsi="Times New Roman" w:hint="default"/>
        <w:b w:val="0"/>
        <w:i w:val="0"/>
      </w:rPr>
    </w:lvl>
    <w:lvl w:ilvl="2">
      <w:start w:val="1"/>
      <w:numFmt w:val="lowerRoman"/>
      <w:lvlText w:val="(%3)"/>
      <w:lvlJc w:val="left"/>
      <w:pPr>
        <w:tabs>
          <w:tab w:val="num" w:pos="2160"/>
        </w:tabs>
        <w:ind w:left="2160" w:hanging="720"/>
      </w:pPr>
      <w:rPr>
        <w:rFonts w:ascii="Times New Roman" w:hAnsi="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0"/>
  </w:num>
  <w:num w:numId="8">
    <w:abstractNumId w:val="1"/>
  </w:num>
  <w:num w:numId="9">
    <w:abstractNumId w:val="1"/>
  </w:num>
  <w:num w:numId="10">
    <w:abstractNumId w:val="1"/>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3D9"/>
    <w:rsid w:val="000073F3"/>
    <w:rsid w:val="00016FC9"/>
    <w:rsid w:val="0004068A"/>
    <w:rsid w:val="000473AD"/>
    <w:rsid w:val="0005384A"/>
    <w:rsid w:val="00054BFB"/>
    <w:rsid w:val="000835C8"/>
    <w:rsid w:val="000976CB"/>
    <w:rsid w:val="000B3F48"/>
    <w:rsid w:val="000B7069"/>
    <w:rsid w:val="000C516E"/>
    <w:rsid w:val="000D259B"/>
    <w:rsid w:val="000D4169"/>
    <w:rsid w:val="000D501A"/>
    <w:rsid w:val="000E18EF"/>
    <w:rsid w:val="0010345D"/>
    <w:rsid w:val="00124090"/>
    <w:rsid w:val="00135358"/>
    <w:rsid w:val="001421D8"/>
    <w:rsid w:val="00143E48"/>
    <w:rsid w:val="00155EFA"/>
    <w:rsid w:val="001A2838"/>
    <w:rsid w:val="001B3700"/>
    <w:rsid w:val="001C2394"/>
    <w:rsid w:val="001D3173"/>
    <w:rsid w:val="001D3883"/>
    <w:rsid w:val="001F4B36"/>
    <w:rsid w:val="002324C2"/>
    <w:rsid w:val="002848B9"/>
    <w:rsid w:val="00286583"/>
    <w:rsid w:val="002D024F"/>
    <w:rsid w:val="00332436"/>
    <w:rsid w:val="003359A1"/>
    <w:rsid w:val="0036124A"/>
    <w:rsid w:val="00371A31"/>
    <w:rsid w:val="00387231"/>
    <w:rsid w:val="003A38F9"/>
    <w:rsid w:val="003B6FE7"/>
    <w:rsid w:val="003F04B1"/>
    <w:rsid w:val="003F124C"/>
    <w:rsid w:val="003F3D77"/>
    <w:rsid w:val="003F7894"/>
    <w:rsid w:val="0041075D"/>
    <w:rsid w:val="0041338E"/>
    <w:rsid w:val="00436137"/>
    <w:rsid w:val="00455241"/>
    <w:rsid w:val="0046781C"/>
    <w:rsid w:val="004767F3"/>
    <w:rsid w:val="00497FF4"/>
    <w:rsid w:val="004E2477"/>
    <w:rsid w:val="004E51BC"/>
    <w:rsid w:val="004F1232"/>
    <w:rsid w:val="00500E4F"/>
    <w:rsid w:val="00501FE1"/>
    <w:rsid w:val="0050390B"/>
    <w:rsid w:val="00504253"/>
    <w:rsid w:val="005372CD"/>
    <w:rsid w:val="00553079"/>
    <w:rsid w:val="005607A5"/>
    <w:rsid w:val="00563351"/>
    <w:rsid w:val="005742C8"/>
    <w:rsid w:val="00575A37"/>
    <w:rsid w:val="005A4AD0"/>
    <w:rsid w:val="005A6AF6"/>
    <w:rsid w:val="005A7B9F"/>
    <w:rsid w:val="005B51FA"/>
    <w:rsid w:val="005C618B"/>
    <w:rsid w:val="005C7FDD"/>
    <w:rsid w:val="005D07B7"/>
    <w:rsid w:val="005E7939"/>
    <w:rsid w:val="00603597"/>
    <w:rsid w:val="00617A16"/>
    <w:rsid w:val="006417C4"/>
    <w:rsid w:val="0065792C"/>
    <w:rsid w:val="00694648"/>
    <w:rsid w:val="006A13D9"/>
    <w:rsid w:val="006F6C50"/>
    <w:rsid w:val="007049E6"/>
    <w:rsid w:val="007201D2"/>
    <w:rsid w:val="007363BA"/>
    <w:rsid w:val="00761EC7"/>
    <w:rsid w:val="007721FF"/>
    <w:rsid w:val="00795052"/>
    <w:rsid w:val="0079601A"/>
    <w:rsid w:val="007A1FBA"/>
    <w:rsid w:val="007A29C8"/>
    <w:rsid w:val="007D106B"/>
    <w:rsid w:val="007D27AB"/>
    <w:rsid w:val="007F40F5"/>
    <w:rsid w:val="0080748E"/>
    <w:rsid w:val="00811081"/>
    <w:rsid w:val="008134A5"/>
    <w:rsid w:val="0087557C"/>
    <w:rsid w:val="00884713"/>
    <w:rsid w:val="008950E5"/>
    <w:rsid w:val="008A1593"/>
    <w:rsid w:val="008A3F41"/>
    <w:rsid w:val="008D16B9"/>
    <w:rsid w:val="008F0568"/>
    <w:rsid w:val="008F13AC"/>
    <w:rsid w:val="008F3E53"/>
    <w:rsid w:val="00904D2E"/>
    <w:rsid w:val="00921389"/>
    <w:rsid w:val="009470B6"/>
    <w:rsid w:val="0095110A"/>
    <w:rsid w:val="00970DE3"/>
    <w:rsid w:val="00983A3D"/>
    <w:rsid w:val="009A0D4B"/>
    <w:rsid w:val="009C402A"/>
    <w:rsid w:val="009C4DC7"/>
    <w:rsid w:val="009C7992"/>
    <w:rsid w:val="009D13AA"/>
    <w:rsid w:val="00A0478E"/>
    <w:rsid w:val="00A12ACC"/>
    <w:rsid w:val="00A63673"/>
    <w:rsid w:val="00A87B14"/>
    <w:rsid w:val="00A9521F"/>
    <w:rsid w:val="00AB0343"/>
    <w:rsid w:val="00AB2A09"/>
    <w:rsid w:val="00AB3DC4"/>
    <w:rsid w:val="00AB691F"/>
    <w:rsid w:val="00AC7218"/>
    <w:rsid w:val="00AE51B8"/>
    <w:rsid w:val="00AF60C7"/>
    <w:rsid w:val="00B205BD"/>
    <w:rsid w:val="00B23689"/>
    <w:rsid w:val="00B24875"/>
    <w:rsid w:val="00B32973"/>
    <w:rsid w:val="00B35981"/>
    <w:rsid w:val="00B35B88"/>
    <w:rsid w:val="00B37A8B"/>
    <w:rsid w:val="00BA2DC0"/>
    <w:rsid w:val="00BA4612"/>
    <w:rsid w:val="00BA71B0"/>
    <w:rsid w:val="00BB1F52"/>
    <w:rsid w:val="00BD6C49"/>
    <w:rsid w:val="00C079A9"/>
    <w:rsid w:val="00C1117B"/>
    <w:rsid w:val="00C154CA"/>
    <w:rsid w:val="00C80468"/>
    <w:rsid w:val="00CB21DD"/>
    <w:rsid w:val="00CC0407"/>
    <w:rsid w:val="00CC281E"/>
    <w:rsid w:val="00CE5764"/>
    <w:rsid w:val="00D01FCE"/>
    <w:rsid w:val="00D2349E"/>
    <w:rsid w:val="00D5500F"/>
    <w:rsid w:val="00D73818"/>
    <w:rsid w:val="00D83A62"/>
    <w:rsid w:val="00DE003C"/>
    <w:rsid w:val="00DE0B52"/>
    <w:rsid w:val="00DE3982"/>
    <w:rsid w:val="00DF2C04"/>
    <w:rsid w:val="00DF7559"/>
    <w:rsid w:val="00E23949"/>
    <w:rsid w:val="00E60E45"/>
    <w:rsid w:val="00E60FD7"/>
    <w:rsid w:val="00E869BC"/>
    <w:rsid w:val="00E87E3F"/>
    <w:rsid w:val="00EA4A24"/>
    <w:rsid w:val="00EC612B"/>
    <w:rsid w:val="00ED297B"/>
    <w:rsid w:val="00F00EA2"/>
    <w:rsid w:val="00F01E6F"/>
    <w:rsid w:val="00F06941"/>
    <w:rsid w:val="00F0712F"/>
    <w:rsid w:val="00F6375C"/>
    <w:rsid w:val="00F67927"/>
    <w:rsid w:val="00F915C7"/>
    <w:rsid w:val="00FC1E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8F594"/>
  <w15:chartTrackingRefBased/>
  <w15:docId w15:val="{886F2F52-ED33-41AF-985C-A9AD76C7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宋体" w:hAnsi="Times New Roman" w:cs="Times New Roman"/>
        <w:kern w:val="2"/>
        <w:sz w:val="28"/>
        <w:szCs w:val="28"/>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FF4"/>
  </w:style>
  <w:style w:type="paragraph" w:styleId="Heading1">
    <w:name w:val="heading 1"/>
    <w:basedOn w:val="Normal"/>
    <w:next w:val="Normal"/>
    <w:link w:val="Heading1Char"/>
    <w:uiPriority w:val="9"/>
    <w:qFormat/>
    <w:rsid w:val="00BA2DC0"/>
    <w:pPr>
      <w:keepNext/>
      <w:keepLines/>
      <w:spacing w:before="480" w:after="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semiHidden/>
    <w:unhideWhenUsed/>
    <w:qFormat/>
    <w:rsid w:val="006A13D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A13D9"/>
    <w:pPr>
      <w:keepNext/>
      <w:keepLines/>
      <w:spacing w:before="160" w:after="80"/>
      <w:outlineLvl w:val="2"/>
    </w:pPr>
    <w:rPr>
      <w:rFonts w:asciiTheme="minorHAnsi" w:eastAsiaTheme="majorEastAsia" w:hAnsiTheme="minorHAnsi" w:cstheme="majorBidi"/>
      <w:color w:val="365F91" w:themeColor="accent1" w:themeShade="BF"/>
    </w:rPr>
  </w:style>
  <w:style w:type="paragraph" w:styleId="Heading4">
    <w:name w:val="heading 4"/>
    <w:basedOn w:val="Normal"/>
    <w:next w:val="Normal"/>
    <w:link w:val="Heading4Char"/>
    <w:uiPriority w:val="9"/>
    <w:semiHidden/>
    <w:unhideWhenUsed/>
    <w:qFormat/>
    <w:rsid w:val="006A13D9"/>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A13D9"/>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6A13D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A13D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A13D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A13D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itty">
    <w:name w:val="Kitty"/>
    <w:link w:val="KittyChar"/>
    <w:qFormat/>
    <w:rsid w:val="00BA2DC0"/>
    <w:pPr>
      <w:kinsoku w:val="0"/>
      <w:autoSpaceDE w:val="0"/>
      <w:autoSpaceDN w:val="0"/>
      <w:snapToGrid w:val="0"/>
      <w:spacing w:after="240" w:line="360" w:lineRule="auto"/>
    </w:pPr>
  </w:style>
  <w:style w:type="character" w:customStyle="1" w:styleId="KittyChar">
    <w:name w:val="Kitty Char"/>
    <w:basedOn w:val="DefaultParagraphFont"/>
    <w:link w:val="Kitty"/>
    <w:rsid w:val="00BA2DC0"/>
    <w:rPr>
      <w:rFonts w:ascii="Times New Roman" w:eastAsia="宋体" w:hAnsi="Times New Roman" w:cs="Times New Roman"/>
      <w:sz w:val="28"/>
      <w:szCs w:val="24"/>
      <w:lang w:val="en-GB" w:eastAsia="zh-CN"/>
    </w:rPr>
  </w:style>
  <w:style w:type="paragraph" w:customStyle="1" w:styleId="Bob1">
    <w:name w:val="Bob 1"/>
    <w:link w:val="Bob1Char"/>
    <w:qFormat/>
    <w:rsid w:val="00D2349E"/>
    <w:pPr>
      <w:numPr>
        <w:numId w:val="11"/>
      </w:numPr>
      <w:kinsoku w:val="0"/>
      <w:autoSpaceDE w:val="0"/>
      <w:autoSpaceDN w:val="0"/>
      <w:snapToGrid w:val="0"/>
      <w:spacing w:after="240" w:line="360" w:lineRule="auto"/>
    </w:pPr>
  </w:style>
  <w:style w:type="character" w:customStyle="1" w:styleId="Bob1Char">
    <w:name w:val="Bob 1 Char"/>
    <w:basedOn w:val="DefaultParagraphFont"/>
    <w:link w:val="Bob1"/>
    <w:rsid w:val="00D2349E"/>
    <w:rPr>
      <w:iCs/>
      <w:sz w:val="28"/>
      <w:szCs w:val="22"/>
      <w:lang w:val="en-GB" w:eastAsia="zh-CN"/>
    </w:rPr>
  </w:style>
  <w:style w:type="paragraph" w:customStyle="1" w:styleId="judge">
    <w:name w:val="judge"/>
    <w:basedOn w:val="Heading1"/>
    <w:next w:val="Kitty"/>
    <w:qFormat/>
    <w:rsid w:val="00BA2DC0"/>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eastAsia="PMingLiU" w:hAnsi="Times New Roman" w:cs="Times New Roman"/>
      <w:snapToGrid w:val="0"/>
      <w:color w:val="auto"/>
    </w:rPr>
  </w:style>
  <w:style w:type="character" w:customStyle="1" w:styleId="Heading1Char">
    <w:name w:val="Heading 1 Char"/>
    <w:basedOn w:val="DefaultParagraphFont"/>
    <w:link w:val="Heading1"/>
    <w:uiPriority w:val="9"/>
    <w:rsid w:val="00BA2DC0"/>
    <w:rPr>
      <w:rFonts w:asciiTheme="majorHAnsi" w:eastAsiaTheme="majorEastAsia" w:hAnsiTheme="majorHAnsi" w:cstheme="majorBidi"/>
      <w:b/>
      <w:bCs/>
      <w:color w:val="365F91" w:themeColor="accent1" w:themeShade="BF"/>
      <w:sz w:val="28"/>
      <w:szCs w:val="28"/>
    </w:rPr>
  </w:style>
  <w:style w:type="paragraph" w:customStyle="1" w:styleId="Judge0">
    <w:name w:val="Judge"/>
    <w:basedOn w:val="Heading1"/>
    <w:next w:val="Kitty"/>
    <w:qFormat/>
    <w:rsid w:val="00BA2DC0"/>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eastAsia="PMingLiU" w:hAnsi="Times New Roman" w:cs="Times New Roman"/>
      <w:snapToGrid w:val="0"/>
      <w:color w:val="auto"/>
    </w:rPr>
  </w:style>
  <w:style w:type="paragraph" w:customStyle="1" w:styleId="Draft">
    <w:name w:val="Draft"/>
    <w:basedOn w:val="Normal"/>
    <w:rsid w:val="00BA2DC0"/>
    <w:pPr>
      <w:numPr>
        <w:numId w:val="7"/>
      </w:numPr>
      <w:tabs>
        <w:tab w:val="left" w:pos="1440"/>
      </w:tabs>
      <w:snapToGrid w:val="0"/>
      <w:spacing w:before="360" w:after="0" w:line="360" w:lineRule="auto"/>
    </w:pPr>
    <w:rPr>
      <w:rFonts w:eastAsia="MingLiU"/>
    </w:rPr>
  </w:style>
  <w:style w:type="paragraph" w:customStyle="1" w:styleId="docmapheading">
    <w:name w:val="doc map heading"/>
    <w:basedOn w:val="DocumentMap"/>
    <w:link w:val="docmapheadingChar"/>
    <w:qFormat/>
    <w:rsid w:val="009C402A"/>
    <w:pPr>
      <w:spacing w:before="120" w:after="360" w:line="276" w:lineRule="auto"/>
      <w:outlineLvl w:val="1"/>
    </w:pPr>
    <w:rPr>
      <w:rFonts w:ascii="Times New Roman" w:eastAsia="PMingLiU" w:hAnsi="Times New Roman"/>
      <w:i/>
      <w:spacing w:val="15"/>
      <w:sz w:val="28"/>
      <w:szCs w:val="28"/>
    </w:rPr>
  </w:style>
  <w:style w:type="paragraph" w:styleId="Subtitle">
    <w:name w:val="Subtitle"/>
    <w:basedOn w:val="Normal"/>
    <w:next w:val="Normal"/>
    <w:link w:val="SubtitleChar"/>
    <w:uiPriority w:val="11"/>
    <w:qFormat/>
    <w:rsid w:val="00AB0343"/>
    <w:pPr>
      <w:numPr>
        <w:ilvl w:val="1"/>
      </w:numPr>
    </w:pPr>
    <w:rPr>
      <w:rFonts w:asciiTheme="majorHAnsi" w:eastAsiaTheme="majorEastAsia" w:hAnsiTheme="majorHAnsi" w:cstheme="majorBidi"/>
      <w:color w:val="4F81BD" w:themeColor="accent1"/>
      <w:spacing w:val="15"/>
    </w:rPr>
  </w:style>
  <w:style w:type="character" w:customStyle="1" w:styleId="SubtitleChar">
    <w:name w:val="Subtitle Char"/>
    <w:basedOn w:val="DefaultParagraphFont"/>
    <w:link w:val="Subtitle"/>
    <w:uiPriority w:val="11"/>
    <w:rsid w:val="00AB0343"/>
    <w:rPr>
      <w:rFonts w:asciiTheme="majorHAnsi" w:eastAsiaTheme="majorEastAsia" w:hAnsiTheme="majorHAnsi" w:cstheme="majorBidi"/>
      <w:i/>
      <w:iCs/>
      <w:color w:val="4F81BD" w:themeColor="accent1"/>
      <w:spacing w:val="15"/>
      <w:sz w:val="24"/>
      <w:szCs w:val="24"/>
      <w:lang w:val="en-GB"/>
    </w:rPr>
  </w:style>
  <w:style w:type="character" w:customStyle="1" w:styleId="docmapheadingChar">
    <w:name w:val="doc map heading Char"/>
    <w:basedOn w:val="SubtitleChar"/>
    <w:link w:val="docmapheading"/>
    <w:rsid w:val="009C402A"/>
    <w:rPr>
      <w:rFonts w:asciiTheme="majorHAnsi" w:eastAsia="PMingLiU" w:hAnsiTheme="majorHAnsi" w:cs="Times New Roman"/>
      <w:i/>
      <w:iCs/>
      <w:color w:val="4F81BD" w:themeColor="accent1"/>
      <w:spacing w:val="15"/>
      <w:sz w:val="28"/>
      <w:szCs w:val="28"/>
      <w:lang w:val="en-GB"/>
    </w:rPr>
  </w:style>
  <w:style w:type="paragraph" w:styleId="DocumentMap">
    <w:name w:val="Document Map"/>
    <w:basedOn w:val="Normal"/>
    <w:link w:val="DocumentMapChar"/>
    <w:uiPriority w:val="99"/>
    <w:semiHidden/>
    <w:unhideWhenUsed/>
    <w:rsid w:val="00501FE1"/>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501FE1"/>
    <w:rPr>
      <w:rFonts w:ascii="Tahoma" w:hAnsi="Tahoma" w:cs="Tahoma"/>
      <w:sz w:val="16"/>
      <w:szCs w:val="16"/>
      <w:lang w:val="en-GB"/>
    </w:rPr>
  </w:style>
  <w:style w:type="paragraph" w:styleId="Header">
    <w:name w:val="header"/>
    <w:basedOn w:val="Normal"/>
    <w:link w:val="HeaderChar"/>
    <w:uiPriority w:val="99"/>
    <w:unhideWhenUsed/>
    <w:rsid w:val="00CC04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407"/>
    <w:rPr>
      <w:lang w:val="en-GB"/>
    </w:rPr>
  </w:style>
  <w:style w:type="paragraph" w:styleId="Footer">
    <w:name w:val="footer"/>
    <w:basedOn w:val="Normal"/>
    <w:link w:val="FooterChar"/>
    <w:uiPriority w:val="99"/>
    <w:semiHidden/>
    <w:unhideWhenUsed/>
    <w:rsid w:val="00CC040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C0407"/>
    <w:rPr>
      <w:lang w:val="en-GB"/>
    </w:rPr>
  </w:style>
  <w:style w:type="paragraph" w:styleId="FootnoteText">
    <w:name w:val="footnote text"/>
    <w:basedOn w:val="Normal"/>
    <w:link w:val="FootnoteTextChar"/>
    <w:uiPriority w:val="99"/>
    <w:semiHidden/>
    <w:unhideWhenUsed/>
    <w:rsid w:val="002848B9"/>
    <w:pPr>
      <w:spacing w:after="120" w:line="240" w:lineRule="auto"/>
    </w:pPr>
    <w:rPr>
      <w:lang w:val="en-US"/>
    </w:rPr>
  </w:style>
  <w:style w:type="character" w:customStyle="1" w:styleId="FootnoteTextChar">
    <w:name w:val="Footnote Text Char"/>
    <w:link w:val="FootnoteText"/>
    <w:uiPriority w:val="99"/>
    <w:semiHidden/>
    <w:rsid w:val="002848B9"/>
    <w:rPr>
      <w:sz w:val="24"/>
    </w:rPr>
  </w:style>
  <w:style w:type="paragraph" w:customStyle="1" w:styleId="footnotes">
    <w:name w:val="footnotes"/>
    <w:basedOn w:val="FootnoteText"/>
    <w:link w:val="footnotesChar"/>
    <w:qFormat/>
    <w:rsid w:val="00455241"/>
    <w:rPr>
      <w:sz w:val="24"/>
      <w:lang w:val="en-GB"/>
    </w:rPr>
  </w:style>
  <w:style w:type="character" w:customStyle="1" w:styleId="footnotesChar">
    <w:name w:val="footnotes Char"/>
    <w:basedOn w:val="FootnoteTextChar"/>
    <w:link w:val="footnotes"/>
    <w:rsid w:val="00455241"/>
    <w:rPr>
      <w:sz w:val="24"/>
    </w:rPr>
  </w:style>
  <w:style w:type="character" w:customStyle="1" w:styleId="Heading2Char">
    <w:name w:val="Heading 2 Char"/>
    <w:basedOn w:val="DefaultParagraphFont"/>
    <w:link w:val="Heading2"/>
    <w:uiPriority w:val="9"/>
    <w:semiHidden/>
    <w:rsid w:val="006A13D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A13D9"/>
    <w:rPr>
      <w:rFonts w:asciiTheme="minorHAnsi" w:eastAsiaTheme="majorEastAsia" w:hAnsiTheme="minorHAnsi" w:cstheme="majorBidi"/>
      <w:color w:val="365F91" w:themeColor="accent1" w:themeShade="BF"/>
    </w:rPr>
  </w:style>
  <w:style w:type="character" w:customStyle="1" w:styleId="Heading4Char">
    <w:name w:val="Heading 4 Char"/>
    <w:basedOn w:val="DefaultParagraphFont"/>
    <w:link w:val="Heading4"/>
    <w:uiPriority w:val="9"/>
    <w:semiHidden/>
    <w:rsid w:val="006A13D9"/>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6A13D9"/>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6A13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A13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A13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A13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A13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3D9"/>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6A13D9"/>
    <w:pPr>
      <w:spacing w:before="160"/>
      <w:jc w:val="center"/>
    </w:pPr>
    <w:rPr>
      <w:i/>
      <w:iCs/>
      <w:color w:val="404040" w:themeColor="text1" w:themeTint="BF"/>
    </w:rPr>
  </w:style>
  <w:style w:type="character" w:customStyle="1" w:styleId="QuoteChar">
    <w:name w:val="Quote Char"/>
    <w:basedOn w:val="DefaultParagraphFont"/>
    <w:link w:val="Quote"/>
    <w:uiPriority w:val="29"/>
    <w:rsid w:val="006A13D9"/>
    <w:rPr>
      <w:i/>
      <w:iCs/>
      <w:color w:val="404040" w:themeColor="text1" w:themeTint="BF"/>
    </w:rPr>
  </w:style>
  <w:style w:type="paragraph" w:styleId="ListParagraph">
    <w:name w:val="List Paragraph"/>
    <w:basedOn w:val="Normal"/>
    <w:uiPriority w:val="34"/>
    <w:qFormat/>
    <w:rsid w:val="006A13D9"/>
    <w:pPr>
      <w:ind w:left="720"/>
      <w:contextualSpacing/>
    </w:pPr>
  </w:style>
  <w:style w:type="character" w:styleId="IntenseEmphasis">
    <w:name w:val="Intense Emphasis"/>
    <w:basedOn w:val="DefaultParagraphFont"/>
    <w:uiPriority w:val="21"/>
    <w:qFormat/>
    <w:rsid w:val="006A13D9"/>
    <w:rPr>
      <w:i/>
      <w:iCs/>
      <w:color w:val="365F91" w:themeColor="accent1" w:themeShade="BF"/>
    </w:rPr>
  </w:style>
  <w:style w:type="paragraph" w:styleId="IntenseQuote">
    <w:name w:val="Intense Quote"/>
    <w:basedOn w:val="Normal"/>
    <w:next w:val="Normal"/>
    <w:link w:val="IntenseQuoteChar"/>
    <w:uiPriority w:val="30"/>
    <w:qFormat/>
    <w:rsid w:val="006A13D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A13D9"/>
    <w:rPr>
      <w:i/>
      <w:iCs/>
      <w:color w:val="365F91" w:themeColor="accent1" w:themeShade="BF"/>
    </w:rPr>
  </w:style>
  <w:style w:type="character" w:styleId="IntenseReference">
    <w:name w:val="Intense Reference"/>
    <w:basedOn w:val="DefaultParagraphFont"/>
    <w:uiPriority w:val="32"/>
    <w:qFormat/>
    <w:rsid w:val="006A13D9"/>
    <w:rPr>
      <w:b/>
      <w:bCs/>
      <w:smallCaps/>
      <w:color w:val="365F91" w:themeColor="accent1" w:themeShade="BF"/>
      <w:spacing w:val="5"/>
    </w:rPr>
  </w:style>
  <w:style w:type="character" w:styleId="FootnoteReference">
    <w:name w:val="footnote reference"/>
    <w:basedOn w:val="DefaultParagraphFont"/>
    <w:uiPriority w:val="99"/>
    <w:semiHidden/>
    <w:unhideWhenUsed/>
    <w:rsid w:val="004E51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9CFFA-2E16-4350-959D-27FF9D8B5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Ribeiro</dc:creator>
  <cp:keywords/>
  <dc:description/>
  <cp:lastModifiedBy>Ingrid YK Lam</cp:lastModifiedBy>
  <cp:revision>6</cp:revision>
  <dcterms:created xsi:type="dcterms:W3CDTF">2024-06-14T00:54:00Z</dcterms:created>
  <dcterms:modified xsi:type="dcterms:W3CDTF">2024-06-17T07:49:00Z</dcterms:modified>
</cp:coreProperties>
</file>