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918E9" w14:textId="77777777" w:rsidR="00090295" w:rsidRPr="00D669A7" w:rsidRDefault="00090295" w:rsidP="00090295">
      <w:pPr>
        <w:spacing w:after="0" w:line="240" w:lineRule="auto"/>
        <w:jc w:val="right"/>
        <w:rPr>
          <w:rFonts w:eastAsia="宋体"/>
          <w:b/>
          <w:lang w:val="en-US"/>
        </w:rPr>
      </w:pPr>
      <w:bookmarkStart w:id="0" w:name="_GoBack"/>
      <w:bookmarkEnd w:id="0"/>
      <w:r w:rsidRPr="00D669A7">
        <w:rPr>
          <w:rFonts w:eastAsia="宋体" w:hint="eastAsia"/>
          <w:b/>
          <w:lang w:val="en-US"/>
        </w:rPr>
        <w:t>FA</w:t>
      </w:r>
      <w:r w:rsidRPr="00D669A7">
        <w:rPr>
          <w:rFonts w:eastAsia="宋体"/>
          <w:b/>
          <w:lang w:val="en-US"/>
        </w:rPr>
        <w:t>CV</w:t>
      </w:r>
      <w:r w:rsidRPr="00D669A7">
        <w:rPr>
          <w:rFonts w:eastAsia="宋体" w:hint="eastAsia"/>
          <w:b/>
          <w:lang w:val="en-US"/>
        </w:rPr>
        <w:t xml:space="preserve"> No</w:t>
      </w:r>
      <w:r w:rsidRPr="00D669A7">
        <w:rPr>
          <w:rFonts w:eastAsia="宋体"/>
          <w:b/>
          <w:lang w:val="en-US"/>
        </w:rPr>
        <w:t>s</w:t>
      </w:r>
      <w:r w:rsidRPr="00D669A7">
        <w:rPr>
          <w:rFonts w:eastAsia="宋体" w:hint="eastAsia"/>
          <w:b/>
          <w:lang w:val="en-US"/>
        </w:rPr>
        <w:t>.</w:t>
      </w:r>
      <w:r w:rsidRPr="00D669A7">
        <w:rPr>
          <w:rFonts w:eastAsia="宋体"/>
          <w:b/>
          <w:lang w:val="en-US"/>
        </w:rPr>
        <w:t xml:space="preserve"> 9 and 10 of 2023</w:t>
      </w:r>
    </w:p>
    <w:p w14:paraId="586D64F4" w14:textId="1758F940" w:rsidR="00090295" w:rsidRPr="00E72172" w:rsidRDefault="00090295" w:rsidP="00090295">
      <w:pPr>
        <w:ind w:left="5760"/>
        <w:jc w:val="right"/>
        <w:rPr>
          <w:b/>
        </w:rPr>
      </w:pPr>
      <w:r w:rsidRPr="00E72172">
        <w:rPr>
          <w:b/>
          <w:lang w:eastAsia="zh-CN"/>
        </w:rPr>
        <w:t xml:space="preserve">     </w:t>
      </w:r>
      <w:r w:rsidR="007A7252" w:rsidRPr="007A7252">
        <w:rPr>
          <w:rFonts w:eastAsia="宋体"/>
          <w:b/>
          <w:lang w:val="en-US"/>
        </w:rPr>
        <w:t>[2024] HKCFA 23</w:t>
      </w:r>
    </w:p>
    <w:p w14:paraId="77C6DB53" w14:textId="77777777" w:rsidR="00090295" w:rsidRPr="00B637E9" w:rsidRDefault="00090295" w:rsidP="00090295">
      <w:pPr>
        <w:pStyle w:val="Normal3"/>
        <w:ind w:right="560"/>
        <w:rPr>
          <w:rFonts w:eastAsia="宋体"/>
        </w:rPr>
      </w:pPr>
    </w:p>
    <w:p w14:paraId="22D8F491" w14:textId="77777777" w:rsidR="00090295" w:rsidRPr="00D669A7" w:rsidRDefault="00090295" w:rsidP="00090295">
      <w:pPr>
        <w:spacing w:after="0" w:line="240" w:lineRule="auto"/>
        <w:jc w:val="center"/>
        <w:rPr>
          <w:rFonts w:eastAsia="宋体"/>
          <w:b/>
          <w:lang w:val="en-US"/>
        </w:rPr>
      </w:pPr>
      <w:r w:rsidRPr="00D669A7">
        <w:rPr>
          <w:rFonts w:eastAsia="宋体"/>
          <w:b/>
          <w:lang w:val="en-US"/>
        </w:rPr>
        <w:t>IN THE COURT OF FINAL APPEAL OF THE</w:t>
      </w:r>
    </w:p>
    <w:p w14:paraId="782B2A6D" w14:textId="77777777" w:rsidR="00090295" w:rsidRPr="00D669A7" w:rsidRDefault="00090295" w:rsidP="00090295">
      <w:pPr>
        <w:spacing w:after="0" w:line="240" w:lineRule="auto"/>
        <w:jc w:val="center"/>
        <w:rPr>
          <w:rFonts w:eastAsia="宋体"/>
          <w:b/>
          <w:bCs/>
          <w:lang w:val="en-US"/>
        </w:rPr>
      </w:pPr>
      <w:r w:rsidRPr="00D669A7">
        <w:rPr>
          <w:rFonts w:eastAsia="宋体"/>
          <w:b/>
          <w:bCs/>
          <w:lang w:val="en-US"/>
        </w:rPr>
        <w:t>HONG KONG SPECIAL ADMINISTRATIVE REGION</w:t>
      </w:r>
    </w:p>
    <w:p w14:paraId="2B0789F1" w14:textId="77777777" w:rsidR="00090295" w:rsidRPr="00D669A7" w:rsidRDefault="00090295" w:rsidP="00090295">
      <w:pPr>
        <w:spacing w:after="0" w:line="240" w:lineRule="auto"/>
        <w:jc w:val="center"/>
        <w:rPr>
          <w:rFonts w:eastAsia="宋体"/>
          <w:b/>
          <w:bCs/>
          <w:lang w:val="en-US"/>
        </w:rPr>
      </w:pPr>
    </w:p>
    <w:p w14:paraId="5B439D38" w14:textId="77777777" w:rsidR="00090295" w:rsidRPr="00D669A7" w:rsidRDefault="00090295" w:rsidP="00090295">
      <w:pPr>
        <w:spacing w:after="0" w:line="240" w:lineRule="auto"/>
        <w:jc w:val="center"/>
        <w:rPr>
          <w:rFonts w:eastAsia="宋体"/>
          <w:b/>
          <w:bCs/>
          <w:lang w:val="en-US"/>
        </w:rPr>
      </w:pPr>
      <w:r w:rsidRPr="00D669A7">
        <w:rPr>
          <w:rFonts w:eastAsia="宋体"/>
          <w:b/>
          <w:bCs/>
          <w:lang w:val="en-US"/>
        </w:rPr>
        <w:t>FINAL APPEAL NOS</w:t>
      </w:r>
      <w:r>
        <w:rPr>
          <w:rFonts w:eastAsia="宋体"/>
          <w:b/>
          <w:bCs/>
          <w:lang w:val="en-US"/>
        </w:rPr>
        <w:t>.</w:t>
      </w:r>
      <w:r w:rsidRPr="00D669A7">
        <w:rPr>
          <w:rFonts w:eastAsia="宋体"/>
          <w:b/>
          <w:bCs/>
          <w:lang w:val="en-US"/>
        </w:rPr>
        <w:t xml:space="preserve"> 9 AND 10 OF 2023 (CIVIL)</w:t>
      </w:r>
    </w:p>
    <w:p w14:paraId="4BF34FCD" w14:textId="77777777" w:rsidR="00090295" w:rsidRPr="00D669A7" w:rsidRDefault="00090295" w:rsidP="00090295">
      <w:pPr>
        <w:spacing w:after="0" w:line="240" w:lineRule="auto"/>
        <w:jc w:val="center"/>
        <w:rPr>
          <w:rFonts w:eastAsia="宋体"/>
          <w:lang w:val="en-US"/>
        </w:rPr>
      </w:pPr>
      <w:r w:rsidRPr="00D669A7">
        <w:rPr>
          <w:rFonts w:eastAsia="宋体"/>
          <w:lang w:val="en-US"/>
        </w:rPr>
        <w:t>(ON APPEAL FROM CACV NOS</w:t>
      </w:r>
      <w:r>
        <w:rPr>
          <w:rFonts w:eastAsia="宋体"/>
          <w:lang w:val="en-US"/>
        </w:rPr>
        <w:t>.</w:t>
      </w:r>
      <w:r w:rsidRPr="00D669A7">
        <w:rPr>
          <w:rFonts w:eastAsia="宋体"/>
          <w:lang w:val="en-US"/>
        </w:rPr>
        <w:t xml:space="preserve"> 346 AND 337 OF 2022)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0"/>
      </w:tblGrid>
      <w:tr w:rsidR="00090295" w14:paraId="2417B534" w14:textId="77777777" w:rsidTr="003A2A07">
        <w:trPr>
          <w:jc w:val="center"/>
        </w:trPr>
        <w:tc>
          <w:tcPr>
            <w:tcW w:w="49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4938DF" w14:textId="77777777" w:rsidR="00090295" w:rsidRPr="00557267" w:rsidRDefault="00090295" w:rsidP="003A2A07">
            <w:pPr>
              <w:pStyle w:val="MF"/>
              <w:rPr>
                <w:szCs w:val="28"/>
                <w:lang w:eastAsia="zh-TW"/>
              </w:rPr>
            </w:pPr>
          </w:p>
        </w:tc>
      </w:tr>
    </w:tbl>
    <w:p w14:paraId="3C8F5ED6" w14:textId="1CBE0D5B" w:rsidR="00090295" w:rsidRDefault="00090295" w:rsidP="00090295">
      <w:pPr>
        <w:pStyle w:val="MF"/>
        <w:rPr>
          <w:szCs w:val="28"/>
          <w:lang w:eastAsia="zh-TW"/>
        </w:rPr>
      </w:pPr>
    </w:p>
    <w:p w14:paraId="1A2B2B0D" w14:textId="77777777" w:rsidR="00602D4E" w:rsidRPr="00612B37" w:rsidRDefault="00602D4E" w:rsidP="00602D4E">
      <w:pPr>
        <w:spacing w:after="0" w:line="240" w:lineRule="auto"/>
        <w:ind w:left="-360" w:right="3"/>
        <w:rPr>
          <w:lang w:eastAsia="zh-CN"/>
        </w:rPr>
      </w:pPr>
      <w:r w:rsidRPr="00612B37">
        <w:rPr>
          <w:lang w:eastAsia="zh-CN"/>
        </w:rPr>
        <w:t>BETWEEN</w:t>
      </w:r>
    </w:p>
    <w:p w14:paraId="051F479A" w14:textId="77777777" w:rsidR="00602D4E" w:rsidRPr="00612B37" w:rsidRDefault="00602D4E" w:rsidP="00602D4E">
      <w:pPr>
        <w:spacing w:after="0" w:line="240" w:lineRule="auto"/>
        <w:ind w:left="-360" w:right="3"/>
        <w:rPr>
          <w:lang w:eastAsia="zh-CN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1560"/>
        <w:gridCol w:w="528"/>
        <w:gridCol w:w="4950"/>
        <w:gridCol w:w="2034"/>
      </w:tblGrid>
      <w:tr w:rsidR="00602D4E" w:rsidRPr="00B97219" w14:paraId="0E313F2C" w14:textId="77777777" w:rsidTr="00490293">
        <w:trPr>
          <w:trHeight w:val="127"/>
        </w:trPr>
        <w:tc>
          <w:tcPr>
            <w:tcW w:w="1560" w:type="dxa"/>
            <w:shd w:val="clear" w:color="auto" w:fill="auto"/>
          </w:tcPr>
          <w:p w14:paraId="1C0A8310" w14:textId="77777777" w:rsidR="00602D4E" w:rsidRPr="00B97219" w:rsidRDefault="00602D4E" w:rsidP="00490293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478" w:type="dxa"/>
            <w:gridSpan w:val="2"/>
            <w:shd w:val="clear" w:color="auto" w:fill="auto"/>
          </w:tcPr>
          <w:p w14:paraId="5A52C56B" w14:textId="77777777" w:rsidR="00602D4E" w:rsidRPr="00B97219" w:rsidRDefault="00602D4E" w:rsidP="00490293">
            <w:pPr>
              <w:pStyle w:val="sh"/>
              <w:ind w:right="3"/>
              <w:jc w:val="center"/>
              <w:rPr>
                <w:b/>
                <w:bCs/>
                <w:snapToGrid w:val="0"/>
                <w:szCs w:val="28"/>
              </w:rPr>
            </w:pPr>
            <w:r w:rsidRPr="00B97219">
              <w:rPr>
                <w:b/>
                <w:bCs/>
                <w:snapToGrid w:val="0"/>
                <w:szCs w:val="28"/>
              </w:rPr>
              <w:t xml:space="preserve">CHINA </w:t>
            </w:r>
            <w:r>
              <w:rPr>
                <w:b/>
                <w:bCs/>
                <w:snapToGrid w:val="0"/>
                <w:szCs w:val="28"/>
              </w:rPr>
              <w:t>LIFE TRUSTEES</w:t>
            </w:r>
            <w:r w:rsidRPr="00B97219">
              <w:rPr>
                <w:b/>
                <w:bCs/>
                <w:snapToGrid w:val="0"/>
                <w:szCs w:val="28"/>
              </w:rPr>
              <w:t xml:space="preserve"> LIMITED</w:t>
            </w:r>
          </w:p>
        </w:tc>
        <w:tc>
          <w:tcPr>
            <w:tcW w:w="2034" w:type="dxa"/>
            <w:shd w:val="clear" w:color="auto" w:fill="auto"/>
          </w:tcPr>
          <w:p w14:paraId="346C7416" w14:textId="77777777" w:rsidR="00602D4E" w:rsidRPr="00B97219" w:rsidRDefault="00602D4E" w:rsidP="00490293">
            <w:pPr>
              <w:spacing w:after="0" w:line="240" w:lineRule="auto"/>
              <w:jc w:val="right"/>
              <w:rPr>
                <w:b/>
                <w:color w:val="000000"/>
              </w:rPr>
            </w:pPr>
            <w:r w:rsidRPr="00B97219">
              <w:rPr>
                <w:b/>
                <w:color w:val="000000"/>
              </w:rPr>
              <w:t>Plaintiff</w:t>
            </w:r>
          </w:p>
          <w:p w14:paraId="3FAE3E25" w14:textId="77777777" w:rsidR="00602D4E" w:rsidRPr="00B97219" w:rsidRDefault="00602D4E" w:rsidP="00490293">
            <w:pPr>
              <w:spacing w:after="0" w:line="240" w:lineRule="auto"/>
              <w:jc w:val="right"/>
              <w:rPr>
                <w:b/>
                <w:color w:val="000000"/>
              </w:rPr>
            </w:pPr>
            <w:r w:rsidRPr="00B97219">
              <w:rPr>
                <w:b/>
                <w:color w:val="000000"/>
              </w:rPr>
              <w:t>(Respondent)</w:t>
            </w:r>
          </w:p>
          <w:p w14:paraId="1A92D63A" w14:textId="77777777" w:rsidR="00602D4E" w:rsidRPr="00B97219" w:rsidRDefault="00602D4E" w:rsidP="00490293">
            <w:pPr>
              <w:spacing w:after="0" w:line="240" w:lineRule="auto"/>
              <w:jc w:val="right"/>
              <w:rPr>
                <w:b/>
              </w:rPr>
            </w:pPr>
          </w:p>
        </w:tc>
      </w:tr>
      <w:tr w:rsidR="00602D4E" w:rsidRPr="00B97219" w14:paraId="16D935F4" w14:textId="77777777" w:rsidTr="00490293">
        <w:trPr>
          <w:trHeight w:val="508"/>
        </w:trPr>
        <w:tc>
          <w:tcPr>
            <w:tcW w:w="1560" w:type="dxa"/>
            <w:shd w:val="clear" w:color="auto" w:fill="auto"/>
          </w:tcPr>
          <w:p w14:paraId="12513522" w14:textId="77777777" w:rsidR="00602D4E" w:rsidRPr="00B97219" w:rsidRDefault="00602D4E" w:rsidP="00490293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478" w:type="dxa"/>
            <w:gridSpan w:val="2"/>
            <w:shd w:val="clear" w:color="auto" w:fill="auto"/>
            <w:vAlign w:val="center"/>
          </w:tcPr>
          <w:p w14:paraId="50700B07" w14:textId="77777777" w:rsidR="00602D4E" w:rsidRPr="00B97219" w:rsidRDefault="00602D4E" w:rsidP="00490293">
            <w:pPr>
              <w:pStyle w:val="sh"/>
              <w:ind w:right="3"/>
              <w:jc w:val="center"/>
              <w:rPr>
                <w:b/>
                <w:bCs/>
                <w:snapToGrid w:val="0"/>
                <w:szCs w:val="28"/>
              </w:rPr>
            </w:pPr>
            <w:r w:rsidRPr="00B97219">
              <w:rPr>
                <w:b/>
                <w:bCs/>
                <w:snapToGrid w:val="0"/>
                <w:szCs w:val="28"/>
              </w:rPr>
              <w:t>and</w:t>
            </w:r>
          </w:p>
        </w:tc>
        <w:tc>
          <w:tcPr>
            <w:tcW w:w="2034" w:type="dxa"/>
            <w:shd w:val="clear" w:color="auto" w:fill="auto"/>
          </w:tcPr>
          <w:p w14:paraId="7563F5CA" w14:textId="77777777" w:rsidR="00602D4E" w:rsidRPr="00B97219" w:rsidRDefault="00602D4E" w:rsidP="00490293">
            <w:pPr>
              <w:spacing w:after="0" w:line="240" w:lineRule="auto"/>
              <w:jc w:val="right"/>
              <w:rPr>
                <w:b/>
              </w:rPr>
            </w:pPr>
          </w:p>
        </w:tc>
      </w:tr>
      <w:tr w:rsidR="00602D4E" w:rsidRPr="00B97219" w14:paraId="24AED572" w14:textId="77777777" w:rsidTr="00490293">
        <w:trPr>
          <w:trHeight w:val="274"/>
        </w:trPr>
        <w:tc>
          <w:tcPr>
            <w:tcW w:w="1560" w:type="dxa"/>
            <w:shd w:val="clear" w:color="auto" w:fill="auto"/>
          </w:tcPr>
          <w:p w14:paraId="25F796F4" w14:textId="77777777" w:rsidR="00602D4E" w:rsidRPr="00B97219" w:rsidRDefault="00602D4E" w:rsidP="00490293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478" w:type="dxa"/>
            <w:gridSpan w:val="2"/>
            <w:shd w:val="clear" w:color="auto" w:fill="auto"/>
            <w:vAlign w:val="center"/>
          </w:tcPr>
          <w:p w14:paraId="2666C2CB" w14:textId="77777777" w:rsidR="00602D4E" w:rsidRPr="00B97219" w:rsidRDefault="00602D4E" w:rsidP="00490293">
            <w:pPr>
              <w:pStyle w:val="sh"/>
              <w:ind w:right="3"/>
              <w:jc w:val="center"/>
              <w:rPr>
                <w:b/>
                <w:bCs/>
                <w:snapToGrid w:val="0"/>
                <w:szCs w:val="28"/>
              </w:rPr>
            </w:pPr>
          </w:p>
        </w:tc>
        <w:tc>
          <w:tcPr>
            <w:tcW w:w="2034" w:type="dxa"/>
            <w:shd w:val="clear" w:color="auto" w:fill="auto"/>
          </w:tcPr>
          <w:p w14:paraId="4F4BA968" w14:textId="77777777" w:rsidR="00602D4E" w:rsidRPr="00B97219" w:rsidRDefault="00602D4E" w:rsidP="00490293">
            <w:pPr>
              <w:spacing w:after="0" w:line="240" w:lineRule="auto"/>
              <w:jc w:val="right"/>
              <w:rPr>
                <w:b/>
              </w:rPr>
            </w:pPr>
          </w:p>
        </w:tc>
      </w:tr>
      <w:tr w:rsidR="00602D4E" w:rsidRPr="00B97219" w14:paraId="2CA0D142" w14:textId="77777777" w:rsidTr="00490293">
        <w:trPr>
          <w:trHeight w:val="806"/>
        </w:trPr>
        <w:tc>
          <w:tcPr>
            <w:tcW w:w="1560" w:type="dxa"/>
            <w:shd w:val="clear" w:color="auto" w:fill="auto"/>
          </w:tcPr>
          <w:p w14:paraId="623F4802" w14:textId="77777777" w:rsidR="00602D4E" w:rsidRPr="00B97219" w:rsidRDefault="00602D4E" w:rsidP="00490293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478" w:type="dxa"/>
            <w:gridSpan w:val="2"/>
            <w:shd w:val="clear" w:color="auto" w:fill="auto"/>
          </w:tcPr>
          <w:p w14:paraId="30BA6D83" w14:textId="77777777" w:rsidR="00602D4E" w:rsidRPr="00B97219" w:rsidRDefault="00602D4E" w:rsidP="00490293">
            <w:pPr>
              <w:pStyle w:val="sh"/>
              <w:ind w:right="3"/>
              <w:jc w:val="center"/>
              <w:rPr>
                <w:b/>
                <w:bCs/>
                <w:snapToGrid w:val="0"/>
                <w:szCs w:val="28"/>
              </w:rPr>
            </w:pPr>
            <w:r w:rsidRPr="00B97219">
              <w:rPr>
                <w:b/>
                <w:bCs/>
                <w:snapToGrid w:val="0"/>
                <w:szCs w:val="28"/>
              </w:rPr>
              <w:t>CHINA ENERGY RESERVE AND CHEMICALS GROUP OVERSEAS COMPANY LIMITED</w:t>
            </w:r>
          </w:p>
          <w:p w14:paraId="7B080CEF" w14:textId="77777777" w:rsidR="00602D4E" w:rsidRPr="00B97219" w:rsidRDefault="00602D4E" w:rsidP="00490293">
            <w:pPr>
              <w:pStyle w:val="sh"/>
              <w:ind w:right="3"/>
              <w:jc w:val="center"/>
              <w:rPr>
                <w:b/>
                <w:bCs/>
                <w:snapToGrid w:val="0"/>
                <w:szCs w:val="28"/>
              </w:rPr>
            </w:pPr>
          </w:p>
        </w:tc>
        <w:tc>
          <w:tcPr>
            <w:tcW w:w="2034" w:type="dxa"/>
            <w:shd w:val="clear" w:color="auto" w:fill="auto"/>
          </w:tcPr>
          <w:p w14:paraId="7EE51E90" w14:textId="77777777" w:rsidR="00602D4E" w:rsidRPr="00B97219" w:rsidRDefault="00602D4E" w:rsidP="00490293">
            <w:pPr>
              <w:spacing w:after="0" w:line="240" w:lineRule="auto"/>
              <w:jc w:val="right"/>
              <w:rPr>
                <w:b/>
                <w:color w:val="000000"/>
              </w:rPr>
            </w:pPr>
            <w:r w:rsidRPr="00B97219">
              <w:rPr>
                <w:b/>
                <w:color w:val="000000"/>
              </w:rPr>
              <w:t>1</w:t>
            </w:r>
            <w:r w:rsidRPr="00B97219">
              <w:rPr>
                <w:b/>
                <w:color w:val="000000"/>
                <w:vertAlign w:val="superscript"/>
              </w:rPr>
              <w:t>st</w:t>
            </w:r>
            <w:r w:rsidRPr="00B97219">
              <w:rPr>
                <w:b/>
                <w:color w:val="000000"/>
              </w:rPr>
              <w:t xml:space="preserve"> Defendant</w:t>
            </w:r>
          </w:p>
          <w:p w14:paraId="36D27053" w14:textId="77777777" w:rsidR="00602D4E" w:rsidRPr="00B97219" w:rsidRDefault="00602D4E" w:rsidP="00490293">
            <w:pPr>
              <w:spacing w:after="0" w:line="240" w:lineRule="auto"/>
              <w:jc w:val="right"/>
              <w:rPr>
                <w:b/>
                <w:color w:val="000000"/>
              </w:rPr>
            </w:pPr>
            <w:r w:rsidRPr="00B97219">
              <w:rPr>
                <w:b/>
                <w:color w:val="000000"/>
              </w:rPr>
              <w:t>(1</w:t>
            </w:r>
            <w:r w:rsidRPr="00B97219">
              <w:rPr>
                <w:b/>
                <w:color w:val="000000"/>
                <w:vertAlign w:val="superscript"/>
              </w:rPr>
              <w:t xml:space="preserve">st </w:t>
            </w:r>
            <w:r w:rsidRPr="00B97219">
              <w:rPr>
                <w:b/>
                <w:color w:val="000000"/>
              </w:rPr>
              <w:t>Appellant)</w:t>
            </w:r>
          </w:p>
          <w:p w14:paraId="422BFD4A" w14:textId="77777777" w:rsidR="00602D4E" w:rsidRPr="00B97219" w:rsidRDefault="00602D4E" w:rsidP="00490293">
            <w:pPr>
              <w:spacing w:after="0" w:line="240" w:lineRule="auto"/>
              <w:jc w:val="right"/>
              <w:rPr>
                <w:b/>
                <w:color w:val="000000"/>
              </w:rPr>
            </w:pPr>
          </w:p>
        </w:tc>
      </w:tr>
      <w:tr w:rsidR="00602D4E" w:rsidRPr="00B97219" w14:paraId="328DE785" w14:textId="77777777" w:rsidTr="00490293">
        <w:trPr>
          <w:trHeight w:val="806"/>
        </w:trPr>
        <w:tc>
          <w:tcPr>
            <w:tcW w:w="1560" w:type="dxa"/>
            <w:shd w:val="clear" w:color="auto" w:fill="auto"/>
          </w:tcPr>
          <w:p w14:paraId="30888E7E" w14:textId="77777777" w:rsidR="00602D4E" w:rsidRPr="00B97219" w:rsidRDefault="00602D4E" w:rsidP="00490293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478" w:type="dxa"/>
            <w:gridSpan w:val="2"/>
            <w:shd w:val="clear" w:color="auto" w:fill="auto"/>
          </w:tcPr>
          <w:p w14:paraId="01CF567D" w14:textId="77777777" w:rsidR="00602D4E" w:rsidRPr="00B97219" w:rsidRDefault="00602D4E" w:rsidP="00490293">
            <w:pPr>
              <w:pStyle w:val="sh"/>
              <w:ind w:right="3"/>
              <w:jc w:val="center"/>
              <w:rPr>
                <w:b/>
                <w:bCs/>
                <w:snapToGrid w:val="0"/>
                <w:szCs w:val="28"/>
              </w:rPr>
            </w:pPr>
            <w:r w:rsidRPr="00B97219">
              <w:rPr>
                <w:b/>
                <w:bCs/>
                <w:snapToGrid w:val="0"/>
                <w:szCs w:val="28"/>
              </w:rPr>
              <w:t>CHINA ENERGY RESERVE AND CHEMICALS GROUP</w:t>
            </w:r>
          </w:p>
          <w:p w14:paraId="0A359D4E" w14:textId="77777777" w:rsidR="00602D4E" w:rsidRPr="00B97219" w:rsidRDefault="00602D4E" w:rsidP="00490293">
            <w:pPr>
              <w:pStyle w:val="sh"/>
              <w:ind w:right="3"/>
              <w:jc w:val="center"/>
              <w:rPr>
                <w:b/>
                <w:bCs/>
                <w:snapToGrid w:val="0"/>
                <w:szCs w:val="28"/>
              </w:rPr>
            </w:pPr>
            <w:r w:rsidRPr="00B97219">
              <w:rPr>
                <w:b/>
                <w:bCs/>
                <w:snapToGrid w:val="0"/>
                <w:szCs w:val="28"/>
              </w:rPr>
              <w:t>COMPANY LIMITED</w:t>
            </w:r>
          </w:p>
          <w:p w14:paraId="45E06D0A" w14:textId="77777777" w:rsidR="00602D4E" w:rsidRPr="00B97219" w:rsidRDefault="00602D4E" w:rsidP="00490293">
            <w:pPr>
              <w:pStyle w:val="sh"/>
              <w:ind w:right="3"/>
              <w:jc w:val="center"/>
              <w:rPr>
                <w:b/>
                <w:bCs/>
                <w:snapToGrid w:val="0"/>
                <w:szCs w:val="28"/>
              </w:rPr>
            </w:pPr>
            <w:r w:rsidRPr="00B97219">
              <w:rPr>
                <w:b/>
                <w:bCs/>
                <w:snapToGrid w:val="0"/>
                <w:szCs w:val="28"/>
              </w:rPr>
              <w:t>(</w:t>
            </w:r>
            <w:r w:rsidRPr="00B97219">
              <w:rPr>
                <w:b/>
                <w:bCs/>
                <w:snapToGrid w:val="0"/>
                <w:szCs w:val="28"/>
              </w:rPr>
              <w:t>中国国储能源化工集团股份公司</w:t>
            </w:r>
            <w:r w:rsidRPr="00B97219">
              <w:rPr>
                <w:b/>
                <w:bCs/>
                <w:snapToGrid w:val="0"/>
                <w:szCs w:val="28"/>
              </w:rPr>
              <w:t>)</w:t>
            </w:r>
          </w:p>
          <w:p w14:paraId="4DC3EFD7" w14:textId="77777777" w:rsidR="00602D4E" w:rsidRPr="00B97219" w:rsidRDefault="00602D4E" w:rsidP="00490293">
            <w:pPr>
              <w:pStyle w:val="sh"/>
              <w:ind w:right="3"/>
              <w:jc w:val="center"/>
              <w:rPr>
                <w:b/>
                <w:bCs/>
                <w:snapToGrid w:val="0"/>
                <w:szCs w:val="28"/>
              </w:rPr>
            </w:pPr>
          </w:p>
        </w:tc>
        <w:tc>
          <w:tcPr>
            <w:tcW w:w="2034" w:type="dxa"/>
            <w:shd w:val="clear" w:color="auto" w:fill="auto"/>
          </w:tcPr>
          <w:p w14:paraId="70D4E624" w14:textId="77777777" w:rsidR="00602D4E" w:rsidRPr="00B97219" w:rsidRDefault="00602D4E" w:rsidP="00490293">
            <w:pPr>
              <w:spacing w:after="0" w:line="240" w:lineRule="auto"/>
              <w:jc w:val="right"/>
              <w:rPr>
                <w:b/>
              </w:rPr>
            </w:pPr>
            <w:r w:rsidRPr="00B97219">
              <w:rPr>
                <w:b/>
              </w:rPr>
              <w:t>2</w:t>
            </w:r>
            <w:r w:rsidRPr="00B97219">
              <w:rPr>
                <w:b/>
                <w:vertAlign w:val="superscript"/>
              </w:rPr>
              <w:t>nd</w:t>
            </w:r>
            <w:r w:rsidRPr="00B97219">
              <w:rPr>
                <w:b/>
              </w:rPr>
              <w:t xml:space="preserve"> Defendant</w:t>
            </w:r>
          </w:p>
        </w:tc>
      </w:tr>
      <w:tr w:rsidR="00602D4E" w:rsidRPr="00B97219" w14:paraId="460E6FF4" w14:textId="77777777" w:rsidTr="00490293">
        <w:trPr>
          <w:trHeight w:val="464"/>
        </w:trPr>
        <w:tc>
          <w:tcPr>
            <w:tcW w:w="1560" w:type="dxa"/>
            <w:shd w:val="clear" w:color="auto" w:fill="auto"/>
          </w:tcPr>
          <w:p w14:paraId="08F79749" w14:textId="77777777" w:rsidR="00602D4E" w:rsidRPr="00B97219" w:rsidRDefault="00602D4E" w:rsidP="00490293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478" w:type="dxa"/>
            <w:gridSpan w:val="2"/>
            <w:shd w:val="clear" w:color="auto" w:fill="auto"/>
            <w:vAlign w:val="center"/>
          </w:tcPr>
          <w:p w14:paraId="1D738751" w14:textId="77777777" w:rsidR="00602D4E" w:rsidRPr="00B97219" w:rsidRDefault="00602D4E" w:rsidP="00490293">
            <w:pPr>
              <w:pStyle w:val="sh"/>
              <w:ind w:right="3"/>
              <w:jc w:val="center"/>
              <w:rPr>
                <w:b/>
                <w:bCs/>
                <w:snapToGrid w:val="0"/>
                <w:szCs w:val="28"/>
              </w:rPr>
            </w:pPr>
            <w:r w:rsidRPr="00B97219">
              <w:rPr>
                <w:b/>
                <w:bCs/>
                <w:snapToGrid w:val="0"/>
                <w:szCs w:val="28"/>
              </w:rPr>
              <w:t>and</w:t>
            </w:r>
          </w:p>
        </w:tc>
        <w:tc>
          <w:tcPr>
            <w:tcW w:w="2034" w:type="dxa"/>
            <w:shd w:val="clear" w:color="auto" w:fill="auto"/>
          </w:tcPr>
          <w:p w14:paraId="741ADFF3" w14:textId="77777777" w:rsidR="00602D4E" w:rsidRPr="00B97219" w:rsidRDefault="00602D4E" w:rsidP="00490293">
            <w:pPr>
              <w:spacing w:after="0" w:line="240" w:lineRule="auto"/>
              <w:jc w:val="right"/>
              <w:rPr>
                <w:b/>
              </w:rPr>
            </w:pPr>
          </w:p>
        </w:tc>
      </w:tr>
      <w:tr w:rsidR="00602D4E" w:rsidRPr="00B97219" w14:paraId="6FC3F04A" w14:textId="77777777" w:rsidTr="00490293">
        <w:trPr>
          <w:trHeight w:val="247"/>
        </w:trPr>
        <w:tc>
          <w:tcPr>
            <w:tcW w:w="1560" w:type="dxa"/>
            <w:shd w:val="clear" w:color="auto" w:fill="auto"/>
          </w:tcPr>
          <w:p w14:paraId="32E9B517" w14:textId="77777777" w:rsidR="00602D4E" w:rsidRPr="00B97219" w:rsidRDefault="00602D4E" w:rsidP="00490293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478" w:type="dxa"/>
            <w:gridSpan w:val="2"/>
            <w:shd w:val="clear" w:color="auto" w:fill="auto"/>
            <w:vAlign w:val="center"/>
          </w:tcPr>
          <w:p w14:paraId="4AD4F7D7" w14:textId="77777777" w:rsidR="00602D4E" w:rsidRPr="00B97219" w:rsidRDefault="00602D4E" w:rsidP="00490293">
            <w:pPr>
              <w:pStyle w:val="sh"/>
              <w:ind w:right="3"/>
              <w:jc w:val="center"/>
              <w:rPr>
                <w:b/>
                <w:bCs/>
                <w:snapToGrid w:val="0"/>
                <w:szCs w:val="28"/>
              </w:rPr>
            </w:pPr>
          </w:p>
        </w:tc>
        <w:tc>
          <w:tcPr>
            <w:tcW w:w="2034" w:type="dxa"/>
            <w:shd w:val="clear" w:color="auto" w:fill="auto"/>
          </w:tcPr>
          <w:p w14:paraId="6734CDB1" w14:textId="77777777" w:rsidR="00602D4E" w:rsidRPr="00B97219" w:rsidRDefault="00602D4E" w:rsidP="00490293">
            <w:pPr>
              <w:spacing w:after="0" w:line="240" w:lineRule="auto"/>
              <w:jc w:val="right"/>
              <w:rPr>
                <w:b/>
              </w:rPr>
            </w:pPr>
          </w:p>
        </w:tc>
      </w:tr>
      <w:tr w:rsidR="00602D4E" w:rsidRPr="00B97219" w14:paraId="30807026" w14:textId="77777777" w:rsidTr="00490293">
        <w:trPr>
          <w:trHeight w:val="806"/>
        </w:trPr>
        <w:tc>
          <w:tcPr>
            <w:tcW w:w="1560" w:type="dxa"/>
            <w:shd w:val="clear" w:color="auto" w:fill="auto"/>
          </w:tcPr>
          <w:p w14:paraId="4AE643CA" w14:textId="77777777" w:rsidR="00602D4E" w:rsidRPr="00B97219" w:rsidRDefault="00602D4E" w:rsidP="00490293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478" w:type="dxa"/>
            <w:gridSpan w:val="2"/>
            <w:shd w:val="clear" w:color="auto" w:fill="auto"/>
          </w:tcPr>
          <w:p w14:paraId="7EC36E6D" w14:textId="77777777" w:rsidR="00602D4E" w:rsidRPr="00B97219" w:rsidRDefault="00602D4E" w:rsidP="00490293">
            <w:pPr>
              <w:pStyle w:val="sh"/>
              <w:ind w:right="3"/>
              <w:jc w:val="center"/>
              <w:rPr>
                <w:b/>
                <w:bCs/>
                <w:snapToGrid w:val="0"/>
                <w:szCs w:val="28"/>
              </w:rPr>
            </w:pPr>
            <w:r w:rsidRPr="00B97219">
              <w:rPr>
                <w:b/>
                <w:bCs/>
                <w:snapToGrid w:val="0"/>
                <w:szCs w:val="28"/>
              </w:rPr>
              <w:t xml:space="preserve">BANK OF COMMUNICATIONS </w:t>
            </w:r>
            <w:r w:rsidRPr="00B97219">
              <w:rPr>
                <w:b/>
                <w:bCs/>
                <w:snapToGrid w:val="0"/>
                <w:szCs w:val="28"/>
              </w:rPr>
              <w:br/>
              <w:t>TRUSTEE LIMITED</w:t>
            </w:r>
          </w:p>
        </w:tc>
        <w:tc>
          <w:tcPr>
            <w:tcW w:w="2034" w:type="dxa"/>
            <w:shd w:val="clear" w:color="auto" w:fill="auto"/>
          </w:tcPr>
          <w:p w14:paraId="2A7047D5" w14:textId="77777777" w:rsidR="00602D4E" w:rsidRPr="00B97219" w:rsidRDefault="00602D4E" w:rsidP="00490293">
            <w:pPr>
              <w:spacing w:after="0" w:line="240" w:lineRule="auto"/>
              <w:jc w:val="right"/>
              <w:rPr>
                <w:b/>
              </w:rPr>
            </w:pPr>
            <w:r w:rsidRPr="00B97219">
              <w:rPr>
                <w:b/>
              </w:rPr>
              <w:t>Interested Party</w:t>
            </w:r>
          </w:p>
        </w:tc>
      </w:tr>
      <w:tr w:rsidR="00602D4E" w:rsidRPr="00B97219" w14:paraId="4168827D" w14:textId="77777777" w:rsidTr="00490293">
        <w:trPr>
          <w:trHeight w:val="193"/>
        </w:trPr>
        <w:tc>
          <w:tcPr>
            <w:tcW w:w="1560" w:type="dxa"/>
            <w:shd w:val="clear" w:color="auto" w:fill="auto"/>
          </w:tcPr>
          <w:p w14:paraId="4A5B3D5E" w14:textId="77777777" w:rsidR="00602D4E" w:rsidRPr="00B97219" w:rsidRDefault="00602D4E" w:rsidP="00490293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478" w:type="dxa"/>
            <w:gridSpan w:val="2"/>
            <w:shd w:val="clear" w:color="auto" w:fill="auto"/>
          </w:tcPr>
          <w:p w14:paraId="294E17A4" w14:textId="77777777" w:rsidR="00602D4E" w:rsidRPr="00B97219" w:rsidRDefault="00602D4E" w:rsidP="00490293">
            <w:pPr>
              <w:pStyle w:val="sh"/>
              <w:ind w:right="3"/>
              <w:jc w:val="center"/>
              <w:rPr>
                <w:b/>
                <w:bCs/>
                <w:snapToGrid w:val="0"/>
                <w:szCs w:val="28"/>
              </w:rPr>
            </w:pPr>
          </w:p>
        </w:tc>
        <w:tc>
          <w:tcPr>
            <w:tcW w:w="2034" w:type="dxa"/>
            <w:shd w:val="clear" w:color="auto" w:fill="auto"/>
          </w:tcPr>
          <w:p w14:paraId="33EDB5E9" w14:textId="77777777" w:rsidR="00602D4E" w:rsidRPr="00B97219" w:rsidRDefault="00602D4E" w:rsidP="00490293">
            <w:pPr>
              <w:spacing w:after="0" w:line="240" w:lineRule="auto"/>
              <w:jc w:val="right"/>
              <w:rPr>
                <w:b/>
              </w:rPr>
            </w:pPr>
          </w:p>
        </w:tc>
      </w:tr>
      <w:tr w:rsidR="00602D4E" w:rsidRPr="00B97219" w14:paraId="1374248C" w14:textId="77777777" w:rsidTr="00490293">
        <w:trPr>
          <w:trHeight w:val="80"/>
        </w:trPr>
        <w:tc>
          <w:tcPr>
            <w:tcW w:w="1560" w:type="dxa"/>
            <w:shd w:val="clear" w:color="auto" w:fill="auto"/>
          </w:tcPr>
          <w:p w14:paraId="6162BCE4" w14:textId="77777777" w:rsidR="00602D4E" w:rsidRPr="00B97219" w:rsidRDefault="00602D4E" w:rsidP="00490293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478" w:type="dxa"/>
            <w:gridSpan w:val="2"/>
            <w:shd w:val="clear" w:color="auto" w:fill="auto"/>
          </w:tcPr>
          <w:p w14:paraId="23F55B9C" w14:textId="77777777" w:rsidR="00602D4E" w:rsidRPr="00B97219" w:rsidRDefault="00602D4E" w:rsidP="00490293">
            <w:pPr>
              <w:pStyle w:val="sh"/>
              <w:ind w:right="3"/>
              <w:jc w:val="center"/>
              <w:rPr>
                <w:b/>
                <w:bCs/>
                <w:snapToGrid w:val="0"/>
                <w:szCs w:val="28"/>
              </w:rPr>
            </w:pPr>
            <w:r w:rsidRPr="00B97219">
              <w:rPr>
                <w:b/>
                <w:bCs/>
                <w:snapToGrid w:val="0"/>
                <w:szCs w:val="28"/>
              </w:rPr>
              <w:t>BANK OF COMMUNICATIONS</w:t>
            </w:r>
          </w:p>
          <w:p w14:paraId="16C82EEA" w14:textId="77777777" w:rsidR="00602D4E" w:rsidRPr="00B97219" w:rsidRDefault="00602D4E" w:rsidP="00490293">
            <w:pPr>
              <w:pStyle w:val="sh"/>
              <w:ind w:right="3"/>
              <w:jc w:val="center"/>
              <w:rPr>
                <w:b/>
                <w:bCs/>
                <w:snapToGrid w:val="0"/>
                <w:szCs w:val="28"/>
              </w:rPr>
            </w:pPr>
          </w:p>
        </w:tc>
        <w:tc>
          <w:tcPr>
            <w:tcW w:w="2034" w:type="dxa"/>
            <w:shd w:val="clear" w:color="auto" w:fill="auto"/>
          </w:tcPr>
          <w:p w14:paraId="18BC862D" w14:textId="77777777" w:rsidR="00602D4E" w:rsidRPr="00B97219" w:rsidRDefault="00602D4E" w:rsidP="00490293">
            <w:pPr>
              <w:spacing w:after="0" w:line="240" w:lineRule="auto"/>
              <w:jc w:val="right"/>
              <w:rPr>
                <w:b/>
              </w:rPr>
            </w:pPr>
            <w:r w:rsidRPr="00B97219">
              <w:rPr>
                <w:b/>
              </w:rPr>
              <w:t>Garnishee</w:t>
            </w:r>
          </w:p>
        </w:tc>
      </w:tr>
      <w:tr w:rsidR="00602D4E" w:rsidRPr="00B97219" w14:paraId="2CD0D674" w14:textId="77777777" w:rsidTr="00490293">
        <w:trPr>
          <w:trHeight w:val="806"/>
        </w:trPr>
        <w:tc>
          <w:tcPr>
            <w:tcW w:w="1560" w:type="dxa"/>
            <w:shd w:val="clear" w:color="auto" w:fill="auto"/>
          </w:tcPr>
          <w:p w14:paraId="69AACB2D" w14:textId="77777777" w:rsidR="00602D4E" w:rsidRPr="00B97219" w:rsidRDefault="00602D4E" w:rsidP="00490293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478" w:type="dxa"/>
            <w:gridSpan w:val="2"/>
            <w:shd w:val="clear" w:color="auto" w:fill="auto"/>
          </w:tcPr>
          <w:p w14:paraId="58415FA7" w14:textId="77777777" w:rsidR="00602D4E" w:rsidRPr="00B97219" w:rsidRDefault="00602D4E" w:rsidP="00490293">
            <w:pPr>
              <w:pStyle w:val="sh"/>
              <w:tabs>
                <w:tab w:val="clear" w:pos="720"/>
                <w:tab w:val="clear" w:pos="1440"/>
                <w:tab w:val="clear" w:pos="4320"/>
              </w:tabs>
              <w:ind w:right="3"/>
              <w:jc w:val="center"/>
              <w:rPr>
                <w:b/>
                <w:bCs/>
                <w:snapToGrid w:val="0"/>
                <w:szCs w:val="28"/>
              </w:rPr>
            </w:pPr>
            <w:r w:rsidRPr="00B97219">
              <w:rPr>
                <w:b/>
                <w:bCs/>
                <w:snapToGrid w:val="0"/>
                <w:szCs w:val="28"/>
              </w:rPr>
              <w:t xml:space="preserve">AD HOC COMMITTEE </w:t>
            </w:r>
            <w:r w:rsidRPr="00B97219">
              <w:rPr>
                <w:b/>
                <w:bCs/>
                <w:snapToGrid w:val="0"/>
                <w:szCs w:val="28"/>
              </w:rPr>
              <w:br/>
              <w:t>(comprising CMB Wing Lung Bank Ltd and The Export-Import Bank of China)</w:t>
            </w:r>
          </w:p>
        </w:tc>
        <w:tc>
          <w:tcPr>
            <w:tcW w:w="2034" w:type="dxa"/>
            <w:shd w:val="clear" w:color="auto" w:fill="auto"/>
          </w:tcPr>
          <w:p w14:paraId="5EFF6F7E" w14:textId="77777777" w:rsidR="00602D4E" w:rsidRPr="00B97219" w:rsidRDefault="00602D4E" w:rsidP="00490293">
            <w:pPr>
              <w:spacing w:after="0" w:line="240" w:lineRule="auto"/>
              <w:jc w:val="right"/>
              <w:rPr>
                <w:b/>
                <w:color w:val="000000"/>
              </w:rPr>
            </w:pPr>
            <w:r w:rsidRPr="00B97219">
              <w:rPr>
                <w:b/>
                <w:color w:val="000000"/>
              </w:rPr>
              <w:t>Intervener</w:t>
            </w:r>
          </w:p>
          <w:p w14:paraId="08652F36" w14:textId="77777777" w:rsidR="00602D4E" w:rsidRPr="00B97219" w:rsidRDefault="00602D4E" w:rsidP="00490293">
            <w:pPr>
              <w:spacing w:after="0" w:line="240" w:lineRule="auto"/>
              <w:jc w:val="right"/>
              <w:rPr>
                <w:b/>
                <w:color w:val="000000"/>
              </w:rPr>
            </w:pPr>
            <w:r w:rsidRPr="00B97219">
              <w:rPr>
                <w:b/>
                <w:color w:val="000000"/>
              </w:rPr>
              <w:t>(2</w:t>
            </w:r>
            <w:r w:rsidRPr="00B97219">
              <w:rPr>
                <w:b/>
                <w:color w:val="000000"/>
                <w:vertAlign w:val="superscript"/>
              </w:rPr>
              <w:t>nd</w:t>
            </w:r>
            <w:r w:rsidRPr="00B97219">
              <w:rPr>
                <w:b/>
                <w:color w:val="000000"/>
              </w:rPr>
              <w:t xml:space="preserve"> Appellant)</w:t>
            </w:r>
          </w:p>
        </w:tc>
      </w:tr>
      <w:tr w:rsidR="00602D4E" w:rsidRPr="00612B37" w14:paraId="41245D63" w14:textId="77777777" w:rsidTr="00490293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1"/>
          <w:wBefore w:w="2088" w:type="dxa"/>
          <w:wAfter w:w="2034" w:type="dxa"/>
          <w:jc w:val="center"/>
        </w:trPr>
        <w:tc>
          <w:tcPr>
            <w:tcW w:w="495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2BFDD94" w14:textId="77777777" w:rsidR="00602D4E" w:rsidRPr="00612B37" w:rsidRDefault="00602D4E" w:rsidP="00490293">
            <w:pPr>
              <w:pStyle w:val="MF"/>
              <w:rPr>
                <w:szCs w:val="28"/>
                <w:lang w:eastAsia="zh-TW"/>
              </w:rPr>
            </w:pPr>
          </w:p>
          <w:p w14:paraId="75A474DE" w14:textId="77777777" w:rsidR="00602D4E" w:rsidRPr="00612B37" w:rsidRDefault="00602D4E" w:rsidP="00490293">
            <w:pPr>
              <w:pStyle w:val="MF"/>
              <w:rPr>
                <w:szCs w:val="28"/>
                <w:lang w:eastAsia="zh-TW"/>
              </w:rPr>
            </w:pPr>
          </w:p>
        </w:tc>
      </w:tr>
    </w:tbl>
    <w:p w14:paraId="2B1F78CE" w14:textId="77777777" w:rsidR="00602D4E" w:rsidRPr="00612B37" w:rsidRDefault="00602D4E" w:rsidP="00602D4E">
      <w:pPr>
        <w:spacing w:after="0" w:line="240" w:lineRule="auto"/>
        <w:jc w:val="center"/>
        <w:rPr>
          <w:color w:val="000000"/>
        </w:rPr>
      </w:pPr>
      <w:r w:rsidRPr="00612B37">
        <w:rPr>
          <w:color w:val="000000"/>
        </w:rPr>
        <w:t xml:space="preserve"> (HEARD TOGETHER)</w:t>
      </w:r>
    </w:p>
    <w:p w14:paraId="716A4881" w14:textId="77777777" w:rsidR="00602D4E" w:rsidRPr="00612B37" w:rsidRDefault="00602D4E" w:rsidP="00602D4E">
      <w:pPr>
        <w:spacing w:after="0" w:line="240" w:lineRule="auto"/>
        <w:ind w:left="-360" w:right="3"/>
        <w:rPr>
          <w:lang w:eastAsia="zh-CN"/>
        </w:rPr>
      </w:pPr>
    </w:p>
    <w:p w14:paraId="05B0ECF5" w14:textId="77777777" w:rsidR="00602D4E" w:rsidRPr="003015D9" w:rsidRDefault="00602D4E" w:rsidP="00090295">
      <w:pPr>
        <w:pStyle w:val="MF"/>
        <w:rPr>
          <w:szCs w:val="28"/>
          <w:lang w:eastAsia="zh-TW"/>
        </w:rPr>
      </w:pPr>
    </w:p>
    <w:tbl>
      <w:tblPr>
        <w:tblW w:w="9806" w:type="dxa"/>
        <w:tblLook w:val="04A0" w:firstRow="1" w:lastRow="0" w:firstColumn="1" w:lastColumn="0" w:noHBand="0" w:noVBand="1"/>
      </w:tblPr>
      <w:tblGrid>
        <w:gridCol w:w="1951"/>
        <w:gridCol w:w="345"/>
        <w:gridCol w:w="5042"/>
        <w:gridCol w:w="2468"/>
      </w:tblGrid>
      <w:tr w:rsidR="00090295" w:rsidRPr="00976260" w14:paraId="65940D80" w14:textId="77777777" w:rsidTr="003A2A07">
        <w:trPr>
          <w:trHeight w:val="1008"/>
        </w:trPr>
        <w:tc>
          <w:tcPr>
            <w:tcW w:w="2296" w:type="dxa"/>
            <w:gridSpan w:val="2"/>
            <w:shd w:val="clear" w:color="auto" w:fill="auto"/>
          </w:tcPr>
          <w:p w14:paraId="236DB438" w14:textId="77777777" w:rsidR="00090295" w:rsidRPr="007F76EB" w:rsidRDefault="00090295" w:rsidP="003A2A07">
            <w:pPr>
              <w:spacing w:after="0" w:line="240" w:lineRule="auto"/>
              <w:rPr>
                <w:rFonts w:eastAsia="宋体"/>
                <w:szCs w:val="24"/>
                <w:lang w:val="en-US" w:eastAsia="zh-CN"/>
              </w:rPr>
            </w:pPr>
            <w:r w:rsidRPr="007F76EB">
              <w:rPr>
                <w:rFonts w:eastAsia="宋体"/>
                <w:szCs w:val="24"/>
                <w:lang w:val="en-US" w:eastAsia="zh-CN"/>
              </w:rPr>
              <w:t>Before:</w:t>
            </w:r>
          </w:p>
          <w:p w14:paraId="42A79CCA" w14:textId="77777777" w:rsidR="00090295" w:rsidRPr="00112A99" w:rsidRDefault="00090295" w:rsidP="003A2A07">
            <w:pPr>
              <w:spacing w:after="0" w:line="240" w:lineRule="auto"/>
              <w:rPr>
                <w:rFonts w:eastAsia="宋体"/>
                <w:szCs w:val="22"/>
              </w:rPr>
            </w:pPr>
          </w:p>
          <w:p w14:paraId="3336C00F" w14:textId="77777777" w:rsidR="00090295" w:rsidRPr="00112A99" w:rsidRDefault="00090295" w:rsidP="003A2A07">
            <w:pPr>
              <w:spacing w:after="0" w:line="240" w:lineRule="auto"/>
              <w:rPr>
                <w:rFonts w:eastAsia="宋体"/>
                <w:szCs w:val="22"/>
              </w:rPr>
            </w:pPr>
          </w:p>
          <w:p w14:paraId="5672CEA6" w14:textId="77777777" w:rsidR="00090295" w:rsidRPr="00112A99" w:rsidRDefault="00090295" w:rsidP="003A2A07">
            <w:pPr>
              <w:spacing w:after="0" w:line="240" w:lineRule="auto"/>
              <w:rPr>
                <w:rFonts w:eastAsia="宋体"/>
                <w:szCs w:val="22"/>
              </w:rPr>
            </w:pPr>
          </w:p>
        </w:tc>
        <w:tc>
          <w:tcPr>
            <w:tcW w:w="7510" w:type="dxa"/>
            <w:gridSpan w:val="2"/>
            <w:shd w:val="clear" w:color="auto" w:fill="auto"/>
          </w:tcPr>
          <w:p w14:paraId="5B7F7BC6" w14:textId="77777777" w:rsidR="00602D4E" w:rsidRDefault="00090295" w:rsidP="003A2A07">
            <w:pPr>
              <w:spacing w:after="0" w:line="240" w:lineRule="auto"/>
              <w:jc w:val="both"/>
              <w:rPr>
                <w:rFonts w:eastAsia="宋体"/>
                <w:lang w:val="en-US"/>
              </w:rPr>
            </w:pPr>
            <w:r w:rsidRPr="00112A99">
              <w:rPr>
                <w:rFonts w:eastAsia="宋体"/>
                <w:lang w:val="en-US"/>
              </w:rPr>
              <w:t xml:space="preserve">Chief Justice Cheung, </w:t>
            </w:r>
            <w:proofErr w:type="spellStart"/>
            <w:r w:rsidRPr="00112A99">
              <w:rPr>
                <w:rFonts w:eastAsia="宋体"/>
                <w:lang w:val="en-US"/>
              </w:rPr>
              <w:t>Mr</w:t>
            </w:r>
            <w:proofErr w:type="spellEnd"/>
            <w:r w:rsidRPr="00112A99">
              <w:rPr>
                <w:rFonts w:eastAsia="宋体"/>
                <w:lang w:val="en-US"/>
              </w:rPr>
              <w:t xml:space="preserve"> Justice Ribeiro PJ,</w:t>
            </w:r>
            <w:r>
              <w:rPr>
                <w:rFonts w:eastAsia="宋体"/>
                <w:lang w:val="en-US"/>
              </w:rPr>
              <w:t xml:space="preserve"> </w:t>
            </w:r>
          </w:p>
          <w:p w14:paraId="6D11BA82" w14:textId="77777777" w:rsidR="00602D4E" w:rsidRDefault="00090295" w:rsidP="003A2A07">
            <w:pPr>
              <w:spacing w:after="0" w:line="240" w:lineRule="auto"/>
              <w:jc w:val="both"/>
              <w:rPr>
                <w:rFonts w:eastAsia="宋体"/>
                <w:lang w:val="en-US"/>
              </w:rPr>
            </w:pPr>
            <w:proofErr w:type="spellStart"/>
            <w:r w:rsidRPr="00112A99">
              <w:rPr>
                <w:rFonts w:eastAsia="宋体"/>
                <w:lang w:val="en-US"/>
              </w:rPr>
              <w:t>Mr</w:t>
            </w:r>
            <w:proofErr w:type="spellEnd"/>
            <w:r w:rsidRPr="00112A99">
              <w:rPr>
                <w:rFonts w:eastAsia="宋体"/>
                <w:lang w:val="en-US"/>
              </w:rPr>
              <w:t xml:space="preserve"> Justice </w:t>
            </w:r>
            <w:proofErr w:type="spellStart"/>
            <w:r w:rsidRPr="00112A99">
              <w:rPr>
                <w:rFonts w:eastAsia="宋体"/>
                <w:lang w:val="en-US"/>
              </w:rPr>
              <w:t>Fok</w:t>
            </w:r>
            <w:proofErr w:type="spellEnd"/>
            <w:r w:rsidRPr="00112A99">
              <w:rPr>
                <w:rFonts w:eastAsia="宋体"/>
                <w:lang w:val="en-US"/>
              </w:rPr>
              <w:t xml:space="preserve"> PJ, </w:t>
            </w:r>
            <w:proofErr w:type="spellStart"/>
            <w:r w:rsidRPr="00A20C42">
              <w:rPr>
                <w:rFonts w:eastAsia="宋体"/>
                <w:lang w:val="en-US"/>
              </w:rPr>
              <w:t>Mr</w:t>
            </w:r>
            <w:proofErr w:type="spellEnd"/>
            <w:r w:rsidRPr="00A20C42">
              <w:rPr>
                <w:rFonts w:eastAsia="宋体"/>
                <w:lang w:val="en-US"/>
              </w:rPr>
              <w:t xml:space="preserve"> Justice </w:t>
            </w:r>
            <w:r>
              <w:rPr>
                <w:rFonts w:eastAsia="宋体"/>
                <w:lang w:val="en-US"/>
              </w:rPr>
              <w:t xml:space="preserve">Lam </w:t>
            </w:r>
            <w:r w:rsidRPr="00A20C42">
              <w:rPr>
                <w:rFonts w:eastAsia="宋体"/>
                <w:lang w:val="en-US"/>
              </w:rPr>
              <w:t>PJ</w:t>
            </w:r>
            <w:r w:rsidRPr="00112A99">
              <w:rPr>
                <w:rFonts w:eastAsia="宋体"/>
                <w:lang w:val="en-US"/>
              </w:rPr>
              <w:t xml:space="preserve"> and</w:t>
            </w:r>
            <w:r w:rsidRPr="00893846">
              <w:rPr>
                <w:rFonts w:eastAsia="宋体"/>
                <w:lang w:val="en-US"/>
              </w:rPr>
              <w:t xml:space="preserve"> </w:t>
            </w:r>
          </w:p>
          <w:p w14:paraId="0D6E8FEC" w14:textId="75AC464C" w:rsidR="00090295" w:rsidRPr="00112A99" w:rsidRDefault="00090295" w:rsidP="003A2A07">
            <w:pPr>
              <w:spacing w:after="0" w:line="240" w:lineRule="auto"/>
              <w:jc w:val="both"/>
              <w:rPr>
                <w:rFonts w:eastAsia="宋体"/>
                <w:lang w:eastAsia="zh-CN"/>
              </w:rPr>
            </w:pPr>
            <w:proofErr w:type="spellStart"/>
            <w:r w:rsidRPr="00A93065">
              <w:rPr>
                <w:rFonts w:eastAsia="宋体"/>
                <w:lang w:val="en-US"/>
              </w:rPr>
              <w:t>Mr</w:t>
            </w:r>
            <w:proofErr w:type="spellEnd"/>
            <w:r w:rsidRPr="00A93065">
              <w:rPr>
                <w:rFonts w:eastAsia="宋体"/>
                <w:lang w:val="en-US"/>
              </w:rPr>
              <w:t xml:space="preserve"> Justice </w:t>
            </w:r>
            <w:proofErr w:type="spellStart"/>
            <w:r w:rsidRPr="00A93065">
              <w:rPr>
                <w:rFonts w:eastAsia="宋体"/>
                <w:lang w:val="en-US"/>
              </w:rPr>
              <w:t>Gummow</w:t>
            </w:r>
            <w:proofErr w:type="spellEnd"/>
            <w:r w:rsidRPr="00A93065">
              <w:rPr>
                <w:rFonts w:eastAsia="宋体"/>
                <w:lang w:val="en-US"/>
              </w:rPr>
              <w:t xml:space="preserve"> NPJ</w:t>
            </w:r>
          </w:p>
        </w:tc>
      </w:tr>
      <w:tr w:rsidR="00090295" w:rsidRPr="004D4BFE" w14:paraId="0ED459E0" w14:textId="77777777" w:rsidTr="003A2A07">
        <w:trPr>
          <w:trHeight w:val="1008"/>
        </w:trPr>
        <w:tc>
          <w:tcPr>
            <w:tcW w:w="2296" w:type="dxa"/>
            <w:gridSpan w:val="2"/>
            <w:shd w:val="clear" w:color="auto" w:fill="auto"/>
          </w:tcPr>
          <w:p w14:paraId="7BD6CD40" w14:textId="77777777" w:rsidR="00090295" w:rsidRPr="00112A99" w:rsidRDefault="00090295" w:rsidP="003A2A07">
            <w:pPr>
              <w:spacing w:after="0" w:line="240" w:lineRule="auto"/>
              <w:rPr>
                <w:rFonts w:eastAsia="宋体"/>
                <w:szCs w:val="22"/>
              </w:rPr>
            </w:pPr>
            <w:r w:rsidRPr="007F76EB">
              <w:rPr>
                <w:rFonts w:eastAsia="宋体"/>
                <w:szCs w:val="24"/>
                <w:lang w:val="en-US" w:eastAsia="zh-CN"/>
              </w:rPr>
              <w:t>Date of Judgment:</w:t>
            </w:r>
          </w:p>
        </w:tc>
        <w:tc>
          <w:tcPr>
            <w:tcW w:w="7510" w:type="dxa"/>
            <w:gridSpan w:val="2"/>
            <w:shd w:val="clear" w:color="auto" w:fill="auto"/>
          </w:tcPr>
          <w:p w14:paraId="7A8D03B6" w14:textId="54A1C88D" w:rsidR="00090295" w:rsidRPr="00112A99" w:rsidRDefault="007A7252" w:rsidP="007A7252">
            <w:pPr>
              <w:pStyle w:val="coram"/>
              <w:tabs>
                <w:tab w:val="left" w:pos="3261"/>
              </w:tabs>
              <w:ind w:left="3261" w:right="-327" w:hanging="3261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5 August </w:t>
            </w:r>
            <w:r w:rsidR="00090295">
              <w:rPr>
                <w:rFonts w:eastAsia="宋体"/>
                <w:lang w:eastAsia="zh-CN"/>
              </w:rPr>
              <w:t>2024</w:t>
            </w:r>
          </w:p>
        </w:tc>
      </w:tr>
      <w:tr w:rsidR="00090295" w:rsidRPr="00D66118" w14:paraId="02E619E0" w14:textId="77777777" w:rsidTr="00602D4E">
        <w:tblPrEx>
          <w:tblBorders>
            <w:top w:val="single" w:sz="4" w:space="0" w:color="auto"/>
            <w:bottom w:val="single" w:sz="4" w:space="0" w:color="auto"/>
          </w:tblBorders>
        </w:tblPrEx>
        <w:trPr>
          <w:gridBefore w:val="1"/>
          <w:gridAfter w:val="1"/>
          <w:wBefore w:w="1951" w:type="dxa"/>
          <w:wAfter w:w="2468" w:type="dxa"/>
          <w:trHeight w:val="595"/>
        </w:trPr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8AA7D" w14:textId="77777777" w:rsidR="00090295" w:rsidRDefault="00090295" w:rsidP="003A2A07">
            <w:pPr>
              <w:spacing w:after="0" w:line="240" w:lineRule="auto"/>
              <w:ind w:left="-102" w:right="-113" w:hanging="8"/>
              <w:jc w:val="center"/>
              <w:rPr>
                <w:b/>
                <w:bCs/>
                <w:spacing w:val="60"/>
              </w:rPr>
            </w:pPr>
            <w:r w:rsidRPr="008B0CD0">
              <w:rPr>
                <w:rFonts w:hint="eastAsia"/>
              </w:rPr>
              <w:tab/>
            </w:r>
            <w:r w:rsidRPr="008B0CD0">
              <w:rPr>
                <w:rFonts w:hint="eastAsia"/>
              </w:rPr>
              <w:tab/>
            </w:r>
            <w:r w:rsidRPr="008B0CD0">
              <w:rPr>
                <w:rFonts w:hint="eastAsia"/>
              </w:rPr>
              <w:tab/>
            </w:r>
            <w:r w:rsidRPr="008B0CD0">
              <w:rPr>
                <w:rFonts w:hint="eastAsia"/>
              </w:rPr>
              <w:tab/>
            </w:r>
          </w:p>
          <w:p w14:paraId="2D013529" w14:textId="77777777" w:rsidR="00090295" w:rsidRDefault="00090295" w:rsidP="003A2A07">
            <w:pPr>
              <w:spacing w:after="0" w:line="240" w:lineRule="auto"/>
              <w:ind w:left="-110" w:right="-113"/>
              <w:jc w:val="center"/>
              <w:rPr>
                <w:b/>
                <w:bCs/>
                <w:spacing w:val="60"/>
              </w:rPr>
            </w:pPr>
            <w:r w:rsidRPr="00612B37">
              <w:rPr>
                <w:b/>
                <w:bCs/>
                <w:spacing w:val="60"/>
              </w:rPr>
              <w:t>JUDGMENT</w:t>
            </w:r>
            <w:r>
              <w:rPr>
                <w:b/>
                <w:bCs/>
                <w:spacing w:val="60"/>
              </w:rPr>
              <w:t xml:space="preserve"> ON COSTS</w:t>
            </w:r>
          </w:p>
          <w:p w14:paraId="22611EC4" w14:textId="77777777" w:rsidR="00090295" w:rsidRPr="00A837CA" w:rsidRDefault="00090295" w:rsidP="003A2A07">
            <w:pPr>
              <w:spacing w:after="0" w:line="240" w:lineRule="auto"/>
              <w:ind w:left="-110" w:right="-113"/>
              <w:jc w:val="center"/>
              <w:rPr>
                <w:b/>
              </w:rPr>
            </w:pPr>
          </w:p>
        </w:tc>
      </w:tr>
    </w:tbl>
    <w:p w14:paraId="507B6397" w14:textId="77777777" w:rsidR="00090295" w:rsidRDefault="00090295" w:rsidP="00090295">
      <w:pPr>
        <w:pStyle w:val="BodyTextIndent"/>
        <w:tabs>
          <w:tab w:val="left" w:pos="0"/>
          <w:tab w:val="left" w:pos="540"/>
        </w:tabs>
        <w:ind w:left="0" w:right="118" w:firstLine="0"/>
        <w:rPr>
          <w:sz w:val="28"/>
          <w:szCs w:val="28"/>
        </w:rPr>
      </w:pPr>
    </w:p>
    <w:p w14:paraId="678D6728" w14:textId="77777777" w:rsidR="00090295" w:rsidRDefault="00090295" w:rsidP="00363008">
      <w:pPr>
        <w:pStyle w:val="Bob1"/>
        <w:numPr>
          <w:ilvl w:val="0"/>
          <w:numId w:val="0"/>
        </w:numPr>
        <w:ind w:left="720" w:hanging="720"/>
        <w:rPr>
          <w:b/>
        </w:rPr>
      </w:pPr>
    </w:p>
    <w:p w14:paraId="24A5A322" w14:textId="50CD1AE3" w:rsidR="00497FF4" w:rsidRPr="00090295" w:rsidRDefault="003F7FCA" w:rsidP="00363008">
      <w:pPr>
        <w:pStyle w:val="Bob1"/>
        <w:numPr>
          <w:ilvl w:val="0"/>
          <w:numId w:val="0"/>
        </w:numPr>
        <w:ind w:left="720" w:hanging="720"/>
        <w:rPr>
          <w:b/>
        </w:rPr>
      </w:pPr>
      <w:r w:rsidRPr="00090295">
        <w:rPr>
          <w:b/>
        </w:rPr>
        <w:t>Mr Justice Ribeiro PJ:</w:t>
      </w:r>
    </w:p>
    <w:p w14:paraId="6208280D" w14:textId="7AA4B23C" w:rsidR="00363008" w:rsidRDefault="003F7FCA" w:rsidP="00090295">
      <w:pPr>
        <w:pStyle w:val="Bob1"/>
        <w:tabs>
          <w:tab w:val="clear" w:pos="720"/>
          <w:tab w:val="left" w:pos="1440"/>
        </w:tabs>
        <w:ind w:left="0" w:firstLine="0"/>
        <w:jc w:val="both"/>
      </w:pPr>
      <w:r>
        <w:t xml:space="preserve">This is the Court’s judgment on costs.  </w:t>
      </w:r>
      <w:r w:rsidR="0085457D">
        <w:t>On 14 June 2024</w:t>
      </w:r>
      <w:r w:rsidR="00363008" w:rsidRPr="00363008">
        <w:t>, the Court unanimously allow</w:t>
      </w:r>
      <w:r w:rsidR="008A27B1">
        <w:t>ed</w:t>
      </w:r>
      <w:r w:rsidR="00363008" w:rsidRPr="00363008">
        <w:t xml:space="preserve"> the appeals and discharg</w:t>
      </w:r>
      <w:r w:rsidR="008A27B1">
        <w:t>ed</w:t>
      </w:r>
      <w:r w:rsidR="00363008" w:rsidRPr="00363008">
        <w:t xml:space="preserve"> the garnishee order made in favour of the respondent</w:t>
      </w:r>
      <w:r w:rsidR="00363008">
        <w:t>.</w:t>
      </w:r>
      <w:r w:rsidR="006A72F7">
        <w:rPr>
          <w:rStyle w:val="FootnoteReference"/>
        </w:rPr>
        <w:footnoteReference w:id="1"/>
      </w:r>
      <w:r w:rsidR="00363008">
        <w:t xml:space="preserve">  The parties were given liberty to lodge written submissions on costs within 14 days of the judgment</w:t>
      </w:r>
      <w:r w:rsidR="008A27B1">
        <w:t>,</w:t>
      </w:r>
      <w:r w:rsidR="00363008">
        <w:t xml:space="preserve"> to be dealt with on the papers.</w:t>
      </w:r>
    </w:p>
    <w:p w14:paraId="5845142A" w14:textId="7BBA5B0A" w:rsidR="00363008" w:rsidRDefault="00363008" w:rsidP="00090295">
      <w:pPr>
        <w:pStyle w:val="Bob1"/>
        <w:tabs>
          <w:tab w:val="clear" w:pos="720"/>
          <w:tab w:val="left" w:pos="1440"/>
        </w:tabs>
        <w:ind w:left="0" w:firstLine="0"/>
        <w:jc w:val="both"/>
      </w:pPr>
      <w:r>
        <w:t xml:space="preserve">The </w:t>
      </w:r>
      <w:r w:rsidR="001042F3">
        <w:t>1</w:t>
      </w:r>
      <w:r w:rsidR="001042F3" w:rsidRPr="00090295">
        <w:rPr>
          <w:vertAlign w:val="superscript"/>
        </w:rPr>
        <w:t>st</w:t>
      </w:r>
      <w:r w:rsidR="001042F3">
        <w:t xml:space="preserve"> </w:t>
      </w:r>
      <w:r w:rsidR="0085457D">
        <w:t>appellant</w:t>
      </w:r>
      <w:r w:rsidR="001042F3">
        <w:t>, SPV1,</w:t>
      </w:r>
      <w:r>
        <w:t xml:space="preserve"> </w:t>
      </w:r>
      <w:r w:rsidR="001042F3">
        <w:t>and the Intervener, the Ad Hoc Committee (together “the appellants”)</w:t>
      </w:r>
      <w:r w:rsidR="00042394">
        <w:t>,</w:t>
      </w:r>
      <w:r w:rsidR="001042F3">
        <w:t xml:space="preserve"> </w:t>
      </w:r>
      <w:r>
        <w:t>lodged</w:t>
      </w:r>
      <w:r w:rsidRPr="00363008">
        <w:t xml:space="preserve"> </w:t>
      </w:r>
      <w:r w:rsidR="006A72F7">
        <w:t>a joint</w:t>
      </w:r>
      <w:r>
        <w:t xml:space="preserve"> submission</w:t>
      </w:r>
      <w:r w:rsidR="003F7FCA">
        <w:t xml:space="preserve"> dated 28 June 2024</w:t>
      </w:r>
      <w:r w:rsidR="008A27B1">
        <w:t xml:space="preserve">. </w:t>
      </w:r>
      <w:r>
        <w:t xml:space="preserve"> </w:t>
      </w:r>
      <w:r w:rsidR="008A27B1">
        <w:t>N</w:t>
      </w:r>
      <w:r>
        <w:t>o</w:t>
      </w:r>
      <w:r w:rsidR="001042F3">
        <w:t xml:space="preserve"> submissions have</w:t>
      </w:r>
      <w:r w:rsidR="006A72F7">
        <w:t xml:space="preserve"> </w:t>
      </w:r>
      <w:r>
        <w:t xml:space="preserve">been </w:t>
      </w:r>
      <w:r w:rsidR="008215F8">
        <w:t xml:space="preserve">received from </w:t>
      </w:r>
      <w:r>
        <w:t>the respondent</w:t>
      </w:r>
      <w:r w:rsidR="008A27B1">
        <w:t>, China Life Trustees Ltd</w:t>
      </w:r>
      <w:r>
        <w:t xml:space="preserve">.  As the time limit for such submissions has well passed, we </w:t>
      </w:r>
      <w:r w:rsidR="00042394">
        <w:t xml:space="preserve">now </w:t>
      </w:r>
      <w:r w:rsidR="00516104">
        <w:t>hand down our judgment on costs.</w:t>
      </w:r>
    </w:p>
    <w:p w14:paraId="6DAA3C38" w14:textId="55F01509" w:rsidR="008215F8" w:rsidRDefault="008215F8" w:rsidP="00090295">
      <w:pPr>
        <w:pStyle w:val="Bob1"/>
        <w:tabs>
          <w:tab w:val="clear" w:pos="720"/>
          <w:tab w:val="left" w:pos="1440"/>
        </w:tabs>
        <w:ind w:left="0" w:firstLine="0"/>
        <w:jc w:val="both"/>
      </w:pPr>
      <w:r>
        <w:t xml:space="preserve">Costs should plainly follow the event and the respondent should in principle pay the costs here and below. </w:t>
      </w:r>
      <w:r w:rsidR="008A27B1">
        <w:t xml:space="preserve"> </w:t>
      </w:r>
      <w:r>
        <w:t xml:space="preserve">The appellants, however, </w:t>
      </w:r>
      <w:r w:rsidR="00C22E13">
        <w:t xml:space="preserve">have </w:t>
      </w:r>
      <w:r>
        <w:t xml:space="preserve">fairly drawn attention to two issues that might be </w:t>
      </w:r>
      <w:r w:rsidR="008A27B1">
        <w:t xml:space="preserve">considered </w:t>
      </w:r>
      <w:r w:rsidR="00042394">
        <w:t xml:space="preserve">potentially </w:t>
      </w:r>
      <w:r w:rsidR="008A27B1">
        <w:t xml:space="preserve">to limit </w:t>
      </w:r>
      <w:r>
        <w:t xml:space="preserve">the </w:t>
      </w:r>
      <w:r w:rsidR="00C22E13">
        <w:t>scope</w:t>
      </w:r>
      <w:r>
        <w:t xml:space="preserve"> of </w:t>
      </w:r>
      <w:r w:rsidR="00C22E13">
        <w:t xml:space="preserve">the </w:t>
      </w:r>
      <w:r>
        <w:t>costs awarded.</w:t>
      </w:r>
    </w:p>
    <w:p w14:paraId="28EC2467" w14:textId="2CE8BD0E" w:rsidR="008215F8" w:rsidRDefault="00BC4769" w:rsidP="00090295">
      <w:pPr>
        <w:pStyle w:val="Bob1"/>
        <w:tabs>
          <w:tab w:val="clear" w:pos="720"/>
          <w:tab w:val="left" w:pos="1440"/>
        </w:tabs>
        <w:ind w:left="0" w:firstLine="0"/>
        <w:jc w:val="both"/>
      </w:pPr>
      <w:r>
        <w:lastRenderedPageBreak/>
        <w:t>The f</w:t>
      </w:r>
      <w:r w:rsidR="008215F8">
        <w:t xml:space="preserve">irst is whether costs should be awarded </w:t>
      </w:r>
      <w:r w:rsidR="00C22E13">
        <w:t xml:space="preserve">in favour of </w:t>
      </w:r>
      <w:r w:rsidR="008215F8">
        <w:t xml:space="preserve">both SPV1 and the Ad Hoc Committee.  In our view, the answer is plainly “Yes”.  As </w:t>
      </w:r>
      <w:r w:rsidR="00C22E13">
        <w:t>pointed out in the judgment,</w:t>
      </w:r>
      <w:r w:rsidR="00C22E13">
        <w:rPr>
          <w:rStyle w:val="FootnoteReference"/>
        </w:rPr>
        <w:footnoteReference w:id="2"/>
      </w:r>
      <w:r w:rsidR="00C22E13">
        <w:t xml:space="preserve"> </w:t>
      </w:r>
      <w:r w:rsidR="008215F8">
        <w:t>the</w:t>
      </w:r>
      <w:r w:rsidR="00C22E13">
        <w:t xml:space="preserve"> appeals concerned competing claims between </w:t>
      </w:r>
      <w:r w:rsidR="008A27B1">
        <w:t xml:space="preserve">different </w:t>
      </w:r>
      <w:r w:rsidR="00C22E13">
        <w:t xml:space="preserve">creditors to the sum garnisheed by the respondent.  </w:t>
      </w:r>
      <w:r w:rsidR="005B03EC">
        <w:t>The Ad Hoc Committee</w:t>
      </w:r>
      <w:r w:rsidR="00042394">
        <w:t>’s locus</w:t>
      </w:r>
      <w:r w:rsidR="005B03EC">
        <w:t xml:space="preserve"> to intervene was accepted by Au-Yeung J.</w:t>
      </w:r>
      <w:r w:rsidR="005B03EC">
        <w:rPr>
          <w:rStyle w:val="FootnoteReference"/>
        </w:rPr>
        <w:footnoteReference w:id="3"/>
      </w:r>
      <w:r w:rsidR="005B03EC">
        <w:t xml:space="preserve">  </w:t>
      </w:r>
      <w:r w:rsidR="008A27B1">
        <w:t xml:space="preserve">SPV1 </w:t>
      </w:r>
      <w:r w:rsidR="00C22E13">
        <w:t xml:space="preserve">and </w:t>
      </w:r>
      <w:r w:rsidR="008A27B1">
        <w:t xml:space="preserve">the Intervener </w:t>
      </w:r>
      <w:r w:rsidR="00C22E13">
        <w:t>plainly each had a</w:t>
      </w:r>
      <w:r w:rsidR="008A27B1">
        <w:t>n</w:t>
      </w:r>
      <w:r w:rsidR="00C22E13">
        <w:t xml:space="preserve"> interest in resisting the respondent’s attempted </w:t>
      </w:r>
      <w:r w:rsidR="00042394">
        <w:t xml:space="preserve">seizure of </w:t>
      </w:r>
      <w:r w:rsidR="00C22E13">
        <w:t>those funds.  Given the financially distressed state of the Group, it was legitimate for the</w:t>
      </w:r>
      <w:r w:rsidR="005B03EC">
        <w:t xml:space="preserve"> Intervener to be separately represented in the litigation.  And as the appellants point out, </w:t>
      </w:r>
      <w:r w:rsidR="008A27B1">
        <w:t xml:space="preserve">in the Courts </w:t>
      </w:r>
      <w:r w:rsidR="005B03EC">
        <w:t xml:space="preserve">below, </w:t>
      </w:r>
      <w:r w:rsidR="00042394">
        <w:t>the respondent</w:t>
      </w:r>
      <w:r w:rsidR="005B03EC">
        <w:t xml:space="preserve"> </w:t>
      </w:r>
      <w:r w:rsidR="008A27B1">
        <w:t xml:space="preserve">had </w:t>
      </w:r>
      <w:r w:rsidR="005B03EC">
        <w:t>obtained costs orders against both SPV1 and the Intervener.</w:t>
      </w:r>
    </w:p>
    <w:p w14:paraId="497ED64F" w14:textId="3EDF5186" w:rsidR="005B03EC" w:rsidRDefault="005B03EC" w:rsidP="00090295">
      <w:pPr>
        <w:pStyle w:val="Bob1"/>
        <w:tabs>
          <w:tab w:val="clear" w:pos="720"/>
          <w:tab w:val="left" w:pos="1440"/>
        </w:tabs>
        <w:ind w:left="0" w:firstLine="0"/>
        <w:jc w:val="both"/>
      </w:pPr>
      <w:r>
        <w:t xml:space="preserve">The second issue mentioned by the appellants is whether any adjustment to the costs order should be made to reflect the fact that </w:t>
      </w:r>
      <w:r w:rsidR="00EC2538">
        <w:t xml:space="preserve">while it had filed evidence, </w:t>
      </w:r>
      <w:r>
        <w:t xml:space="preserve">SPV1 </w:t>
      </w:r>
      <w:r w:rsidR="001042F3">
        <w:t xml:space="preserve">was not represented and </w:t>
      </w:r>
      <w:r>
        <w:t>did not appear at the hearing</w:t>
      </w:r>
      <w:r w:rsidR="00EC2538">
        <w:t xml:space="preserve"> before Au-Yeung J</w:t>
      </w:r>
      <w:r>
        <w:t>.</w:t>
      </w:r>
      <w:r w:rsidR="00EC2538">
        <w:t xml:space="preserve">  However, SPV1 did </w:t>
      </w:r>
      <w:r w:rsidR="001042F3">
        <w:t xml:space="preserve">in fact appear and </w:t>
      </w:r>
      <w:r w:rsidR="00EC2538">
        <w:t>instruct</w:t>
      </w:r>
      <w:r w:rsidR="00042394">
        <w:t>ed</w:t>
      </w:r>
      <w:r w:rsidR="00EC2538">
        <w:t xml:space="preserve"> separate counsel in the Court of Appeal.</w:t>
      </w:r>
      <w:r w:rsidR="00EC2538">
        <w:rPr>
          <w:rStyle w:val="FootnoteReference"/>
        </w:rPr>
        <w:footnoteReference w:id="4"/>
      </w:r>
      <w:r w:rsidR="00EC2538">
        <w:t xml:space="preserve">  It also appeared (represented by </w:t>
      </w:r>
      <w:r w:rsidR="008A27B1">
        <w:t xml:space="preserve">overlapping teams of </w:t>
      </w:r>
      <w:r w:rsidR="00EC2538">
        <w:t xml:space="preserve">counsel representing </w:t>
      </w:r>
      <w:r w:rsidR="008A27B1">
        <w:t>SPV1 and the Intervener</w:t>
      </w:r>
      <w:r w:rsidR="00EC2538">
        <w:t>) in this Court.  In the circumstances</w:t>
      </w:r>
      <w:r w:rsidR="008A27B1">
        <w:t>,</w:t>
      </w:r>
      <w:r w:rsidR="00EC2538">
        <w:t xml:space="preserve"> there is no reason in principle to deprive SPV1 of any of </w:t>
      </w:r>
      <w:r w:rsidR="001042F3">
        <w:t xml:space="preserve">its </w:t>
      </w:r>
      <w:r w:rsidR="00EC2538">
        <w:t>costs</w:t>
      </w:r>
      <w:r w:rsidR="001042F3">
        <w:t xml:space="preserve">, including such costs </w:t>
      </w:r>
      <w:r w:rsidR="008A27B1">
        <w:t xml:space="preserve">(likely to be slight) </w:t>
      </w:r>
      <w:r w:rsidR="001042F3">
        <w:t xml:space="preserve">occasioned by the proceedings at first instance.  The reasonableness of costs </w:t>
      </w:r>
      <w:r w:rsidR="00AB1707">
        <w:t xml:space="preserve">incurred </w:t>
      </w:r>
      <w:r w:rsidR="001042F3">
        <w:t>will obviously be subject to taxation.</w:t>
      </w:r>
    </w:p>
    <w:p w14:paraId="3937D667" w14:textId="5A54691D" w:rsidR="001042F3" w:rsidRDefault="001042F3" w:rsidP="00090295">
      <w:pPr>
        <w:pStyle w:val="Bob1"/>
        <w:tabs>
          <w:tab w:val="clear" w:pos="720"/>
          <w:tab w:val="left" w:pos="1440"/>
        </w:tabs>
        <w:ind w:left="0" w:firstLine="0"/>
        <w:jc w:val="both"/>
      </w:pPr>
      <w:r>
        <w:t>Accordingly, we make the following orders as to costs, namely:</w:t>
      </w:r>
    </w:p>
    <w:p w14:paraId="16018079" w14:textId="27690CF5" w:rsidR="00AB1707" w:rsidRDefault="00AB1707" w:rsidP="00090295">
      <w:pPr>
        <w:pStyle w:val="Bob1"/>
        <w:numPr>
          <w:ilvl w:val="1"/>
          <w:numId w:val="11"/>
        </w:numPr>
        <w:jc w:val="both"/>
      </w:pPr>
      <w:r>
        <w:t>That all orders as to costs adverse to the appellants made in the Courts below be set aside;</w:t>
      </w:r>
    </w:p>
    <w:p w14:paraId="28E6E3E5" w14:textId="0397BF21" w:rsidR="001042F3" w:rsidRDefault="001042F3" w:rsidP="00090295">
      <w:pPr>
        <w:pStyle w:val="Bob1"/>
        <w:numPr>
          <w:ilvl w:val="1"/>
          <w:numId w:val="11"/>
        </w:numPr>
        <w:jc w:val="both"/>
      </w:pPr>
      <w:r>
        <w:lastRenderedPageBreak/>
        <w:t xml:space="preserve">That the respondent do pay </w:t>
      </w:r>
      <w:r w:rsidR="00AB1707">
        <w:t xml:space="preserve">to </w:t>
      </w:r>
      <w:r>
        <w:t xml:space="preserve">the </w:t>
      </w:r>
      <w:r w:rsidR="00AB1707">
        <w:t xml:space="preserve">appellants their </w:t>
      </w:r>
      <w:r>
        <w:t>costs of and occasioned by this appeal</w:t>
      </w:r>
      <w:r w:rsidR="00042394">
        <w:t xml:space="preserve"> certified fit</w:t>
      </w:r>
      <w:r>
        <w:t xml:space="preserve"> for three counsel; </w:t>
      </w:r>
    </w:p>
    <w:p w14:paraId="079C2A05" w14:textId="45E0E3C7" w:rsidR="001042F3" w:rsidRDefault="001042F3" w:rsidP="00090295">
      <w:pPr>
        <w:pStyle w:val="Bob1"/>
        <w:numPr>
          <w:ilvl w:val="1"/>
          <w:numId w:val="11"/>
        </w:numPr>
        <w:jc w:val="both"/>
      </w:pPr>
      <w:r>
        <w:t xml:space="preserve">That the respondent do pay </w:t>
      </w:r>
      <w:r w:rsidR="00AB1707">
        <w:t xml:space="preserve">to </w:t>
      </w:r>
      <w:r>
        <w:t>the appellants</w:t>
      </w:r>
      <w:r w:rsidR="00AB1707">
        <w:t xml:space="preserve"> their</w:t>
      </w:r>
      <w:r>
        <w:t xml:space="preserve"> costs of and occasioned by the </w:t>
      </w:r>
      <w:r w:rsidR="00042394">
        <w:t xml:space="preserve">appeal </w:t>
      </w:r>
      <w:r>
        <w:t>in the Court of Appeal, certified fit for two counsel;</w:t>
      </w:r>
    </w:p>
    <w:p w14:paraId="6739C1EE" w14:textId="54E136EF" w:rsidR="00AB1707" w:rsidRDefault="001042F3" w:rsidP="00090295">
      <w:pPr>
        <w:pStyle w:val="Bob1"/>
        <w:numPr>
          <w:ilvl w:val="1"/>
          <w:numId w:val="11"/>
        </w:numPr>
        <w:jc w:val="both"/>
      </w:pPr>
      <w:r>
        <w:t xml:space="preserve">That the respondent do pay </w:t>
      </w:r>
      <w:r w:rsidR="00AB1707">
        <w:t xml:space="preserve">to the Intervener their </w:t>
      </w:r>
      <w:r>
        <w:t xml:space="preserve">costs </w:t>
      </w:r>
      <w:r w:rsidR="00AB1707">
        <w:t>of and occasioned by the proceedings at first instance, certified fit for two counsel; and</w:t>
      </w:r>
    </w:p>
    <w:p w14:paraId="43A7192A" w14:textId="3FCB9BB4" w:rsidR="001042F3" w:rsidRDefault="00AB1707" w:rsidP="00090295">
      <w:pPr>
        <w:pStyle w:val="Bob1"/>
        <w:numPr>
          <w:ilvl w:val="1"/>
          <w:numId w:val="11"/>
        </w:numPr>
        <w:jc w:val="both"/>
      </w:pPr>
      <w:r>
        <w:t>That the respondent do pay to the 1</w:t>
      </w:r>
      <w:r w:rsidRPr="00AB1707">
        <w:rPr>
          <w:vertAlign w:val="superscript"/>
        </w:rPr>
        <w:t>st</w:t>
      </w:r>
      <w:r>
        <w:t xml:space="preserve"> appellant its costs of and occasioned by the proceedings at first instance.</w:t>
      </w:r>
    </w:p>
    <w:p w14:paraId="012125E8" w14:textId="325ED07F" w:rsidR="00090295" w:rsidRDefault="00090295" w:rsidP="00090295">
      <w:pPr>
        <w:pStyle w:val="Bob1"/>
        <w:numPr>
          <w:ilvl w:val="0"/>
          <w:numId w:val="0"/>
        </w:numPr>
        <w:ind w:left="1440"/>
      </w:pPr>
    </w:p>
    <w:p w14:paraId="7A715B45" w14:textId="5F43441E" w:rsidR="00090295" w:rsidRDefault="00090295" w:rsidP="00090295">
      <w:pPr>
        <w:pStyle w:val="Bob1"/>
        <w:numPr>
          <w:ilvl w:val="0"/>
          <w:numId w:val="0"/>
        </w:numPr>
        <w:ind w:left="1440"/>
      </w:pPr>
    </w:p>
    <w:p w14:paraId="799EDBEA" w14:textId="77777777" w:rsidR="00090295" w:rsidRDefault="00090295" w:rsidP="00090295">
      <w:pPr>
        <w:tabs>
          <w:tab w:val="left" w:pos="1440"/>
        </w:tabs>
        <w:snapToGrid w:val="0"/>
        <w:spacing w:before="200" w:after="0" w:line="360" w:lineRule="auto"/>
        <w:ind w:right="677"/>
        <w:jc w:val="both"/>
        <w:rPr>
          <w:color w:val="00000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905"/>
        <w:gridCol w:w="2909"/>
        <w:gridCol w:w="2909"/>
      </w:tblGrid>
      <w:tr w:rsidR="00090295" w:rsidRPr="00712F56" w14:paraId="67DD5E66" w14:textId="77777777" w:rsidTr="003A2A07">
        <w:trPr>
          <w:jc w:val="center"/>
        </w:trPr>
        <w:tc>
          <w:tcPr>
            <w:tcW w:w="2905" w:type="dxa"/>
          </w:tcPr>
          <w:p w14:paraId="5E67A6F4" w14:textId="77777777" w:rsidR="00090295" w:rsidRPr="001E28F6" w:rsidRDefault="00090295" w:rsidP="003A2A07">
            <w:pPr>
              <w:spacing w:after="0" w:line="240" w:lineRule="auto"/>
              <w:jc w:val="center"/>
              <w:rPr>
                <w:rFonts w:eastAsia="宋体"/>
                <w:szCs w:val="24"/>
                <w:lang w:val="en-US"/>
              </w:rPr>
            </w:pPr>
            <w:r w:rsidRPr="001E28F6">
              <w:rPr>
                <w:rFonts w:eastAsia="宋体" w:hint="eastAsia"/>
                <w:szCs w:val="24"/>
                <w:lang w:val="en-US"/>
              </w:rPr>
              <w:t>(</w:t>
            </w:r>
            <w:r w:rsidRPr="001E28F6">
              <w:rPr>
                <w:rFonts w:eastAsia="等线"/>
                <w:color w:val="000000"/>
                <w:lang w:eastAsia="zh-CN"/>
              </w:rPr>
              <w:t>Andrew Cheung</w:t>
            </w:r>
            <w:r w:rsidRPr="001E28F6">
              <w:rPr>
                <w:rFonts w:eastAsia="宋体" w:hint="eastAsia"/>
                <w:szCs w:val="24"/>
                <w:lang w:val="en-US"/>
              </w:rPr>
              <w:t>)</w:t>
            </w:r>
          </w:p>
          <w:p w14:paraId="497CBDB9" w14:textId="77777777" w:rsidR="00090295" w:rsidRPr="001E28F6" w:rsidRDefault="00090295" w:rsidP="003A2A07">
            <w:pPr>
              <w:tabs>
                <w:tab w:val="left" w:pos="6660"/>
              </w:tabs>
              <w:spacing w:after="0" w:line="240" w:lineRule="auto"/>
              <w:jc w:val="center"/>
              <w:rPr>
                <w:rFonts w:eastAsia="宋体"/>
                <w:szCs w:val="24"/>
                <w:lang w:val="en-US"/>
              </w:rPr>
            </w:pPr>
            <w:r w:rsidRPr="001E28F6">
              <w:rPr>
                <w:rFonts w:eastAsia="宋体" w:hint="eastAsia"/>
                <w:szCs w:val="24"/>
                <w:lang w:val="en-US"/>
              </w:rPr>
              <w:t>Chief Justice</w:t>
            </w:r>
          </w:p>
        </w:tc>
        <w:tc>
          <w:tcPr>
            <w:tcW w:w="2909" w:type="dxa"/>
          </w:tcPr>
          <w:p w14:paraId="51874F4D" w14:textId="77777777" w:rsidR="00090295" w:rsidRPr="001E28F6" w:rsidRDefault="00090295" w:rsidP="003A2A07">
            <w:pPr>
              <w:tabs>
                <w:tab w:val="left" w:pos="6660"/>
              </w:tabs>
              <w:spacing w:after="0" w:line="240" w:lineRule="auto"/>
              <w:jc w:val="center"/>
              <w:rPr>
                <w:rFonts w:eastAsia="宋体"/>
                <w:szCs w:val="24"/>
                <w:lang w:val="en-US"/>
              </w:rPr>
            </w:pPr>
            <w:r w:rsidRPr="001E28F6">
              <w:rPr>
                <w:rFonts w:eastAsia="宋体" w:hint="eastAsia"/>
                <w:szCs w:val="24"/>
                <w:lang w:val="en-US"/>
              </w:rPr>
              <w:t>(</w:t>
            </w:r>
            <w:r w:rsidRPr="001E28F6">
              <w:rPr>
                <w:rFonts w:eastAsia="宋体"/>
                <w:szCs w:val="24"/>
                <w:lang w:val="en-US"/>
              </w:rPr>
              <w:t>R A V Ribeiro</w:t>
            </w:r>
            <w:r w:rsidRPr="001E28F6">
              <w:rPr>
                <w:rFonts w:eastAsia="宋体" w:hint="eastAsia"/>
                <w:szCs w:val="24"/>
                <w:lang w:val="en-US"/>
              </w:rPr>
              <w:t>)</w:t>
            </w:r>
          </w:p>
          <w:p w14:paraId="4EFA28CB" w14:textId="77777777" w:rsidR="00090295" w:rsidRPr="001E28F6" w:rsidRDefault="00090295" w:rsidP="003A2A07">
            <w:pPr>
              <w:tabs>
                <w:tab w:val="left" w:pos="6660"/>
              </w:tabs>
              <w:spacing w:after="0" w:line="240" w:lineRule="auto"/>
              <w:jc w:val="center"/>
              <w:rPr>
                <w:rFonts w:eastAsia="宋体"/>
                <w:szCs w:val="24"/>
                <w:lang w:val="en-US"/>
              </w:rPr>
            </w:pPr>
            <w:r w:rsidRPr="001E28F6">
              <w:rPr>
                <w:rFonts w:eastAsia="宋体" w:hint="eastAsia"/>
                <w:szCs w:val="24"/>
                <w:lang w:val="en-US"/>
              </w:rPr>
              <w:t>Permanent Judge</w:t>
            </w:r>
          </w:p>
        </w:tc>
        <w:tc>
          <w:tcPr>
            <w:tcW w:w="2909" w:type="dxa"/>
          </w:tcPr>
          <w:p w14:paraId="6DFBDC32" w14:textId="77777777" w:rsidR="00090295" w:rsidRPr="001E28F6" w:rsidRDefault="00090295" w:rsidP="003A2A07">
            <w:pPr>
              <w:tabs>
                <w:tab w:val="left" w:pos="6660"/>
              </w:tabs>
              <w:spacing w:after="0" w:line="240" w:lineRule="auto"/>
              <w:jc w:val="center"/>
              <w:rPr>
                <w:rFonts w:eastAsia="宋体"/>
                <w:szCs w:val="24"/>
                <w:lang w:val="en-US"/>
              </w:rPr>
            </w:pPr>
            <w:r w:rsidRPr="001E28F6">
              <w:rPr>
                <w:rFonts w:eastAsia="宋体" w:hint="eastAsia"/>
                <w:szCs w:val="24"/>
                <w:lang w:val="en-US"/>
              </w:rPr>
              <w:t>(</w:t>
            </w:r>
            <w:r w:rsidRPr="001E28F6">
              <w:rPr>
                <w:rFonts w:eastAsia="宋体"/>
                <w:szCs w:val="24"/>
                <w:lang w:val="en-US"/>
              </w:rPr>
              <w:t xml:space="preserve">Joseph </w:t>
            </w:r>
            <w:proofErr w:type="spellStart"/>
            <w:r w:rsidRPr="001E28F6">
              <w:rPr>
                <w:rFonts w:eastAsia="宋体"/>
                <w:szCs w:val="24"/>
                <w:lang w:val="en-US"/>
              </w:rPr>
              <w:t>Fok</w:t>
            </w:r>
            <w:proofErr w:type="spellEnd"/>
            <w:r w:rsidRPr="001E28F6">
              <w:rPr>
                <w:rFonts w:eastAsia="宋体" w:hint="eastAsia"/>
                <w:szCs w:val="24"/>
                <w:lang w:val="en-US"/>
              </w:rPr>
              <w:t>)</w:t>
            </w:r>
          </w:p>
          <w:p w14:paraId="723B4BF1" w14:textId="77777777" w:rsidR="00090295" w:rsidRPr="001E28F6" w:rsidRDefault="00090295" w:rsidP="003A2A07">
            <w:pPr>
              <w:tabs>
                <w:tab w:val="left" w:pos="6660"/>
              </w:tabs>
              <w:spacing w:after="0" w:line="240" w:lineRule="auto"/>
              <w:jc w:val="center"/>
              <w:rPr>
                <w:rFonts w:eastAsia="宋体"/>
                <w:szCs w:val="24"/>
                <w:lang w:val="en-US"/>
              </w:rPr>
            </w:pPr>
            <w:r w:rsidRPr="001E28F6">
              <w:rPr>
                <w:rFonts w:eastAsia="宋体" w:hint="eastAsia"/>
                <w:szCs w:val="24"/>
                <w:lang w:val="en-US"/>
              </w:rPr>
              <w:t>Permanent Judge</w:t>
            </w:r>
          </w:p>
        </w:tc>
      </w:tr>
    </w:tbl>
    <w:p w14:paraId="327B6704" w14:textId="77777777" w:rsidR="00090295" w:rsidRDefault="00090295" w:rsidP="00090295">
      <w:pPr>
        <w:rPr>
          <w:lang w:eastAsia="zh-CN"/>
        </w:rPr>
      </w:pPr>
    </w:p>
    <w:p w14:paraId="432BD6E0" w14:textId="77777777" w:rsidR="00090295" w:rsidRDefault="00090295" w:rsidP="00090295">
      <w:pPr>
        <w:rPr>
          <w:lang w:eastAsia="zh-CN"/>
        </w:rPr>
      </w:pPr>
    </w:p>
    <w:p w14:paraId="03DF21BA" w14:textId="77777777" w:rsidR="00090295" w:rsidRPr="00712F56" w:rsidRDefault="00090295" w:rsidP="00090295">
      <w:pPr>
        <w:rPr>
          <w:lang w:eastAsia="zh-CN"/>
        </w:rPr>
      </w:pPr>
    </w:p>
    <w:tbl>
      <w:tblPr>
        <w:tblW w:w="9180" w:type="dxa"/>
        <w:tblLook w:val="0000" w:firstRow="0" w:lastRow="0" w:firstColumn="0" w:lastColumn="0" w:noHBand="0" w:noVBand="0"/>
      </w:tblPr>
      <w:tblGrid>
        <w:gridCol w:w="4644"/>
        <w:gridCol w:w="4536"/>
      </w:tblGrid>
      <w:tr w:rsidR="00090295" w:rsidRPr="00712F56" w14:paraId="0792AF2D" w14:textId="77777777" w:rsidTr="003A2A07">
        <w:tc>
          <w:tcPr>
            <w:tcW w:w="4644" w:type="dxa"/>
          </w:tcPr>
          <w:p w14:paraId="221D8196" w14:textId="77777777" w:rsidR="00090295" w:rsidRDefault="00090295" w:rsidP="003A2A07">
            <w:pPr>
              <w:tabs>
                <w:tab w:val="left" w:pos="6660"/>
              </w:tabs>
              <w:spacing w:after="0" w:line="240" w:lineRule="auto"/>
              <w:jc w:val="center"/>
              <w:rPr>
                <w:rFonts w:eastAsia="宋体"/>
                <w:szCs w:val="24"/>
                <w:lang w:val="en-US"/>
              </w:rPr>
            </w:pPr>
            <w:r w:rsidRPr="00EA6050">
              <w:rPr>
                <w:rFonts w:eastAsia="宋体"/>
                <w:szCs w:val="24"/>
                <w:lang w:val="en-US"/>
              </w:rPr>
              <w:t>(M H Lam)</w:t>
            </w:r>
          </w:p>
          <w:p w14:paraId="610126FD" w14:textId="77777777" w:rsidR="00090295" w:rsidRPr="001E28F6" w:rsidRDefault="00090295" w:rsidP="003A2A07">
            <w:pPr>
              <w:tabs>
                <w:tab w:val="left" w:pos="6660"/>
              </w:tabs>
              <w:spacing w:after="0" w:line="240" w:lineRule="auto"/>
              <w:jc w:val="center"/>
              <w:rPr>
                <w:rFonts w:eastAsia="宋体"/>
                <w:szCs w:val="24"/>
                <w:lang w:val="en-US"/>
              </w:rPr>
            </w:pPr>
            <w:r>
              <w:rPr>
                <w:rFonts w:eastAsia="宋体"/>
                <w:szCs w:val="24"/>
                <w:lang w:val="en-US"/>
              </w:rPr>
              <w:t>P</w:t>
            </w:r>
            <w:r w:rsidRPr="00A20C42">
              <w:rPr>
                <w:rFonts w:eastAsia="宋体"/>
                <w:szCs w:val="24"/>
                <w:lang w:val="en-US"/>
              </w:rPr>
              <w:t>ermanent Judge</w:t>
            </w:r>
          </w:p>
          <w:p w14:paraId="0441AD67" w14:textId="77777777" w:rsidR="00090295" w:rsidRPr="001E28F6" w:rsidRDefault="00090295" w:rsidP="003A2A07">
            <w:pPr>
              <w:tabs>
                <w:tab w:val="left" w:pos="6660"/>
              </w:tabs>
              <w:spacing w:after="0" w:line="240" w:lineRule="auto"/>
              <w:jc w:val="center"/>
              <w:rPr>
                <w:rFonts w:eastAsia="宋体"/>
                <w:szCs w:val="24"/>
                <w:lang w:val="en-US"/>
              </w:rPr>
            </w:pPr>
          </w:p>
        </w:tc>
        <w:tc>
          <w:tcPr>
            <w:tcW w:w="4536" w:type="dxa"/>
          </w:tcPr>
          <w:p w14:paraId="66A5F4B3" w14:textId="77777777" w:rsidR="00090295" w:rsidRPr="001E28F6" w:rsidRDefault="00090295" w:rsidP="003A2A07">
            <w:pPr>
              <w:spacing w:after="0" w:line="240" w:lineRule="auto"/>
              <w:ind w:leftChars="-44" w:left="-123"/>
              <w:jc w:val="center"/>
              <w:rPr>
                <w:rFonts w:eastAsia="宋体"/>
                <w:szCs w:val="24"/>
                <w:lang w:val="en-US"/>
              </w:rPr>
            </w:pPr>
            <w:r w:rsidRPr="00893846">
              <w:rPr>
                <w:rFonts w:eastAsia="宋体"/>
                <w:szCs w:val="24"/>
                <w:lang w:val="en-US"/>
              </w:rPr>
              <w:t>(</w:t>
            </w:r>
            <w:r w:rsidRPr="00A93065">
              <w:rPr>
                <w:rFonts w:eastAsia="宋体"/>
                <w:szCs w:val="24"/>
                <w:lang w:val="en-US"/>
              </w:rPr>
              <w:t xml:space="preserve">William </w:t>
            </w:r>
            <w:proofErr w:type="spellStart"/>
            <w:r w:rsidRPr="00A93065">
              <w:rPr>
                <w:rFonts w:eastAsia="宋体"/>
                <w:szCs w:val="24"/>
                <w:lang w:val="en-US"/>
              </w:rPr>
              <w:t>Gummow</w:t>
            </w:r>
            <w:proofErr w:type="spellEnd"/>
            <w:r w:rsidRPr="00893846">
              <w:rPr>
                <w:rFonts w:eastAsia="宋体"/>
                <w:szCs w:val="24"/>
                <w:lang w:val="en-US"/>
              </w:rPr>
              <w:t>)</w:t>
            </w:r>
          </w:p>
          <w:p w14:paraId="07A95E48" w14:textId="77777777" w:rsidR="00090295" w:rsidRPr="001E28F6" w:rsidRDefault="00090295" w:rsidP="003A2A07">
            <w:pPr>
              <w:spacing w:after="0" w:line="240" w:lineRule="auto"/>
              <w:ind w:leftChars="-36" w:left="-101" w:rightChars="62" w:right="174"/>
              <w:jc w:val="center"/>
              <w:rPr>
                <w:rFonts w:eastAsia="宋体"/>
                <w:szCs w:val="24"/>
                <w:lang w:val="en-US"/>
              </w:rPr>
            </w:pPr>
            <w:r w:rsidRPr="00893846">
              <w:rPr>
                <w:rFonts w:eastAsia="宋体"/>
                <w:szCs w:val="24"/>
                <w:lang w:val="en-US"/>
              </w:rPr>
              <w:t>Non-Permanent Judge</w:t>
            </w:r>
          </w:p>
        </w:tc>
      </w:tr>
    </w:tbl>
    <w:p w14:paraId="2156FB9C" w14:textId="77777777" w:rsidR="00090295" w:rsidRDefault="00090295" w:rsidP="00090295">
      <w:pPr>
        <w:pStyle w:val="BodyTextIndent"/>
        <w:tabs>
          <w:tab w:val="left" w:pos="540"/>
        </w:tabs>
        <w:ind w:left="450" w:right="118" w:hanging="450"/>
        <w:rPr>
          <w:kern w:val="0"/>
          <w:sz w:val="28"/>
          <w:lang w:val="en-GB"/>
        </w:rPr>
      </w:pPr>
    </w:p>
    <w:p w14:paraId="20FF543C" w14:textId="77777777" w:rsidR="00090295" w:rsidRDefault="00090295" w:rsidP="00090295">
      <w:pPr>
        <w:pStyle w:val="BodyTextIndent"/>
        <w:tabs>
          <w:tab w:val="left" w:pos="540"/>
        </w:tabs>
        <w:ind w:left="450" w:right="118" w:hanging="450"/>
        <w:rPr>
          <w:kern w:val="0"/>
          <w:sz w:val="28"/>
          <w:lang w:val="en-GB"/>
        </w:rPr>
      </w:pPr>
    </w:p>
    <w:p w14:paraId="7E4F3CFD" w14:textId="15D14591" w:rsidR="00090295" w:rsidRDefault="004172A5" w:rsidP="00090295">
      <w:pPr>
        <w:pStyle w:val="BodyTextIndent"/>
        <w:ind w:left="0" w:right="118" w:firstLine="0"/>
        <w:rPr>
          <w:kern w:val="0"/>
          <w:sz w:val="28"/>
          <w:lang w:val="en-GB"/>
        </w:rPr>
      </w:pPr>
      <w:r>
        <w:rPr>
          <w:kern w:val="0"/>
          <w:sz w:val="28"/>
          <w:lang w:val="en-GB"/>
        </w:rPr>
        <w:t xml:space="preserve">Written submissions by </w:t>
      </w:r>
      <w:r w:rsidR="00090295" w:rsidRPr="00893846">
        <w:rPr>
          <w:kern w:val="0"/>
          <w:sz w:val="28"/>
          <w:lang w:val="en-GB"/>
        </w:rPr>
        <w:t xml:space="preserve">Mr </w:t>
      </w:r>
      <w:r w:rsidR="00090295" w:rsidRPr="00280426">
        <w:rPr>
          <w:kern w:val="0"/>
          <w:sz w:val="28"/>
          <w:lang w:val="en-GB"/>
        </w:rPr>
        <w:t>Laurence Li SC</w:t>
      </w:r>
      <w:r w:rsidR="00090295">
        <w:rPr>
          <w:kern w:val="0"/>
          <w:sz w:val="28"/>
          <w:lang w:val="en-GB"/>
        </w:rPr>
        <w:t xml:space="preserve"> and </w:t>
      </w:r>
      <w:r w:rsidR="00090295" w:rsidRPr="00893846">
        <w:rPr>
          <w:kern w:val="0"/>
          <w:sz w:val="28"/>
          <w:lang w:val="en-GB"/>
        </w:rPr>
        <w:t xml:space="preserve">Mr </w:t>
      </w:r>
      <w:proofErr w:type="spellStart"/>
      <w:r w:rsidR="00090295" w:rsidRPr="00280426">
        <w:rPr>
          <w:kern w:val="0"/>
          <w:sz w:val="28"/>
          <w:lang w:val="en-GB"/>
        </w:rPr>
        <w:t>Sik</w:t>
      </w:r>
      <w:proofErr w:type="spellEnd"/>
      <w:r w:rsidR="00090295" w:rsidRPr="00280426">
        <w:rPr>
          <w:kern w:val="0"/>
          <w:sz w:val="28"/>
          <w:lang w:val="en-GB"/>
        </w:rPr>
        <w:t xml:space="preserve"> Chee </w:t>
      </w:r>
      <w:proofErr w:type="spellStart"/>
      <w:r w:rsidR="00090295" w:rsidRPr="00280426">
        <w:rPr>
          <w:kern w:val="0"/>
          <w:sz w:val="28"/>
          <w:lang w:val="en-GB"/>
        </w:rPr>
        <w:t>Ching</w:t>
      </w:r>
      <w:proofErr w:type="spellEnd"/>
      <w:r w:rsidR="00090295" w:rsidRPr="00893846">
        <w:rPr>
          <w:kern w:val="0"/>
          <w:sz w:val="28"/>
          <w:lang w:val="en-GB"/>
        </w:rPr>
        <w:t xml:space="preserve">, instructed by </w:t>
      </w:r>
      <w:proofErr w:type="spellStart"/>
      <w:r w:rsidR="00090295" w:rsidRPr="000A3D29">
        <w:rPr>
          <w:kern w:val="0"/>
          <w:sz w:val="28"/>
          <w:lang w:val="en-GB"/>
        </w:rPr>
        <w:t>Grandall</w:t>
      </w:r>
      <w:proofErr w:type="spellEnd"/>
      <w:r w:rsidR="00090295" w:rsidRPr="000A3D29">
        <w:rPr>
          <w:kern w:val="0"/>
          <w:sz w:val="28"/>
          <w:lang w:val="en-GB"/>
        </w:rPr>
        <w:t xml:space="preserve"> </w:t>
      </w:r>
      <w:proofErr w:type="spellStart"/>
      <w:r w:rsidR="00090295" w:rsidRPr="000A3D29">
        <w:rPr>
          <w:kern w:val="0"/>
          <w:sz w:val="28"/>
          <w:lang w:val="en-GB"/>
        </w:rPr>
        <w:t>Zimme</w:t>
      </w:r>
      <w:r w:rsidR="00090295">
        <w:rPr>
          <w:kern w:val="0"/>
          <w:sz w:val="28"/>
          <w:lang w:val="en-GB"/>
        </w:rPr>
        <w:t>rn</w:t>
      </w:r>
      <w:proofErr w:type="spellEnd"/>
      <w:r w:rsidR="00090295" w:rsidRPr="000A3D29">
        <w:rPr>
          <w:kern w:val="0"/>
          <w:sz w:val="28"/>
          <w:lang w:val="en-GB"/>
        </w:rPr>
        <w:t xml:space="preserve"> Law Firm for the 1</w:t>
      </w:r>
      <w:r w:rsidR="00090295" w:rsidRPr="000A3D29">
        <w:rPr>
          <w:kern w:val="0"/>
          <w:sz w:val="28"/>
          <w:vertAlign w:val="superscript"/>
          <w:lang w:val="en-GB"/>
        </w:rPr>
        <w:t>st</w:t>
      </w:r>
      <w:r w:rsidR="00090295">
        <w:rPr>
          <w:kern w:val="0"/>
          <w:sz w:val="28"/>
          <w:lang w:val="en-GB"/>
        </w:rPr>
        <w:t xml:space="preserve"> </w:t>
      </w:r>
      <w:r w:rsidR="00090295" w:rsidRPr="000A3D29">
        <w:rPr>
          <w:kern w:val="0"/>
          <w:sz w:val="28"/>
          <w:lang w:val="en-GB"/>
        </w:rPr>
        <w:t>Defendant</w:t>
      </w:r>
      <w:r w:rsidR="00090295">
        <w:rPr>
          <w:kern w:val="0"/>
          <w:sz w:val="28"/>
          <w:lang w:val="en-GB"/>
        </w:rPr>
        <w:t xml:space="preserve"> (</w:t>
      </w:r>
      <w:r w:rsidR="00090295" w:rsidRPr="000A3D29">
        <w:rPr>
          <w:kern w:val="0"/>
          <w:sz w:val="28"/>
          <w:lang w:val="en-GB"/>
        </w:rPr>
        <w:t>1</w:t>
      </w:r>
      <w:r w:rsidR="00090295" w:rsidRPr="000A3D29">
        <w:rPr>
          <w:kern w:val="0"/>
          <w:sz w:val="28"/>
          <w:vertAlign w:val="superscript"/>
          <w:lang w:val="en-GB"/>
        </w:rPr>
        <w:t>st</w:t>
      </w:r>
      <w:r w:rsidR="00090295">
        <w:rPr>
          <w:kern w:val="0"/>
          <w:sz w:val="28"/>
          <w:lang w:val="en-GB"/>
        </w:rPr>
        <w:t xml:space="preserve"> </w:t>
      </w:r>
      <w:r w:rsidR="00090295" w:rsidRPr="000A3D29">
        <w:rPr>
          <w:kern w:val="0"/>
          <w:sz w:val="28"/>
          <w:lang w:val="en-GB"/>
        </w:rPr>
        <w:t>Appellant</w:t>
      </w:r>
      <w:r w:rsidR="00090295">
        <w:rPr>
          <w:kern w:val="0"/>
          <w:sz w:val="28"/>
          <w:lang w:val="en-GB"/>
        </w:rPr>
        <w:t xml:space="preserve">) and instructed by </w:t>
      </w:r>
      <w:r w:rsidR="00090295" w:rsidRPr="000A3D29">
        <w:rPr>
          <w:kern w:val="0"/>
          <w:sz w:val="28"/>
          <w:lang w:val="en-GB"/>
        </w:rPr>
        <w:t>Kirkland &amp; Ellis</w:t>
      </w:r>
      <w:r w:rsidR="00090295">
        <w:rPr>
          <w:kern w:val="0"/>
          <w:sz w:val="28"/>
          <w:lang w:val="en-GB"/>
        </w:rPr>
        <w:t xml:space="preserve"> </w:t>
      </w:r>
      <w:r w:rsidR="00090295" w:rsidRPr="000A3D29">
        <w:rPr>
          <w:kern w:val="0"/>
          <w:sz w:val="28"/>
          <w:lang w:val="en-GB"/>
        </w:rPr>
        <w:t>for the Intervener</w:t>
      </w:r>
      <w:r w:rsidR="00090295">
        <w:rPr>
          <w:kern w:val="0"/>
          <w:sz w:val="28"/>
          <w:lang w:val="en-GB"/>
        </w:rPr>
        <w:t xml:space="preserve"> (</w:t>
      </w:r>
      <w:r w:rsidR="00090295" w:rsidRPr="000A3D29">
        <w:rPr>
          <w:kern w:val="0"/>
          <w:sz w:val="28"/>
          <w:lang w:val="en-GB"/>
        </w:rPr>
        <w:t>2</w:t>
      </w:r>
      <w:r w:rsidR="00090295" w:rsidRPr="000A3D29">
        <w:rPr>
          <w:kern w:val="0"/>
          <w:sz w:val="28"/>
          <w:vertAlign w:val="superscript"/>
          <w:lang w:val="en-GB"/>
        </w:rPr>
        <w:t>nd</w:t>
      </w:r>
      <w:r w:rsidR="00090295">
        <w:rPr>
          <w:kern w:val="0"/>
          <w:sz w:val="28"/>
          <w:lang w:val="en-GB"/>
        </w:rPr>
        <w:t xml:space="preserve"> </w:t>
      </w:r>
      <w:r w:rsidR="00090295" w:rsidRPr="000A3D29">
        <w:rPr>
          <w:kern w:val="0"/>
          <w:sz w:val="28"/>
          <w:lang w:val="en-GB"/>
        </w:rPr>
        <w:t>Appellant</w:t>
      </w:r>
      <w:r w:rsidR="00090295">
        <w:rPr>
          <w:kern w:val="0"/>
          <w:sz w:val="28"/>
          <w:lang w:val="en-GB"/>
        </w:rPr>
        <w:t>)</w:t>
      </w:r>
    </w:p>
    <w:p w14:paraId="40E3A2C8" w14:textId="77777777" w:rsidR="00090295" w:rsidRPr="0085457D" w:rsidRDefault="00090295" w:rsidP="00090295">
      <w:pPr>
        <w:pStyle w:val="BodyTextIndent"/>
        <w:ind w:left="450" w:right="118" w:hanging="450"/>
        <w:rPr>
          <w:rFonts w:eastAsia="PMingLiU"/>
          <w:kern w:val="0"/>
          <w:sz w:val="28"/>
          <w:lang w:val="en-GB" w:eastAsia="zh-TW"/>
        </w:rPr>
      </w:pPr>
    </w:p>
    <w:p w14:paraId="32992610" w14:textId="77777777" w:rsidR="00090295" w:rsidRPr="004172A5" w:rsidRDefault="00090295" w:rsidP="00090295">
      <w:pPr>
        <w:pStyle w:val="Bob1"/>
        <w:numPr>
          <w:ilvl w:val="0"/>
          <w:numId w:val="0"/>
        </w:numPr>
        <w:ind w:left="1440"/>
        <w:rPr>
          <w:lang w:val="en-US"/>
        </w:rPr>
      </w:pPr>
    </w:p>
    <w:sectPr w:rsidR="00090295" w:rsidRPr="004172A5" w:rsidSect="007D1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751DC" w14:textId="77777777" w:rsidR="00BA13EC" w:rsidRDefault="00BA13EC" w:rsidP="00CC0407">
      <w:pPr>
        <w:spacing w:after="0" w:line="240" w:lineRule="auto"/>
      </w:pPr>
      <w:r>
        <w:separator/>
      </w:r>
    </w:p>
  </w:endnote>
  <w:endnote w:type="continuationSeparator" w:id="0">
    <w:p w14:paraId="3317B096" w14:textId="77777777" w:rsidR="00BA13EC" w:rsidRDefault="00BA13EC" w:rsidP="00CC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7E865" w14:textId="77777777" w:rsidR="005B7942" w:rsidRDefault="005B79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4AAE8" w14:textId="77777777" w:rsidR="005B7942" w:rsidRDefault="005B79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7E1D4" w14:textId="77777777" w:rsidR="005B7942" w:rsidRDefault="005B7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EAB5B" w14:textId="77777777" w:rsidR="00BA13EC" w:rsidRDefault="00BA13EC" w:rsidP="00CC0407">
      <w:pPr>
        <w:spacing w:after="0" w:line="240" w:lineRule="auto"/>
      </w:pPr>
      <w:r>
        <w:separator/>
      </w:r>
    </w:p>
  </w:footnote>
  <w:footnote w:type="continuationSeparator" w:id="0">
    <w:p w14:paraId="53850728" w14:textId="77777777" w:rsidR="00BA13EC" w:rsidRDefault="00BA13EC" w:rsidP="00CC0407">
      <w:pPr>
        <w:spacing w:after="0" w:line="240" w:lineRule="auto"/>
      </w:pPr>
      <w:r>
        <w:continuationSeparator/>
      </w:r>
    </w:p>
  </w:footnote>
  <w:footnote w:id="1">
    <w:p w14:paraId="2005286E" w14:textId="033975C2" w:rsidR="006A72F7" w:rsidRDefault="006A72F7" w:rsidP="00090295">
      <w:pPr>
        <w:pStyle w:val="footnotes"/>
        <w:tabs>
          <w:tab w:val="left" w:pos="360"/>
        </w:tabs>
      </w:pPr>
      <w:r>
        <w:rPr>
          <w:rStyle w:val="FootnoteReference"/>
        </w:rPr>
        <w:footnoteRef/>
      </w:r>
      <w:r>
        <w:t xml:space="preserve"> </w:t>
      </w:r>
      <w:r>
        <w:tab/>
        <w:t xml:space="preserve">[2024] </w:t>
      </w:r>
      <w:r w:rsidRPr="00C22E13">
        <w:t>HKCFA</w:t>
      </w:r>
      <w:r>
        <w:t xml:space="preserve"> 15.</w:t>
      </w:r>
    </w:p>
  </w:footnote>
  <w:footnote w:id="2">
    <w:p w14:paraId="27A5C0B3" w14:textId="2BD83A7D" w:rsidR="00C22E13" w:rsidRDefault="00C22E13" w:rsidP="00090295">
      <w:pPr>
        <w:pStyle w:val="footnotes"/>
        <w:tabs>
          <w:tab w:val="left" w:pos="360"/>
        </w:tabs>
      </w:pPr>
      <w:r>
        <w:rPr>
          <w:rStyle w:val="FootnoteReference"/>
        </w:rPr>
        <w:footnoteRef/>
      </w:r>
      <w:r>
        <w:t xml:space="preserve"> </w:t>
      </w:r>
      <w:r>
        <w:tab/>
        <w:t>Judgment at §11.</w:t>
      </w:r>
    </w:p>
  </w:footnote>
  <w:footnote w:id="3">
    <w:p w14:paraId="670D9F56" w14:textId="59CA0BF0" w:rsidR="005B03EC" w:rsidRDefault="005B03EC" w:rsidP="00090295">
      <w:pPr>
        <w:pStyle w:val="footnotes"/>
        <w:tabs>
          <w:tab w:val="left" w:pos="360"/>
        </w:tabs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5B03EC">
        <w:t>[2022] HKCFI 795</w:t>
      </w:r>
      <w:r>
        <w:t xml:space="preserve"> at §69.</w:t>
      </w:r>
    </w:p>
  </w:footnote>
  <w:footnote w:id="4">
    <w:p w14:paraId="6FD1FA7D" w14:textId="5A6DF05D" w:rsidR="00EC2538" w:rsidRDefault="00EC2538" w:rsidP="00090295">
      <w:pPr>
        <w:pStyle w:val="footnotes"/>
        <w:tabs>
          <w:tab w:val="left" w:pos="360"/>
        </w:tabs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EC2538">
        <w:t>[2023] HKCA 966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57384" w14:textId="77777777" w:rsidR="005B7942" w:rsidRDefault="005B79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8582"/>
      <w:docPartObj>
        <w:docPartGallery w:val="Page Numbers (Top of Page)"/>
        <w:docPartUnique/>
      </w:docPartObj>
    </w:sdtPr>
    <w:sdtEndPr/>
    <w:sdtContent>
      <w:p w14:paraId="79EA0B91" w14:textId="3033191C" w:rsidR="0079601A" w:rsidRDefault="0079601A">
        <w:pPr>
          <w:pStyle w:val="Head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697">
          <w:rPr>
            <w:noProof/>
          </w:rPr>
          <w:t>4</w:t>
        </w:r>
        <w:r>
          <w:rPr>
            <w:noProof/>
          </w:rPr>
          <w:fldChar w:fldCharType="end"/>
        </w:r>
        <w:r>
          <w:t>-</w:t>
        </w:r>
      </w:p>
    </w:sdtContent>
  </w:sdt>
  <w:p w14:paraId="22CAB3F6" w14:textId="77777777" w:rsidR="0079601A" w:rsidRDefault="007960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50A17" w14:textId="77777777" w:rsidR="005B7942" w:rsidRDefault="005B7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49E2"/>
    <w:multiLevelType w:val="multilevel"/>
    <w:tmpl w:val="D3781E24"/>
    <w:lvl w:ilvl="0">
      <w:start w:val="1"/>
      <w:numFmt w:val="decimal"/>
      <w:pStyle w:val="Draft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none"/>
      <w:lvlText w:val="(a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(i)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" w15:restartNumberingAfterBreak="0">
    <w:nsid w:val="24284230"/>
    <w:multiLevelType w:val="multilevel"/>
    <w:tmpl w:val="B86A6CEC"/>
    <w:lvl w:ilvl="0">
      <w:start w:val="1"/>
      <w:numFmt w:val="decimal"/>
      <w:pStyle w:val="Bob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b w:val="0"/>
        <w:i w:val="0"/>
        <w:color w:val="auto"/>
      </w:rPr>
    </w:lvl>
    <w:lvl w:ilvl="4">
      <w:start w:val="1"/>
      <w:numFmt w:val="bullet"/>
      <w:lvlText w:val=""/>
      <w:lvlJc w:val="left"/>
      <w:pPr>
        <w:tabs>
          <w:tab w:val="num" w:pos="3456"/>
        </w:tabs>
        <w:ind w:left="3456" w:hanging="576"/>
      </w:pPr>
      <w:rPr>
        <w:rFonts w:ascii="Symbol" w:hAnsi="Symbol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08"/>
    <w:rsid w:val="000073F3"/>
    <w:rsid w:val="00016FC9"/>
    <w:rsid w:val="00033CB5"/>
    <w:rsid w:val="0004068A"/>
    <w:rsid w:val="00042394"/>
    <w:rsid w:val="000473AD"/>
    <w:rsid w:val="0005384A"/>
    <w:rsid w:val="00054BFB"/>
    <w:rsid w:val="00090295"/>
    <w:rsid w:val="000B7069"/>
    <w:rsid w:val="000C516E"/>
    <w:rsid w:val="000D259B"/>
    <w:rsid w:val="000D4169"/>
    <w:rsid w:val="000D501A"/>
    <w:rsid w:val="000E18EF"/>
    <w:rsid w:val="0010345D"/>
    <w:rsid w:val="001042F3"/>
    <w:rsid w:val="00124090"/>
    <w:rsid w:val="0014157A"/>
    <w:rsid w:val="001421D8"/>
    <w:rsid w:val="00143E48"/>
    <w:rsid w:val="00155EFA"/>
    <w:rsid w:val="00190E2D"/>
    <w:rsid w:val="001A2838"/>
    <w:rsid w:val="001B3700"/>
    <w:rsid w:val="001C2394"/>
    <w:rsid w:val="001D3173"/>
    <w:rsid w:val="001D3883"/>
    <w:rsid w:val="001E25D4"/>
    <w:rsid w:val="001F4B36"/>
    <w:rsid w:val="002324C2"/>
    <w:rsid w:val="002848B9"/>
    <w:rsid w:val="002D024F"/>
    <w:rsid w:val="00332436"/>
    <w:rsid w:val="003359A1"/>
    <w:rsid w:val="0036124A"/>
    <w:rsid w:val="00363008"/>
    <w:rsid w:val="00371A31"/>
    <w:rsid w:val="00387231"/>
    <w:rsid w:val="003A38F9"/>
    <w:rsid w:val="003B6FE7"/>
    <w:rsid w:val="003F04B1"/>
    <w:rsid w:val="003F124C"/>
    <w:rsid w:val="003F3D77"/>
    <w:rsid w:val="003F7894"/>
    <w:rsid w:val="003F7FCA"/>
    <w:rsid w:val="0041075D"/>
    <w:rsid w:val="0041338E"/>
    <w:rsid w:val="004172A5"/>
    <w:rsid w:val="00436137"/>
    <w:rsid w:val="00455241"/>
    <w:rsid w:val="00463386"/>
    <w:rsid w:val="0046781C"/>
    <w:rsid w:val="00475697"/>
    <w:rsid w:val="004767F3"/>
    <w:rsid w:val="00497FF4"/>
    <w:rsid w:val="004E2477"/>
    <w:rsid w:val="004F1232"/>
    <w:rsid w:val="00500E4F"/>
    <w:rsid w:val="00501FE1"/>
    <w:rsid w:val="00504253"/>
    <w:rsid w:val="00516104"/>
    <w:rsid w:val="00553079"/>
    <w:rsid w:val="005607A5"/>
    <w:rsid w:val="005742C8"/>
    <w:rsid w:val="005A4AD0"/>
    <w:rsid w:val="005A6AF6"/>
    <w:rsid w:val="005A7B9F"/>
    <w:rsid w:val="005B03EC"/>
    <w:rsid w:val="005B51FA"/>
    <w:rsid w:val="005B7942"/>
    <w:rsid w:val="005C618B"/>
    <w:rsid w:val="005C7FDD"/>
    <w:rsid w:val="005E7939"/>
    <w:rsid w:val="00602D4E"/>
    <w:rsid w:val="00603597"/>
    <w:rsid w:val="00617A16"/>
    <w:rsid w:val="006417C4"/>
    <w:rsid w:val="00694648"/>
    <w:rsid w:val="006A72F7"/>
    <w:rsid w:val="006F6C50"/>
    <w:rsid w:val="007049E6"/>
    <w:rsid w:val="007201D2"/>
    <w:rsid w:val="007363BA"/>
    <w:rsid w:val="00761EC7"/>
    <w:rsid w:val="007721FF"/>
    <w:rsid w:val="0079601A"/>
    <w:rsid w:val="007A1FBA"/>
    <w:rsid w:val="007A29C8"/>
    <w:rsid w:val="007A7252"/>
    <w:rsid w:val="007D106B"/>
    <w:rsid w:val="007D27AB"/>
    <w:rsid w:val="007F40F5"/>
    <w:rsid w:val="0080748E"/>
    <w:rsid w:val="00811081"/>
    <w:rsid w:val="008215F8"/>
    <w:rsid w:val="0085457D"/>
    <w:rsid w:val="0087557C"/>
    <w:rsid w:val="00884713"/>
    <w:rsid w:val="008A1593"/>
    <w:rsid w:val="008A27B1"/>
    <w:rsid w:val="008A3F41"/>
    <w:rsid w:val="008D16B9"/>
    <w:rsid w:val="008F0568"/>
    <w:rsid w:val="008F13AC"/>
    <w:rsid w:val="00904D2E"/>
    <w:rsid w:val="00921389"/>
    <w:rsid w:val="009235FC"/>
    <w:rsid w:val="00945EF5"/>
    <w:rsid w:val="009470B6"/>
    <w:rsid w:val="0095110A"/>
    <w:rsid w:val="00970DE3"/>
    <w:rsid w:val="00983A3D"/>
    <w:rsid w:val="009A0D4B"/>
    <w:rsid w:val="009C402A"/>
    <w:rsid w:val="009C7992"/>
    <w:rsid w:val="009D13AA"/>
    <w:rsid w:val="00A12ACC"/>
    <w:rsid w:val="00A63673"/>
    <w:rsid w:val="00A87B14"/>
    <w:rsid w:val="00A9521F"/>
    <w:rsid w:val="00AB0343"/>
    <w:rsid w:val="00AB1707"/>
    <w:rsid w:val="00AB2A09"/>
    <w:rsid w:val="00AB3DC4"/>
    <w:rsid w:val="00AB691F"/>
    <w:rsid w:val="00AC7218"/>
    <w:rsid w:val="00AE51B8"/>
    <w:rsid w:val="00AF60C7"/>
    <w:rsid w:val="00B205BD"/>
    <w:rsid w:val="00B23689"/>
    <w:rsid w:val="00B24875"/>
    <w:rsid w:val="00B32973"/>
    <w:rsid w:val="00B35981"/>
    <w:rsid w:val="00B35B88"/>
    <w:rsid w:val="00B37A8B"/>
    <w:rsid w:val="00BA13EC"/>
    <w:rsid w:val="00BA2DC0"/>
    <w:rsid w:val="00BA71B0"/>
    <w:rsid w:val="00BB1F52"/>
    <w:rsid w:val="00BC4769"/>
    <w:rsid w:val="00BD6C49"/>
    <w:rsid w:val="00C079A9"/>
    <w:rsid w:val="00C1117B"/>
    <w:rsid w:val="00C22E13"/>
    <w:rsid w:val="00C80468"/>
    <w:rsid w:val="00CB21DD"/>
    <w:rsid w:val="00CC0407"/>
    <w:rsid w:val="00CC281E"/>
    <w:rsid w:val="00CF1CE2"/>
    <w:rsid w:val="00D01FCE"/>
    <w:rsid w:val="00D2349E"/>
    <w:rsid w:val="00D5500F"/>
    <w:rsid w:val="00D83A62"/>
    <w:rsid w:val="00DE003C"/>
    <w:rsid w:val="00DE0B52"/>
    <w:rsid w:val="00DE3982"/>
    <w:rsid w:val="00DF2C04"/>
    <w:rsid w:val="00DF7559"/>
    <w:rsid w:val="00E23949"/>
    <w:rsid w:val="00E60E45"/>
    <w:rsid w:val="00E60FD7"/>
    <w:rsid w:val="00E869BC"/>
    <w:rsid w:val="00E87E3F"/>
    <w:rsid w:val="00EA4A24"/>
    <w:rsid w:val="00EC2538"/>
    <w:rsid w:val="00ED297B"/>
    <w:rsid w:val="00F01E6F"/>
    <w:rsid w:val="00F06941"/>
    <w:rsid w:val="00F0712F"/>
    <w:rsid w:val="00F15E44"/>
    <w:rsid w:val="00F4219C"/>
    <w:rsid w:val="00F54180"/>
    <w:rsid w:val="00F6375C"/>
    <w:rsid w:val="00F67927"/>
    <w:rsid w:val="00F9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D20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宋体" w:hAnsi="Times New Roman" w:cs="Times New Roman"/>
        <w:kern w:val="2"/>
        <w:sz w:val="28"/>
        <w:szCs w:val="28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FF4"/>
  </w:style>
  <w:style w:type="paragraph" w:styleId="Heading1">
    <w:name w:val="heading 1"/>
    <w:basedOn w:val="Normal"/>
    <w:next w:val="Normal"/>
    <w:link w:val="Heading1Char"/>
    <w:uiPriority w:val="9"/>
    <w:qFormat/>
    <w:rsid w:val="00BA2D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0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0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0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0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0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0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0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itty">
    <w:name w:val="Kitty"/>
    <w:link w:val="KittyChar"/>
    <w:qFormat/>
    <w:rsid w:val="00BA2DC0"/>
    <w:pPr>
      <w:kinsoku w:val="0"/>
      <w:autoSpaceDE w:val="0"/>
      <w:autoSpaceDN w:val="0"/>
      <w:snapToGrid w:val="0"/>
      <w:spacing w:after="240" w:line="360" w:lineRule="auto"/>
    </w:pPr>
  </w:style>
  <w:style w:type="character" w:customStyle="1" w:styleId="KittyChar">
    <w:name w:val="Kitty Char"/>
    <w:basedOn w:val="DefaultParagraphFont"/>
    <w:link w:val="Kitty"/>
    <w:rsid w:val="00BA2DC0"/>
    <w:rPr>
      <w:rFonts w:ascii="Times New Roman" w:eastAsia="宋体" w:hAnsi="Times New Roman" w:cs="Times New Roman"/>
      <w:sz w:val="28"/>
      <w:szCs w:val="24"/>
      <w:lang w:val="en-GB" w:eastAsia="zh-CN"/>
    </w:rPr>
  </w:style>
  <w:style w:type="paragraph" w:customStyle="1" w:styleId="Bob1">
    <w:name w:val="Bob 1"/>
    <w:link w:val="Bob1Char"/>
    <w:qFormat/>
    <w:rsid w:val="00D2349E"/>
    <w:pPr>
      <w:numPr>
        <w:numId w:val="11"/>
      </w:numPr>
      <w:kinsoku w:val="0"/>
      <w:autoSpaceDE w:val="0"/>
      <w:autoSpaceDN w:val="0"/>
      <w:snapToGrid w:val="0"/>
      <w:spacing w:after="240" w:line="360" w:lineRule="auto"/>
    </w:pPr>
  </w:style>
  <w:style w:type="character" w:customStyle="1" w:styleId="Bob1Char">
    <w:name w:val="Bob 1 Char"/>
    <w:basedOn w:val="DefaultParagraphFont"/>
    <w:link w:val="Bob1"/>
    <w:rsid w:val="00D2349E"/>
    <w:rPr>
      <w:iCs/>
      <w:sz w:val="28"/>
      <w:szCs w:val="22"/>
      <w:lang w:val="en-GB" w:eastAsia="zh-CN"/>
    </w:rPr>
  </w:style>
  <w:style w:type="paragraph" w:customStyle="1" w:styleId="judge">
    <w:name w:val="judge"/>
    <w:basedOn w:val="Heading1"/>
    <w:next w:val="Kitty"/>
    <w:qFormat/>
    <w:rsid w:val="00BA2DC0"/>
    <w:pPr>
      <w:keepLines w:val="0"/>
      <w:tabs>
        <w:tab w:val="left" w:pos="980"/>
        <w:tab w:val="left" w:pos="1120"/>
      </w:tabs>
      <w:overflowPunct w:val="0"/>
      <w:autoSpaceDE w:val="0"/>
      <w:autoSpaceDN w:val="0"/>
      <w:adjustRightInd w:val="0"/>
      <w:snapToGrid w:val="0"/>
      <w:spacing w:before="600" w:after="120" w:line="240" w:lineRule="auto"/>
      <w:ind w:left="720" w:right="69" w:hanging="720"/>
      <w:textAlignment w:val="baseline"/>
    </w:pPr>
    <w:rPr>
      <w:rFonts w:ascii="Times New Roman" w:eastAsia="PMingLiU" w:hAnsi="Times New Roman" w:cs="Times New Roman"/>
      <w:snapToGrid w:val="0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BA2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Judge0">
    <w:name w:val="Judge"/>
    <w:basedOn w:val="Heading1"/>
    <w:next w:val="Kitty"/>
    <w:qFormat/>
    <w:rsid w:val="00BA2DC0"/>
    <w:pPr>
      <w:keepLines w:val="0"/>
      <w:tabs>
        <w:tab w:val="left" w:pos="980"/>
        <w:tab w:val="left" w:pos="1120"/>
      </w:tabs>
      <w:overflowPunct w:val="0"/>
      <w:autoSpaceDE w:val="0"/>
      <w:autoSpaceDN w:val="0"/>
      <w:adjustRightInd w:val="0"/>
      <w:snapToGrid w:val="0"/>
      <w:spacing w:before="600" w:after="120" w:line="240" w:lineRule="auto"/>
      <w:ind w:left="720" w:right="69" w:hanging="720"/>
      <w:textAlignment w:val="baseline"/>
    </w:pPr>
    <w:rPr>
      <w:rFonts w:ascii="Times New Roman" w:eastAsia="PMingLiU" w:hAnsi="Times New Roman" w:cs="Times New Roman"/>
      <w:snapToGrid w:val="0"/>
      <w:color w:val="auto"/>
    </w:rPr>
  </w:style>
  <w:style w:type="paragraph" w:customStyle="1" w:styleId="Draft">
    <w:name w:val="Draft"/>
    <w:basedOn w:val="Normal"/>
    <w:rsid w:val="00BA2DC0"/>
    <w:pPr>
      <w:numPr>
        <w:numId w:val="7"/>
      </w:numPr>
      <w:tabs>
        <w:tab w:val="left" w:pos="1440"/>
      </w:tabs>
      <w:snapToGrid w:val="0"/>
      <w:spacing w:before="360" w:after="0" w:line="360" w:lineRule="auto"/>
    </w:pPr>
    <w:rPr>
      <w:rFonts w:eastAsia="MingLiU"/>
    </w:rPr>
  </w:style>
  <w:style w:type="paragraph" w:customStyle="1" w:styleId="docmapheading">
    <w:name w:val="doc map heading"/>
    <w:basedOn w:val="DocumentMap"/>
    <w:link w:val="docmapheadingChar"/>
    <w:qFormat/>
    <w:rsid w:val="009C402A"/>
    <w:pPr>
      <w:spacing w:before="120" w:after="360" w:line="276" w:lineRule="auto"/>
      <w:outlineLvl w:val="1"/>
    </w:pPr>
    <w:rPr>
      <w:rFonts w:ascii="Times New Roman" w:eastAsia="PMingLiU" w:hAnsi="Times New Roman"/>
      <w:i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343"/>
    <w:pPr>
      <w:numPr>
        <w:ilvl w:val="1"/>
      </w:numPr>
    </w:pPr>
    <w:rPr>
      <w:rFonts w:asciiTheme="majorHAnsi" w:eastAsiaTheme="majorEastAsia" w:hAnsiTheme="majorHAnsi" w:cstheme="majorBidi"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03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docmapheadingChar">
    <w:name w:val="doc map heading Char"/>
    <w:basedOn w:val="SubtitleChar"/>
    <w:link w:val="docmapheading"/>
    <w:rsid w:val="009C402A"/>
    <w:rPr>
      <w:rFonts w:asciiTheme="majorHAnsi" w:eastAsia="PMingLiU" w:hAnsiTheme="majorHAnsi" w:cs="Times New Roman"/>
      <w:i/>
      <w:iCs/>
      <w:color w:val="4F81BD" w:themeColor="accent1"/>
      <w:spacing w:val="15"/>
      <w:sz w:val="28"/>
      <w:szCs w:val="28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1FE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1FE1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C0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40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0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407"/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48B9"/>
    <w:pPr>
      <w:spacing w:after="120" w:line="240" w:lineRule="auto"/>
    </w:pPr>
    <w:rPr>
      <w:lang w:val="en-US"/>
    </w:rPr>
  </w:style>
  <w:style w:type="character" w:customStyle="1" w:styleId="FootnoteTextChar">
    <w:name w:val="Footnote Text Char"/>
    <w:link w:val="FootnoteText"/>
    <w:uiPriority w:val="99"/>
    <w:semiHidden/>
    <w:rsid w:val="002848B9"/>
    <w:rPr>
      <w:sz w:val="24"/>
    </w:rPr>
  </w:style>
  <w:style w:type="paragraph" w:customStyle="1" w:styleId="footnotes">
    <w:name w:val="footnotes"/>
    <w:basedOn w:val="FootnoteText"/>
    <w:link w:val="footnotesChar"/>
    <w:qFormat/>
    <w:rsid w:val="00455241"/>
    <w:rPr>
      <w:sz w:val="24"/>
      <w:lang w:val="en-GB"/>
    </w:rPr>
  </w:style>
  <w:style w:type="character" w:customStyle="1" w:styleId="footnotesChar">
    <w:name w:val="footnotes Char"/>
    <w:basedOn w:val="FootnoteTextChar"/>
    <w:link w:val="footnotes"/>
    <w:rsid w:val="00455241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0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008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008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008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0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0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0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0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363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00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0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00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008"/>
    <w:rPr>
      <w:b/>
      <w:bCs/>
      <w:smallCaps/>
      <w:color w:val="365F91" w:themeColor="accent1" w:themeShade="BF"/>
      <w:spacing w:val="5"/>
    </w:rPr>
  </w:style>
  <w:style w:type="character" w:styleId="FootnoteReference">
    <w:name w:val="footnote reference"/>
    <w:basedOn w:val="DefaultParagraphFont"/>
    <w:uiPriority w:val="99"/>
    <w:semiHidden/>
    <w:unhideWhenUsed/>
    <w:rsid w:val="006A72F7"/>
    <w:rPr>
      <w:vertAlign w:val="superscript"/>
    </w:rPr>
  </w:style>
  <w:style w:type="paragraph" w:customStyle="1" w:styleId="coram">
    <w:name w:val="coram"/>
    <w:basedOn w:val="Signature"/>
    <w:rsid w:val="00090295"/>
    <w:pPr>
      <w:tabs>
        <w:tab w:val="left" w:pos="2880"/>
      </w:tabs>
      <w:overflowPunct w:val="0"/>
      <w:autoSpaceDE w:val="0"/>
      <w:autoSpaceDN w:val="0"/>
      <w:adjustRightInd w:val="0"/>
      <w:snapToGrid w:val="0"/>
      <w:spacing w:after="240"/>
      <w:ind w:left="2880" w:hanging="2880"/>
      <w:textAlignment w:val="baseline"/>
    </w:pPr>
    <w:rPr>
      <w:rFonts w:eastAsia="MingLiU"/>
      <w:kern w:val="0"/>
      <w:szCs w:val="20"/>
      <w:lang w:eastAsia="zh-TW"/>
      <w14:ligatures w14:val="none"/>
    </w:rPr>
  </w:style>
  <w:style w:type="paragraph" w:customStyle="1" w:styleId="Normal3">
    <w:name w:val="Normal 3"/>
    <w:basedOn w:val="Signature"/>
    <w:rsid w:val="00090295"/>
    <w:pPr>
      <w:tabs>
        <w:tab w:val="left" w:pos="3168"/>
        <w:tab w:val="right" w:pos="8280"/>
      </w:tabs>
      <w:overflowPunct w:val="0"/>
      <w:autoSpaceDE w:val="0"/>
      <w:autoSpaceDN w:val="0"/>
      <w:adjustRightInd w:val="0"/>
      <w:snapToGrid w:val="0"/>
      <w:ind w:left="0"/>
      <w:jc w:val="right"/>
      <w:textAlignment w:val="baseline"/>
    </w:pPr>
    <w:rPr>
      <w:rFonts w:eastAsia="MingLiU"/>
      <w:kern w:val="0"/>
      <w:szCs w:val="20"/>
      <w:lang w:eastAsia="zh-CN"/>
      <w14:ligatures w14:val="none"/>
    </w:rPr>
  </w:style>
  <w:style w:type="paragraph" w:customStyle="1" w:styleId="MF">
    <w:name w:val="MF"/>
    <w:basedOn w:val="Normal"/>
    <w:rsid w:val="00090295"/>
    <w:pPr>
      <w:tabs>
        <w:tab w:val="left" w:pos="1440"/>
        <w:tab w:val="center" w:pos="4320"/>
        <w:tab w:val="right" w:pos="8280"/>
        <w:tab w:val="right" w:pos="9000"/>
      </w:tabs>
      <w:overflowPunct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eastAsia="MingLiU"/>
      <w:caps/>
      <w:kern w:val="0"/>
      <w:szCs w:val="20"/>
      <w:lang w:eastAsia="zh-CN"/>
      <w14:ligatures w14:val="none"/>
    </w:rPr>
  </w:style>
  <w:style w:type="paragraph" w:styleId="BodyTextIndent">
    <w:name w:val="Body Text Indent"/>
    <w:basedOn w:val="Normal"/>
    <w:link w:val="BodyTextIndentChar"/>
    <w:semiHidden/>
    <w:rsid w:val="00090295"/>
    <w:pPr>
      <w:widowControl w:val="0"/>
      <w:spacing w:after="0" w:line="240" w:lineRule="auto"/>
      <w:ind w:left="284" w:hanging="284"/>
      <w:jc w:val="both"/>
    </w:pPr>
    <w:rPr>
      <w:rFonts w:eastAsia="宋体"/>
      <w:sz w:val="24"/>
      <w:szCs w:val="20"/>
      <w:lang w:val="en-US" w:eastAsia="zh-CN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0295"/>
    <w:rPr>
      <w:rFonts w:eastAsia="宋体"/>
      <w:sz w:val="24"/>
      <w:szCs w:val="20"/>
      <w:lang w:val="en-US" w:eastAsia="zh-CN"/>
      <w14:ligatures w14:val="non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9029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90295"/>
  </w:style>
  <w:style w:type="paragraph" w:customStyle="1" w:styleId="sh">
    <w:name w:val="sh"/>
    <w:basedOn w:val="Normal"/>
    <w:rsid w:val="00602D4E"/>
    <w:pPr>
      <w:tabs>
        <w:tab w:val="left" w:pos="720"/>
        <w:tab w:val="left" w:pos="1440"/>
        <w:tab w:val="center" w:pos="4320"/>
        <w:tab w:val="right" w:pos="9072"/>
      </w:tabs>
      <w:spacing w:after="0" w:line="240" w:lineRule="auto"/>
    </w:pPr>
    <w:rPr>
      <w:rFonts w:eastAsia="宋体"/>
      <w:kern w:val="0"/>
      <w:szCs w:val="2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54948-76B4-411F-8F3B-7E7C806B4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2024-08-05T07:04:00Z</dcterms:created>
  <dcterms:modified xsi:type="dcterms:W3CDTF">2024-08-05T07:04:00Z</dcterms:modified>
</cp:coreProperties>
</file>