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E1AF9" w14:textId="2A7E8614" w:rsidR="006F5757" w:rsidRPr="006F5757" w:rsidRDefault="006F5757" w:rsidP="006F5757">
      <w:pPr>
        <w:pStyle w:val="Heading3"/>
        <w:spacing w:before="0" w:after="0" w:line="240" w:lineRule="auto"/>
        <w:ind w:right="-43"/>
        <w:jc w:val="right"/>
        <w:rPr>
          <w:rFonts w:ascii="Times New Roman" w:hAnsi="Times New Roman"/>
          <w:b/>
          <w:color w:val="000000" w:themeColor="text1"/>
        </w:rPr>
      </w:pPr>
      <w:r>
        <w:rPr>
          <w:rFonts w:ascii="Times New Roman" w:hAnsi="Times New Roman"/>
          <w:b/>
          <w:lang w:eastAsia="zh-CN"/>
        </w:rPr>
        <w:br/>
      </w:r>
      <w:bookmarkStart w:id="0" w:name="_GoBack"/>
      <w:r w:rsidRPr="006F5757">
        <w:rPr>
          <w:rFonts w:ascii="Times New Roman" w:hAnsi="Times New Roman" w:hint="eastAsia"/>
          <w:b/>
          <w:color w:val="000000" w:themeColor="text1"/>
          <w:lang w:eastAsia="zh-CN"/>
        </w:rPr>
        <w:t>FAM</w:t>
      </w:r>
      <w:r w:rsidRPr="006F5757">
        <w:rPr>
          <w:rFonts w:ascii="Times New Roman" w:hAnsi="Times New Roman"/>
          <w:b/>
          <w:color w:val="000000" w:themeColor="text1"/>
          <w:lang w:eastAsia="zh-CN"/>
        </w:rPr>
        <w:t>C</w:t>
      </w:r>
      <w:r w:rsidRPr="006F5757">
        <w:rPr>
          <w:rFonts w:ascii="Times New Roman" w:hAnsi="Times New Roman" w:hint="eastAsia"/>
          <w:b/>
          <w:color w:val="000000" w:themeColor="text1"/>
          <w:lang w:eastAsia="zh-CN"/>
        </w:rPr>
        <w:t xml:space="preserve"> No.</w:t>
      </w:r>
      <w:r w:rsidRPr="006F5757">
        <w:rPr>
          <w:rFonts w:ascii="Times New Roman" w:hAnsi="Times New Roman"/>
          <w:b/>
          <w:color w:val="000000" w:themeColor="text1"/>
          <w:lang w:eastAsia="zh-CN"/>
        </w:rPr>
        <w:t xml:space="preserve"> 4 </w:t>
      </w:r>
      <w:r w:rsidRPr="006F5757">
        <w:rPr>
          <w:rFonts w:ascii="Times New Roman" w:hAnsi="Times New Roman"/>
          <w:b/>
          <w:color w:val="000000" w:themeColor="text1"/>
        </w:rPr>
        <w:t>of 2023</w:t>
      </w:r>
      <w:bookmarkEnd w:id="0"/>
    </w:p>
    <w:p w14:paraId="74DD63CC" w14:textId="597008F3" w:rsidR="006F5757" w:rsidRPr="00A66645" w:rsidRDefault="006F5757" w:rsidP="006F5757">
      <w:pPr>
        <w:ind w:left="5760"/>
        <w:jc w:val="right"/>
        <w:rPr>
          <w:color w:val="FF0000"/>
        </w:rPr>
      </w:pPr>
      <w:r w:rsidRPr="00A66645">
        <w:rPr>
          <w:color w:val="FF0000"/>
          <w:lang w:eastAsia="zh-CN"/>
        </w:rPr>
        <w:t xml:space="preserve">      </w:t>
      </w:r>
      <w:r w:rsidRPr="0025778B">
        <w:rPr>
          <w:color w:val="000000" w:themeColor="text1"/>
          <w:lang w:eastAsia="zh-CN"/>
        </w:rPr>
        <w:t xml:space="preserve">[2024] HKCFA </w:t>
      </w:r>
      <w:r w:rsidR="0025778B" w:rsidRPr="0025778B">
        <w:rPr>
          <w:color w:val="000000" w:themeColor="text1"/>
          <w:lang w:eastAsia="zh-CN"/>
        </w:rPr>
        <w:t>19</w:t>
      </w:r>
    </w:p>
    <w:p w14:paraId="6C4A82CA" w14:textId="77777777" w:rsidR="006F5757" w:rsidRDefault="006F5757" w:rsidP="006F5757">
      <w:pPr>
        <w:pStyle w:val="NormalMF"/>
        <w:rPr>
          <w:sz w:val="28"/>
          <w:szCs w:val="28"/>
        </w:rPr>
      </w:pPr>
    </w:p>
    <w:p w14:paraId="01887EFD" w14:textId="77777777" w:rsidR="006F5757" w:rsidRPr="00702CBB" w:rsidRDefault="006F5757" w:rsidP="006F5757">
      <w:pPr>
        <w:pStyle w:val="NormalMF"/>
        <w:rPr>
          <w:sz w:val="28"/>
          <w:szCs w:val="28"/>
        </w:rPr>
      </w:pPr>
      <w:r w:rsidRPr="00702CBB">
        <w:rPr>
          <w:sz w:val="28"/>
          <w:szCs w:val="28"/>
        </w:rPr>
        <w:t>IN THE COURT OF FINAL APPEAL OF THE</w:t>
      </w:r>
    </w:p>
    <w:p w14:paraId="6C7C7045" w14:textId="77777777" w:rsidR="006F5757" w:rsidRPr="00702CBB" w:rsidRDefault="006F5757" w:rsidP="006F5757">
      <w:pPr>
        <w:pStyle w:val="NormalMF"/>
        <w:rPr>
          <w:sz w:val="28"/>
          <w:szCs w:val="28"/>
        </w:rPr>
      </w:pPr>
      <w:r w:rsidRPr="00702CBB">
        <w:rPr>
          <w:sz w:val="28"/>
          <w:szCs w:val="28"/>
        </w:rPr>
        <w:t>HONG KONG SPECIAL ADMINISTRATIVE REGION</w:t>
      </w:r>
    </w:p>
    <w:p w14:paraId="7CEC0864" w14:textId="77777777" w:rsidR="006F5757" w:rsidRPr="00A95B55" w:rsidRDefault="006F5757" w:rsidP="006F5757">
      <w:pPr>
        <w:pStyle w:val="NormalMF"/>
        <w:rPr>
          <w:sz w:val="28"/>
          <w:szCs w:val="28"/>
        </w:rPr>
      </w:pPr>
    </w:p>
    <w:p w14:paraId="060ADD57" w14:textId="77777777" w:rsidR="006F5757" w:rsidRPr="006F5757" w:rsidRDefault="006F5757" w:rsidP="006F5757">
      <w:pPr>
        <w:pStyle w:val="MF"/>
        <w:rPr>
          <w:b/>
          <w:bCs/>
          <w:color w:val="000000" w:themeColor="text1"/>
          <w:szCs w:val="28"/>
        </w:rPr>
      </w:pPr>
      <w:r w:rsidRPr="006F5757">
        <w:rPr>
          <w:rFonts w:eastAsia="宋体" w:hint="eastAsia"/>
          <w:b/>
          <w:bCs/>
          <w:color w:val="000000" w:themeColor="text1"/>
          <w:szCs w:val="28"/>
        </w:rPr>
        <w:t>MIsCELLANEOUS PROCEEDINGS nO.</w:t>
      </w:r>
      <w:r w:rsidRPr="006F5757">
        <w:rPr>
          <w:rFonts w:eastAsia="宋体"/>
          <w:b/>
          <w:bCs/>
          <w:color w:val="000000" w:themeColor="text1"/>
          <w:szCs w:val="28"/>
        </w:rPr>
        <w:t xml:space="preserve"> 4 </w:t>
      </w:r>
      <w:r w:rsidRPr="006F5757">
        <w:rPr>
          <w:b/>
          <w:bCs/>
          <w:color w:val="000000" w:themeColor="text1"/>
          <w:szCs w:val="28"/>
        </w:rPr>
        <w:t>OF 2023 (</w:t>
      </w:r>
      <w:r w:rsidRPr="006F5757">
        <w:rPr>
          <w:rFonts w:eastAsia="宋体" w:hint="eastAsia"/>
          <w:b/>
          <w:bCs/>
          <w:color w:val="000000" w:themeColor="text1"/>
          <w:szCs w:val="28"/>
        </w:rPr>
        <w:t>c</w:t>
      </w:r>
      <w:r w:rsidRPr="006F5757">
        <w:rPr>
          <w:rFonts w:eastAsia="宋体"/>
          <w:b/>
          <w:bCs/>
          <w:color w:val="000000" w:themeColor="text1"/>
          <w:szCs w:val="28"/>
        </w:rPr>
        <w:t>RIMINAL</w:t>
      </w:r>
      <w:r w:rsidRPr="006F5757">
        <w:rPr>
          <w:b/>
          <w:bCs/>
          <w:color w:val="000000" w:themeColor="text1"/>
          <w:szCs w:val="28"/>
        </w:rPr>
        <w:t>)</w:t>
      </w:r>
    </w:p>
    <w:p w14:paraId="69DA1391" w14:textId="77777777" w:rsidR="006F5757" w:rsidRPr="000F65B1" w:rsidRDefault="006F5757" w:rsidP="006F5757">
      <w:pPr>
        <w:pStyle w:val="MF"/>
        <w:tabs>
          <w:tab w:val="clear" w:pos="1440"/>
        </w:tabs>
        <w:rPr>
          <w:rFonts w:eastAsia="宋体"/>
          <w:color w:val="000000" w:themeColor="text1"/>
          <w:szCs w:val="28"/>
        </w:rPr>
      </w:pPr>
      <w:r w:rsidRPr="000F65B1">
        <w:rPr>
          <w:color w:val="000000" w:themeColor="text1"/>
          <w:szCs w:val="28"/>
        </w:rPr>
        <w:t xml:space="preserve">(ON </w:t>
      </w:r>
      <w:r w:rsidRPr="000F65B1">
        <w:rPr>
          <w:rFonts w:eastAsia="宋体" w:hint="eastAsia"/>
          <w:color w:val="000000" w:themeColor="text1"/>
          <w:szCs w:val="28"/>
        </w:rPr>
        <w:t xml:space="preserve">APPLICATION FOR LEAVE TO APPEAL FROM </w:t>
      </w:r>
    </w:p>
    <w:p w14:paraId="6E2D8E05" w14:textId="77777777" w:rsidR="006F5757" w:rsidRPr="00B001DB" w:rsidRDefault="006F5757" w:rsidP="006F5757">
      <w:pPr>
        <w:pStyle w:val="MF"/>
        <w:rPr>
          <w:color w:val="FF0000"/>
          <w:szCs w:val="28"/>
        </w:rPr>
      </w:pPr>
      <w:r w:rsidRPr="000F65B1">
        <w:rPr>
          <w:rFonts w:eastAsia="宋体"/>
          <w:color w:val="000000" w:themeColor="text1"/>
          <w:szCs w:val="28"/>
        </w:rPr>
        <w:t xml:space="preserve">HCCC </w:t>
      </w:r>
      <w:r w:rsidRPr="000F65B1">
        <w:rPr>
          <w:rFonts w:eastAsia="宋体" w:hint="eastAsia"/>
          <w:color w:val="000000" w:themeColor="text1"/>
          <w:szCs w:val="28"/>
        </w:rPr>
        <w:t>NO.</w:t>
      </w:r>
      <w:r w:rsidRPr="000F65B1">
        <w:rPr>
          <w:rFonts w:eastAsia="宋体"/>
          <w:color w:val="000000" w:themeColor="text1"/>
          <w:szCs w:val="28"/>
        </w:rPr>
        <w:t xml:space="preserve"> 200</w:t>
      </w:r>
      <w:r w:rsidRPr="000F65B1">
        <w:rPr>
          <w:rFonts w:eastAsia="宋体" w:hint="eastAsia"/>
          <w:color w:val="000000" w:themeColor="text1"/>
          <w:szCs w:val="28"/>
        </w:rPr>
        <w:t xml:space="preserve"> OF 20</w:t>
      </w:r>
      <w:r w:rsidRPr="000F65B1">
        <w:rPr>
          <w:rFonts w:eastAsia="宋体"/>
          <w:color w:val="000000" w:themeColor="text1"/>
          <w:szCs w:val="28"/>
        </w:rPr>
        <w:t>21</w:t>
      </w:r>
      <w:r w:rsidRPr="000F65B1">
        <w:rPr>
          <w:color w:val="000000" w:themeColor="text1"/>
          <w:szCs w:val="28"/>
        </w:rPr>
        <w:t>)</w:t>
      </w:r>
    </w:p>
    <w:p w14:paraId="64AE48AE" w14:textId="77777777" w:rsidR="006F5757" w:rsidRDefault="006F5757" w:rsidP="006F5757">
      <w:pPr>
        <w:pStyle w:val="MF"/>
        <w:rPr>
          <w:szCs w:val="28"/>
          <w:lang w:eastAsia="zh-TW"/>
        </w:rPr>
      </w:pPr>
      <w:r w:rsidRPr="003015D9">
        <w:rPr>
          <w:szCs w:val="28"/>
        </w:rPr>
        <w:t>_______________________</w:t>
      </w:r>
    </w:p>
    <w:p w14:paraId="0D272696" w14:textId="77777777" w:rsidR="006F5757" w:rsidRDefault="006F5757" w:rsidP="006F5757">
      <w:pPr>
        <w:spacing w:after="0" w:line="240" w:lineRule="auto"/>
        <w:jc w:val="center"/>
        <w:rPr>
          <w:color w:val="000000"/>
        </w:rPr>
      </w:pPr>
    </w:p>
    <w:p w14:paraId="32000722" w14:textId="77777777" w:rsidR="006F5757" w:rsidRPr="00A66645" w:rsidRDefault="006F5757" w:rsidP="006F5757">
      <w:pPr>
        <w:spacing w:after="0" w:line="240" w:lineRule="auto"/>
        <w:rPr>
          <w:b/>
          <w:color w:val="000000"/>
          <w:lang w:eastAsia="zh-TW"/>
        </w:rPr>
      </w:pPr>
      <w:r w:rsidRPr="00A66645">
        <w:rPr>
          <w:b/>
          <w:color w:val="000000"/>
        </w:rPr>
        <w:t>B</w:t>
      </w:r>
      <w:r w:rsidRPr="00A66645">
        <w:rPr>
          <w:rFonts w:eastAsia="宋体" w:hint="eastAsia"/>
          <w:b/>
          <w:color w:val="000000"/>
          <w:lang w:eastAsia="zh-CN"/>
        </w:rPr>
        <w:t>ETWEEN</w:t>
      </w:r>
      <w:r w:rsidRPr="00A66645">
        <w:rPr>
          <w:b/>
          <w:color w:val="000000"/>
        </w:rPr>
        <w:t xml:space="preserve"> </w:t>
      </w:r>
    </w:p>
    <w:p w14:paraId="461E777F" w14:textId="77777777" w:rsidR="006F5757" w:rsidRPr="00950C05" w:rsidRDefault="006F5757" w:rsidP="006F5757">
      <w:pPr>
        <w:spacing w:after="0" w:line="240" w:lineRule="auto"/>
        <w:rPr>
          <w:color w:val="000000"/>
          <w:sz w:val="18"/>
          <w:szCs w:val="18"/>
          <w:lang w:eastAsia="zh-TW"/>
        </w:rPr>
      </w:pPr>
    </w:p>
    <w:tbl>
      <w:tblPr>
        <w:tblW w:w="9214" w:type="dxa"/>
        <w:tblInd w:w="108" w:type="dxa"/>
        <w:tblLayout w:type="fixed"/>
        <w:tblLook w:val="0000" w:firstRow="0" w:lastRow="0" w:firstColumn="0" w:lastColumn="0" w:noHBand="0" w:noVBand="0"/>
      </w:tblPr>
      <w:tblGrid>
        <w:gridCol w:w="6946"/>
        <w:gridCol w:w="2268"/>
      </w:tblGrid>
      <w:tr w:rsidR="006F5757" w:rsidRPr="00950C05" w14:paraId="074F2627" w14:textId="77777777" w:rsidTr="00130AC3">
        <w:trPr>
          <w:cantSplit/>
          <w:trHeight w:val="794"/>
        </w:trPr>
        <w:tc>
          <w:tcPr>
            <w:tcW w:w="6946" w:type="dxa"/>
          </w:tcPr>
          <w:p w14:paraId="19DB1C4E" w14:textId="77777777" w:rsidR="006F5757" w:rsidRPr="00A66645" w:rsidRDefault="006F5757" w:rsidP="00130AC3">
            <w:pPr>
              <w:spacing w:after="240" w:line="240" w:lineRule="auto"/>
              <w:jc w:val="center"/>
              <w:rPr>
                <w:rFonts w:eastAsia="宋体"/>
                <w:b/>
                <w:bCs/>
                <w:color w:val="000000"/>
                <w:lang w:eastAsia="zh-CN"/>
              </w:rPr>
            </w:pPr>
            <w:r>
              <w:rPr>
                <w:rFonts w:eastAsia="宋体"/>
                <w:b/>
              </w:rPr>
              <w:t xml:space="preserve">                         HKSAR</w:t>
            </w:r>
          </w:p>
        </w:tc>
        <w:tc>
          <w:tcPr>
            <w:tcW w:w="2268" w:type="dxa"/>
          </w:tcPr>
          <w:p w14:paraId="05D995A9" w14:textId="77777777" w:rsidR="006F5757" w:rsidRPr="00A66645" w:rsidRDefault="006F5757" w:rsidP="00130AC3">
            <w:pPr>
              <w:spacing w:after="0" w:line="240" w:lineRule="auto"/>
              <w:jc w:val="right"/>
              <w:rPr>
                <w:rFonts w:eastAsia="宋体"/>
                <w:b/>
                <w:color w:val="000000"/>
                <w:lang w:eastAsia="zh-CN"/>
              </w:rPr>
            </w:pPr>
            <w:r>
              <w:rPr>
                <w:rFonts w:eastAsia="宋体"/>
                <w:b/>
                <w:lang w:eastAsia="zh-CN"/>
              </w:rPr>
              <w:t xml:space="preserve">Respondent </w:t>
            </w:r>
          </w:p>
        </w:tc>
      </w:tr>
      <w:tr w:rsidR="006F5757" w:rsidRPr="00493DEC" w14:paraId="56D1064B" w14:textId="77777777" w:rsidTr="00130AC3">
        <w:trPr>
          <w:cantSplit/>
          <w:trHeight w:val="794"/>
        </w:trPr>
        <w:tc>
          <w:tcPr>
            <w:tcW w:w="6946" w:type="dxa"/>
          </w:tcPr>
          <w:p w14:paraId="02774AAA" w14:textId="77777777" w:rsidR="006F5757" w:rsidRPr="00702CBB" w:rsidRDefault="006F5757" w:rsidP="00130AC3">
            <w:pPr>
              <w:spacing w:after="240" w:line="240" w:lineRule="auto"/>
              <w:jc w:val="center"/>
              <w:rPr>
                <w:rFonts w:eastAsia="宋体"/>
                <w:b/>
                <w:bCs/>
                <w:color w:val="000000"/>
                <w:lang w:eastAsia="zh-CN"/>
              </w:rPr>
            </w:pPr>
            <w:r>
              <w:rPr>
                <w:rFonts w:eastAsia="宋体"/>
                <w:b/>
              </w:rPr>
              <w:t xml:space="preserve">                     </w:t>
            </w:r>
            <w:r>
              <w:rPr>
                <w:rFonts w:ascii="PMingLiU" w:hAnsi="PMingLiU" w:hint="eastAsia"/>
                <w:b/>
                <w:lang w:eastAsia="zh-TW"/>
              </w:rPr>
              <w:t xml:space="preserve">　</w:t>
            </w:r>
            <w:r>
              <w:rPr>
                <w:rFonts w:eastAsia="宋体"/>
                <w:b/>
              </w:rPr>
              <w:t>a</w:t>
            </w:r>
            <w:r w:rsidRPr="00702CBB">
              <w:rPr>
                <w:rFonts w:eastAsia="宋体" w:hint="eastAsia"/>
                <w:b/>
              </w:rPr>
              <w:t>nd</w:t>
            </w:r>
          </w:p>
        </w:tc>
        <w:tc>
          <w:tcPr>
            <w:tcW w:w="2268" w:type="dxa"/>
          </w:tcPr>
          <w:p w14:paraId="3577FA7B" w14:textId="77777777" w:rsidR="006F5757" w:rsidRPr="00702CBB" w:rsidRDefault="006F5757" w:rsidP="00130AC3">
            <w:pPr>
              <w:spacing w:after="0" w:line="240" w:lineRule="auto"/>
              <w:jc w:val="right"/>
              <w:rPr>
                <w:rFonts w:eastAsia="宋体"/>
                <w:b/>
                <w:color w:val="000000"/>
                <w:lang w:eastAsia="zh-CN"/>
              </w:rPr>
            </w:pPr>
          </w:p>
        </w:tc>
      </w:tr>
      <w:tr w:rsidR="006F5757" w:rsidRPr="00493DEC" w14:paraId="4D61D5E7" w14:textId="77777777" w:rsidTr="00130AC3">
        <w:trPr>
          <w:cantSplit/>
          <w:trHeight w:val="794"/>
        </w:trPr>
        <w:tc>
          <w:tcPr>
            <w:tcW w:w="6946" w:type="dxa"/>
          </w:tcPr>
          <w:p w14:paraId="2BEB5246" w14:textId="77777777" w:rsidR="006F5757" w:rsidRPr="00A66645" w:rsidRDefault="006F5757" w:rsidP="00130AC3">
            <w:pPr>
              <w:spacing w:after="240" w:line="240" w:lineRule="auto"/>
              <w:jc w:val="center"/>
              <w:rPr>
                <w:rFonts w:eastAsia="宋体"/>
                <w:b/>
              </w:rPr>
            </w:pPr>
            <w:r>
              <w:rPr>
                <w:rFonts w:eastAsia="宋体"/>
                <w:b/>
              </w:rPr>
              <w:t xml:space="preserve">                           CHEN FEN </w:t>
            </w:r>
            <w:r w:rsidRPr="00A66645">
              <w:rPr>
                <w:rFonts w:eastAsia="宋体"/>
                <w:b/>
              </w:rPr>
              <w:t>(</w:t>
            </w:r>
            <w:r>
              <w:rPr>
                <w:rFonts w:ascii="PMingLiU" w:hAnsi="PMingLiU" w:hint="eastAsia"/>
                <w:b/>
                <w:lang w:val="en-US" w:eastAsia="zh-HK"/>
              </w:rPr>
              <w:t>陳奮</w:t>
            </w:r>
            <w:r w:rsidRPr="00A66645">
              <w:rPr>
                <w:rFonts w:eastAsia="宋体"/>
                <w:b/>
              </w:rPr>
              <w:t>)</w:t>
            </w:r>
            <w:r w:rsidRPr="00A66645">
              <w:rPr>
                <w:rFonts w:eastAsia="宋体"/>
                <w:b/>
              </w:rPr>
              <w:br/>
            </w:r>
            <w:r>
              <w:rPr>
                <w:rFonts w:eastAsia="宋体"/>
                <w:b/>
              </w:rPr>
              <w:t xml:space="preserve">      </w:t>
            </w:r>
            <w:r w:rsidRPr="00A66645">
              <w:rPr>
                <w:rFonts w:eastAsia="宋体"/>
                <w:b/>
              </w:rPr>
              <w:t xml:space="preserve"> </w:t>
            </w:r>
          </w:p>
        </w:tc>
        <w:tc>
          <w:tcPr>
            <w:tcW w:w="2268" w:type="dxa"/>
          </w:tcPr>
          <w:p w14:paraId="7DC017E6" w14:textId="77777777" w:rsidR="006F5757" w:rsidRPr="00702CBB" w:rsidRDefault="006F5757" w:rsidP="00130AC3">
            <w:pPr>
              <w:spacing w:after="0" w:line="240" w:lineRule="auto"/>
              <w:jc w:val="right"/>
              <w:rPr>
                <w:rFonts w:eastAsia="宋体"/>
                <w:b/>
                <w:color w:val="000000"/>
                <w:lang w:eastAsia="zh-CN"/>
              </w:rPr>
            </w:pPr>
            <w:r>
              <w:rPr>
                <w:rFonts w:eastAsia="宋体"/>
                <w:b/>
                <w:color w:val="000000"/>
                <w:lang w:eastAsia="zh-CN"/>
              </w:rPr>
              <w:t xml:space="preserve">Applicant </w:t>
            </w:r>
          </w:p>
        </w:tc>
      </w:tr>
    </w:tbl>
    <w:p w14:paraId="3D57E8CB" w14:textId="77777777" w:rsidR="006F5757" w:rsidRDefault="006F5757" w:rsidP="006F5757">
      <w:pPr>
        <w:pStyle w:val="MF"/>
        <w:rPr>
          <w:szCs w:val="28"/>
        </w:rPr>
      </w:pPr>
      <w:r w:rsidRPr="003015D9">
        <w:rPr>
          <w:szCs w:val="28"/>
        </w:rPr>
        <w:t>_______________________</w:t>
      </w:r>
    </w:p>
    <w:p w14:paraId="708A8078" w14:textId="77777777" w:rsidR="006F5757" w:rsidRDefault="006F5757" w:rsidP="006F5757">
      <w:pPr>
        <w:pStyle w:val="MF"/>
        <w:jc w:val="left"/>
        <w:rPr>
          <w:szCs w:val="28"/>
          <w:lang w:eastAsia="zh-TW"/>
        </w:rPr>
      </w:pPr>
    </w:p>
    <w:tbl>
      <w:tblPr>
        <w:tblW w:w="9450" w:type="dxa"/>
        <w:tblInd w:w="108" w:type="dxa"/>
        <w:tblLook w:val="0000" w:firstRow="0" w:lastRow="0" w:firstColumn="0" w:lastColumn="0" w:noHBand="0" w:noVBand="0"/>
      </w:tblPr>
      <w:tblGrid>
        <w:gridCol w:w="2970"/>
        <w:gridCol w:w="6480"/>
      </w:tblGrid>
      <w:tr w:rsidR="006F5757" w:rsidRPr="003B62C0" w14:paraId="24F3C473" w14:textId="77777777" w:rsidTr="00130AC3">
        <w:trPr>
          <w:trHeight w:val="720"/>
        </w:trPr>
        <w:tc>
          <w:tcPr>
            <w:tcW w:w="2970" w:type="dxa"/>
          </w:tcPr>
          <w:p w14:paraId="0C6F7BCD" w14:textId="77777777" w:rsidR="006F5757" w:rsidRPr="003B62C0" w:rsidRDefault="006F5757" w:rsidP="00130AC3">
            <w:pPr>
              <w:spacing w:after="0" w:line="240" w:lineRule="auto"/>
              <w:rPr>
                <w:rFonts w:eastAsia="宋体"/>
                <w:lang w:val="en-US" w:eastAsia="zh-CN"/>
              </w:rPr>
            </w:pPr>
            <w:r w:rsidRPr="003B62C0">
              <w:rPr>
                <w:rFonts w:eastAsia="宋体"/>
                <w:lang w:val="en-US"/>
              </w:rPr>
              <w:t>Appeal Committee</w:t>
            </w:r>
            <w:r w:rsidRPr="003B62C0">
              <w:rPr>
                <w:rFonts w:eastAsia="宋体"/>
                <w:lang w:val="en-US" w:eastAsia="zh-CN"/>
              </w:rPr>
              <w:t>:</w:t>
            </w:r>
          </w:p>
        </w:tc>
        <w:tc>
          <w:tcPr>
            <w:tcW w:w="6480" w:type="dxa"/>
          </w:tcPr>
          <w:p w14:paraId="2BED12DC" w14:textId="77777777" w:rsidR="006F5757" w:rsidRDefault="006F5757" w:rsidP="00130AC3">
            <w:pPr>
              <w:snapToGrid w:val="0"/>
              <w:spacing w:after="0" w:line="240" w:lineRule="auto"/>
              <w:jc w:val="both"/>
              <w:rPr>
                <w:rFonts w:eastAsia="宋体"/>
                <w:lang w:val="en-US"/>
              </w:rPr>
            </w:pPr>
            <w:r>
              <w:rPr>
                <w:rFonts w:hint="eastAsia"/>
                <w:lang w:eastAsia="zh-CN"/>
              </w:rPr>
              <w:t xml:space="preserve">Mr Justice Ribeiro </w:t>
            </w:r>
            <w:r w:rsidRPr="003B62C0">
              <w:rPr>
                <w:rFonts w:eastAsia="宋体"/>
                <w:lang w:val="en-US"/>
              </w:rPr>
              <w:t>PJ</w:t>
            </w:r>
            <w:r>
              <w:rPr>
                <w:rFonts w:eastAsia="宋体"/>
                <w:lang w:val="en-US"/>
              </w:rPr>
              <w:t>,</w:t>
            </w:r>
            <w:r w:rsidRPr="003B62C0">
              <w:rPr>
                <w:rFonts w:eastAsia="宋体"/>
                <w:lang w:val="en-US"/>
              </w:rPr>
              <w:t xml:space="preserve"> </w:t>
            </w:r>
            <w:proofErr w:type="spellStart"/>
            <w:r w:rsidRPr="00D56BE8">
              <w:rPr>
                <w:rFonts w:eastAsia="宋体"/>
                <w:lang w:val="en-US"/>
              </w:rPr>
              <w:t>Mr</w:t>
            </w:r>
            <w:proofErr w:type="spellEnd"/>
            <w:r w:rsidRPr="00D56BE8">
              <w:rPr>
                <w:rFonts w:eastAsia="宋体"/>
                <w:lang w:val="en-US"/>
              </w:rPr>
              <w:t xml:space="preserve"> Justice </w:t>
            </w:r>
            <w:proofErr w:type="spellStart"/>
            <w:r>
              <w:rPr>
                <w:rFonts w:eastAsia="宋体"/>
                <w:lang w:val="en-US"/>
              </w:rPr>
              <w:t>Fok</w:t>
            </w:r>
            <w:proofErr w:type="spellEnd"/>
            <w:r w:rsidRPr="00D56BE8">
              <w:rPr>
                <w:rFonts w:eastAsia="宋体"/>
                <w:lang w:val="en-US"/>
              </w:rPr>
              <w:t xml:space="preserve"> PJ</w:t>
            </w:r>
            <w:r>
              <w:rPr>
                <w:rFonts w:eastAsia="宋体"/>
                <w:lang w:val="en-US"/>
              </w:rPr>
              <w:t xml:space="preserve"> and</w:t>
            </w:r>
          </w:p>
          <w:p w14:paraId="40F93BEB" w14:textId="77777777" w:rsidR="006F5757" w:rsidRDefault="006F5757" w:rsidP="00130AC3">
            <w:pPr>
              <w:snapToGrid w:val="0"/>
              <w:spacing w:after="0" w:line="240" w:lineRule="auto"/>
              <w:jc w:val="both"/>
              <w:rPr>
                <w:rFonts w:eastAsia="宋体"/>
                <w:lang w:val="en-US"/>
              </w:rPr>
            </w:pPr>
            <w:proofErr w:type="spellStart"/>
            <w:r w:rsidRPr="008727D4">
              <w:rPr>
                <w:rFonts w:eastAsia="宋体"/>
                <w:lang w:val="en-US"/>
              </w:rPr>
              <w:t>Mr</w:t>
            </w:r>
            <w:proofErr w:type="spellEnd"/>
            <w:r w:rsidRPr="008727D4">
              <w:rPr>
                <w:rFonts w:eastAsia="宋体"/>
                <w:lang w:val="en-US"/>
              </w:rPr>
              <w:t xml:space="preserve"> Justice </w:t>
            </w:r>
            <w:r>
              <w:rPr>
                <w:rFonts w:eastAsia="宋体"/>
                <w:lang w:val="en-US"/>
              </w:rPr>
              <w:t xml:space="preserve">Lam </w:t>
            </w:r>
            <w:r w:rsidRPr="00D56BE8">
              <w:rPr>
                <w:rFonts w:eastAsia="宋体"/>
                <w:lang w:val="en-US"/>
              </w:rPr>
              <w:t>PJ</w:t>
            </w:r>
          </w:p>
          <w:p w14:paraId="347C707A" w14:textId="77777777" w:rsidR="006F5757" w:rsidRPr="003B62C0" w:rsidRDefault="006F5757" w:rsidP="00130AC3">
            <w:pPr>
              <w:snapToGrid w:val="0"/>
              <w:spacing w:after="0" w:line="240" w:lineRule="auto"/>
              <w:jc w:val="both"/>
              <w:rPr>
                <w:rFonts w:eastAsia="宋体"/>
                <w:lang w:val="en-US" w:eastAsia="zh-CN"/>
              </w:rPr>
            </w:pPr>
          </w:p>
        </w:tc>
      </w:tr>
      <w:tr w:rsidR="006F5757" w:rsidRPr="003B62C0" w14:paraId="212FCD16" w14:textId="77777777" w:rsidTr="00130AC3">
        <w:trPr>
          <w:trHeight w:val="720"/>
        </w:trPr>
        <w:tc>
          <w:tcPr>
            <w:tcW w:w="2970" w:type="dxa"/>
          </w:tcPr>
          <w:p w14:paraId="36C4383C" w14:textId="673F225C" w:rsidR="006F5757" w:rsidRDefault="006F5757" w:rsidP="00130AC3">
            <w:pPr>
              <w:spacing w:after="0" w:line="240" w:lineRule="auto"/>
              <w:rPr>
                <w:rFonts w:eastAsia="宋体"/>
                <w:lang w:val="en-US" w:eastAsia="zh-CN"/>
              </w:rPr>
            </w:pPr>
            <w:r w:rsidRPr="0050198F">
              <w:rPr>
                <w:rFonts w:eastAsia="宋体"/>
                <w:lang w:val="en-US" w:eastAsia="zh-CN"/>
              </w:rPr>
              <w:t>Date of Hearing and Determination:</w:t>
            </w:r>
          </w:p>
          <w:p w14:paraId="7C161E3A" w14:textId="2451082F" w:rsidR="000F65B1" w:rsidRDefault="000F65B1" w:rsidP="00130AC3">
            <w:pPr>
              <w:spacing w:after="0" w:line="240" w:lineRule="auto"/>
              <w:rPr>
                <w:rFonts w:eastAsia="宋体"/>
                <w:lang w:val="en-US" w:eastAsia="zh-CN"/>
              </w:rPr>
            </w:pPr>
          </w:p>
          <w:p w14:paraId="53B3ADF8" w14:textId="6875191A" w:rsidR="000F65B1" w:rsidRDefault="000F65B1" w:rsidP="00130AC3">
            <w:pPr>
              <w:spacing w:after="0" w:line="240" w:lineRule="auto"/>
              <w:rPr>
                <w:rFonts w:eastAsia="宋体"/>
                <w:lang w:val="en-US" w:eastAsia="zh-CN"/>
              </w:rPr>
            </w:pPr>
            <w:r>
              <w:rPr>
                <w:rFonts w:eastAsia="宋体"/>
                <w:lang w:val="en-US" w:eastAsia="zh-CN"/>
              </w:rPr>
              <w:t>Date of Reasons for Determination:</w:t>
            </w:r>
          </w:p>
          <w:p w14:paraId="20AE2213" w14:textId="77777777" w:rsidR="006F5757" w:rsidRPr="0050198F" w:rsidRDefault="006F5757" w:rsidP="00130AC3">
            <w:pPr>
              <w:spacing w:after="0" w:line="240" w:lineRule="auto"/>
              <w:rPr>
                <w:rFonts w:eastAsia="宋体"/>
                <w:lang w:val="en-US" w:eastAsia="zh-CN"/>
              </w:rPr>
            </w:pPr>
          </w:p>
        </w:tc>
        <w:tc>
          <w:tcPr>
            <w:tcW w:w="6480" w:type="dxa"/>
          </w:tcPr>
          <w:p w14:paraId="535E094B" w14:textId="77777777" w:rsidR="006F5757" w:rsidRPr="0050198F" w:rsidRDefault="006F5757" w:rsidP="00130AC3">
            <w:pPr>
              <w:spacing w:after="0" w:line="240" w:lineRule="auto"/>
              <w:rPr>
                <w:rFonts w:eastAsia="宋体"/>
                <w:lang w:val="en-US" w:eastAsia="zh-CN"/>
              </w:rPr>
            </w:pPr>
          </w:p>
          <w:p w14:paraId="25D7C743" w14:textId="77777777" w:rsidR="006F5757" w:rsidRDefault="006F5757" w:rsidP="00130AC3">
            <w:pPr>
              <w:tabs>
                <w:tab w:val="left" w:pos="2328"/>
              </w:tabs>
              <w:spacing w:after="0" w:line="240" w:lineRule="auto"/>
              <w:rPr>
                <w:rFonts w:eastAsia="宋体"/>
                <w:lang w:val="en-US" w:eastAsia="zh-CN"/>
              </w:rPr>
            </w:pPr>
            <w:r>
              <w:rPr>
                <w:rFonts w:eastAsia="宋体"/>
                <w:lang w:val="en-US" w:eastAsia="zh-CN"/>
              </w:rPr>
              <w:t>5 July</w:t>
            </w:r>
            <w:r w:rsidRPr="0050198F">
              <w:rPr>
                <w:rFonts w:eastAsia="宋体"/>
                <w:lang w:val="en-US" w:eastAsia="zh-CN"/>
              </w:rPr>
              <w:t xml:space="preserve"> 202</w:t>
            </w:r>
            <w:r>
              <w:rPr>
                <w:rFonts w:eastAsia="宋体"/>
                <w:lang w:val="en-US" w:eastAsia="zh-CN"/>
              </w:rPr>
              <w:t>4</w:t>
            </w:r>
          </w:p>
          <w:p w14:paraId="393D5A6F" w14:textId="77777777" w:rsidR="000F65B1" w:rsidRDefault="000F65B1" w:rsidP="00130AC3">
            <w:pPr>
              <w:tabs>
                <w:tab w:val="left" w:pos="2328"/>
              </w:tabs>
              <w:spacing w:after="0" w:line="240" w:lineRule="auto"/>
              <w:rPr>
                <w:rFonts w:eastAsia="宋体"/>
                <w:lang w:val="en-US" w:eastAsia="zh-CN"/>
              </w:rPr>
            </w:pPr>
          </w:p>
          <w:p w14:paraId="63AF3794" w14:textId="77777777" w:rsidR="000F65B1" w:rsidRDefault="000F65B1" w:rsidP="00130AC3">
            <w:pPr>
              <w:tabs>
                <w:tab w:val="left" w:pos="2328"/>
              </w:tabs>
              <w:spacing w:after="0" w:line="240" w:lineRule="auto"/>
              <w:rPr>
                <w:rFonts w:eastAsia="宋体"/>
                <w:lang w:val="en-US" w:eastAsia="zh-CN"/>
              </w:rPr>
            </w:pPr>
          </w:p>
          <w:p w14:paraId="59976CA5" w14:textId="1554CED9" w:rsidR="000F65B1" w:rsidRPr="0050198F" w:rsidRDefault="004F5E99" w:rsidP="00130AC3">
            <w:pPr>
              <w:tabs>
                <w:tab w:val="left" w:pos="2328"/>
              </w:tabs>
              <w:spacing w:after="0" w:line="240" w:lineRule="auto"/>
              <w:rPr>
                <w:rFonts w:eastAsia="宋体"/>
                <w:lang w:val="en-US" w:eastAsia="zh-CN"/>
              </w:rPr>
            </w:pPr>
            <w:r>
              <w:rPr>
                <w:rFonts w:eastAsia="宋体"/>
                <w:lang w:val="en-US" w:eastAsia="zh-CN"/>
              </w:rPr>
              <w:t>11</w:t>
            </w:r>
            <w:r w:rsidR="000F65B1">
              <w:rPr>
                <w:rFonts w:eastAsia="宋体"/>
                <w:lang w:val="en-US" w:eastAsia="zh-CN"/>
              </w:rPr>
              <w:t xml:space="preserve"> July 2024</w:t>
            </w:r>
          </w:p>
        </w:tc>
      </w:tr>
    </w:tbl>
    <w:p w14:paraId="1D1674D8" w14:textId="3D7F51DC" w:rsidR="006F5757" w:rsidRPr="008B0CD0" w:rsidRDefault="006F5757" w:rsidP="006F5757">
      <w:pPr>
        <w:pStyle w:val="BodyTextIndent"/>
        <w:tabs>
          <w:tab w:val="left" w:pos="0"/>
          <w:tab w:val="left" w:pos="540"/>
        </w:tabs>
        <w:ind w:left="0" w:right="118" w:firstLine="0"/>
        <w:rPr>
          <w:sz w:val="28"/>
          <w:szCs w:val="28"/>
        </w:rPr>
      </w:pPr>
      <w:r w:rsidRPr="008B0CD0">
        <w:rPr>
          <w:rFonts w:hint="eastAsia"/>
        </w:rPr>
        <w:tab/>
      </w:r>
      <w:r w:rsidRPr="008B0CD0">
        <w:rPr>
          <w:rFonts w:hint="eastAsia"/>
        </w:rPr>
        <w:tab/>
      </w:r>
      <w:r w:rsidRPr="008B0CD0">
        <w:rPr>
          <w:rFonts w:hint="eastAsia"/>
        </w:rPr>
        <w:tab/>
      </w:r>
      <w:r w:rsidRPr="008B0CD0">
        <w:rPr>
          <w:rFonts w:hint="eastAsia"/>
        </w:rPr>
        <w:tab/>
      </w:r>
      <w:r w:rsidRPr="008B0CD0">
        <w:rPr>
          <w:rFonts w:hint="eastAsia"/>
        </w:rPr>
        <w:tab/>
      </w:r>
    </w:p>
    <w:tbl>
      <w:tblPr>
        <w:tblW w:w="0" w:type="auto"/>
        <w:tblInd w:w="2088" w:type="dxa"/>
        <w:tblBorders>
          <w:top w:val="single" w:sz="4" w:space="0" w:color="auto"/>
          <w:bottom w:val="single" w:sz="4" w:space="0" w:color="auto"/>
        </w:tblBorders>
        <w:tblLook w:val="04A0" w:firstRow="1" w:lastRow="0" w:firstColumn="1" w:lastColumn="0" w:noHBand="0" w:noVBand="1"/>
      </w:tblPr>
      <w:tblGrid>
        <w:gridCol w:w="4950"/>
      </w:tblGrid>
      <w:tr w:rsidR="006F5757" w:rsidRPr="00492E51" w14:paraId="23581FB3" w14:textId="77777777" w:rsidTr="00130AC3">
        <w:tc>
          <w:tcPr>
            <w:tcW w:w="4950" w:type="dxa"/>
          </w:tcPr>
          <w:p w14:paraId="018D4336" w14:textId="6D38CC1A" w:rsidR="006F5757" w:rsidRPr="0050198F" w:rsidRDefault="000F65B1" w:rsidP="00130AC3">
            <w:pPr>
              <w:pStyle w:val="sh"/>
              <w:tabs>
                <w:tab w:val="clear" w:pos="720"/>
              </w:tabs>
              <w:snapToGrid w:val="0"/>
              <w:spacing w:before="240" w:after="240"/>
              <w:jc w:val="center"/>
              <w:rPr>
                <w:b/>
                <w:szCs w:val="28"/>
              </w:rPr>
            </w:pPr>
            <w:r>
              <w:rPr>
                <w:b/>
                <w:szCs w:val="28"/>
              </w:rPr>
              <w:t xml:space="preserve">REASONS FOR </w:t>
            </w:r>
            <w:r w:rsidR="006F5757" w:rsidRPr="0050198F">
              <w:rPr>
                <w:b/>
                <w:szCs w:val="28"/>
              </w:rPr>
              <w:t>DETERMINATION</w:t>
            </w:r>
          </w:p>
        </w:tc>
      </w:tr>
    </w:tbl>
    <w:p w14:paraId="2063A2A5" w14:textId="66B9BD51" w:rsidR="000F65B1" w:rsidRDefault="000F65B1">
      <w:pPr>
        <w:rPr>
          <w:b/>
          <w:bCs/>
        </w:rPr>
      </w:pPr>
    </w:p>
    <w:p w14:paraId="080E47AB" w14:textId="0C793144" w:rsidR="00F10873" w:rsidRPr="00F22C91" w:rsidRDefault="00273A8A" w:rsidP="00273A8A">
      <w:pPr>
        <w:pStyle w:val="Bob1"/>
        <w:numPr>
          <w:ilvl w:val="0"/>
          <w:numId w:val="0"/>
        </w:numPr>
        <w:ind w:left="720" w:hanging="720"/>
        <w:rPr>
          <w:b/>
          <w:bCs/>
        </w:rPr>
      </w:pPr>
      <w:r w:rsidRPr="00F22C91">
        <w:rPr>
          <w:b/>
          <w:bCs/>
        </w:rPr>
        <w:t>Appeal Committee:</w:t>
      </w:r>
    </w:p>
    <w:p w14:paraId="5B3482F5" w14:textId="5D3383D7" w:rsidR="00F10873" w:rsidRPr="00313CB4" w:rsidRDefault="00603BF2" w:rsidP="006F5757">
      <w:pPr>
        <w:pStyle w:val="Bob1"/>
        <w:tabs>
          <w:tab w:val="clear" w:pos="720"/>
          <w:tab w:val="left" w:pos="1440"/>
        </w:tabs>
        <w:ind w:left="0" w:firstLine="0"/>
        <w:jc w:val="both"/>
      </w:pPr>
      <w:r w:rsidRPr="00313CB4">
        <w:t xml:space="preserve">The applicant </w:t>
      </w:r>
      <w:r w:rsidR="00313CB4" w:rsidRPr="00313CB4">
        <w:t>(“</w:t>
      </w:r>
      <w:r w:rsidR="00313CB4" w:rsidRPr="00F22C91">
        <w:rPr>
          <w:u w:val="single"/>
        </w:rPr>
        <w:t>A</w:t>
      </w:r>
      <w:r w:rsidR="00313CB4" w:rsidRPr="00313CB4">
        <w:t xml:space="preserve">”) </w:t>
      </w:r>
      <w:r w:rsidRPr="00313CB4">
        <w:t>was charged</w:t>
      </w:r>
      <w:r w:rsidR="00313CB4" w:rsidRPr="00313CB4">
        <w:t xml:space="preserve"> in the alternative</w:t>
      </w:r>
      <w:r w:rsidRPr="00313CB4">
        <w:t xml:space="preserve"> with </w:t>
      </w:r>
      <w:r w:rsidR="00273A8A">
        <w:t xml:space="preserve">attempted </w:t>
      </w:r>
      <w:r w:rsidRPr="00313CB4">
        <w:t xml:space="preserve">rape and indecent assault.  </w:t>
      </w:r>
      <w:r w:rsidR="00313CB4" w:rsidRPr="00313CB4">
        <w:t>He was acquitted when t</w:t>
      </w:r>
      <w:r w:rsidRPr="00313CB4">
        <w:t xml:space="preserve">he prosecution offered no </w:t>
      </w:r>
      <w:r w:rsidRPr="00313CB4">
        <w:lastRenderedPageBreak/>
        <w:t>evidence</w:t>
      </w:r>
      <w:r w:rsidR="00313CB4" w:rsidRPr="00313CB4">
        <w:t>,</w:t>
      </w:r>
      <w:r w:rsidRPr="00313CB4">
        <w:t xml:space="preserve"> but </w:t>
      </w:r>
      <w:r w:rsidR="00273A8A">
        <w:t xml:space="preserve">Mrs Justice </w:t>
      </w:r>
      <w:r w:rsidRPr="00313CB4">
        <w:t>Barnes refused him costs.</w:t>
      </w:r>
      <w:r w:rsidR="00273A8A">
        <w:rPr>
          <w:rStyle w:val="FootnoteReference"/>
        </w:rPr>
        <w:footnoteReference w:id="1"/>
      </w:r>
      <w:r w:rsidRPr="00313CB4">
        <w:t xml:space="preserve">  He seeks</w:t>
      </w:r>
      <w:r w:rsidR="00F10873" w:rsidRPr="00313CB4">
        <w:t xml:space="preserve"> </w:t>
      </w:r>
      <w:r w:rsidR="00273A8A">
        <w:t xml:space="preserve">leave to appeal </w:t>
      </w:r>
      <w:r w:rsidRPr="00313CB4">
        <w:t>against such refusa</w:t>
      </w:r>
      <w:r w:rsidR="00CB2ED6">
        <w:t>l</w:t>
      </w:r>
      <w:r w:rsidR="00F10873" w:rsidRPr="00313CB4">
        <w:t xml:space="preserve"> on the basis of substantial and grave injustice</w:t>
      </w:r>
      <w:r w:rsidRPr="00313CB4">
        <w:t>, raising two</w:t>
      </w:r>
      <w:r w:rsidR="00F10873" w:rsidRPr="00313CB4">
        <w:t xml:space="preserve"> grounds, namely:</w:t>
      </w:r>
    </w:p>
    <w:p w14:paraId="6CD309A5" w14:textId="61F5CCF5" w:rsidR="00F10873" w:rsidRPr="00313CB4" w:rsidRDefault="00F22C91" w:rsidP="006F5757">
      <w:pPr>
        <w:pStyle w:val="ListParagraph"/>
        <w:numPr>
          <w:ilvl w:val="0"/>
          <w:numId w:val="12"/>
        </w:numPr>
        <w:tabs>
          <w:tab w:val="center" w:pos="4513"/>
          <w:tab w:val="left" w:pos="7551"/>
          <w:tab w:val="left" w:pos="7789"/>
        </w:tabs>
        <w:spacing w:after="240" w:line="360" w:lineRule="auto"/>
        <w:ind w:left="1440" w:hanging="720"/>
        <w:jc w:val="both"/>
      </w:pPr>
      <w:r>
        <w:t>t</w:t>
      </w:r>
      <w:r w:rsidR="00F10873" w:rsidRPr="00313CB4">
        <w:t xml:space="preserve">hat Barnes J had made a mistake in finding that the </w:t>
      </w:r>
      <w:r w:rsidR="00E839D7">
        <w:t>p</w:t>
      </w:r>
      <w:r w:rsidR="00F10873" w:rsidRPr="00313CB4">
        <w:t>rosecution had reason to believe that the complainant (“</w:t>
      </w:r>
      <w:r w:rsidR="00F10873" w:rsidRPr="00F22C91">
        <w:rPr>
          <w:u w:val="single"/>
        </w:rPr>
        <w:t>X</w:t>
      </w:r>
      <w:r w:rsidR="00F10873" w:rsidRPr="00313CB4">
        <w:t xml:space="preserve">”) </w:t>
      </w:r>
      <w:r w:rsidR="00603BF2" w:rsidRPr="00313CB4">
        <w:t>would</w:t>
      </w:r>
      <w:r w:rsidR="00F10873" w:rsidRPr="00313CB4">
        <w:t xml:space="preserve"> testify at the trial on the erroneous basis that </w:t>
      </w:r>
      <w:r w:rsidR="00E839D7">
        <w:t>X</w:t>
      </w:r>
      <w:r w:rsidR="00F10873" w:rsidRPr="00313CB4">
        <w:t xml:space="preserve"> had appeared and given evidence at the preliminary inquiry, when she had not done so </w:t>
      </w:r>
      <w:r w:rsidR="000B24FF" w:rsidRPr="00313CB4">
        <w:t>(“</w:t>
      </w:r>
      <w:r w:rsidR="000B24FF" w:rsidRPr="00F22C91">
        <w:rPr>
          <w:u w:val="single"/>
        </w:rPr>
        <w:t>Ground 1</w:t>
      </w:r>
      <w:r w:rsidR="000B24FF" w:rsidRPr="00313CB4">
        <w:t>”)</w:t>
      </w:r>
      <w:r w:rsidR="00313CB4" w:rsidRPr="00313CB4">
        <w:t>;</w:t>
      </w:r>
      <w:r w:rsidR="000B24FF" w:rsidRPr="00313CB4">
        <w:t xml:space="preserve"> </w:t>
      </w:r>
      <w:r w:rsidR="00F10873" w:rsidRPr="00313CB4">
        <w:t>and</w:t>
      </w:r>
    </w:p>
    <w:p w14:paraId="045BA6FD" w14:textId="086900D7" w:rsidR="00F10873" w:rsidRPr="00313CB4" w:rsidRDefault="00F22C91" w:rsidP="006F5757">
      <w:pPr>
        <w:pStyle w:val="ListParagraph"/>
        <w:numPr>
          <w:ilvl w:val="0"/>
          <w:numId w:val="12"/>
        </w:numPr>
        <w:tabs>
          <w:tab w:val="center" w:pos="4513"/>
          <w:tab w:val="left" w:pos="7551"/>
          <w:tab w:val="left" w:pos="7789"/>
        </w:tabs>
        <w:spacing w:after="240" w:line="360" w:lineRule="auto"/>
        <w:ind w:left="1440" w:hanging="720"/>
        <w:jc w:val="both"/>
      </w:pPr>
      <w:r>
        <w:t>t</w:t>
      </w:r>
      <w:r w:rsidR="00F10873" w:rsidRPr="00313CB4">
        <w:t xml:space="preserve">hat there was insufficient evidence that </w:t>
      </w:r>
      <w:r w:rsidR="00FE4EDF">
        <w:t xml:space="preserve">A </w:t>
      </w:r>
      <w:r w:rsidR="00F10873" w:rsidRPr="00313CB4">
        <w:t>had brought suspicion upon himself</w:t>
      </w:r>
      <w:r w:rsidR="00313CB4" w:rsidRPr="00313CB4">
        <w:t>,</w:t>
      </w:r>
      <w:r w:rsidR="00F10873" w:rsidRPr="00313CB4">
        <w:t xml:space="preserve"> the Judge </w:t>
      </w:r>
      <w:r>
        <w:t xml:space="preserve">having </w:t>
      </w:r>
      <w:r w:rsidR="00F10873" w:rsidRPr="00313CB4">
        <w:t xml:space="preserve">wrongly </w:t>
      </w:r>
      <w:r w:rsidR="00E839D7">
        <w:t>conclud</w:t>
      </w:r>
      <w:r>
        <w:t>ed</w:t>
      </w:r>
      <w:r w:rsidR="00E839D7">
        <w:t xml:space="preserve"> </w:t>
      </w:r>
      <w:r w:rsidR="00F10873" w:rsidRPr="00313CB4">
        <w:t xml:space="preserve">that independent evidence relied upon by the </w:t>
      </w:r>
      <w:r w:rsidR="00427E6C">
        <w:t>p</w:t>
      </w:r>
      <w:r w:rsidR="00F10873" w:rsidRPr="00313CB4">
        <w:t>rosecution supported the allegations made by X</w:t>
      </w:r>
      <w:r w:rsidR="000B24FF" w:rsidRPr="00313CB4">
        <w:t xml:space="preserve"> (“</w:t>
      </w:r>
      <w:r w:rsidR="000B24FF" w:rsidRPr="00F22C91">
        <w:rPr>
          <w:u w:val="single"/>
        </w:rPr>
        <w:t>Ground 2</w:t>
      </w:r>
      <w:r w:rsidR="000B24FF" w:rsidRPr="00313CB4">
        <w:t>”)</w:t>
      </w:r>
      <w:r w:rsidR="00313CB4" w:rsidRPr="00313CB4">
        <w:t>.</w:t>
      </w:r>
    </w:p>
    <w:p w14:paraId="16F5E4C1" w14:textId="64004E84" w:rsidR="00F10873" w:rsidRPr="00313CB4" w:rsidRDefault="000B24FF" w:rsidP="006F5757">
      <w:pPr>
        <w:pStyle w:val="Bob1"/>
        <w:tabs>
          <w:tab w:val="clear" w:pos="720"/>
          <w:tab w:val="left" w:pos="1440"/>
        </w:tabs>
        <w:ind w:left="0" w:firstLine="0"/>
        <w:jc w:val="both"/>
      </w:pPr>
      <w:r w:rsidRPr="00313CB4">
        <w:t xml:space="preserve">As to Ground 1, </w:t>
      </w:r>
      <w:r w:rsidR="00EE36B4">
        <w:t xml:space="preserve">the prosecution accepts that </w:t>
      </w:r>
      <w:r w:rsidR="00F10873" w:rsidRPr="00313CB4">
        <w:t xml:space="preserve">Barnes J did </w:t>
      </w:r>
      <w:r w:rsidR="0024740B">
        <w:t xml:space="preserve">in fact </w:t>
      </w:r>
      <w:r w:rsidR="00F10873" w:rsidRPr="00313CB4">
        <w:t xml:space="preserve">make the </w:t>
      </w:r>
      <w:r w:rsidRPr="00313CB4">
        <w:t xml:space="preserve">relevant </w:t>
      </w:r>
      <w:r w:rsidR="00F10873" w:rsidRPr="00313CB4">
        <w:t>error.</w:t>
      </w:r>
      <w:r w:rsidR="00CB2ED6">
        <w:rPr>
          <w:rStyle w:val="FootnoteReference"/>
        </w:rPr>
        <w:footnoteReference w:id="2"/>
      </w:r>
      <w:r w:rsidR="00F10873" w:rsidRPr="00313CB4">
        <w:t xml:space="preserve">  </w:t>
      </w:r>
    </w:p>
    <w:p w14:paraId="0CC13B72" w14:textId="334EBAC1" w:rsidR="00E839D7" w:rsidRDefault="00F10873" w:rsidP="006F5757">
      <w:pPr>
        <w:pStyle w:val="Bob1"/>
        <w:numPr>
          <w:ilvl w:val="1"/>
          <w:numId w:val="11"/>
        </w:numPr>
        <w:jc w:val="both"/>
      </w:pPr>
      <w:r w:rsidRPr="00313CB4">
        <w:t xml:space="preserve">X had not testified </w:t>
      </w:r>
      <w:r w:rsidR="00603BF2" w:rsidRPr="00313CB4">
        <w:t>at</w:t>
      </w:r>
      <w:r w:rsidRPr="00313CB4">
        <w:t xml:space="preserve"> the preliminary </w:t>
      </w:r>
      <w:r w:rsidR="000B24FF" w:rsidRPr="00313CB4">
        <w:t>inquiry</w:t>
      </w:r>
      <w:r w:rsidRPr="00313CB4">
        <w:t xml:space="preserve"> because of her psychiatric condition, said to involve </w:t>
      </w:r>
      <w:r w:rsidR="00603BF2" w:rsidRPr="00313CB4">
        <w:t>post-traumatic stress</w:t>
      </w:r>
      <w:r w:rsidRPr="00313CB4">
        <w:t xml:space="preserve">.  The </w:t>
      </w:r>
      <w:r w:rsidR="00603BF2" w:rsidRPr="00313CB4">
        <w:t>psychiatrist was,</w:t>
      </w:r>
      <w:r w:rsidRPr="00313CB4">
        <w:t xml:space="preserve"> however</w:t>
      </w:r>
      <w:r w:rsidR="00603BF2" w:rsidRPr="00313CB4">
        <w:t>,</w:t>
      </w:r>
      <w:r w:rsidRPr="00313CB4">
        <w:t xml:space="preserve"> hopeful that given sufficient time, </w:t>
      </w:r>
      <w:r w:rsidR="00E839D7">
        <w:t>X</w:t>
      </w:r>
      <w:r w:rsidRPr="00313CB4">
        <w:t xml:space="preserve"> would be able to testify</w:t>
      </w:r>
      <w:r w:rsidR="00744DFB" w:rsidRPr="00313CB4">
        <w:t xml:space="preserve"> at the trial</w:t>
      </w:r>
      <w:r w:rsidRPr="00313CB4">
        <w:t>.</w:t>
      </w:r>
      <w:r w:rsidR="000B24FF" w:rsidRPr="00313CB4">
        <w:t xml:space="preserve">  That was why the prosecution </w:t>
      </w:r>
      <w:r w:rsidR="00603BF2" w:rsidRPr="00313CB4">
        <w:t>sought</w:t>
      </w:r>
      <w:r w:rsidR="000B24FF" w:rsidRPr="00313CB4">
        <w:t xml:space="preserve"> adjournments</w:t>
      </w:r>
      <w:r w:rsidR="00744DFB" w:rsidRPr="00313CB4">
        <w:t xml:space="preserve"> of the trial</w:t>
      </w:r>
      <w:r w:rsidR="000B24FF" w:rsidRPr="00313CB4">
        <w:t xml:space="preserve">, succeeding on the first </w:t>
      </w:r>
      <w:r w:rsidR="00744DFB" w:rsidRPr="00313CB4">
        <w:t>application</w:t>
      </w:r>
      <w:r w:rsidR="00603BF2" w:rsidRPr="00313CB4">
        <w:t>.</w:t>
      </w:r>
      <w:r w:rsidR="000B24FF" w:rsidRPr="00313CB4">
        <w:t xml:space="preserve"> </w:t>
      </w:r>
      <w:r w:rsidR="00603BF2" w:rsidRPr="00313CB4">
        <w:t xml:space="preserve"> </w:t>
      </w:r>
      <w:r w:rsidR="00F22C91">
        <w:t>But w</w:t>
      </w:r>
      <w:r w:rsidR="000B24FF" w:rsidRPr="00313CB4">
        <w:t>hen the second application</w:t>
      </w:r>
      <w:r w:rsidR="00871BFE">
        <w:t xml:space="preserve"> for an adjournment </w:t>
      </w:r>
      <w:r w:rsidR="000B24FF" w:rsidRPr="00313CB4">
        <w:t xml:space="preserve">failed, </w:t>
      </w:r>
      <w:r w:rsidR="00744DFB" w:rsidRPr="00313CB4">
        <w:t xml:space="preserve">it decided to </w:t>
      </w:r>
      <w:r w:rsidR="000B24FF" w:rsidRPr="00313CB4">
        <w:t>offer no evidence</w:t>
      </w:r>
      <w:r w:rsidR="00603BF2" w:rsidRPr="00313CB4">
        <w:t xml:space="preserve">, leading to </w:t>
      </w:r>
      <w:r w:rsidR="00FE4EDF">
        <w:t xml:space="preserve">A’s </w:t>
      </w:r>
      <w:r w:rsidR="00603BF2" w:rsidRPr="00313CB4">
        <w:t>acquittal</w:t>
      </w:r>
      <w:r w:rsidR="000B24FF" w:rsidRPr="00313CB4">
        <w:t>.</w:t>
      </w:r>
      <w:r w:rsidR="00E839D7">
        <w:t xml:space="preserve">  </w:t>
      </w:r>
    </w:p>
    <w:p w14:paraId="3BCC7925" w14:textId="71AB3826" w:rsidR="000B24FF" w:rsidRPr="00313CB4" w:rsidRDefault="00603BF2" w:rsidP="006F5757">
      <w:pPr>
        <w:pStyle w:val="Bob1"/>
        <w:numPr>
          <w:ilvl w:val="1"/>
          <w:numId w:val="11"/>
        </w:numPr>
        <w:jc w:val="both"/>
      </w:pPr>
      <w:r w:rsidRPr="00313CB4">
        <w:t xml:space="preserve">The </w:t>
      </w:r>
      <w:r w:rsidR="00F10873" w:rsidRPr="00313CB4">
        <w:t xml:space="preserve">Judge’s error was </w:t>
      </w:r>
      <w:r w:rsidR="00313CB4" w:rsidRPr="00313CB4">
        <w:t xml:space="preserve">of </w:t>
      </w:r>
      <w:r w:rsidR="00F10873" w:rsidRPr="00313CB4">
        <w:t>minor</w:t>
      </w:r>
      <w:r w:rsidR="00313CB4" w:rsidRPr="00313CB4">
        <w:t xml:space="preserve"> significance</w:t>
      </w:r>
      <w:r w:rsidR="00F10873" w:rsidRPr="00313CB4">
        <w:t xml:space="preserve">.  </w:t>
      </w:r>
      <w:r w:rsidR="00EE36B4">
        <w:t xml:space="preserve">Her Ladyship </w:t>
      </w:r>
      <w:r w:rsidR="00F10873" w:rsidRPr="00313CB4">
        <w:t xml:space="preserve">thought that </w:t>
      </w:r>
      <w:r w:rsidR="000B24FF" w:rsidRPr="00313CB4">
        <w:t xml:space="preserve">the </w:t>
      </w:r>
      <w:r w:rsidR="00744DFB" w:rsidRPr="00313CB4">
        <w:t xml:space="preserve">prosecution </w:t>
      </w:r>
      <w:r w:rsidR="00427E6C">
        <w:t>was</w:t>
      </w:r>
      <w:r w:rsidR="000B24FF" w:rsidRPr="00313CB4">
        <w:t xml:space="preserve"> justified in believing that X’s testimony would be available </w:t>
      </w:r>
      <w:r w:rsidR="00744DFB" w:rsidRPr="00313CB4">
        <w:t xml:space="preserve">at the trial </w:t>
      </w:r>
      <w:r w:rsidR="000B24FF" w:rsidRPr="00313CB4">
        <w:t xml:space="preserve">on </w:t>
      </w:r>
      <w:r w:rsidR="00744DFB" w:rsidRPr="00313CB4">
        <w:t xml:space="preserve">the </w:t>
      </w:r>
      <w:r w:rsidR="00E839D7">
        <w:t xml:space="preserve">aforesaid </w:t>
      </w:r>
      <w:r w:rsidR="00A11400">
        <w:t xml:space="preserve">mistaken </w:t>
      </w:r>
      <w:r w:rsidR="000B24FF" w:rsidRPr="00313CB4">
        <w:t xml:space="preserve">understanding.  </w:t>
      </w:r>
      <w:r w:rsidR="00E839D7">
        <w:t xml:space="preserve">However, </w:t>
      </w:r>
      <w:r w:rsidR="000B24FF" w:rsidRPr="00313CB4">
        <w:t>medical opinion</w:t>
      </w:r>
      <w:r w:rsidRPr="00313CB4">
        <w:t xml:space="preserve"> </w:t>
      </w:r>
      <w:r w:rsidR="000B24FF" w:rsidRPr="00313CB4">
        <w:t xml:space="preserve">provided a separate basis </w:t>
      </w:r>
      <w:r w:rsidR="000B24FF" w:rsidRPr="00313CB4">
        <w:lastRenderedPageBreak/>
        <w:t>(which eventually proved too optimistic) for supporting the belief that X would testify</w:t>
      </w:r>
      <w:r w:rsidR="0070331D">
        <w:t>, justifying pursuit of the charges</w:t>
      </w:r>
      <w:r w:rsidR="000B24FF" w:rsidRPr="00313CB4">
        <w:t xml:space="preserve">.  </w:t>
      </w:r>
      <w:r w:rsidR="00A11400" w:rsidRPr="00313CB4">
        <w:t xml:space="preserve">Thus, the fact that the prosecution offered no evidence does not </w:t>
      </w:r>
      <w:r w:rsidR="00A11400">
        <w:t>indicate</w:t>
      </w:r>
      <w:r w:rsidR="00A11400" w:rsidRPr="00313CB4">
        <w:t xml:space="preserve"> that the</w:t>
      </w:r>
      <w:r w:rsidR="00A11400">
        <w:t xml:space="preserve"> case was</w:t>
      </w:r>
      <w:r w:rsidR="00A11400" w:rsidRPr="00313CB4">
        <w:t xml:space="preserve"> baseless.  </w:t>
      </w:r>
    </w:p>
    <w:p w14:paraId="14AC5741" w14:textId="64DADEED" w:rsidR="00F10873" w:rsidRPr="00313CB4" w:rsidRDefault="00EE36B4" w:rsidP="006F5757">
      <w:pPr>
        <w:pStyle w:val="Bob1"/>
        <w:tabs>
          <w:tab w:val="clear" w:pos="720"/>
          <w:tab w:val="left" w:pos="1440"/>
        </w:tabs>
        <w:ind w:left="0" w:firstLine="0"/>
        <w:jc w:val="both"/>
      </w:pPr>
      <w:r>
        <w:t xml:space="preserve">This </w:t>
      </w:r>
      <w:r w:rsidR="00E839D7">
        <w:t xml:space="preserve">leave </w:t>
      </w:r>
      <w:r>
        <w:t xml:space="preserve">application turns on </w:t>
      </w:r>
      <w:r w:rsidR="000B24FF" w:rsidRPr="00313CB4">
        <w:t>Ground 2</w:t>
      </w:r>
      <w:r>
        <w:t>.</w:t>
      </w:r>
      <w:r w:rsidR="000B24FF" w:rsidRPr="00313CB4">
        <w:t xml:space="preserve"> </w:t>
      </w:r>
      <w:r>
        <w:t xml:space="preserve"> T</w:t>
      </w:r>
      <w:r w:rsidR="000B24FF" w:rsidRPr="00313CB4">
        <w:t xml:space="preserve">he prosecution argues that there was ample independent evidence justifying the Judge’s view that </w:t>
      </w:r>
      <w:r w:rsidR="00FE4EDF">
        <w:t xml:space="preserve">A </w:t>
      </w:r>
      <w:r w:rsidR="000B24FF" w:rsidRPr="00313CB4">
        <w:t>had brought suspicion on himself</w:t>
      </w:r>
      <w:r w:rsidR="002E24AB">
        <w:t xml:space="preserve"> and so refusing him costs</w:t>
      </w:r>
      <w:r w:rsidR="000B24FF" w:rsidRPr="00313CB4">
        <w:t>.  Th</w:t>
      </w:r>
      <w:r>
        <w:t>at</w:t>
      </w:r>
      <w:r w:rsidR="00313CB4" w:rsidRPr="00313CB4">
        <w:t xml:space="preserve"> evidence</w:t>
      </w:r>
      <w:r w:rsidR="000B24FF" w:rsidRPr="00313CB4">
        <w:t xml:space="preserve"> may be summarised as follows:</w:t>
      </w:r>
    </w:p>
    <w:p w14:paraId="0EFCD6FC" w14:textId="5729885B" w:rsidR="000B24FF" w:rsidRPr="00313CB4" w:rsidRDefault="00313CB4" w:rsidP="006F5757">
      <w:pPr>
        <w:pStyle w:val="Bob1"/>
        <w:numPr>
          <w:ilvl w:val="1"/>
          <w:numId w:val="11"/>
        </w:numPr>
        <w:jc w:val="both"/>
      </w:pPr>
      <w:proofErr w:type="gramStart"/>
      <w:r w:rsidRPr="00313CB4">
        <w:t xml:space="preserve">A </w:t>
      </w:r>
      <w:r w:rsidR="000B24FF" w:rsidRPr="00313CB4">
        <w:t>and</w:t>
      </w:r>
      <w:proofErr w:type="gramEnd"/>
      <w:r w:rsidR="000B24FF" w:rsidRPr="00313CB4">
        <w:t xml:space="preserve"> X had only met </w:t>
      </w:r>
      <w:r w:rsidR="00871BFE">
        <w:t xml:space="preserve">on </w:t>
      </w:r>
      <w:r w:rsidR="000B24FF" w:rsidRPr="00313CB4">
        <w:t xml:space="preserve">the previous day.  </w:t>
      </w:r>
      <w:proofErr w:type="gramStart"/>
      <w:r w:rsidR="00E839D7">
        <w:t>A</w:t>
      </w:r>
      <w:proofErr w:type="gramEnd"/>
      <w:r w:rsidR="000B24FF" w:rsidRPr="00313CB4">
        <w:t xml:space="preserve"> invited her to the dinner</w:t>
      </w:r>
      <w:r w:rsidR="00603BF2" w:rsidRPr="00313CB4">
        <w:t xml:space="preserve"> where</w:t>
      </w:r>
      <w:r w:rsidR="000B24FF" w:rsidRPr="00313CB4">
        <w:t xml:space="preserve"> </w:t>
      </w:r>
      <w:r w:rsidR="001255A5" w:rsidRPr="00313CB4">
        <w:t>X got extremely drunk</w:t>
      </w:r>
      <w:r w:rsidR="00603BF2" w:rsidRPr="00313CB4">
        <w:t>,</w:t>
      </w:r>
      <w:r w:rsidR="001255A5" w:rsidRPr="00313CB4">
        <w:t xml:space="preserve"> as was apparent to everyone.  She was </w:t>
      </w:r>
      <w:r w:rsidR="00E839D7">
        <w:t>plainly</w:t>
      </w:r>
      <w:r w:rsidR="001255A5" w:rsidRPr="00313CB4">
        <w:t xml:space="preserve"> in a </w:t>
      </w:r>
      <w:r w:rsidR="00871BFE">
        <w:t xml:space="preserve">highly </w:t>
      </w:r>
      <w:r w:rsidR="001255A5" w:rsidRPr="00313CB4">
        <w:t xml:space="preserve">vulnerable state, having left her shoes, panties and </w:t>
      </w:r>
      <w:r w:rsidR="00603BF2" w:rsidRPr="00313CB4">
        <w:t xml:space="preserve">a </w:t>
      </w:r>
      <w:r w:rsidR="001255A5" w:rsidRPr="00313CB4">
        <w:t xml:space="preserve">valuable watch in the restaurant’s toilet.  </w:t>
      </w:r>
      <w:r w:rsidRPr="00313CB4">
        <w:t xml:space="preserve">A accompanied </w:t>
      </w:r>
      <w:r w:rsidR="001255A5" w:rsidRPr="00313CB4">
        <w:t xml:space="preserve">her </w:t>
      </w:r>
      <w:r w:rsidRPr="00313CB4">
        <w:t xml:space="preserve">back </w:t>
      </w:r>
      <w:r w:rsidR="001255A5" w:rsidRPr="00313CB4">
        <w:t xml:space="preserve">to her home in this drunken and vulnerable </w:t>
      </w:r>
      <w:r w:rsidR="00871BFE">
        <w:t>condition</w:t>
      </w:r>
      <w:r w:rsidRPr="00313CB4">
        <w:t>.  He</w:t>
      </w:r>
      <w:r w:rsidR="001255A5" w:rsidRPr="00313CB4">
        <w:t xml:space="preserve"> remained there for more than 30 minutes.  When he </w:t>
      </w:r>
      <w:r w:rsidR="00744DFB" w:rsidRPr="00313CB4">
        <w:t xml:space="preserve">arrived, CCTV footage </w:t>
      </w:r>
      <w:r w:rsidR="00603BF2" w:rsidRPr="00313CB4">
        <w:t xml:space="preserve">in the lift lobby </w:t>
      </w:r>
      <w:r w:rsidR="00744DFB" w:rsidRPr="00313CB4">
        <w:t xml:space="preserve">showed that his shirt was properly tucked in and buttoned up.  But when he </w:t>
      </w:r>
      <w:r w:rsidR="001255A5" w:rsidRPr="00313CB4">
        <w:t xml:space="preserve">left, </w:t>
      </w:r>
      <w:r w:rsidR="00744DFB" w:rsidRPr="00313CB4">
        <w:t xml:space="preserve">the </w:t>
      </w:r>
      <w:r w:rsidR="001255A5" w:rsidRPr="00313CB4">
        <w:t>footage showed that his shirt had become untucked, with some buttons undone.   Two minutes after leaving, he sent a message to X saying “I am sorry/</w:t>
      </w:r>
      <w:proofErr w:type="gramStart"/>
      <w:r w:rsidR="001255A5" w:rsidRPr="00313CB4">
        <w:t>My</w:t>
      </w:r>
      <w:proofErr w:type="gramEnd"/>
      <w:r w:rsidR="001255A5" w:rsidRPr="00313CB4">
        <w:t xml:space="preserve"> apology today, please take care”.  </w:t>
      </w:r>
    </w:p>
    <w:p w14:paraId="5BC4FBE8" w14:textId="1794255C" w:rsidR="001255A5" w:rsidRPr="00313CB4" w:rsidRDefault="00744DFB" w:rsidP="006F5757">
      <w:pPr>
        <w:pStyle w:val="Bob1"/>
        <w:numPr>
          <w:ilvl w:val="1"/>
          <w:numId w:val="11"/>
        </w:numPr>
        <w:jc w:val="both"/>
      </w:pPr>
      <w:r w:rsidRPr="00313CB4">
        <w:t xml:space="preserve">When she woke up the next morning, X was in distress, as her domestic helper witnessed.  </w:t>
      </w:r>
      <w:r w:rsidR="001255A5" w:rsidRPr="00313CB4">
        <w:t xml:space="preserve">X believed that she had been raped and </w:t>
      </w:r>
      <w:r w:rsidR="00313CB4" w:rsidRPr="00313CB4">
        <w:t xml:space="preserve">made a report </w:t>
      </w:r>
      <w:r w:rsidR="001255A5" w:rsidRPr="00313CB4">
        <w:t>to the police</w:t>
      </w:r>
      <w:r w:rsidR="00313CB4" w:rsidRPr="00313CB4">
        <w:t>.  She</w:t>
      </w:r>
      <w:r w:rsidR="001255A5" w:rsidRPr="00313CB4">
        <w:t xml:space="preserve"> was medically examined </w:t>
      </w:r>
      <w:r w:rsidR="004B5460" w:rsidRPr="00313CB4">
        <w:t xml:space="preserve">that </w:t>
      </w:r>
      <w:r w:rsidR="001255A5" w:rsidRPr="00313CB4">
        <w:t xml:space="preserve">morning.  Various bruises and abrasions were noted, the forensic pathologist commenting that such injuries could have been inflicted when the knees and legs were forcibly gripped.  Forensic examination also found fibres from </w:t>
      </w:r>
      <w:r w:rsidR="00FE4EDF">
        <w:t xml:space="preserve">A’s </w:t>
      </w:r>
      <w:r w:rsidR="001255A5" w:rsidRPr="00313CB4">
        <w:t xml:space="preserve">jacket and/or trousers on X’s bra, and X’s saliva on both sleeves of </w:t>
      </w:r>
      <w:r w:rsidR="00FE4EDF">
        <w:t xml:space="preserve">A’s </w:t>
      </w:r>
      <w:r w:rsidR="001255A5" w:rsidRPr="00313CB4">
        <w:t>jacket.</w:t>
      </w:r>
    </w:p>
    <w:p w14:paraId="55CCA5D1" w14:textId="22B287E5" w:rsidR="00B05E3B" w:rsidRPr="006F5757" w:rsidRDefault="00744DFB" w:rsidP="006F5757">
      <w:pPr>
        <w:pStyle w:val="Bob1"/>
        <w:tabs>
          <w:tab w:val="clear" w:pos="720"/>
          <w:tab w:val="left" w:pos="1440"/>
        </w:tabs>
        <w:ind w:left="0" w:firstLine="0"/>
        <w:jc w:val="both"/>
      </w:pPr>
      <w:r w:rsidRPr="00313CB4">
        <w:lastRenderedPageBreak/>
        <w:t xml:space="preserve">In her witness statement, X </w:t>
      </w:r>
      <w:r w:rsidR="00B05E3B">
        <w:t>alleged</w:t>
      </w:r>
      <w:r w:rsidRPr="00313CB4">
        <w:t xml:space="preserve"> that when</w:t>
      </w:r>
      <w:r w:rsidR="00FE4EDF">
        <w:t xml:space="preserve"> </w:t>
      </w:r>
      <w:proofErr w:type="gramStart"/>
      <w:r w:rsidR="00FE4EDF">
        <w:t>A</w:t>
      </w:r>
      <w:proofErr w:type="gramEnd"/>
      <w:r w:rsidR="00FE4EDF">
        <w:t xml:space="preserve"> </w:t>
      </w:r>
      <w:r w:rsidRPr="00313CB4">
        <w:t xml:space="preserve">sexually assaulted her, she kept saying to him “Let me go, let me go.  Do you know who my father is?  He’ll kill you when he returns.”  She </w:t>
      </w:r>
      <w:r w:rsidR="00B05E3B">
        <w:t>sa</w:t>
      </w:r>
      <w:r w:rsidR="002E24AB">
        <w:t>id</w:t>
      </w:r>
      <w:r w:rsidR="00B05E3B">
        <w:t xml:space="preserve"> </w:t>
      </w:r>
      <w:r w:rsidRPr="00313CB4">
        <w:t xml:space="preserve">that </w:t>
      </w:r>
      <w:r w:rsidR="00FE4EDF">
        <w:t xml:space="preserve">A </w:t>
      </w:r>
      <w:r w:rsidR="00B05E3B">
        <w:t xml:space="preserve">replied </w:t>
      </w:r>
      <w:r w:rsidRPr="00313CB4">
        <w:t xml:space="preserve">to her in Putonghua </w:t>
      </w:r>
      <w:r w:rsidR="00B05E3B">
        <w:t xml:space="preserve">saying: </w:t>
      </w:r>
      <w:r w:rsidRPr="00313CB4">
        <w:t xml:space="preserve">“I don’t care who your father is.  I just want it now”.  The evening after the incident, </w:t>
      </w:r>
      <w:r w:rsidR="00FE4EDF">
        <w:t xml:space="preserve">A </w:t>
      </w:r>
      <w:r w:rsidRPr="00313CB4">
        <w:t xml:space="preserve">sent X a message </w:t>
      </w:r>
      <w:r w:rsidRPr="00313CB4">
        <w:rPr>
          <w:bCs/>
        </w:rPr>
        <w:t>listing members of a committee and asking whether one of the persons named on the list was X’s father.</w:t>
      </w:r>
    </w:p>
    <w:p w14:paraId="5F36F15B" w14:textId="2EEEB972" w:rsidR="00744DFB" w:rsidRPr="006F5757" w:rsidRDefault="00B05E3B" w:rsidP="006F5757">
      <w:pPr>
        <w:pStyle w:val="Bob1"/>
        <w:tabs>
          <w:tab w:val="clear" w:pos="720"/>
          <w:tab w:val="left" w:pos="1440"/>
        </w:tabs>
        <w:ind w:left="0" w:firstLine="0"/>
        <w:jc w:val="both"/>
      </w:pPr>
      <w:r w:rsidRPr="006F5757">
        <w:rPr>
          <w:bCs/>
        </w:rPr>
        <w:t xml:space="preserve">The principles as </w:t>
      </w:r>
      <w:r w:rsidR="002E24AB" w:rsidRPr="006F5757">
        <w:rPr>
          <w:bCs/>
        </w:rPr>
        <w:t xml:space="preserve">to </w:t>
      </w:r>
      <w:r w:rsidR="00E839D7" w:rsidRPr="006F5757">
        <w:rPr>
          <w:bCs/>
        </w:rPr>
        <w:t xml:space="preserve">costs </w:t>
      </w:r>
      <w:r w:rsidR="00EE36B4" w:rsidRPr="006F5757">
        <w:rPr>
          <w:bCs/>
        </w:rPr>
        <w:t xml:space="preserve">where </w:t>
      </w:r>
      <w:r w:rsidR="002E24AB" w:rsidRPr="006F5757">
        <w:rPr>
          <w:bCs/>
        </w:rPr>
        <w:t xml:space="preserve">a </w:t>
      </w:r>
      <w:r w:rsidRPr="006F5757">
        <w:rPr>
          <w:bCs/>
        </w:rPr>
        <w:t>defendant</w:t>
      </w:r>
      <w:r w:rsidR="002E24AB" w:rsidRPr="006F5757">
        <w:rPr>
          <w:bCs/>
        </w:rPr>
        <w:t xml:space="preserve"> has</w:t>
      </w:r>
      <w:r w:rsidRPr="006F5757">
        <w:rPr>
          <w:bCs/>
        </w:rPr>
        <w:t xml:space="preserve"> been acquitted are well-established.</w:t>
      </w:r>
      <w:r w:rsidRPr="002E24AB">
        <w:rPr>
          <w:rStyle w:val="FootnoteReference"/>
          <w:bCs/>
        </w:rPr>
        <w:footnoteReference w:id="3"/>
      </w:r>
      <w:r w:rsidR="00744DFB" w:rsidRPr="006F5757">
        <w:rPr>
          <w:bCs/>
        </w:rPr>
        <w:t xml:space="preserve">  </w:t>
      </w:r>
      <w:r w:rsidR="00E513ED" w:rsidRPr="006F5757">
        <w:rPr>
          <w:bCs/>
        </w:rPr>
        <w:t xml:space="preserve">Relevantly, </w:t>
      </w:r>
      <w:r w:rsidR="00EE36B4" w:rsidRPr="006F5757">
        <w:rPr>
          <w:bCs/>
        </w:rPr>
        <w:t xml:space="preserve">for present purposes, </w:t>
      </w:r>
      <w:r w:rsidR="00E513ED" w:rsidRPr="006F5757">
        <w:rPr>
          <w:bCs/>
        </w:rPr>
        <w:t xml:space="preserve">the Court in </w:t>
      </w:r>
      <w:r w:rsidR="00E513ED" w:rsidRPr="006F5757">
        <w:rPr>
          <w:bCs/>
          <w:i/>
          <w:iCs/>
        </w:rPr>
        <w:t xml:space="preserve">HKSAR v Chan </w:t>
      </w:r>
      <w:proofErr w:type="spellStart"/>
      <w:r w:rsidR="00E513ED" w:rsidRPr="006F5757">
        <w:rPr>
          <w:bCs/>
          <w:i/>
          <w:iCs/>
        </w:rPr>
        <w:t>Kam</w:t>
      </w:r>
      <w:proofErr w:type="spellEnd"/>
      <w:r w:rsidR="00E513ED" w:rsidRPr="006F5757">
        <w:rPr>
          <w:bCs/>
          <w:i/>
          <w:iCs/>
        </w:rPr>
        <w:t xml:space="preserve"> </w:t>
      </w:r>
      <w:proofErr w:type="spellStart"/>
      <w:r w:rsidR="00E513ED" w:rsidRPr="006F5757">
        <w:rPr>
          <w:bCs/>
          <w:i/>
          <w:iCs/>
        </w:rPr>
        <w:t>Ching</w:t>
      </w:r>
      <w:proofErr w:type="spellEnd"/>
      <w:r w:rsidR="00E513ED" w:rsidRPr="006F5757">
        <w:rPr>
          <w:bCs/>
          <w:i/>
          <w:iCs/>
        </w:rPr>
        <w:t xml:space="preserve"> (No 2)</w:t>
      </w:r>
      <w:r w:rsidR="00E513ED" w:rsidRPr="006F5757">
        <w:rPr>
          <w:bCs/>
        </w:rPr>
        <w:t>,</w:t>
      </w:r>
      <w:r w:rsidR="00E513ED" w:rsidRPr="002E24AB">
        <w:rPr>
          <w:rStyle w:val="FootnoteReference"/>
          <w:bCs/>
        </w:rPr>
        <w:footnoteReference w:id="4"/>
      </w:r>
      <w:r w:rsidR="00E513ED" w:rsidRPr="006F5757">
        <w:rPr>
          <w:bCs/>
        </w:rPr>
        <w:t xml:space="preserve"> stated:</w:t>
      </w:r>
    </w:p>
    <w:p w14:paraId="7FE686F1" w14:textId="7747CE89" w:rsidR="00E513ED" w:rsidRPr="002E24AB" w:rsidRDefault="00E513ED" w:rsidP="006F5757">
      <w:pPr>
        <w:pStyle w:val="Bob1"/>
        <w:numPr>
          <w:ilvl w:val="0"/>
          <w:numId w:val="0"/>
        </w:numPr>
        <w:spacing w:line="240" w:lineRule="auto"/>
        <w:ind w:left="720"/>
        <w:jc w:val="both"/>
        <w:rPr>
          <w:bCs/>
          <w:sz w:val="24"/>
        </w:rPr>
      </w:pPr>
      <w:r w:rsidRPr="002E24AB">
        <w:rPr>
          <w:bCs/>
          <w:sz w:val="24"/>
        </w:rPr>
        <w:t xml:space="preserve">“Upon an acquittal, the court normally makes a costs order in favour of the accused unless there is a positive reason for departing from that rule. </w:t>
      </w:r>
      <w:r w:rsidR="00871BFE">
        <w:rPr>
          <w:bCs/>
          <w:sz w:val="24"/>
        </w:rPr>
        <w:t xml:space="preserve"> </w:t>
      </w:r>
      <w:r w:rsidRPr="002E24AB">
        <w:rPr>
          <w:bCs/>
          <w:sz w:val="24"/>
        </w:rPr>
        <w:t xml:space="preserve">Most frequently, such a reason is found to exist where the accused has brought suspicion on himself or herself, leading to the prosecution. This may be due to that person’s conduct in the course of the investigation or during the trial, but the discretion is not bounded by any inflexible rule. </w:t>
      </w:r>
      <w:r w:rsidR="00264D2C" w:rsidRPr="002E24AB">
        <w:rPr>
          <w:bCs/>
          <w:sz w:val="24"/>
        </w:rPr>
        <w:t xml:space="preserve"> </w:t>
      </w:r>
      <w:r w:rsidRPr="002E24AB">
        <w:rPr>
          <w:bCs/>
          <w:sz w:val="24"/>
        </w:rPr>
        <w:t>Conduct of the accused prior to the investigation and trial stages, including conduct providing the setting for such charges, may have invited suspicion and so be taken into account in the exercise of the discretion.”</w:t>
      </w:r>
    </w:p>
    <w:p w14:paraId="01E14605" w14:textId="5D9E9F03" w:rsidR="00147B9B" w:rsidRDefault="004B5460" w:rsidP="006F5757">
      <w:pPr>
        <w:pStyle w:val="Bob1"/>
        <w:tabs>
          <w:tab w:val="clear" w:pos="720"/>
          <w:tab w:val="left" w:pos="1440"/>
        </w:tabs>
        <w:ind w:left="0" w:firstLine="0"/>
        <w:jc w:val="both"/>
        <w:rPr>
          <w:bCs/>
        </w:rPr>
      </w:pPr>
      <w:r w:rsidRPr="002E24AB">
        <w:rPr>
          <w:bCs/>
        </w:rPr>
        <w:t>Th</w:t>
      </w:r>
      <w:r w:rsidR="00E513ED" w:rsidRPr="002E24AB">
        <w:rPr>
          <w:bCs/>
        </w:rPr>
        <w:t>us, th</w:t>
      </w:r>
      <w:r w:rsidRPr="002E24AB">
        <w:rPr>
          <w:bCs/>
        </w:rPr>
        <w:t xml:space="preserve">e test </w:t>
      </w:r>
      <w:r w:rsidR="000A0914">
        <w:rPr>
          <w:bCs/>
        </w:rPr>
        <w:t xml:space="preserve">is </w:t>
      </w:r>
      <w:r w:rsidRPr="002E24AB">
        <w:rPr>
          <w:bCs/>
        </w:rPr>
        <w:t>whether</w:t>
      </w:r>
      <w:r w:rsidR="00E93E31">
        <w:rPr>
          <w:bCs/>
        </w:rPr>
        <w:t xml:space="preserve"> the circumstances justify departing from the usual rule.  In particular</w:t>
      </w:r>
      <w:r w:rsidR="00603BF2" w:rsidRPr="002E24AB">
        <w:rPr>
          <w:bCs/>
        </w:rPr>
        <w:t xml:space="preserve">, </w:t>
      </w:r>
      <w:r w:rsidR="00E93E31">
        <w:rPr>
          <w:bCs/>
        </w:rPr>
        <w:t xml:space="preserve">in a case like the present, the question is whether, </w:t>
      </w:r>
      <w:r w:rsidR="00EE36B4" w:rsidRPr="002E24AB">
        <w:rPr>
          <w:bCs/>
        </w:rPr>
        <w:t xml:space="preserve">by his </w:t>
      </w:r>
      <w:r w:rsidR="00AA2600" w:rsidRPr="002E24AB">
        <w:rPr>
          <w:bCs/>
        </w:rPr>
        <w:t>conduct, including conduct providing the setting for the charges,</w:t>
      </w:r>
      <w:r w:rsidR="00EE36B4" w:rsidRPr="002E24AB">
        <w:rPr>
          <w:bCs/>
        </w:rPr>
        <w:t xml:space="preserve"> </w:t>
      </w:r>
      <w:proofErr w:type="gramStart"/>
      <w:r w:rsidR="00EE36B4" w:rsidRPr="002E24AB">
        <w:rPr>
          <w:bCs/>
        </w:rPr>
        <w:t>A</w:t>
      </w:r>
      <w:proofErr w:type="gramEnd"/>
      <w:r w:rsidR="00AA2600" w:rsidRPr="002E24AB">
        <w:rPr>
          <w:bCs/>
        </w:rPr>
        <w:t xml:space="preserve"> invited suspicion </w:t>
      </w:r>
      <w:r w:rsidRPr="002E24AB">
        <w:rPr>
          <w:bCs/>
        </w:rPr>
        <w:t xml:space="preserve">on himself.  </w:t>
      </w:r>
      <w:r w:rsidR="00E93E31">
        <w:rPr>
          <w:bCs/>
        </w:rPr>
        <w:t xml:space="preserve">It is important to note that the test is </w:t>
      </w:r>
      <w:r w:rsidR="00E93E31">
        <w:rPr>
          <w:bCs/>
          <w:i/>
          <w:iCs/>
        </w:rPr>
        <w:t xml:space="preserve">not </w:t>
      </w:r>
      <w:r w:rsidR="00E93E31">
        <w:rPr>
          <w:bCs/>
        </w:rPr>
        <w:t>whether the evidence would have been sufficient or probably sufficient to secure his conviction, but whether the circumstances raising the suspicion were enough to justify the Judge in exercising her discretion against granting him costs. T</w:t>
      </w:r>
      <w:r w:rsidRPr="002E24AB">
        <w:rPr>
          <w:bCs/>
        </w:rPr>
        <w:t xml:space="preserve">he </w:t>
      </w:r>
      <w:r w:rsidRPr="002E24AB">
        <w:rPr>
          <w:bCs/>
        </w:rPr>
        <w:lastRenderedPageBreak/>
        <w:t xml:space="preserve">evidence </w:t>
      </w:r>
      <w:r w:rsidR="00147B9B" w:rsidRPr="002E24AB">
        <w:rPr>
          <w:bCs/>
        </w:rPr>
        <w:t xml:space="preserve">outlined above provided an ample basis for the Judge’s </w:t>
      </w:r>
      <w:r w:rsidRPr="002E24AB">
        <w:rPr>
          <w:bCs/>
        </w:rPr>
        <w:t xml:space="preserve">view that </w:t>
      </w:r>
      <w:r w:rsidR="00147B9B" w:rsidRPr="002E24AB">
        <w:rPr>
          <w:bCs/>
        </w:rPr>
        <w:t xml:space="preserve">A </w:t>
      </w:r>
      <w:r w:rsidRPr="002E24AB">
        <w:rPr>
          <w:bCs/>
        </w:rPr>
        <w:t>had</w:t>
      </w:r>
      <w:r w:rsidR="00E513ED" w:rsidRPr="002E24AB">
        <w:rPr>
          <w:bCs/>
        </w:rPr>
        <w:t xml:space="preserve"> </w:t>
      </w:r>
      <w:r w:rsidR="00EE36B4" w:rsidRPr="002E24AB">
        <w:rPr>
          <w:bCs/>
        </w:rPr>
        <w:t xml:space="preserve">indeed </w:t>
      </w:r>
      <w:r w:rsidR="00147B9B" w:rsidRPr="002E24AB">
        <w:rPr>
          <w:bCs/>
        </w:rPr>
        <w:t xml:space="preserve">brought </w:t>
      </w:r>
      <w:r w:rsidR="00E513ED" w:rsidRPr="002E24AB">
        <w:rPr>
          <w:bCs/>
        </w:rPr>
        <w:t>such suspicion</w:t>
      </w:r>
      <w:r w:rsidR="00147B9B" w:rsidRPr="002E24AB">
        <w:rPr>
          <w:bCs/>
        </w:rPr>
        <w:t xml:space="preserve"> upon himself</w:t>
      </w:r>
      <w:r w:rsidRPr="002E24AB">
        <w:rPr>
          <w:bCs/>
        </w:rPr>
        <w:t xml:space="preserve">.  </w:t>
      </w:r>
    </w:p>
    <w:p w14:paraId="7A12B2FC" w14:textId="1806DFDD" w:rsidR="00264D2C" w:rsidRPr="006F5757" w:rsidRDefault="00264D2C" w:rsidP="006F5757">
      <w:pPr>
        <w:pStyle w:val="Bob1"/>
        <w:tabs>
          <w:tab w:val="clear" w:pos="720"/>
          <w:tab w:val="left" w:pos="1440"/>
        </w:tabs>
        <w:ind w:left="0" w:firstLine="0"/>
        <w:jc w:val="both"/>
        <w:rPr>
          <w:bCs/>
        </w:rPr>
      </w:pPr>
      <w:r w:rsidRPr="006F5757">
        <w:rPr>
          <w:bCs/>
        </w:rPr>
        <w:t xml:space="preserve">It is also pertinent to note that, as the Appeal Committee pointed out in </w:t>
      </w:r>
      <w:r w:rsidRPr="006F5757">
        <w:rPr>
          <w:bCs/>
          <w:i/>
          <w:iCs/>
        </w:rPr>
        <w:t xml:space="preserve">Wong </w:t>
      </w:r>
      <w:proofErr w:type="spellStart"/>
      <w:r w:rsidRPr="006F5757">
        <w:rPr>
          <w:bCs/>
          <w:i/>
          <w:iCs/>
        </w:rPr>
        <w:t>Tak</w:t>
      </w:r>
      <w:proofErr w:type="spellEnd"/>
      <w:r w:rsidRPr="006F5757">
        <w:rPr>
          <w:bCs/>
          <w:i/>
          <w:iCs/>
        </w:rPr>
        <w:t xml:space="preserve"> Keung v HKSAR</w:t>
      </w:r>
      <w:r w:rsidRPr="006F5757">
        <w:rPr>
          <w:bCs/>
        </w:rPr>
        <w:t>:</w:t>
      </w:r>
      <w:r w:rsidRPr="002E24AB">
        <w:rPr>
          <w:rStyle w:val="FootnoteReference"/>
          <w:bCs/>
        </w:rPr>
        <w:footnoteReference w:id="5"/>
      </w:r>
    </w:p>
    <w:p w14:paraId="357A3E77" w14:textId="3D243652" w:rsidR="00264D2C" w:rsidRPr="00264D2C" w:rsidRDefault="00264D2C" w:rsidP="006F5757">
      <w:pPr>
        <w:pStyle w:val="Bob1"/>
        <w:numPr>
          <w:ilvl w:val="0"/>
          <w:numId w:val="0"/>
        </w:numPr>
        <w:spacing w:line="240" w:lineRule="auto"/>
        <w:ind w:left="720"/>
        <w:jc w:val="both"/>
        <w:rPr>
          <w:sz w:val="24"/>
        </w:rPr>
      </w:pPr>
      <w:r w:rsidRPr="00264D2C">
        <w:rPr>
          <w:sz w:val="24"/>
        </w:rPr>
        <w:t xml:space="preserve">“Within the framework of the relevant principles, costs are dealt with on the basis of a broad discretion.  In the absence of any controversy over the principles that govern the award or refusal of costs, it would take rare and exceptional circumstances indeed to warrant an appeal to the Court of Final Appeal on costs alone.” </w:t>
      </w:r>
    </w:p>
    <w:p w14:paraId="7C66EA59" w14:textId="6BB0E12C" w:rsidR="001255A5" w:rsidRDefault="004B5460" w:rsidP="006F5757">
      <w:pPr>
        <w:pStyle w:val="Bob1"/>
        <w:tabs>
          <w:tab w:val="clear" w:pos="720"/>
          <w:tab w:val="left" w:pos="1440"/>
        </w:tabs>
        <w:ind w:left="0" w:firstLine="0"/>
        <w:jc w:val="both"/>
      </w:pPr>
      <w:r w:rsidRPr="00313CB4">
        <w:t xml:space="preserve">In </w:t>
      </w:r>
      <w:r w:rsidR="00147B9B">
        <w:t xml:space="preserve">our </w:t>
      </w:r>
      <w:r w:rsidRPr="00313CB4">
        <w:t xml:space="preserve">view, there is no </w:t>
      </w:r>
      <w:r w:rsidR="00B5094B">
        <w:t xml:space="preserve">reasonable </w:t>
      </w:r>
      <w:r w:rsidRPr="00313CB4">
        <w:t xml:space="preserve">basis on which the Court </w:t>
      </w:r>
      <w:r w:rsidR="00AA2600" w:rsidRPr="00313CB4">
        <w:t>c</w:t>
      </w:r>
      <w:r w:rsidRPr="00313CB4">
        <w:t>ould be asked to interfere with the Judge’s exercise of discretion in refusing</w:t>
      </w:r>
      <w:r w:rsidR="00FE4EDF">
        <w:t xml:space="preserve"> A</w:t>
      </w:r>
      <w:r w:rsidRPr="00313CB4">
        <w:t xml:space="preserve"> </w:t>
      </w:r>
      <w:r w:rsidR="00AA2600" w:rsidRPr="00313CB4">
        <w:t xml:space="preserve">his </w:t>
      </w:r>
      <w:r w:rsidRPr="00313CB4">
        <w:t xml:space="preserve">costs. </w:t>
      </w:r>
      <w:r w:rsidR="00147B9B">
        <w:t xml:space="preserve"> Leave to appeal is therefore refused.</w:t>
      </w:r>
      <w:r w:rsidRPr="00313CB4">
        <w:t xml:space="preserve"> </w:t>
      </w:r>
    </w:p>
    <w:p w14:paraId="7BBB4BBE" w14:textId="3E15D798" w:rsidR="006F5757" w:rsidRDefault="006F5757" w:rsidP="006F5757">
      <w:pPr>
        <w:pStyle w:val="Bob1"/>
        <w:numPr>
          <w:ilvl w:val="0"/>
          <w:numId w:val="0"/>
        </w:numPr>
      </w:pPr>
    </w:p>
    <w:p w14:paraId="66FCA50E" w14:textId="0BE171A6" w:rsidR="006F5757" w:rsidRDefault="006F5757" w:rsidP="006F5757">
      <w:pPr>
        <w:pStyle w:val="Bob1"/>
        <w:numPr>
          <w:ilvl w:val="0"/>
          <w:numId w:val="0"/>
        </w:numPr>
      </w:pPr>
    </w:p>
    <w:p w14:paraId="3567DC3F" w14:textId="77777777" w:rsidR="006F5757" w:rsidRDefault="006F5757" w:rsidP="006F5757">
      <w:pPr>
        <w:pStyle w:val="BodyTextIndent"/>
        <w:tabs>
          <w:tab w:val="left" w:pos="540"/>
        </w:tabs>
        <w:ind w:left="450" w:right="118" w:hanging="450"/>
        <w:rPr>
          <w:kern w:val="0"/>
          <w:sz w:val="28"/>
          <w:lang w:val="en-GB"/>
        </w:rPr>
      </w:pPr>
    </w:p>
    <w:p w14:paraId="6C791DEC" w14:textId="77777777" w:rsidR="006F5757" w:rsidRDefault="006F5757" w:rsidP="006F5757">
      <w:pPr>
        <w:pStyle w:val="BodyTextIndent"/>
        <w:tabs>
          <w:tab w:val="left" w:pos="540"/>
        </w:tabs>
        <w:ind w:left="450" w:right="118" w:hanging="450"/>
        <w:rPr>
          <w:kern w:val="0"/>
          <w:sz w:val="28"/>
          <w:lang w:val="en-GB"/>
        </w:rPr>
      </w:pPr>
    </w:p>
    <w:tbl>
      <w:tblPr>
        <w:tblW w:w="0" w:type="auto"/>
        <w:jc w:val="center"/>
        <w:tblLook w:val="0000" w:firstRow="0" w:lastRow="0" w:firstColumn="0" w:lastColumn="0" w:noHBand="0" w:noVBand="0"/>
      </w:tblPr>
      <w:tblGrid>
        <w:gridCol w:w="2952"/>
        <w:gridCol w:w="2952"/>
        <w:gridCol w:w="2952"/>
      </w:tblGrid>
      <w:tr w:rsidR="006F5757" w:rsidRPr="00980FCE" w14:paraId="108A7544" w14:textId="77777777" w:rsidTr="00130AC3">
        <w:trPr>
          <w:trHeight w:val="747"/>
          <w:jc w:val="center"/>
        </w:trPr>
        <w:tc>
          <w:tcPr>
            <w:tcW w:w="2952" w:type="dxa"/>
          </w:tcPr>
          <w:p w14:paraId="7D7DDA0C" w14:textId="77777777" w:rsidR="006F5757" w:rsidRPr="00980FCE" w:rsidRDefault="006F5757" w:rsidP="00130AC3">
            <w:pPr>
              <w:spacing w:after="0" w:line="240" w:lineRule="auto"/>
              <w:jc w:val="center"/>
              <w:rPr>
                <w:rFonts w:eastAsia="宋体"/>
                <w:lang w:val="en-US"/>
              </w:rPr>
            </w:pPr>
            <w:r>
              <w:rPr>
                <w:rFonts w:eastAsia="宋体"/>
                <w:lang w:val="en-US"/>
              </w:rPr>
              <w:t>(</w:t>
            </w:r>
            <w:r w:rsidRPr="00920765">
              <w:rPr>
                <w:color w:val="000000"/>
              </w:rPr>
              <w:t>R A V Ribeiro</w:t>
            </w:r>
            <w:r w:rsidRPr="00980FCE">
              <w:rPr>
                <w:rFonts w:eastAsia="宋体"/>
                <w:lang w:val="en-US"/>
              </w:rPr>
              <w:t>)</w:t>
            </w:r>
          </w:p>
          <w:p w14:paraId="6022ED2D" w14:textId="77777777" w:rsidR="006F5757" w:rsidRPr="00980FCE" w:rsidRDefault="006F5757" w:rsidP="00130AC3">
            <w:pPr>
              <w:spacing w:after="0" w:line="240" w:lineRule="auto"/>
              <w:jc w:val="center"/>
              <w:rPr>
                <w:rFonts w:eastAsia="宋体"/>
                <w:lang w:val="en-US"/>
              </w:rPr>
            </w:pPr>
            <w:r w:rsidRPr="00980FCE">
              <w:rPr>
                <w:rFonts w:eastAsia="宋体"/>
                <w:lang w:val="en-US"/>
              </w:rPr>
              <w:t>Permanent Judge</w:t>
            </w:r>
          </w:p>
        </w:tc>
        <w:tc>
          <w:tcPr>
            <w:tcW w:w="2952" w:type="dxa"/>
          </w:tcPr>
          <w:p w14:paraId="36F1CA10" w14:textId="77777777" w:rsidR="006F5757" w:rsidRPr="00980FCE" w:rsidRDefault="006F5757" w:rsidP="00130AC3">
            <w:pPr>
              <w:spacing w:after="0" w:line="240" w:lineRule="auto"/>
              <w:jc w:val="center"/>
              <w:rPr>
                <w:rFonts w:eastAsia="宋体"/>
                <w:lang w:val="en-US"/>
              </w:rPr>
            </w:pPr>
            <w:r>
              <w:t xml:space="preserve">(Joseph </w:t>
            </w:r>
            <w:proofErr w:type="spellStart"/>
            <w:r>
              <w:t>Fok</w:t>
            </w:r>
            <w:proofErr w:type="spellEnd"/>
            <w:r w:rsidRPr="00980FCE">
              <w:rPr>
                <w:rFonts w:eastAsia="宋体"/>
                <w:lang w:val="en-US"/>
              </w:rPr>
              <w:t>)</w:t>
            </w:r>
          </w:p>
          <w:p w14:paraId="74E1A52C" w14:textId="77777777" w:rsidR="006F5757" w:rsidRPr="00980FCE" w:rsidRDefault="006F5757" w:rsidP="00130AC3">
            <w:pPr>
              <w:spacing w:after="0" w:line="240" w:lineRule="auto"/>
              <w:jc w:val="center"/>
              <w:rPr>
                <w:rFonts w:eastAsia="宋体"/>
                <w:lang w:val="en-US"/>
              </w:rPr>
            </w:pPr>
            <w:r w:rsidRPr="00980FCE">
              <w:rPr>
                <w:rFonts w:eastAsia="宋体"/>
                <w:lang w:val="en-US"/>
              </w:rPr>
              <w:t>Permanent Judge</w:t>
            </w:r>
          </w:p>
        </w:tc>
        <w:tc>
          <w:tcPr>
            <w:tcW w:w="2952" w:type="dxa"/>
          </w:tcPr>
          <w:p w14:paraId="0F8A6F44" w14:textId="77777777" w:rsidR="006F5757" w:rsidRPr="00680F1C" w:rsidRDefault="006F5757" w:rsidP="00130AC3">
            <w:pPr>
              <w:spacing w:after="0" w:line="240" w:lineRule="auto"/>
              <w:jc w:val="center"/>
              <w:rPr>
                <w:color w:val="000000"/>
              </w:rPr>
            </w:pPr>
            <w:r w:rsidRPr="00680F1C">
              <w:rPr>
                <w:rFonts w:hint="eastAsia"/>
                <w:color w:val="000000"/>
              </w:rPr>
              <w:t>(</w:t>
            </w:r>
            <w:r>
              <w:rPr>
                <w:color w:val="000000"/>
              </w:rPr>
              <w:t>M H Lam</w:t>
            </w:r>
            <w:r w:rsidRPr="00680F1C">
              <w:rPr>
                <w:rFonts w:hint="eastAsia"/>
                <w:color w:val="000000"/>
              </w:rPr>
              <w:t>)</w:t>
            </w:r>
          </w:p>
          <w:p w14:paraId="4CDB34EE" w14:textId="77777777" w:rsidR="006F5757" w:rsidRPr="00980FCE" w:rsidRDefault="006F5757" w:rsidP="00130AC3">
            <w:pPr>
              <w:spacing w:after="0" w:line="240" w:lineRule="auto"/>
              <w:jc w:val="center"/>
              <w:rPr>
                <w:rFonts w:eastAsia="宋体"/>
                <w:lang w:val="en-US"/>
              </w:rPr>
            </w:pPr>
            <w:r w:rsidRPr="00680F1C">
              <w:rPr>
                <w:color w:val="000000"/>
                <w:lang w:eastAsia="zh-CN"/>
              </w:rPr>
              <w:t>Permanent Judge</w:t>
            </w:r>
          </w:p>
        </w:tc>
      </w:tr>
    </w:tbl>
    <w:p w14:paraId="2AC16D46" w14:textId="77777777" w:rsidR="006F5757" w:rsidRDefault="006F5757" w:rsidP="006F5757">
      <w:pPr>
        <w:pStyle w:val="Bob1"/>
        <w:numPr>
          <w:ilvl w:val="0"/>
          <w:numId w:val="0"/>
        </w:numPr>
        <w:spacing w:after="0" w:line="240" w:lineRule="auto"/>
        <w:jc w:val="both"/>
        <w:rPr>
          <w:rFonts w:eastAsia="宋体"/>
          <w:color w:val="FF0000"/>
          <w:szCs w:val="20"/>
          <w:lang w:eastAsia="zh-CN"/>
        </w:rPr>
      </w:pPr>
    </w:p>
    <w:p w14:paraId="5989D96A" w14:textId="77777777" w:rsidR="006F5757" w:rsidRDefault="006F5757" w:rsidP="006F5757">
      <w:pPr>
        <w:pStyle w:val="Bob1"/>
        <w:numPr>
          <w:ilvl w:val="0"/>
          <w:numId w:val="0"/>
        </w:numPr>
        <w:spacing w:after="0" w:line="240" w:lineRule="auto"/>
        <w:jc w:val="both"/>
        <w:rPr>
          <w:rFonts w:eastAsia="宋体"/>
          <w:color w:val="FF0000"/>
          <w:szCs w:val="20"/>
          <w:lang w:eastAsia="zh-CN"/>
        </w:rPr>
      </w:pPr>
    </w:p>
    <w:p w14:paraId="341BFB66" w14:textId="77777777" w:rsidR="006F5757" w:rsidRPr="000E3C86" w:rsidRDefault="006F5757" w:rsidP="006F5757">
      <w:pPr>
        <w:tabs>
          <w:tab w:val="left" w:pos="420"/>
          <w:tab w:val="center" w:pos="6020"/>
          <w:tab w:val="right" w:pos="8820"/>
        </w:tabs>
        <w:spacing w:before="120" w:after="0"/>
        <w:ind w:left="360" w:hanging="360"/>
        <w:jc w:val="both"/>
        <w:rPr>
          <w:b/>
        </w:rPr>
      </w:pPr>
      <w:r w:rsidRPr="00D12ACC">
        <w:t xml:space="preserve">Mr </w:t>
      </w:r>
      <w:r>
        <w:t xml:space="preserve">Melvin </w:t>
      </w:r>
      <w:proofErr w:type="spellStart"/>
      <w:r>
        <w:t>Ho</w:t>
      </w:r>
      <w:proofErr w:type="spellEnd"/>
      <w:r w:rsidRPr="00D12ACC">
        <w:t>, instructed</w:t>
      </w:r>
      <w:r>
        <w:t xml:space="preserve"> by </w:t>
      </w:r>
      <w:r w:rsidRPr="00046C3A">
        <w:t>D</w:t>
      </w:r>
      <w:r>
        <w:t>LA Piper Hong Kong, for the Applicant</w:t>
      </w:r>
    </w:p>
    <w:p w14:paraId="3088471B" w14:textId="77777777" w:rsidR="006F5757" w:rsidRDefault="006F5757" w:rsidP="006F5757">
      <w:pPr>
        <w:tabs>
          <w:tab w:val="left" w:pos="420"/>
          <w:tab w:val="center" w:pos="6020"/>
          <w:tab w:val="right" w:pos="8820"/>
        </w:tabs>
        <w:spacing w:before="120" w:after="0"/>
        <w:ind w:left="360" w:hanging="360"/>
        <w:jc w:val="both"/>
        <w:rPr>
          <w:color w:val="000000"/>
        </w:rPr>
      </w:pPr>
    </w:p>
    <w:p w14:paraId="771CA27C" w14:textId="77777777" w:rsidR="006F5757" w:rsidRPr="000E3C86" w:rsidRDefault="006F5757" w:rsidP="006F5757">
      <w:pPr>
        <w:tabs>
          <w:tab w:val="left" w:pos="420"/>
          <w:tab w:val="center" w:pos="6020"/>
          <w:tab w:val="right" w:pos="8820"/>
        </w:tabs>
        <w:spacing w:before="120" w:after="0"/>
        <w:ind w:left="360" w:hanging="360"/>
        <w:jc w:val="both"/>
        <w:rPr>
          <w:b/>
        </w:rPr>
      </w:pPr>
      <w:r w:rsidRPr="009A4974">
        <w:rPr>
          <w:color w:val="000000"/>
        </w:rPr>
        <w:t xml:space="preserve">Mr </w:t>
      </w:r>
      <w:r>
        <w:rPr>
          <w:color w:val="000000"/>
        </w:rPr>
        <w:t xml:space="preserve">Gary Leung, SADPP (Ag) of the Department of Justice, for the </w:t>
      </w:r>
      <w:r>
        <w:t>Respondent</w:t>
      </w:r>
    </w:p>
    <w:p w14:paraId="62D199A9" w14:textId="77777777" w:rsidR="006F5757" w:rsidRPr="00313CB4" w:rsidRDefault="006F5757" w:rsidP="006F5757">
      <w:pPr>
        <w:pStyle w:val="Bob1"/>
        <w:numPr>
          <w:ilvl w:val="0"/>
          <w:numId w:val="0"/>
        </w:numPr>
      </w:pPr>
    </w:p>
    <w:sectPr w:rsidR="006F5757" w:rsidRPr="00313CB4" w:rsidSect="007D106B">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916D5" w14:textId="77777777" w:rsidR="004F3DAE" w:rsidRDefault="004F3DAE" w:rsidP="00CC0407">
      <w:pPr>
        <w:spacing w:after="0" w:line="240" w:lineRule="auto"/>
      </w:pPr>
      <w:r>
        <w:separator/>
      </w:r>
    </w:p>
  </w:endnote>
  <w:endnote w:type="continuationSeparator" w:id="0">
    <w:p w14:paraId="5D1CE376" w14:textId="77777777" w:rsidR="004F3DAE" w:rsidRDefault="004F3DAE"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390D8" w14:textId="77777777" w:rsidR="0091677C" w:rsidRDefault="0091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DEB33" w14:textId="77777777" w:rsidR="0091677C" w:rsidRDefault="009167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A4692" w14:textId="77777777" w:rsidR="0091677C" w:rsidRDefault="0091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F4750" w14:textId="77777777" w:rsidR="004F3DAE" w:rsidRDefault="004F3DAE" w:rsidP="00CC0407">
      <w:pPr>
        <w:spacing w:after="0" w:line="240" w:lineRule="auto"/>
      </w:pPr>
      <w:r>
        <w:separator/>
      </w:r>
    </w:p>
  </w:footnote>
  <w:footnote w:type="continuationSeparator" w:id="0">
    <w:p w14:paraId="70003213" w14:textId="77777777" w:rsidR="004F3DAE" w:rsidRDefault="004F3DAE" w:rsidP="00CC0407">
      <w:pPr>
        <w:spacing w:after="0" w:line="240" w:lineRule="auto"/>
      </w:pPr>
      <w:r>
        <w:continuationSeparator/>
      </w:r>
    </w:p>
  </w:footnote>
  <w:footnote w:id="1">
    <w:p w14:paraId="60023613" w14:textId="5AC6EE52" w:rsidR="00273A8A" w:rsidRPr="00E839D7" w:rsidRDefault="00273A8A" w:rsidP="006F5757">
      <w:pPr>
        <w:pStyle w:val="FootnoteText"/>
        <w:tabs>
          <w:tab w:val="left" w:pos="360"/>
        </w:tabs>
        <w:rPr>
          <w:sz w:val="24"/>
          <w:szCs w:val="24"/>
          <w:lang w:val="en-GB"/>
        </w:rPr>
      </w:pPr>
      <w:r w:rsidRPr="00E839D7">
        <w:rPr>
          <w:rStyle w:val="FootnoteReference"/>
          <w:sz w:val="24"/>
          <w:szCs w:val="24"/>
          <w:lang w:val="en-GB"/>
        </w:rPr>
        <w:footnoteRef/>
      </w:r>
      <w:r w:rsidRPr="00E839D7">
        <w:rPr>
          <w:sz w:val="24"/>
          <w:szCs w:val="24"/>
          <w:lang w:val="en-GB"/>
        </w:rPr>
        <w:t xml:space="preserve"> </w:t>
      </w:r>
      <w:r w:rsidRPr="00E839D7">
        <w:rPr>
          <w:sz w:val="24"/>
          <w:szCs w:val="24"/>
          <w:lang w:val="en-GB"/>
        </w:rPr>
        <w:tab/>
      </w:r>
      <w:r w:rsidRPr="00E839D7">
        <w:rPr>
          <w:rFonts w:eastAsia="PMingLiU"/>
          <w:sz w:val="24"/>
          <w:szCs w:val="24"/>
          <w:lang w:val="en-GB" w:eastAsia="zh-TW"/>
        </w:rPr>
        <w:t>[2022] HKCFI 3618.</w:t>
      </w:r>
    </w:p>
  </w:footnote>
  <w:footnote w:id="2">
    <w:p w14:paraId="2070E8C2" w14:textId="6CECA1C0" w:rsidR="00CB2ED6" w:rsidRPr="00E839D7" w:rsidRDefault="00CB2ED6" w:rsidP="006F5757">
      <w:pPr>
        <w:pStyle w:val="FootnoteText"/>
        <w:tabs>
          <w:tab w:val="left" w:pos="360"/>
        </w:tabs>
        <w:rPr>
          <w:sz w:val="24"/>
          <w:szCs w:val="24"/>
          <w:lang w:val="en-GB"/>
        </w:rPr>
      </w:pPr>
      <w:r w:rsidRPr="00E839D7">
        <w:rPr>
          <w:rStyle w:val="FootnoteReference"/>
          <w:sz w:val="24"/>
          <w:szCs w:val="24"/>
          <w:lang w:val="en-GB"/>
        </w:rPr>
        <w:footnoteRef/>
      </w:r>
      <w:r w:rsidRPr="00E839D7">
        <w:rPr>
          <w:sz w:val="24"/>
          <w:szCs w:val="24"/>
          <w:lang w:val="en-GB"/>
        </w:rPr>
        <w:t xml:space="preserve"> </w:t>
      </w:r>
      <w:r w:rsidRPr="00E839D7">
        <w:rPr>
          <w:sz w:val="24"/>
          <w:szCs w:val="24"/>
          <w:lang w:val="en-GB"/>
        </w:rPr>
        <w:tab/>
      </w:r>
      <w:r w:rsidRPr="00E839D7">
        <w:rPr>
          <w:i/>
          <w:iCs/>
          <w:sz w:val="24"/>
          <w:szCs w:val="24"/>
          <w:lang w:val="en-GB"/>
        </w:rPr>
        <w:t xml:space="preserve">Ibid </w:t>
      </w:r>
      <w:r w:rsidRPr="00E839D7">
        <w:rPr>
          <w:sz w:val="24"/>
          <w:szCs w:val="24"/>
          <w:lang w:val="en-GB"/>
        </w:rPr>
        <w:t>at §</w:t>
      </w:r>
      <w:r w:rsidR="0070331D" w:rsidRPr="00E839D7">
        <w:rPr>
          <w:sz w:val="24"/>
          <w:szCs w:val="24"/>
          <w:lang w:val="en-GB"/>
        </w:rPr>
        <w:t>§</w:t>
      </w:r>
      <w:r w:rsidRPr="00E839D7">
        <w:rPr>
          <w:sz w:val="24"/>
          <w:szCs w:val="24"/>
          <w:lang w:val="en-GB"/>
        </w:rPr>
        <w:t>24</w:t>
      </w:r>
      <w:r w:rsidR="0070331D" w:rsidRPr="00E839D7">
        <w:rPr>
          <w:sz w:val="24"/>
          <w:szCs w:val="24"/>
          <w:lang w:val="en-GB"/>
        </w:rPr>
        <w:t>-25</w:t>
      </w:r>
      <w:r w:rsidRPr="00E839D7">
        <w:rPr>
          <w:sz w:val="24"/>
          <w:szCs w:val="24"/>
          <w:lang w:val="en-GB"/>
        </w:rPr>
        <w:t>.</w:t>
      </w:r>
    </w:p>
  </w:footnote>
  <w:footnote w:id="3">
    <w:p w14:paraId="2892A350" w14:textId="7E1278CE" w:rsidR="00B05E3B" w:rsidRPr="00E839D7" w:rsidRDefault="00B05E3B" w:rsidP="006F5757">
      <w:pPr>
        <w:pStyle w:val="FootnoteText"/>
        <w:tabs>
          <w:tab w:val="left" w:pos="360"/>
        </w:tabs>
        <w:ind w:left="360" w:hanging="360"/>
        <w:jc w:val="both"/>
        <w:rPr>
          <w:sz w:val="24"/>
          <w:szCs w:val="24"/>
          <w:lang w:val="en-GB"/>
        </w:rPr>
      </w:pPr>
      <w:r w:rsidRPr="00E839D7">
        <w:rPr>
          <w:rStyle w:val="FootnoteReference"/>
          <w:sz w:val="24"/>
          <w:szCs w:val="24"/>
          <w:lang w:val="en-GB"/>
        </w:rPr>
        <w:footnoteRef/>
      </w:r>
      <w:r w:rsidRPr="00E839D7">
        <w:rPr>
          <w:sz w:val="24"/>
          <w:szCs w:val="24"/>
          <w:lang w:val="en-GB"/>
        </w:rPr>
        <w:t xml:space="preserve"> </w:t>
      </w:r>
      <w:r w:rsidRPr="00E839D7">
        <w:rPr>
          <w:sz w:val="24"/>
          <w:szCs w:val="24"/>
          <w:lang w:val="en-GB"/>
        </w:rPr>
        <w:tab/>
        <w:t>Costs in Criminal Cases Ordinance (Cap 492),</w:t>
      </w:r>
      <w:r w:rsidR="006279AD">
        <w:rPr>
          <w:sz w:val="24"/>
          <w:szCs w:val="24"/>
          <w:lang w:val="en-GB"/>
        </w:rPr>
        <w:t xml:space="preserve"> </w:t>
      </w:r>
      <w:proofErr w:type="spellStart"/>
      <w:r w:rsidR="006279AD">
        <w:rPr>
          <w:sz w:val="24"/>
          <w:szCs w:val="24"/>
          <w:lang w:val="en-GB"/>
        </w:rPr>
        <w:t>ss</w:t>
      </w:r>
      <w:proofErr w:type="spellEnd"/>
      <w:r w:rsidRPr="00E839D7">
        <w:rPr>
          <w:sz w:val="24"/>
          <w:szCs w:val="24"/>
          <w:lang w:val="en-GB"/>
        </w:rPr>
        <w:t xml:space="preserve"> 4</w:t>
      </w:r>
      <w:r w:rsidR="006279AD">
        <w:rPr>
          <w:sz w:val="24"/>
          <w:szCs w:val="24"/>
          <w:lang w:val="en-GB"/>
        </w:rPr>
        <w:t xml:space="preserve"> and 5</w:t>
      </w:r>
      <w:r w:rsidRPr="00E839D7">
        <w:rPr>
          <w:sz w:val="24"/>
          <w:szCs w:val="24"/>
          <w:lang w:val="en-GB"/>
        </w:rPr>
        <w:t xml:space="preserve">; </w:t>
      </w:r>
      <w:r w:rsidRPr="00E839D7">
        <w:rPr>
          <w:i/>
          <w:iCs/>
          <w:sz w:val="24"/>
          <w:szCs w:val="24"/>
          <w:lang w:val="en-GB"/>
        </w:rPr>
        <w:t xml:space="preserve">Tong </w:t>
      </w:r>
      <w:proofErr w:type="spellStart"/>
      <w:r w:rsidRPr="00E839D7">
        <w:rPr>
          <w:i/>
          <w:iCs/>
          <w:sz w:val="24"/>
          <w:szCs w:val="24"/>
          <w:lang w:val="en-GB"/>
        </w:rPr>
        <w:t>Cun</w:t>
      </w:r>
      <w:proofErr w:type="spellEnd"/>
      <w:r w:rsidRPr="00E839D7">
        <w:rPr>
          <w:i/>
          <w:iCs/>
          <w:sz w:val="24"/>
          <w:szCs w:val="24"/>
          <w:lang w:val="en-GB"/>
        </w:rPr>
        <w:t xml:space="preserve"> Lin v HKSAR</w:t>
      </w:r>
      <w:r w:rsidRPr="00E839D7">
        <w:rPr>
          <w:sz w:val="24"/>
          <w:szCs w:val="24"/>
          <w:lang w:val="en-GB"/>
        </w:rPr>
        <w:t xml:space="preserve"> (1999) 2 HKCFAR 531; </w:t>
      </w:r>
      <w:r w:rsidR="00386383" w:rsidRPr="00E839D7">
        <w:rPr>
          <w:i/>
          <w:iCs/>
          <w:sz w:val="24"/>
          <w:szCs w:val="24"/>
          <w:lang w:val="en-GB"/>
        </w:rPr>
        <w:t xml:space="preserve">Ting James Henry v HKSAR (No 2) </w:t>
      </w:r>
      <w:r w:rsidR="00386383" w:rsidRPr="00E839D7">
        <w:rPr>
          <w:sz w:val="24"/>
          <w:szCs w:val="24"/>
          <w:lang w:val="en-GB"/>
        </w:rPr>
        <w:t xml:space="preserve">(2007) 10 HKCFAR 730; </w:t>
      </w:r>
      <w:r w:rsidR="00386383" w:rsidRPr="00E839D7">
        <w:rPr>
          <w:i/>
          <w:iCs/>
          <w:sz w:val="24"/>
          <w:szCs w:val="24"/>
          <w:lang w:val="en-GB"/>
        </w:rPr>
        <w:t>SJ v Lam Chiu Fong</w:t>
      </w:r>
      <w:r w:rsidR="00386383" w:rsidRPr="00E839D7">
        <w:rPr>
          <w:sz w:val="24"/>
          <w:szCs w:val="24"/>
          <w:lang w:val="en-GB"/>
        </w:rPr>
        <w:t xml:space="preserve"> [2009] 2 HKLRD 484; </w:t>
      </w:r>
      <w:r w:rsidRPr="00E839D7">
        <w:rPr>
          <w:i/>
          <w:iCs/>
          <w:sz w:val="24"/>
          <w:szCs w:val="24"/>
          <w:lang w:val="en-GB"/>
        </w:rPr>
        <w:t xml:space="preserve">HKSAR v Chan </w:t>
      </w:r>
      <w:proofErr w:type="spellStart"/>
      <w:r w:rsidRPr="00E839D7">
        <w:rPr>
          <w:i/>
          <w:iCs/>
          <w:sz w:val="24"/>
          <w:szCs w:val="24"/>
          <w:lang w:val="en-GB"/>
        </w:rPr>
        <w:t>Yau</w:t>
      </w:r>
      <w:proofErr w:type="spellEnd"/>
      <w:r w:rsidRPr="00E839D7">
        <w:rPr>
          <w:i/>
          <w:iCs/>
          <w:sz w:val="24"/>
          <w:szCs w:val="24"/>
          <w:lang w:val="en-GB"/>
        </w:rPr>
        <w:t xml:space="preserve"> </w:t>
      </w:r>
      <w:proofErr w:type="spellStart"/>
      <w:r w:rsidRPr="00E839D7">
        <w:rPr>
          <w:i/>
          <w:iCs/>
          <w:sz w:val="24"/>
          <w:szCs w:val="24"/>
          <w:lang w:val="en-GB"/>
        </w:rPr>
        <w:t>Hei</w:t>
      </w:r>
      <w:proofErr w:type="spellEnd"/>
      <w:r w:rsidRPr="00E839D7">
        <w:rPr>
          <w:sz w:val="24"/>
          <w:szCs w:val="24"/>
          <w:lang w:val="en-GB"/>
        </w:rPr>
        <w:t xml:space="preserve"> (FACC 3/2013, 20 May 2014); </w:t>
      </w:r>
      <w:r w:rsidRPr="00E839D7">
        <w:rPr>
          <w:i/>
          <w:iCs/>
          <w:sz w:val="24"/>
          <w:szCs w:val="24"/>
          <w:lang w:val="en-GB"/>
        </w:rPr>
        <w:t>HKSAR v Pang Hung Fai (No 2)</w:t>
      </w:r>
      <w:r w:rsidRPr="00E839D7">
        <w:rPr>
          <w:sz w:val="24"/>
          <w:szCs w:val="24"/>
          <w:lang w:val="en-GB"/>
        </w:rPr>
        <w:t xml:space="preserve"> (2015) 18 HKCFAR 1</w:t>
      </w:r>
      <w:r w:rsidR="00386383" w:rsidRPr="00E839D7">
        <w:rPr>
          <w:sz w:val="24"/>
          <w:szCs w:val="24"/>
          <w:lang w:val="en-GB"/>
        </w:rPr>
        <w:t xml:space="preserve">; </w:t>
      </w:r>
      <w:r w:rsidRPr="00E839D7">
        <w:rPr>
          <w:i/>
          <w:iCs/>
          <w:sz w:val="24"/>
          <w:szCs w:val="24"/>
          <w:lang w:val="en-GB"/>
        </w:rPr>
        <w:t xml:space="preserve">HKSAR v Chan </w:t>
      </w:r>
      <w:proofErr w:type="spellStart"/>
      <w:r w:rsidRPr="00E839D7">
        <w:rPr>
          <w:i/>
          <w:iCs/>
          <w:sz w:val="24"/>
          <w:szCs w:val="24"/>
          <w:lang w:val="en-GB"/>
        </w:rPr>
        <w:t>Kam</w:t>
      </w:r>
      <w:proofErr w:type="spellEnd"/>
      <w:r w:rsidRPr="00E839D7">
        <w:rPr>
          <w:i/>
          <w:iCs/>
          <w:sz w:val="24"/>
          <w:szCs w:val="24"/>
          <w:lang w:val="en-GB"/>
        </w:rPr>
        <w:t xml:space="preserve"> </w:t>
      </w:r>
      <w:proofErr w:type="spellStart"/>
      <w:r w:rsidRPr="00E839D7">
        <w:rPr>
          <w:i/>
          <w:iCs/>
          <w:sz w:val="24"/>
          <w:szCs w:val="24"/>
          <w:lang w:val="en-GB"/>
        </w:rPr>
        <w:t>Ching</w:t>
      </w:r>
      <w:proofErr w:type="spellEnd"/>
      <w:r w:rsidRPr="00E839D7">
        <w:rPr>
          <w:i/>
          <w:iCs/>
          <w:sz w:val="24"/>
          <w:szCs w:val="24"/>
          <w:lang w:val="en-GB"/>
        </w:rPr>
        <w:t xml:space="preserve"> (No 2)</w:t>
      </w:r>
      <w:r w:rsidRPr="00E839D7">
        <w:rPr>
          <w:sz w:val="24"/>
          <w:szCs w:val="24"/>
          <w:lang w:val="en-GB"/>
        </w:rPr>
        <w:t xml:space="preserve"> (2022) 25 HKCFAR 181</w:t>
      </w:r>
      <w:r w:rsidR="00386383" w:rsidRPr="00E839D7">
        <w:rPr>
          <w:sz w:val="24"/>
          <w:szCs w:val="24"/>
          <w:lang w:val="en-GB"/>
        </w:rPr>
        <w:t>.</w:t>
      </w:r>
    </w:p>
  </w:footnote>
  <w:footnote w:id="4">
    <w:p w14:paraId="6B374AFF" w14:textId="2FFC2CD9" w:rsidR="00E513ED" w:rsidRPr="00E839D7" w:rsidRDefault="00E513ED" w:rsidP="006F5757">
      <w:pPr>
        <w:pStyle w:val="FootnoteText"/>
        <w:tabs>
          <w:tab w:val="left" w:pos="360"/>
        </w:tabs>
        <w:ind w:left="360" w:hanging="360"/>
        <w:jc w:val="both"/>
        <w:rPr>
          <w:sz w:val="24"/>
          <w:szCs w:val="24"/>
        </w:rPr>
      </w:pPr>
      <w:r w:rsidRPr="00E839D7">
        <w:rPr>
          <w:rStyle w:val="FootnoteReference"/>
          <w:sz w:val="24"/>
          <w:szCs w:val="24"/>
        </w:rPr>
        <w:footnoteRef/>
      </w:r>
      <w:r w:rsidRPr="00E839D7">
        <w:rPr>
          <w:sz w:val="24"/>
          <w:szCs w:val="24"/>
        </w:rPr>
        <w:t xml:space="preserve"> </w:t>
      </w:r>
      <w:r w:rsidRPr="00E839D7">
        <w:rPr>
          <w:sz w:val="24"/>
          <w:szCs w:val="24"/>
        </w:rPr>
        <w:tab/>
      </w:r>
      <w:r w:rsidRPr="00E839D7">
        <w:rPr>
          <w:sz w:val="24"/>
          <w:szCs w:val="24"/>
          <w:lang w:val="en-GB"/>
        </w:rPr>
        <w:t>(2022) 25 HKCFAR 181 at §8 (footnotes omitted).</w:t>
      </w:r>
    </w:p>
  </w:footnote>
  <w:footnote w:id="5">
    <w:p w14:paraId="09ED8BF4" w14:textId="6D8CE757" w:rsidR="00264D2C" w:rsidRPr="00264D2C" w:rsidRDefault="00264D2C" w:rsidP="006F5757">
      <w:pPr>
        <w:pStyle w:val="FootnoteText"/>
        <w:tabs>
          <w:tab w:val="left" w:pos="360"/>
        </w:tabs>
        <w:rPr>
          <w:sz w:val="24"/>
          <w:szCs w:val="24"/>
        </w:rPr>
      </w:pPr>
      <w:r w:rsidRPr="00264D2C">
        <w:rPr>
          <w:rStyle w:val="FootnoteReference"/>
          <w:sz w:val="24"/>
          <w:szCs w:val="24"/>
        </w:rPr>
        <w:footnoteRef/>
      </w:r>
      <w:r w:rsidRPr="00264D2C">
        <w:rPr>
          <w:sz w:val="24"/>
          <w:szCs w:val="24"/>
        </w:rPr>
        <w:t xml:space="preserve"> </w:t>
      </w:r>
      <w:r w:rsidRPr="00264D2C">
        <w:rPr>
          <w:sz w:val="24"/>
          <w:szCs w:val="24"/>
        </w:rPr>
        <w:tab/>
        <w:t>FAMC 47/2005, 6 October 2005.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74BD3" w14:textId="77777777" w:rsidR="0091677C" w:rsidRDefault="009167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14:paraId="2A87250A" w14:textId="0845BDEE" w:rsidR="0079601A" w:rsidRDefault="0079601A">
        <w:pPr>
          <w:pStyle w:val="Header"/>
          <w:jc w:val="center"/>
        </w:pPr>
        <w:r>
          <w:t>-</w:t>
        </w:r>
        <w:r>
          <w:fldChar w:fldCharType="begin"/>
        </w:r>
        <w:r>
          <w:instrText xml:space="preserve"> PAGE   \* MERGEFORMAT </w:instrText>
        </w:r>
        <w:r>
          <w:fldChar w:fldCharType="separate"/>
        </w:r>
        <w:r w:rsidR="000E201B">
          <w:rPr>
            <w:noProof/>
          </w:rPr>
          <w:t>5</w:t>
        </w:r>
        <w:r>
          <w:rPr>
            <w:noProof/>
          </w:rPr>
          <w:fldChar w:fldCharType="end"/>
        </w:r>
        <w:r>
          <w:t>-</w:t>
        </w:r>
      </w:p>
    </w:sdtContent>
  </w:sdt>
  <w:p w14:paraId="1DA4C6BA" w14:textId="77777777" w:rsidR="0079601A" w:rsidRDefault="00796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416E" w14:textId="77777777" w:rsidR="0091677C" w:rsidRDefault="00916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34C"/>
    <w:multiLevelType w:val="hybridMultilevel"/>
    <w:tmpl w:val="866EA78A"/>
    <w:lvl w:ilvl="0" w:tplc="AA2E38B8">
      <w:start w:val="1"/>
      <w:numFmt w:val="lowerLetter"/>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2"/>
  </w:num>
  <w:num w:numId="9">
    <w:abstractNumId w:val="2"/>
  </w:num>
  <w:num w:numId="10">
    <w:abstractNumId w:val="2"/>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90"/>
    <w:rsid w:val="000073F3"/>
    <w:rsid w:val="00016FC9"/>
    <w:rsid w:val="0004068A"/>
    <w:rsid w:val="00046099"/>
    <w:rsid w:val="000473AD"/>
    <w:rsid w:val="0005384A"/>
    <w:rsid w:val="00054BFB"/>
    <w:rsid w:val="00063633"/>
    <w:rsid w:val="000A0914"/>
    <w:rsid w:val="000B24FF"/>
    <w:rsid w:val="000B7069"/>
    <w:rsid w:val="000C2D0F"/>
    <w:rsid w:val="000C516E"/>
    <w:rsid w:val="000D259B"/>
    <w:rsid w:val="000D4169"/>
    <w:rsid w:val="000D501A"/>
    <w:rsid w:val="000E18EF"/>
    <w:rsid w:val="000E201B"/>
    <w:rsid w:val="000F65B1"/>
    <w:rsid w:val="0010345D"/>
    <w:rsid w:val="0011431D"/>
    <w:rsid w:val="00124090"/>
    <w:rsid w:val="001255A5"/>
    <w:rsid w:val="0014014F"/>
    <w:rsid w:val="001421D8"/>
    <w:rsid w:val="00143E48"/>
    <w:rsid w:val="00147B9B"/>
    <w:rsid w:val="00155EFA"/>
    <w:rsid w:val="001648C4"/>
    <w:rsid w:val="00196978"/>
    <w:rsid w:val="001A2838"/>
    <w:rsid w:val="001B3700"/>
    <w:rsid w:val="001D3173"/>
    <w:rsid w:val="001D3883"/>
    <w:rsid w:val="001D72DC"/>
    <w:rsid w:val="001F4B36"/>
    <w:rsid w:val="0023086C"/>
    <w:rsid w:val="002324C2"/>
    <w:rsid w:val="0024740B"/>
    <w:rsid w:val="0025778B"/>
    <w:rsid w:val="00264D2C"/>
    <w:rsid w:val="00273A8A"/>
    <w:rsid w:val="002848B9"/>
    <w:rsid w:val="002D024F"/>
    <w:rsid w:val="002E24AB"/>
    <w:rsid w:val="00313CB4"/>
    <w:rsid w:val="00332436"/>
    <w:rsid w:val="003359A1"/>
    <w:rsid w:val="003607A5"/>
    <w:rsid w:val="0036124A"/>
    <w:rsid w:val="00371A31"/>
    <w:rsid w:val="00386383"/>
    <w:rsid w:val="00387231"/>
    <w:rsid w:val="003918EC"/>
    <w:rsid w:val="003A36DE"/>
    <w:rsid w:val="003A38F9"/>
    <w:rsid w:val="003B6FE7"/>
    <w:rsid w:val="003B7996"/>
    <w:rsid w:val="003F04B1"/>
    <w:rsid w:val="003F124C"/>
    <w:rsid w:val="003F3D77"/>
    <w:rsid w:val="003F7894"/>
    <w:rsid w:val="0041075D"/>
    <w:rsid w:val="0041338E"/>
    <w:rsid w:val="00427E6C"/>
    <w:rsid w:val="00436137"/>
    <w:rsid w:val="00455241"/>
    <w:rsid w:val="0046781C"/>
    <w:rsid w:val="004767F3"/>
    <w:rsid w:val="00497FF4"/>
    <w:rsid w:val="004B5460"/>
    <w:rsid w:val="004E2477"/>
    <w:rsid w:val="004F1232"/>
    <w:rsid w:val="004F3DAE"/>
    <w:rsid w:val="004F5E99"/>
    <w:rsid w:val="00500E4F"/>
    <w:rsid w:val="00501FE1"/>
    <w:rsid w:val="00504253"/>
    <w:rsid w:val="00553079"/>
    <w:rsid w:val="005607A5"/>
    <w:rsid w:val="005742C8"/>
    <w:rsid w:val="0058667D"/>
    <w:rsid w:val="005A4AD0"/>
    <w:rsid w:val="005A6AF6"/>
    <w:rsid w:val="005A7B9F"/>
    <w:rsid w:val="005B51FA"/>
    <w:rsid w:val="005C618B"/>
    <w:rsid w:val="005C7FDD"/>
    <w:rsid w:val="005E7939"/>
    <w:rsid w:val="00603597"/>
    <w:rsid w:val="00603BF2"/>
    <w:rsid w:val="00617A16"/>
    <w:rsid w:val="006279AD"/>
    <w:rsid w:val="006417C4"/>
    <w:rsid w:val="00650B95"/>
    <w:rsid w:val="00694648"/>
    <w:rsid w:val="006D6E8B"/>
    <w:rsid w:val="006E6902"/>
    <w:rsid w:val="006F5757"/>
    <w:rsid w:val="006F6C50"/>
    <w:rsid w:val="0070331D"/>
    <w:rsid w:val="007049E6"/>
    <w:rsid w:val="007201D2"/>
    <w:rsid w:val="007363BA"/>
    <w:rsid w:val="00744DFB"/>
    <w:rsid w:val="00761EC7"/>
    <w:rsid w:val="007721FF"/>
    <w:rsid w:val="0079601A"/>
    <w:rsid w:val="007A1FBA"/>
    <w:rsid w:val="007A29C8"/>
    <w:rsid w:val="007D106B"/>
    <w:rsid w:val="007D27AB"/>
    <w:rsid w:val="007F40F5"/>
    <w:rsid w:val="0080748E"/>
    <w:rsid w:val="00811081"/>
    <w:rsid w:val="00871BFE"/>
    <w:rsid w:val="0087363B"/>
    <w:rsid w:val="0087451F"/>
    <w:rsid w:val="0087557C"/>
    <w:rsid w:val="00884713"/>
    <w:rsid w:val="008A1593"/>
    <w:rsid w:val="008A3F41"/>
    <w:rsid w:val="008D16B9"/>
    <w:rsid w:val="008F0568"/>
    <w:rsid w:val="008F13AC"/>
    <w:rsid w:val="00904D2E"/>
    <w:rsid w:val="0091677C"/>
    <w:rsid w:val="00921389"/>
    <w:rsid w:val="009470B6"/>
    <w:rsid w:val="0095110A"/>
    <w:rsid w:val="00970DE3"/>
    <w:rsid w:val="00983A3D"/>
    <w:rsid w:val="009A0D4B"/>
    <w:rsid w:val="009C402A"/>
    <w:rsid w:val="009C7992"/>
    <w:rsid w:val="009D13AA"/>
    <w:rsid w:val="009E7772"/>
    <w:rsid w:val="009F5838"/>
    <w:rsid w:val="00A11400"/>
    <w:rsid w:val="00A12ACC"/>
    <w:rsid w:val="00A63673"/>
    <w:rsid w:val="00A65F6B"/>
    <w:rsid w:val="00A87B14"/>
    <w:rsid w:val="00A9521F"/>
    <w:rsid w:val="00AA2600"/>
    <w:rsid w:val="00AB0343"/>
    <w:rsid w:val="00AB2A09"/>
    <w:rsid w:val="00AB3DC4"/>
    <w:rsid w:val="00AB691F"/>
    <w:rsid w:val="00AC7218"/>
    <w:rsid w:val="00AE51B8"/>
    <w:rsid w:val="00AF60C7"/>
    <w:rsid w:val="00AF7021"/>
    <w:rsid w:val="00B05E3B"/>
    <w:rsid w:val="00B11466"/>
    <w:rsid w:val="00B205BD"/>
    <w:rsid w:val="00B23689"/>
    <w:rsid w:val="00B24875"/>
    <w:rsid w:val="00B32973"/>
    <w:rsid w:val="00B32DD9"/>
    <w:rsid w:val="00B35981"/>
    <w:rsid w:val="00B35B88"/>
    <w:rsid w:val="00B37A8B"/>
    <w:rsid w:val="00B5094B"/>
    <w:rsid w:val="00B91522"/>
    <w:rsid w:val="00BA0C96"/>
    <w:rsid w:val="00BA2DC0"/>
    <w:rsid w:val="00BA71B0"/>
    <w:rsid w:val="00BB1F52"/>
    <w:rsid w:val="00BD6C49"/>
    <w:rsid w:val="00C079A9"/>
    <w:rsid w:val="00C1117B"/>
    <w:rsid w:val="00C45331"/>
    <w:rsid w:val="00C63A32"/>
    <w:rsid w:val="00C80468"/>
    <w:rsid w:val="00CB21DD"/>
    <w:rsid w:val="00CB2ED6"/>
    <w:rsid w:val="00CC0407"/>
    <w:rsid w:val="00CC281E"/>
    <w:rsid w:val="00D01FCE"/>
    <w:rsid w:val="00D11290"/>
    <w:rsid w:val="00D2349E"/>
    <w:rsid w:val="00D5500F"/>
    <w:rsid w:val="00D83A62"/>
    <w:rsid w:val="00DE003C"/>
    <w:rsid w:val="00DE0B52"/>
    <w:rsid w:val="00DE3982"/>
    <w:rsid w:val="00DF2C04"/>
    <w:rsid w:val="00DF7559"/>
    <w:rsid w:val="00E226B3"/>
    <w:rsid w:val="00E23949"/>
    <w:rsid w:val="00E513ED"/>
    <w:rsid w:val="00E60E45"/>
    <w:rsid w:val="00E60FD7"/>
    <w:rsid w:val="00E839D7"/>
    <w:rsid w:val="00E869BC"/>
    <w:rsid w:val="00E87E3F"/>
    <w:rsid w:val="00E93E31"/>
    <w:rsid w:val="00EA4A24"/>
    <w:rsid w:val="00ED297B"/>
    <w:rsid w:val="00EE36B4"/>
    <w:rsid w:val="00EF5ECB"/>
    <w:rsid w:val="00EF6702"/>
    <w:rsid w:val="00F01E6F"/>
    <w:rsid w:val="00F06941"/>
    <w:rsid w:val="00F0712F"/>
    <w:rsid w:val="00F10873"/>
    <w:rsid w:val="00F22C91"/>
    <w:rsid w:val="00F50D4C"/>
    <w:rsid w:val="00F6375C"/>
    <w:rsid w:val="00F67927"/>
    <w:rsid w:val="00F77424"/>
    <w:rsid w:val="00F915C7"/>
    <w:rsid w:val="00FE4E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3A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宋体" w:hAnsi="Times New Roman" w:cs="Times New Roman"/>
        <w:kern w:val="2"/>
        <w:sz w:val="28"/>
        <w:szCs w:val="28"/>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D112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11290"/>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D1129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129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112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12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12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12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2848B9"/>
    <w:pPr>
      <w:spacing w:after="120" w:line="240" w:lineRule="auto"/>
    </w:pPr>
    <w:rPr>
      <w:lang w:val="en-US"/>
    </w:rPr>
  </w:style>
  <w:style w:type="character" w:customStyle="1" w:styleId="FootnoteTextChar">
    <w:name w:val="Footnote Text Char"/>
    <w:link w:val="FootnoteText"/>
    <w:uiPriority w:val="99"/>
    <w:semiHidden/>
    <w:rsid w:val="002848B9"/>
    <w:rPr>
      <w:sz w:val="24"/>
    </w:rPr>
  </w:style>
  <w:style w:type="paragraph" w:customStyle="1" w:styleId="footnotes">
    <w:name w:val="footnotes"/>
    <w:basedOn w:val="FootnoteText"/>
    <w:link w:val="footnotesChar"/>
    <w:qFormat/>
    <w:rsid w:val="00455241"/>
    <w:rPr>
      <w:sz w:val="24"/>
      <w:lang w:val="en-GB"/>
    </w:rPr>
  </w:style>
  <w:style w:type="character" w:customStyle="1" w:styleId="footnotesChar">
    <w:name w:val="footnotes Char"/>
    <w:basedOn w:val="FootnoteTextChar"/>
    <w:link w:val="footnotes"/>
    <w:rsid w:val="00455241"/>
    <w:rPr>
      <w:sz w:val="24"/>
    </w:rPr>
  </w:style>
  <w:style w:type="character" w:customStyle="1" w:styleId="Heading2Char">
    <w:name w:val="Heading 2 Char"/>
    <w:basedOn w:val="DefaultParagraphFont"/>
    <w:link w:val="Heading2"/>
    <w:uiPriority w:val="9"/>
    <w:semiHidden/>
    <w:rsid w:val="00D112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11290"/>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D11290"/>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11290"/>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112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12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12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12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1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9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11290"/>
    <w:pPr>
      <w:spacing w:before="160"/>
      <w:jc w:val="center"/>
    </w:pPr>
    <w:rPr>
      <w:i/>
      <w:iCs/>
      <w:color w:val="404040" w:themeColor="text1" w:themeTint="BF"/>
    </w:rPr>
  </w:style>
  <w:style w:type="character" w:customStyle="1" w:styleId="QuoteChar">
    <w:name w:val="Quote Char"/>
    <w:basedOn w:val="DefaultParagraphFont"/>
    <w:link w:val="Quote"/>
    <w:uiPriority w:val="29"/>
    <w:rsid w:val="00D11290"/>
    <w:rPr>
      <w:i/>
      <w:iCs/>
      <w:color w:val="404040" w:themeColor="text1" w:themeTint="BF"/>
    </w:rPr>
  </w:style>
  <w:style w:type="paragraph" w:styleId="ListParagraph">
    <w:name w:val="List Paragraph"/>
    <w:basedOn w:val="Normal"/>
    <w:uiPriority w:val="34"/>
    <w:qFormat/>
    <w:rsid w:val="00D11290"/>
    <w:pPr>
      <w:ind w:left="720"/>
      <w:contextualSpacing/>
    </w:pPr>
  </w:style>
  <w:style w:type="character" w:styleId="IntenseEmphasis">
    <w:name w:val="Intense Emphasis"/>
    <w:basedOn w:val="DefaultParagraphFont"/>
    <w:uiPriority w:val="21"/>
    <w:qFormat/>
    <w:rsid w:val="00D11290"/>
    <w:rPr>
      <w:i/>
      <w:iCs/>
      <w:color w:val="365F91" w:themeColor="accent1" w:themeShade="BF"/>
    </w:rPr>
  </w:style>
  <w:style w:type="paragraph" w:styleId="IntenseQuote">
    <w:name w:val="Intense Quote"/>
    <w:basedOn w:val="Normal"/>
    <w:next w:val="Normal"/>
    <w:link w:val="IntenseQuoteChar"/>
    <w:uiPriority w:val="30"/>
    <w:qFormat/>
    <w:rsid w:val="00D112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11290"/>
    <w:rPr>
      <w:i/>
      <w:iCs/>
      <w:color w:val="365F91" w:themeColor="accent1" w:themeShade="BF"/>
    </w:rPr>
  </w:style>
  <w:style w:type="character" w:styleId="IntenseReference">
    <w:name w:val="Intense Reference"/>
    <w:basedOn w:val="DefaultParagraphFont"/>
    <w:uiPriority w:val="32"/>
    <w:qFormat/>
    <w:rsid w:val="00D11290"/>
    <w:rPr>
      <w:b/>
      <w:bCs/>
      <w:smallCaps/>
      <w:color w:val="365F91" w:themeColor="accent1" w:themeShade="BF"/>
      <w:spacing w:val="5"/>
    </w:rPr>
  </w:style>
  <w:style w:type="character" w:styleId="FootnoteReference">
    <w:name w:val="footnote reference"/>
    <w:basedOn w:val="DefaultParagraphFont"/>
    <w:uiPriority w:val="99"/>
    <w:semiHidden/>
    <w:unhideWhenUsed/>
    <w:rsid w:val="00273A8A"/>
    <w:rPr>
      <w:vertAlign w:val="superscript"/>
    </w:rPr>
  </w:style>
  <w:style w:type="paragraph" w:customStyle="1" w:styleId="NormalMF">
    <w:name w:val="NormalMF"/>
    <w:basedOn w:val="Normal"/>
    <w:rsid w:val="006F5757"/>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kern w:val="0"/>
      <w:sz w:val="32"/>
      <w:szCs w:val="20"/>
      <w:lang w:eastAsia="zh-CN"/>
      <w14:ligatures w14:val="none"/>
    </w:rPr>
  </w:style>
  <w:style w:type="paragraph" w:customStyle="1" w:styleId="MF">
    <w:name w:val="MF"/>
    <w:basedOn w:val="NormalMF"/>
    <w:rsid w:val="006F5757"/>
    <w:rPr>
      <w:b w:val="0"/>
      <w:sz w:val="28"/>
    </w:rPr>
  </w:style>
  <w:style w:type="paragraph" w:styleId="BodyTextIndent">
    <w:name w:val="Body Text Indent"/>
    <w:basedOn w:val="Normal"/>
    <w:link w:val="BodyTextIndentChar"/>
    <w:semiHidden/>
    <w:rsid w:val="006F5757"/>
    <w:pPr>
      <w:widowControl w:val="0"/>
      <w:spacing w:after="0" w:line="240" w:lineRule="auto"/>
      <w:ind w:left="284" w:hanging="284"/>
      <w:jc w:val="both"/>
    </w:pPr>
    <w:rPr>
      <w:rFonts w:eastAsia="宋体"/>
      <w:sz w:val="24"/>
      <w:szCs w:val="20"/>
      <w:lang w:val="en-US" w:eastAsia="zh-CN"/>
      <w14:ligatures w14:val="none"/>
    </w:rPr>
  </w:style>
  <w:style w:type="character" w:customStyle="1" w:styleId="BodyTextIndentChar">
    <w:name w:val="Body Text Indent Char"/>
    <w:basedOn w:val="DefaultParagraphFont"/>
    <w:link w:val="BodyTextIndent"/>
    <w:semiHidden/>
    <w:rsid w:val="006F5757"/>
    <w:rPr>
      <w:rFonts w:eastAsia="宋体"/>
      <w:sz w:val="24"/>
      <w:szCs w:val="20"/>
      <w:lang w:val="en-US" w:eastAsia="zh-CN"/>
      <w14:ligatures w14:val="none"/>
    </w:rPr>
  </w:style>
  <w:style w:type="paragraph" w:customStyle="1" w:styleId="sh">
    <w:name w:val="sh"/>
    <w:basedOn w:val="Normal"/>
    <w:rsid w:val="006F5757"/>
    <w:pPr>
      <w:tabs>
        <w:tab w:val="left" w:pos="720"/>
        <w:tab w:val="left" w:pos="1440"/>
        <w:tab w:val="center" w:pos="4320"/>
        <w:tab w:val="right" w:pos="9072"/>
      </w:tabs>
      <w:spacing w:after="0" w:line="240" w:lineRule="auto"/>
    </w:pPr>
    <w:rPr>
      <w:rFonts w:eastAsia="宋体"/>
      <w:kern w:val="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9B14E-EE00-48F2-97CF-E22A29E7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2024-07-11T02:10:00Z</dcterms:created>
  <dcterms:modified xsi:type="dcterms:W3CDTF">2024-07-11T02:10:00Z</dcterms:modified>
</cp:coreProperties>
</file>