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2C4" w:rsidRPr="00FC2670" w:rsidRDefault="00DB52C4">
      <w:pPr>
        <w:pStyle w:val="Heading1"/>
        <w:rPr>
          <w:szCs w:val="28"/>
          <w:lang w:eastAsia="zh-CN"/>
        </w:rPr>
      </w:pPr>
      <w:bookmarkStart w:id="0" w:name="_GoBack"/>
      <w:bookmarkEnd w:id="0"/>
      <w:r w:rsidRPr="00FC2670">
        <w:rPr>
          <w:szCs w:val="28"/>
        </w:rPr>
        <w:t>FAM</w:t>
      </w:r>
      <w:r w:rsidR="006F66A0">
        <w:rPr>
          <w:szCs w:val="28"/>
          <w:lang w:eastAsia="zh-CN"/>
        </w:rPr>
        <w:t>C</w:t>
      </w:r>
      <w:r w:rsidRPr="00FC2670">
        <w:rPr>
          <w:szCs w:val="28"/>
        </w:rPr>
        <w:t xml:space="preserve"> No</w:t>
      </w:r>
      <w:r w:rsidR="00495D88">
        <w:rPr>
          <w:szCs w:val="28"/>
        </w:rPr>
        <w:t>s</w:t>
      </w:r>
      <w:r w:rsidRPr="00FC2670">
        <w:rPr>
          <w:szCs w:val="28"/>
        </w:rPr>
        <w:t xml:space="preserve">. </w:t>
      </w:r>
      <w:r w:rsidR="00495D88">
        <w:rPr>
          <w:szCs w:val="28"/>
          <w:lang w:eastAsia="zh-CN"/>
        </w:rPr>
        <w:t>13 and 14</w:t>
      </w:r>
      <w:r w:rsidR="006F66A0">
        <w:rPr>
          <w:szCs w:val="28"/>
          <w:lang w:eastAsia="zh-CN"/>
        </w:rPr>
        <w:t xml:space="preserve"> </w:t>
      </w:r>
      <w:r w:rsidRPr="00FC2670">
        <w:rPr>
          <w:szCs w:val="28"/>
        </w:rPr>
        <w:t>of 20</w:t>
      </w:r>
      <w:r w:rsidR="007B3A0A">
        <w:rPr>
          <w:szCs w:val="28"/>
          <w:lang w:eastAsia="zh-CN"/>
        </w:rPr>
        <w:t>2</w:t>
      </w:r>
      <w:r w:rsidR="00495D88">
        <w:rPr>
          <w:szCs w:val="28"/>
          <w:lang w:eastAsia="zh-CN"/>
        </w:rPr>
        <w:t>4</w:t>
      </w:r>
    </w:p>
    <w:p w:rsidR="00DB52C4" w:rsidRPr="00FC2670" w:rsidRDefault="001B01D6" w:rsidP="0037202F">
      <w:pPr>
        <w:jc w:val="right"/>
        <w:rPr>
          <w:szCs w:val="28"/>
          <w:lang w:eastAsia="zh-CN"/>
        </w:rPr>
      </w:pPr>
      <w:r w:rsidRPr="001B01D6">
        <w:rPr>
          <w:b/>
          <w:szCs w:val="28"/>
        </w:rPr>
        <w:t>[2024] HKCFA 22</w:t>
      </w:r>
    </w:p>
    <w:p w:rsidR="009B78DB" w:rsidRDefault="009B78DB" w:rsidP="009B78DB">
      <w:pPr>
        <w:jc w:val="right"/>
        <w:rPr>
          <w:b/>
          <w:color w:val="000000"/>
        </w:rPr>
      </w:pPr>
    </w:p>
    <w:p w:rsidR="009B78DB" w:rsidRPr="00FD3B2F" w:rsidRDefault="009B78DB" w:rsidP="009B78DB">
      <w:pPr>
        <w:jc w:val="right"/>
        <w:rPr>
          <w:b/>
          <w:color w:val="000000"/>
        </w:rPr>
      </w:pPr>
    </w:p>
    <w:p w:rsidR="009B78DB" w:rsidRPr="00FD3B2F" w:rsidRDefault="009B78DB" w:rsidP="009B78DB">
      <w:pPr>
        <w:pStyle w:val="Heading1"/>
        <w:rPr>
          <w:color w:val="000000"/>
        </w:rPr>
      </w:pPr>
      <w:r w:rsidRPr="00FD3B2F">
        <w:rPr>
          <w:color w:val="000000"/>
        </w:rPr>
        <w:t>FA</w:t>
      </w:r>
      <w:r>
        <w:rPr>
          <w:color w:val="000000"/>
        </w:rPr>
        <w:t>MC</w:t>
      </w:r>
      <w:r w:rsidRPr="00FD3B2F">
        <w:rPr>
          <w:color w:val="000000"/>
        </w:rPr>
        <w:t xml:space="preserve"> No. </w:t>
      </w:r>
      <w:r>
        <w:rPr>
          <w:color w:val="000000"/>
        </w:rPr>
        <w:t>13</w:t>
      </w:r>
      <w:r w:rsidRPr="00FD3B2F">
        <w:rPr>
          <w:color w:val="000000"/>
        </w:rPr>
        <w:t xml:space="preserve"> of 20</w:t>
      </w:r>
      <w:r>
        <w:rPr>
          <w:color w:val="000000"/>
        </w:rPr>
        <w:t>24</w:t>
      </w:r>
    </w:p>
    <w:p w:rsidR="0037202F" w:rsidRPr="004F5606" w:rsidRDefault="0037202F" w:rsidP="00C05406">
      <w:pPr>
        <w:rPr>
          <w:szCs w:val="28"/>
          <w:lang w:eastAsia="zh-CN"/>
        </w:rPr>
      </w:pPr>
    </w:p>
    <w:p w:rsidR="00DB52C4" w:rsidRPr="004F5606" w:rsidRDefault="00DB52C4">
      <w:pPr>
        <w:jc w:val="center"/>
        <w:rPr>
          <w:b/>
          <w:bCs/>
          <w:szCs w:val="28"/>
        </w:rPr>
      </w:pPr>
      <w:r w:rsidRPr="004F5606">
        <w:rPr>
          <w:b/>
          <w:bCs/>
          <w:szCs w:val="28"/>
        </w:rPr>
        <w:t>IN THE COURT OF FINAL APPEAL OF THE</w:t>
      </w:r>
    </w:p>
    <w:p w:rsidR="00DB52C4" w:rsidRPr="004F5606" w:rsidRDefault="00DB52C4">
      <w:pPr>
        <w:jc w:val="center"/>
        <w:rPr>
          <w:szCs w:val="28"/>
        </w:rPr>
      </w:pPr>
      <w:r w:rsidRPr="004F5606">
        <w:rPr>
          <w:b/>
          <w:bCs/>
          <w:szCs w:val="28"/>
        </w:rPr>
        <w:t>HONG KONG SPECIAL ADMINISTRATIVE REGION</w:t>
      </w:r>
    </w:p>
    <w:p w:rsidR="00DB52C4" w:rsidRPr="004F5606" w:rsidRDefault="00DB52C4">
      <w:pPr>
        <w:rPr>
          <w:szCs w:val="28"/>
        </w:rPr>
      </w:pPr>
    </w:p>
    <w:p w:rsidR="00DB52C4" w:rsidRPr="004F5606" w:rsidRDefault="00DB52C4" w:rsidP="00BE59C4">
      <w:pPr>
        <w:ind w:left="-270" w:right="-241"/>
        <w:jc w:val="center"/>
        <w:rPr>
          <w:b/>
          <w:bCs/>
          <w:szCs w:val="28"/>
        </w:rPr>
      </w:pPr>
      <w:r w:rsidRPr="004F5606">
        <w:rPr>
          <w:b/>
          <w:bCs/>
          <w:szCs w:val="28"/>
        </w:rPr>
        <w:t xml:space="preserve">MISCELLANEOUS PROCEEDINGS NO. </w:t>
      </w:r>
      <w:r w:rsidR="009B78DB">
        <w:rPr>
          <w:b/>
          <w:bCs/>
          <w:szCs w:val="28"/>
          <w:lang w:eastAsia="zh-CN"/>
        </w:rPr>
        <w:t>13</w:t>
      </w:r>
      <w:r w:rsidRPr="004F5606">
        <w:rPr>
          <w:b/>
          <w:bCs/>
          <w:szCs w:val="28"/>
        </w:rPr>
        <w:t xml:space="preserve"> OF </w:t>
      </w:r>
      <w:r w:rsidRPr="004F5606">
        <w:rPr>
          <w:b/>
          <w:bCs/>
          <w:szCs w:val="28"/>
          <w:lang w:eastAsia="zh-CN"/>
        </w:rPr>
        <w:t>20</w:t>
      </w:r>
      <w:r w:rsidR="007B3A0A">
        <w:rPr>
          <w:b/>
          <w:bCs/>
          <w:szCs w:val="28"/>
          <w:lang w:eastAsia="zh-CN"/>
        </w:rPr>
        <w:t>2</w:t>
      </w:r>
      <w:r w:rsidR="00495D88">
        <w:rPr>
          <w:b/>
          <w:bCs/>
          <w:szCs w:val="28"/>
          <w:lang w:eastAsia="zh-CN"/>
        </w:rPr>
        <w:t>4</w:t>
      </w:r>
      <w:r w:rsidRPr="004F5606">
        <w:rPr>
          <w:b/>
          <w:bCs/>
          <w:szCs w:val="28"/>
        </w:rPr>
        <w:t xml:space="preserve"> (C</w:t>
      </w:r>
      <w:r w:rsidR="006F66A0">
        <w:rPr>
          <w:b/>
          <w:bCs/>
          <w:szCs w:val="28"/>
          <w:lang w:eastAsia="zh-CN"/>
        </w:rPr>
        <w:t>RIMINA</w:t>
      </w:r>
      <w:r w:rsidRPr="004F5606">
        <w:rPr>
          <w:b/>
          <w:bCs/>
          <w:szCs w:val="28"/>
        </w:rPr>
        <w:t>L)</w:t>
      </w:r>
    </w:p>
    <w:p w:rsidR="00DB52C4" w:rsidRPr="004F5606" w:rsidRDefault="00DB52C4">
      <w:pPr>
        <w:jc w:val="center"/>
        <w:rPr>
          <w:szCs w:val="28"/>
        </w:rPr>
      </w:pPr>
      <w:r w:rsidRPr="004F5606">
        <w:rPr>
          <w:szCs w:val="28"/>
        </w:rPr>
        <w:t>(ON APPLICATION FOR LEAVE TO APPEAL</w:t>
      </w:r>
    </w:p>
    <w:p w:rsidR="004F5606" w:rsidRPr="009A04C0" w:rsidRDefault="00DB52C4" w:rsidP="004F5606">
      <w:pPr>
        <w:spacing w:after="120"/>
        <w:jc w:val="center"/>
        <w:rPr>
          <w:szCs w:val="28"/>
        </w:rPr>
      </w:pPr>
      <w:r w:rsidRPr="004F5606">
        <w:rPr>
          <w:szCs w:val="28"/>
        </w:rPr>
        <w:t xml:space="preserve">FROM </w:t>
      </w:r>
      <w:r w:rsidR="00A1635D">
        <w:rPr>
          <w:szCs w:val="28"/>
          <w:lang w:eastAsia="zh-CN"/>
        </w:rPr>
        <w:t>HCMA</w:t>
      </w:r>
      <w:r w:rsidRPr="004F5606">
        <w:rPr>
          <w:szCs w:val="28"/>
        </w:rPr>
        <w:t xml:space="preserve"> </w:t>
      </w:r>
      <w:r w:rsidRPr="009A04C0">
        <w:rPr>
          <w:szCs w:val="28"/>
        </w:rPr>
        <w:t xml:space="preserve">NO. </w:t>
      </w:r>
      <w:r w:rsidR="00495D88">
        <w:rPr>
          <w:szCs w:val="28"/>
          <w:lang w:eastAsia="zh-CN"/>
        </w:rPr>
        <w:t>99</w:t>
      </w:r>
      <w:r w:rsidR="000A37AE" w:rsidRPr="009A04C0">
        <w:rPr>
          <w:szCs w:val="28"/>
          <w:lang w:eastAsia="zh-CN"/>
        </w:rPr>
        <w:t xml:space="preserve"> </w:t>
      </w:r>
      <w:r w:rsidRPr="009A04C0">
        <w:rPr>
          <w:szCs w:val="28"/>
        </w:rPr>
        <w:t>OF</w:t>
      </w:r>
      <w:r w:rsidR="000A37AE" w:rsidRPr="009A04C0">
        <w:rPr>
          <w:szCs w:val="28"/>
          <w:lang w:eastAsia="zh-CN"/>
        </w:rPr>
        <w:t xml:space="preserve"> 20</w:t>
      </w:r>
      <w:r w:rsidR="00BB4706">
        <w:rPr>
          <w:szCs w:val="28"/>
          <w:lang w:eastAsia="zh-CN"/>
        </w:rPr>
        <w:t>2</w:t>
      </w:r>
      <w:r w:rsidR="00495D88">
        <w:rPr>
          <w:szCs w:val="28"/>
          <w:lang w:eastAsia="zh-CN"/>
        </w:rPr>
        <w:t>3</w:t>
      </w:r>
      <w:r w:rsidRPr="009A04C0">
        <w:rPr>
          <w:szCs w:val="28"/>
        </w:rPr>
        <w:t>)</w:t>
      </w:r>
    </w:p>
    <w:p w:rsidR="00B62407" w:rsidRPr="009A04C0" w:rsidRDefault="009A04C0" w:rsidP="00B62407">
      <w:pPr>
        <w:pStyle w:val="MF"/>
        <w:tabs>
          <w:tab w:val="clear" w:pos="1440"/>
          <w:tab w:val="clear" w:pos="4320"/>
          <w:tab w:val="clear" w:pos="8280"/>
          <w:tab w:val="clear" w:pos="9000"/>
        </w:tabs>
        <w:rPr>
          <w:szCs w:val="28"/>
        </w:rPr>
      </w:pPr>
      <w:r w:rsidRPr="009A04C0">
        <w:rPr>
          <w:szCs w:val="28"/>
        </w:rPr>
        <w:t>___________________________</w:t>
      </w:r>
    </w:p>
    <w:p w:rsidR="001870C3" w:rsidRDefault="001870C3" w:rsidP="00B62407">
      <w:pPr>
        <w:rPr>
          <w:color w:val="000000"/>
          <w:szCs w:val="28"/>
        </w:rPr>
      </w:pPr>
    </w:p>
    <w:p w:rsidR="00B62407" w:rsidRPr="009A04C0" w:rsidRDefault="00B62407" w:rsidP="00B62407">
      <w:pPr>
        <w:rPr>
          <w:color w:val="000000"/>
          <w:szCs w:val="28"/>
        </w:rPr>
      </w:pPr>
      <w:r w:rsidRPr="009A04C0">
        <w:rPr>
          <w:color w:val="000000"/>
          <w:szCs w:val="28"/>
        </w:rPr>
        <w:t>B</w:t>
      </w:r>
      <w:r w:rsidRPr="009A04C0">
        <w:rPr>
          <w:rFonts w:hint="eastAsia"/>
          <w:color w:val="000000"/>
          <w:szCs w:val="28"/>
          <w:lang w:eastAsia="zh-CN"/>
        </w:rPr>
        <w:t>ETWEEN</w:t>
      </w:r>
    </w:p>
    <w:p w:rsidR="00B62407" w:rsidRPr="009A04C0" w:rsidRDefault="00B62407" w:rsidP="00B62407">
      <w:pPr>
        <w:rPr>
          <w:color w:val="000000"/>
          <w:szCs w:val="28"/>
        </w:rPr>
      </w:pPr>
    </w:p>
    <w:tbl>
      <w:tblPr>
        <w:tblW w:w="9072" w:type="dxa"/>
        <w:tblInd w:w="108" w:type="dxa"/>
        <w:tblLook w:val="04A0" w:firstRow="1" w:lastRow="0" w:firstColumn="1" w:lastColumn="0" w:noHBand="0" w:noVBand="1"/>
      </w:tblPr>
      <w:tblGrid>
        <w:gridCol w:w="1962"/>
        <w:gridCol w:w="4950"/>
        <w:gridCol w:w="2160"/>
      </w:tblGrid>
      <w:tr w:rsidR="006F66A0" w:rsidRPr="003E721D" w:rsidTr="00495D88">
        <w:trPr>
          <w:trHeight w:val="720"/>
        </w:trPr>
        <w:tc>
          <w:tcPr>
            <w:tcW w:w="1962" w:type="dxa"/>
            <w:vAlign w:val="center"/>
          </w:tcPr>
          <w:p w:rsidR="006F66A0" w:rsidRPr="003E721D" w:rsidRDefault="006F66A0" w:rsidP="004231DA">
            <w:pPr>
              <w:ind w:left="-15"/>
              <w:jc w:val="center"/>
              <w:rPr>
                <w:b/>
                <w:szCs w:val="28"/>
              </w:rPr>
            </w:pPr>
          </w:p>
        </w:tc>
        <w:tc>
          <w:tcPr>
            <w:tcW w:w="4950" w:type="dxa"/>
            <w:vAlign w:val="center"/>
          </w:tcPr>
          <w:p w:rsidR="006F66A0" w:rsidRPr="003E721D" w:rsidRDefault="006F66A0" w:rsidP="004231DA">
            <w:pPr>
              <w:jc w:val="center"/>
              <w:rPr>
                <w:b/>
                <w:szCs w:val="28"/>
              </w:rPr>
            </w:pPr>
            <w:r w:rsidRPr="003E721D">
              <w:rPr>
                <w:b/>
                <w:szCs w:val="28"/>
              </w:rPr>
              <w:t>HKSAR</w:t>
            </w:r>
          </w:p>
        </w:tc>
        <w:tc>
          <w:tcPr>
            <w:tcW w:w="2160" w:type="dxa"/>
            <w:vAlign w:val="center"/>
          </w:tcPr>
          <w:p w:rsidR="006F66A0" w:rsidRPr="003E721D" w:rsidRDefault="003E721D" w:rsidP="00BB4706">
            <w:pPr>
              <w:ind w:left="-15"/>
              <w:jc w:val="right"/>
              <w:rPr>
                <w:b/>
                <w:szCs w:val="28"/>
              </w:rPr>
            </w:pPr>
            <w:r w:rsidRPr="003E721D">
              <w:rPr>
                <w:b/>
                <w:szCs w:val="28"/>
              </w:rPr>
              <w:t>Respondent</w:t>
            </w:r>
          </w:p>
        </w:tc>
      </w:tr>
      <w:tr w:rsidR="006F66A0" w:rsidRPr="003E721D" w:rsidTr="00495D88">
        <w:trPr>
          <w:trHeight w:val="720"/>
        </w:trPr>
        <w:tc>
          <w:tcPr>
            <w:tcW w:w="1962" w:type="dxa"/>
            <w:vAlign w:val="center"/>
          </w:tcPr>
          <w:p w:rsidR="006F66A0" w:rsidRPr="003E721D" w:rsidRDefault="006F66A0" w:rsidP="004231DA">
            <w:pPr>
              <w:tabs>
                <w:tab w:val="left" w:pos="851"/>
                <w:tab w:val="right" w:pos="8504"/>
              </w:tabs>
              <w:ind w:left="-15"/>
              <w:jc w:val="center"/>
              <w:rPr>
                <w:b/>
                <w:szCs w:val="28"/>
              </w:rPr>
            </w:pPr>
          </w:p>
        </w:tc>
        <w:tc>
          <w:tcPr>
            <w:tcW w:w="4950" w:type="dxa"/>
            <w:vAlign w:val="center"/>
          </w:tcPr>
          <w:p w:rsidR="006F66A0" w:rsidRPr="003E721D" w:rsidRDefault="006F66A0" w:rsidP="00E65477">
            <w:pPr>
              <w:tabs>
                <w:tab w:val="center" w:pos="2543"/>
              </w:tabs>
              <w:jc w:val="center"/>
              <w:rPr>
                <w:b/>
                <w:szCs w:val="28"/>
              </w:rPr>
            </w:pPr>
            <w:r w:rsidRPr="003E721D">
              <w:rPr>
                <w:b/>
                <w:szCs w:val="28"/>
              </w:rPr>
              <w:t>and</w:t>
            </w:r>
          </w:p>
        </w:tc>
        <w:tc>
          <w:tcPr>
            <w:tcW w:w="2160" w:type="dxa"/>
            <w:vAlign w:val="center"/>
          </w:tcPr>
          <w:p w:rsidR="006F66A0" w:rsidRPr="003E721D" w:rsidRDefault="006F66A0" w:rsidP="004231DA">
            <w:pPr>
              <w:ind w:left="-15"/>
              <w:jc w:val="right"/>
              <w:rPr>
                <w:b/>
                <w:szCs w:val="28"/>
              </w:rPr>
            </w:pPr>
          </w:p>
        </w:tc>
      </w:tr>
      <w:tr w:rsidR="006F66A0" w:rsidRPr="003E721D" w:rsidTr="00495D88">
        <w:trPr>
          <w:trHeight w:val="720"/>
        </w:trPr>
        <w:tc>
          <w:tcPr>
            <w:tcW w:w="1962" w:type="dxa"/>
            <w:vAlign w:val="center"/>
          </w:tcPr>
          <w:p w:rsidR="006F66A0" w:rsidRPr="003E721D" w:rsidRDefault="006F66A0" w:rsidP="004231DA">
            <w:pPr>
              <w:tabs>
                <w:tab w:val="left" w:pos="851"/>
                <w:tab w:val="right" w:pos="8504"/>
              </w:tabs>
              <w:ind w:left="-15"/>
              <w:jc w:val="center"/>
              <w:rPr>
                <w:b/>
                <w:szCs w:val="28"/>
              </w:rPr>
            </w:pPr>
          </w:p>
        </w:tc>
        <w:tc>
          <w:tcPr>
            <w:tcW w:w="4950" w:type="dxa"/>
            <w:vAlign w:val="center"/>
          </w:tcPr>
          <w:p w:rsidR="006F66A0" w:rsidRPr="003E721D" w:rsidRDefault="00495D88" w:rsidP="00386051">
            <w:pPr>
              <w:jc w:val="center"/>
              <w:rPr>
                <w:b/>
                <w:kern w:val="2"/>
                <w:szCs w:val="28"/>
                <w:lang w:val="en-AU" w:eastAsia="zh-CN"/>
              </w:rPr>
            </w:pPr>
            <w:r>
              <w:rPr>
                <w:b/>
                <w:bCs/>
                <w:color w:val="000000"/>
              </w:rPr>
              <w:t>TANG NGOK KWAN</w:t>
            </w:r>
            <w:r w:rsidR="009B78DB">
              <w:rPr>
                <w:b/>
                <w:bCs/>
                <w:color w:val="000000"/>
              </w:rPr>
              <w:t xml:space="preserve"> (</w:t>
            </w:r>
            <w:r w:rsidR="009B78DB">
              <w:rPr>
                <w:rFonts w:eastAsia="PMingLiU" w:hint="eastAsia"/>
                <w:b/>
                <w:bCs/>
                <w:color w:val="000000"/>
                <w:lang w:eastAsia="zh-HK"/>
              </w:rPr>
              <w:t>鄧岳君</w:t>
            </w:r>
            <w:r w:rsidR="009B78DB">
              <w:rPr>
                <w:b/>
                <w:bCs/>
                <w:color w:val="000000"/>
              </w:rPr>
              <w:t>)</w:t>
            </w:r>
          </w:p>
        </w:tc>
        <w:tc>
          <w:tcPr>
            <w:tcW w:w="2160" w:type="dxa"/>
            <w:vAlign w:val="center"/>
          </w:tcPr>
          <w:p w:rsidR="006F66A0" w:rsidRPr="003E721D" w:rsidRDefault="00495D88" w:rsidP="009B78DB">
            <w:pPr>
              <w:ind w:left="-15"/>
              <w:jc w:val="right"/>
              <w:rPr>
                <w:b/>
                <w:szCs w:val="28"/>
              </w:rPr>
            </w:pPr>
            <w:r>
              <w:rPr>
                <w:b/>
                <w:szCs w:val="28"/>
              </w:rPr>
              <w:t>1</w:t>
            </w:r>
            <w:r w:rsidRPr="00495D88">
              <w:rPr>
                <w:b/>
                <w:szCs w:val="28"/>
                <w:vertAlign w:val="superscript"/>
              </w:rPr>
              <w:t>st</w:t>
            </w:r>
            <w:r>
              <w:rPr>
                <w:b/>
                <w:szCs w:val="28"/>
              </w:rPr>
              <w:t xml:space="preserve"> </w:t>
            </w:r>
            <w:r w:rsidR="003E721D" w:rsidRPr="003E721D">
              <w:rPr>
                <w:b/>
                <w:szCs w:val="28"/>
              </w:rPr>
              <w:t>Applicant</w:t>
            </w:r>
            <w:r>
              <w:rPr>
                <w:b/>
                <w:szCs w:val="28"/>
              </w:rPr>
              <w:t xml:space="preserve"> </w:t>
            </w:r>
          </w:p>
        </w:tc>
      </w:tr>
      <w:tr w:rsidR="00495D88" w:rsidRPr="003E721D" w:rsidTr="00495D88">
        <w:trPr>
          <w:trHeight w:val="720"/>
        </w:trPr>
        <w:tc>
          <w:tcPr>
            <w:tcW w:w="1962" w:type="dxa"/>
            <w:vAlign w:val="center"/>
          </w:tcPr>
          <w:p w:rsidR="00495D88" w:rsidRPr="003E721D" w:rsidRDefault="00495D88" w:rsidP="004231DA">
            <w:pPr>
              <w:tabs>
                <w:tab w:val="left" w:pos="851"/>
                <w:tab w:val="right" w:pos="8504"/>
              </w:tabs>
              <w:ind w:left="-15"/>
              <w:jc w:val="center"/>
              <w:rPr>
                <w:b/>
                <w:szCs w:val="28"/>
              </w:rPr>
            </w:pPr>
          </w:p>
        </w:tc>
        <w:tc>
          <w:tcPr>
            <w:tcW w:w="4950" w:type="dxa"/>
            <w:vAlign w:val="center"/>
          </w:tcPr>
          <w:p w:rsidR="00495D88" w:rsidRDefault="00495D88" w:rsidP="00386051">
            <w:pPr>
              <w:jc w:val="center"/>
              <w:rPr>
                <w:b/>
                <w:bCs/>
                <w:color w:val="000000"/>
              </w:rPr>
            </w:pPr>
            <w:r>
              <w:rPr>
                <w:b/>
                <w:bCs/>
                <w:color w:val="000000"/>
              </w:rPr>
              <w:t>TSUI HON KWONG</w:t>
            </w:r>
            <w:r w:rsidR="009B78DB">
              <w:rPr>
                <w:b/>
                <w:bCs/>
                <w:color w:val="000000"/>
              </w:rPr>
              <w:t xml:space="preserve"> (</w:t>
            </w:r>
            <w:r w:rsidR="009B78DB">
              <w:rPr>
                <w:rFonts w:ascii="PMingLiU" w:eastAsia="PMingLiU" w:hAnsi="PMingLiU" w:hint="eastAsia"/>
                <w:b/>
                <w:bCs/>
                <w:color w:val="000000"/>
                <w:lang w:eastAsia="zh-HK"/>
              </w:rPr>
              <w:t>徐漢光</w:t>
            </w:r>
            <w:r w:rsidR="009B78DB">
              <w:rPr>
                <w:b/>
                <w:bCs/>
                <w:color w:val="000000"/>
              </w:rPr>
              <w:t xml:space="preserve">) </w:t>
            </w:r>
          </w:p>
        </w:tc>
        <w:tc>
          <w:tcPr>
            <w:tcW w:w="2160" w:type="dxa"/>
            <w:vAlign w:val="center"/>
          </w:tcPr>
          <w:p w:rsidR="00495D88" w:rsidRPr="003E721D" w:rsidRDefault="00495D88" w:rsidP="009B78DB">
            <w:pPr>
              <w:ind w:left="-15"/>
              <w:jc w:val="right"/>
              <w:rPr>
                <w:b/>
                <w:szCs w:val="28"/>
              </w:rPr>
            </w:pPr>
            <w:r>
              <w:rPr>
                <w:b/>
                <w:szCs w:val="28"/>
              </w:rPr>
              <w:t>2</w:t>
            </w:r>
            <w:r w:rsidRPr="00495D88">
              <w:rPr>
                <w:b/>
                <w:szCs w:val="28"/>
                <w:vertAlign w:val="superscript"/>
              </w:rPr>
              <w:t>nd</w:t>
            </w:r>
            <w:r>
              <w:rPr>
                <w:b/>
                <w:szCs w:val="28"/>
              </w:rPr>
              <w:t xml:space="preserve"> </w:t>
            </w:r>
            <w:r w:rsidRPr="003E721D">
              <w:rPr>
                <w:b/>
                <w:szCs w:val="28"/>
              </w:rPr>
              <w:t>Applicant</w:t>
            </w:r>
            <w:r>
              <w:rPr>
                <w:b/>
                <w:szCs w:val="28"/>
              </w:rPr>
              <w:t xml:space="preserve"> </w:t>
            </w:r>
          </w:p>
        </w:tc>
      </w:tr>
    </w:tbl>
    <w:p w:rsidR="00B62407" w:rsidRDefault="00B62407" w:rsidP="00B62407">
      <w:pPr>
        <w:rPr>
          <w:color w:val="000000"/>
        </w:rPr>
      </w:pPr>
    </w:p>
    <w:p w:rsidR="00B62407" w:rsidRDefault="009A04C0" w:rsidP="009A04C0">
      <w:pPr>
        <w:pStyle w:val="MF"/>
        <w:tabs>
          <w:tab w:val="clear" w:pos="1440"/>
          <w:tab w:val="clear" w:pos="4320"/>
          <w:tab w:val="clear" w:pos="8280"/>
          <w:tab w:val="clear" w:pos="9000"/>
        </w:tabs>
        <w:rPr>
          <w:lang w:eastAsia="zh-TW"/>
        </w:rPr>
      </w:pPr>
      <w:r>
        <w:rPr>
          <w:lang w:eastAsia="zh-TW"/>
        </w:rPr>
        <w:t>___________________________</w:t>
      </w:r>
    </w:p>
    <w:p w:rsidR="0037202F" w:rsidRDefault="0037202F" w:rsidP="00C05406">
      <w:pPr>
        <w:rPr>
          <w:szCs w:val="28"/>
          <w:lang w:eastAsia="zh-CN"/>
        </w:rPr>
      </w:pPr>
    </w:p>
    <w:p w:rsidR="009B78DB" w:rsidRDefault="009B78DB" w:rsidP="00C05406">
      <w:pPr>
        <w:rPr>
          <w:szCs w:val="28"/>
          <w:lang w:eastAsia="zh-CN"/>
        </w:rPr>
      </w:pPr>
    </w:p>
    <w:p w:rsidR="009B78DB" w:rsidRPr="00FD3B2F" w:rsidRDefault="009B78DB" w:rsidP="009B78DB">
      <w:pPr>
        <w:pStyle w:val="Heading1"/>
        <w:rPr>
          <w:color w:val="000000"/>
        </w:rPr>
      </w:pPr>
      <w:r w:rsidRPr="00FD3B2F">
        <w:rPr>
          <w:color w:val="000000"/>
        </w:rPr>
        <w:t>FA</w:t>
      </w:r>
      <w:r>
        <w:rPr>
          <w:color w:val="000000"/>
        </w:rPr>
        <w:t>MC</w:t>
      </w:r>
      <w:r w:rsidRPr="00FD3B2F">
        <w:rPr>
          <w:color w:val="000000"/>
        </w:rPr>
        <w:t xml:space="preserve"> No. </w:t>
      </w:r>
      <w:r>
        <w:rPr>
          <w:color w:val="000000"/>
        </w:rPr>
        <w:t>14</w:t>
      </w:r>
      <w:r w:rsidRPr="00FD3B2F">
        <w:rPr>
          <w:color w:val="000000"/>
        </w:rPr>
        <w:t xml:space="preserve"> of 20</w:t>
      </w:r>
      <w:r>
        <w:rPr>
          <w:color w:val="000000"/>
        </w:rPr>
        <w:t>24</w:t>
      </w:r>
    </w:p>
    <w:p w:rsidR="009B78DB" w:rsidRPr="004F5606" w:rsidRDefault="009B78DB" w:rsidP="009B78DB">
      <w:pPr>
        <w:rPr>
          <w:szCs w:val="28"/>
          <w:lang w:eastAsia="zh-CN"/>
        </w:rPr>
      </w:pPr>
    </w:p>
    <w:p w:rsidR="009B78DB" w:rsidRPr="004F5606" w:rsidRDefault="009B78DB" w:rsidP="009B78DB">
      <w:pPr>
        <w:jc w:val="center"/>
        <w:rPr>
          <w:b/>
          <w:bCs/>
          <w:szCs w:val="28"/>
        </w:rPr>
      </w:pPr>
      <w:r w:rsidRPr="004F5606">
        <w:rPr>
          <w:b/>
          <w:bCs/>
          <w:szCs w:val="28"/>
        </w:rPr>
        <w:t>IN THE COURT OF FINAL APPEAL OF THE</w:t>
      </w:r>
    </w:p>
    <w:p w:rsidR="009B78DB" w:rsidRPr="004F5606" w:rsidRDefault="009B78DB" w:rsidP="009B78DB">
      <w:pPr>
        <w:jc w:val="center"/>
        <w:rPr>
          <w:szCs w:val="28"/>
        </w:rPr>
      </w:pPr>
      <w:r w:rsidRPr="004F5606">
        <w:rPr>
          <w:b/>
          <w:bCs/>
          <w:szCs w:val="28"/>
        </w:rPr>
        <w:t>HONG KONG SPECIAL ADMINISTRATIVE REGION</w:t>
      </w:r>
    </w:p>
    <w:p w:rsidR="009B78DB" w:rsidRPr="004F5606" w:rsidRDefault="009B78DB" w:rsidP="009B78DB">
      <w:pPr>
        <w:rPr>
          <w:szCs w:val="28"/>
        </w:rPr>
      </w:pPr>
    </w:p>
    <w:p w:rsidR="009B78DB" w:rsidRPr="004F5606" w:rsidRDefault="009B78DB" w:rsidP="009B78DB">
      <w:pPr>
        <w:ind w:left="-270" w:right="-241"/>
        <w:jc w:val="center"/>
        <w:rPr>
          <w:b/>
          <w:bCs/>
          <w:szCs w:val="28"/>
        </w:rPr>
      </w:pPr>
      <w:r w:rsidRPr="004F5606">
        <w:rPr>
          <w:b/>
          <w:bCs/>
          <w:szCs w:val="28"/>
        </w:rPr>
        <w:t xml:space="preserve">MISCELLANEOUS PROCEEDINGS NO. </w:t>
      </w:r>
      <w:r>
        <w:rPr>
          <w:b/>
          <w:bCs/>
          <w:szCs w:val="28"/>
          <w:lang w:eastAsia="zh-CN"/>
        </w:rPr>
        <w:t>14</w:t>
      </w:r>
      <w:r w:rsidRPr="004F5606">
        <w:rPr>
          <w:b/>
          <w:bCs/>
          <w:szCs w:val="28"/>
        </w:rPr>
        <w:t xml:space="preserve"> OF </w:t>
      </w:r>
      <w:r w:rsidRPr="004F5606">
        <w:rPr>
          <w:b/>
          <w:bCs/>
          <w:szCs w:val="28"/>
          <w:lang w:eastAsia="zh-CN"/>
        </w:rPr>
        <w:t>20</w:t>
      </w:r>
      <w:r>
        <w:rPr>
          <w:b/>
          <w:bCs/>
          <w:szCs w:val="28"/>
          <w:lang w:eastAsia="zh-CN"/>
        </w:rPr>
        <w:t>24</w:t>
      </w:r>
      <w:r w:rsidRPr="004F5606">
        <w:rPr>
          <w:b/>
          <w:bCs/>
          <w:szCs w:val="28"/>
        </w:rPr>
        <w:t xml:space="preserve"> (C</w:t>
      </w:r>
      <w:r>
        <w:rPr>
          <w:b/>
          <w:bCs/>
          <w:szCs w:val="28"/>
          <w:lang w:eastAsia="zh-CN"/>
        </w:rPr>
        <w:t>RIMINA</w:t>
      </w:r>
      <w:r w:rsidRPr="004F5606">
        <w:rPr>
          <w:b/>
          <w:bCs/>
          <w:szCs w:val="28"/>
        </w:rPr>
        <w:t>L)</w:t>
      </w:r>
    </w:p>
    <w:p w:rsidR="009B78DB" w:rsidRPr="004F5606" w:rsidRDefault="009B78DB" w:rsidP="009B78DB">
      <w:pPr>
        <w:jc w:val="center"/>
        <w:rPr>
          <w:szCs w:val="28"/>
        </w:rPr>
      </w:pPr>
      <w:r w:rsidRPr="004F5606">
        <w:rPr>
          <w:szCs w:val="28"/>
        </w:rPr>
        <w:t>(ON APPLICATION FOR LEAVE TO APPEAL</w:t>
      </w:r>
    </w:p>
    <w:p w:rsidR="009B78DB" w:rsidRPr="009A04C0" w:rsidRDefault="009B78DB" w:rsidP="009B78DB">
      <w:pPr>
        <w:spacing w:after="120"/>
        <w:jc w:val="center"/>
        <w:rPr>
          <w:szCs w:val="28"/>
        </w:rPr>
      </w:pPr>
      <w:r w:rsidRPr="004F5606">
        <w:rPr>
          <w:szCs w:val="28"/>
        </w:rPr>
        <w:t xml:space="preserve">FROM </w:t>
      </w:r>
      <w:r>
        <w:rPr>
          <w:szCs w:val="28"/>
          <w:lang w:eastAsia="zh-CN"/>
        </w:rPr>
        <w:t>HCMA</w:t>
      </w:r>
      <w:r w:rsidRPr="004F5606">
        <w:rPr>
          <w:szCs w:val="28"/>
        </w:rPr>
        <w:t xml:space="preserve"> </w:t>
      </w:r>
      <w:r w:rsidRPr="009A04C0">
        <w:rPr>
          <w:szCs w:val="28"/>
        </w:rPr>
        <w:t xml:space="preserve">NO. </w:t>
      </w:r>
      <w:r>
        <w:rPr>
          <w:szCs w:val="28"/>
          <w:lang w:eastAsia="zh-CN"/>
        </w:rPr>
        <w:t>99</w:t>
      </w:r>
      <w:r w:rsidRPr="009A04C0">
        <w:rPr>
          <w:szCs w:val="28"/>
          <w:lang w:eastAsia="zh-CN"/>
        </w:rPr>
        <w:t xml:space="preserve"> </w:t>
      </w:r>
      <w:r w:rsidRPr="009A04C0">
        <w:rPr>
          <w:szCs w:val="28"/>
        </w:rPr>
        <w:t>OF</w:t>
      </w:r>
      <w:r w:rsidRPr="009A04C0">
        <w:rPr>
          <w:szCs w:val="28"/>
          <w:lang w:eastAsia="zh-CN"/>
        </w:rPr>
        <w:t xml:space="preserve"> 20</w:t>
      </w:r>
      <w:r>
        <w:rPr>
          <w:szCs w:val="28"/>
          <w:lang w:eastAsia="zh-CN"/>
        </w:rPr>
        <w:t>23</w:t>
      </w:r>
      <w:r w:rsidRPr="009A04C0">
        <w:rPr>
          <w:szCs w:val="28"/>
        </w:rPr>
        <w:t>)</w:t>
      </w:r>
    </w:p>
    <w:p w:rsidR="009B78DB" w:rsidRPr="009A04C0" w:rsidRDefault="009B78DB" w:rsidP="009B78DB">
      <w:pPr>
        <w:pStyle w:val="MF"/>
        <w:tabs>
          <w:tab w:val="clear" w:pos="1440"/>
          <w:tab w:val="clear" w:pos="4320"/>
          <w:tab w:val="clear" w:pos="8280"/>
          <w:tab w:val="clear" w:pos="9000"/>
        </w:tabs>
        <w:rPr>
          <w:szCs w:val="28"/>
        </w:rPr>
      </w:pPr>
      <w:r w:rsidRPr="009A04C0">
        <w:rPr>
          <w:szCs w:val="28"/>
        </w:rPr>
        <w:t>___________________________</w:t>
      </w:r>
    </w:p>
    <w:p w:rsidR="009B78DB" w:rsidRDefault="009B78DB" w:rsidP="009B78DB">
      <w:pPr>
        <w:rPr>
          <w:color w:val="000000"/>
          <w:szCs w:val="28"/>
        </w:rPr>
      </w:pPr>
    </w:p>
    <w:p w:rsidR="009B78DB" w:rsidRDefault="009B78DB" w:rsidP="009B78DB">
      <w:pPr>
        <w:rPr>
          <w:color w:val="000000"/>
          <w:szCs w:val="28"/>
        </w:rPr>
      </w:pPr>
    </w:p>
    <w:p w:rsidR="009B78DB" w:rsidRDefault="009B78DB" w:rsidP="009B78DB">
      <w:pPr>
        <w:rPr>
          <w:color w:val="000000"/>
          <w:szCs w:val="28"/>
        </w:rPr>
      </w:pPr>
    </w:p>
    <w:p w:rsidR="009B78DB" w:rsidRDefault="009B78DB" w:rsidP="009B78DB">
      <w:pPr>
        <w:rPr>
          <w:color w:val="000000"/>
          <w:szCs w:val="28"/>
        </w:rPr>
      </w:pPr>
    </w:p>
    <w:p w:rsidR="009B78DB" w:rsidRPr="009A04C0" w:rsidRDefault="009B78DB" w:rsidP="009B78DB">
      <w:pPr>
        <w:rPr>
          <w:color w:val="000000"/>
          <w:szCs w:val="28"/>
        </w:rPr>
      </w:pPr>
      <w:r w:rsidRPr="009A04C0">
        <w:rPr>
          <w:color w:val="000000"/>
          <w:szCs w:val="28"/>
        </w:rPr>
        <w:lastRenderedPageBreak/>
        <w:t>B</w:t>
      </w:r>
      <w:r w:rsidRPr="009A04C0">
        <w:rPr>
          <w:rFonts w:hint="eastAsia"/>
          <w:color w:val="000000"/>
          <w:szCs w:val="28"/>
          <w:lang w:eastAsia="zh-CN"/>
        </w:rPr>
        <w:t>ETWEEN</w:t>
      </w:r>
    </w:p>
    <w:p w:rsidR="009B78DB" w:rsidRPr="009A04C0" w:rsidRDefault="009B78DB" w:rsidP="009B78DB">
      <w:pPr>
        <w:rPr>
          <w:color w:val="000000"/>
          <w:szCs w:val="28"/>
        </w:rPr>
      </w:pPr>
    </w:p>
    <w:tbl>
      <w:tblPr>
        <w:tblW w:w="9072" w:type="dxa"/>
        <w:tblInd w:w="108" w:type="dxa"/>
        <w:tblLook w:val="04A0" w:firstRow="1" w:lastRow="0" w:firstColumn="1" w:lastColumn="0" w:noHBand="0" w:noVBand="1"/>
      </w:tblPr>
      <w:tblGrid>
        <w:gridCol w:w="1962"/>
        <w:gridCol w:w="4950"/>
        <w:gridCol w:w="2160"/>
      </w:tblGrid>
      <w:tr w:rsidR="009B78DB" w:rsidRPr="003E721D" w:rsidTr="009A6422">
        <w:trPr>
          <w:trHeight w:val="720"/>
        </w:trPr>
        <w:tc>
          <w:tcPr>
            <w:tcW w:w="1962" w:type="dxa"/>
            <w:vAlign w:val="center"/>
          </w:tcPr>
          <w:p w:rsidR="009B78DB" w:rsidRPr="003E721D" w:rsidRDefault="009B78DB" w:rsidP="009A6422">
            <w:pPr>
              <w:ind w:left="-15"/>
              <w:jc w:val="center"/>
              <w:rPr>
                <w:b/>
                <w:szCs w:val="28"/>
              </w:rPr>
            </w:pPr>
          </w:p>
        </w:tc>
        <w:tc>
          <w:tcPr>
            <w:tcW w:w="4950" w:type="dxa"/>
            <w:vAlign w:val="center"/>
          </w:tcPr>
          <w:p w:rsidR="009B78DB" w:rsidRPr="003E721D" w:rsidRDefault="009B78DB" w:rsidP="009A6422">
            <w:pPr>
              <w:jc w:val="center"/>
              <w:rPr>
                <w:b/>
                <w:szCs w:val="28"/>
              </w:rPr>
            </w:pPr>
            <w:r w:rsidRPr="003E721D">
              <w:rPr>
                <w:b/>
                <w:szCs w:val="28"/>
              </w:rPr>
              <w:t>HKSAR</w:t>
            </w:r>
          </w:p>
        </w:tc>
        <w:tc>
          <w:tcPr>
            <w:tcW w:w="2160" w:type="dxa"/>
            <w:vAlign w:val="center"/>
          </w:tcPr>
          <w:p w:rsidR="009B78DB" w:rsidRPr="003E721D" w:rsidRDefault="009B78DB" w:rsidP="009A6422">
            <w:pPr>
              <w:ind w:left="-15"/>
              <w:jc w:val="right"/>
              <w:rPr>
                <w:b/>
                <w:szCs w:val="28"/>
              </w:rPr>
            </w:pPr>
            <w:r w:rsidRPr="003E721D">
              <w:rPr>
                <w:b/>
                <w:szCs w:val="28"/>
              </w:rPr>
              <w:t>Respondent</w:t>
            </w:r>
          </w:p>
        </w:tc>
      </w:tr>
      <w:tr w:rsidR="009B78DB" w:rsidRPr="003E721D" w:rsidTr="009A6422">
        <w:trPr>
          <w:trHeight w:val="720"/>
        </w:trPr>
        <w:tc>
          <w:tcPr>
            <w:tcW w:w="1962" w:type="dxa"/>
            <w:vAlign w:val="center"/>
          </w:tcPr>
          <w:p w:rsidR="009B78DB" w:rsidRPr="003E721D" w:rsidRDefault="009B78DB" w:rsidP="009A6422">
            <w:pPr>
              <w:tabs>
                <w:tab w:val="left" w:pos="851"/>
                <w:tab w:val="right" w:pos="8504"/>
              </w:tabs>
              <w:ind w:left="-15"/>
              <w:jc w:val="center"/>
              <w:rPr>
                <w:b/>
                <w:szCs w:val="28"/>
              </w:rPr>
            </w:pPr>
          </w:p>
        </w:tc>
        <w:tc>
          <w:tcPr>
            <w:tcW w:w="4950" w:type="dxa"/>
            <w:vAlign w:val="center"/>
          </w:tcPr>
          <w:p w:rsidR="009B78DB" w:rsidRPr="003E721D" w:rsidRDefault="009B78DB" w:rsidP="009A6422">
            <w:pPr>
              <w:tabs>
                <w:tab w:val="center" w:pos="2543"/>
              </w:tabs>
              <w:jc w:val="center"/>
              <w:rPr>
                <w:b/>
                <w:szCs w:val="28"/>
              </w:rPr>
            </w:pPr>
            <w:r w:rsidRPr="003E721D">
              <w:rPr>
                <w:b/>
                <w:szCs w:val="28"/>
              </w:rPr>
              <w:t>and</w:t>
            </w:r>
          </w:p>
        </w:tc>
        <w:tc>
          <w:tcPr>
            <w:tcW w:w="2160" w:type="dxa"/>
            <w:vAlign w:val="center"/>
          </w:tcPr>
          <w:p w:rsidR="009B78DB" w:rsidRPr="003E721D" w:rsidRDefault="009B78DB" w:rsidP="009A6422">
            <w:pPr>
              <w:ind w:left="-15"/>
              <w:jc w:val="right"/>
              <w:rPr>
                <w:b/>
                <w:szCs w:val="28"/>
              </w:rPr>
            </w:pPr>
          </w:p>
        </w:tc>
      </w:tr>
      <w:tr w:rsidR="009B78DB" w:rsidRPr="003E721D" w:rsidTr="009A6422">
        <w:trPr>
          <w:trHeight w:val="720"/>
        </w:trPr>
        <w:tc>
          <w:tcPr>
            <w:tcW w:w="1962" w:type="dxa"/>
            <w:vAlign w:val="center"/>
          </w:tcPr>
          <w:p w:rsidR="009B78DB" w:rsidRPr="003E721D" w:rsidRDefault="009B78DB" w:rsidP="009A6422">
            <w:pPr>
              <w:tabs>
                <w:tab w:val="left" w:pos="851"/>
                <w:tab w:val="right" w:pos="8504"/>
              </w:tabs>
              <w:ind w:left="-15"/>
              <w:jc w:val="center"/>
              <w:rPr>
                <w:b/>
                <w:szCs w:val="28"/>
              </w:rPr>
            </w:pPr>
          </w:p>
        </w:tc>
        <w:tc>
          <w:tcPr>
            <w:tcW w:w="4950" w:type="dxa"/>
            <w:vAlign w:val="center"/>
          </w:tcPr>
          <w:p w:rsidR="009B78DB" w:rsidRPr="003E721D" w:rsidRDefault="009B78DB" w:rsidP="009A6422">
            <w:pPr>
              <w:jc w:val="center"/>
              <w:rPr>
                <w:b/>
                <w:kern w:val="2"/>
                <w:szCs w:val="28"/>
                <w:lang w:val="en-AU" w:eastAsia="zh-CN"/>
              </w:rPr>
            </w:pPr>
            <w:r>
              <w:rPr>
                <w:b/>
                <w:bCs/>
                <w:color w:val="000000"/>
              </w:rPr>
              <w:t>CHOW HANG TUNG (</w:t>
            </w:r>
            <w:r>
              <w:rPr>
                <w:rFonts w:ascii="PMingLiU" w:eastAsia="PMingLiU" w:hAnsi="PMingLiU" w:hint="eastAsia"/>
                <w:b/>
                <w:bCs/>
                <w:color w:val="000000"/>
                <w:lang w:eastAsia="zh-HK"/>
              </w:rPr>
              <w:t>鄒幸彤</w:t>
            </w:r>
            <w:r>
              <w:rPr>
                <w:b/>
                <w:bCs/>
                <w:color w:val="000000"/>
              </w:rPr>
              <w:t>)</w:t>
            </w:r>
          </w:p>
        </w:tc>
        <w:tc>
          <w:tcPr>
            <w:tcW w:w="2160" w:type="dxa"/>
            <w:vAlign w:val="center"/>
          </w:tcPr>
          <w:p w:rsidR="009B78DB" w:rsidRPr="003E721D" w:rsidRDefault="009B78DB" w:rsidP="009B78DB">
            <w:pPr>
              <w:ind w:left="-15"/>
              <w:jc w:val="right"/>
              <w:rPr>
                <w:b/>
                <w:szCs w:val="28"/>
              </w:rPr>
            </w:pPr>
            <w:r w:rsidRPr="003E721D">
              <w:rPr>
                <w:b/>
                <w:szCs w:val="28"/>
              </w:rPr>
              <w:t>Applicant</w:t>
            </w:r>
            <w:r>
              <w:rPr>
                <w:b/>
                <w:szCs w:val="28"/>
              </w:rPr>
              <w:t xml:space="preserve"> </w:t>
            </w:r>
          </w:p>
        </w:tc>
      </w:tr>
    </w:tbl>
    <w:p w:rsidR="009B78DB" w:rsidRDefault="009B78DB" w:rsidP="009B78DB">
      <w:pPr>
        <w:rPr>
          <w:color w:val="000000"/>
        </w:rPr>
      </w:pPr>
    </w:p>
    <w:p w:rsidR="009B78DB" w:rsidRDefault="009B78DB" w:rsidP="009B78DB">
      <w:pPr>
        <w:pStyle w:val="MF"/>
        <w:tabs>
          <w:tab w:val="clear" w:pos="1440"/>
          <w:tab w:val="clear" w:pos="4320"/>
          <w:tab w:val="clear" w:pos="8280"/>
          <w:tab w:val="clear" w:pos="9000"/>
        </w:tabs>
        <w:rPr>
          <w:lang w:eastAsia="zh-TW"/>
        </w:rPr>
      </w:pPr>
      <w:r>
        <w:rPr>
          <w:lang w:eastAsia="zh-TW"/>
        </w:rPr>
        <w:t>___________________________</w:t>
      </w:r>
    </w:p>
    <w:p w:rsidR="009B78DB" w:rsidRPr="004F5606" w:rsidRDefault="009B78DB" w:rsidP="00C05406">
      <w:pPr>
        <w:rPr>
          <w:szCs w:val="28"/>
          <w:lang w:eastAsia="zh-CN"/>
        </w:rPr>
      </w:pPr>
    </w:p>
    <w:tbl>
      <w:tblPr>
        <w:tblW w:w="9072" w:type="dxa"/>
        <w:tblInd w:w="108" w:type="dxa"/>
        <w:tblLook w:val="0000" w:firstRow="0" w:lastRow="0" w:firstColumn="0" w:lastColumn="0" w:noHBand="0" w:noVBand="0"/>
      </w:tblPr>
      <w:tblGrid>
        <w:gridCol w:w="2970"/>
        <w:gridCol w:w="6102"/>
      </w:tblGrid>
      <w:tr w:rsidR="00DB52C4" w:rsidRPr="004F5606" w:rsidTr="00777674">
        <w:trPr>
          <w:trHeight w:val="864"/>
        </w:trPr>
        <w:tc>
          <w:tcPr>
            <w:tcW w:w="2970" w:type="dxa"/>
          </w:tcPr>
          <w:p w:rsidR="00DB52C4" w:rsidRPr="004F5606" w:rsidRDefault="00DB52C4">
            <w:pPr>
              <w:rPr>
                <w:szCs w:val="28"/>
                <w:lang w:eastAsia="zh-CN"/>
              </w:rPr>
            </w:pPr>
            <w:r w:rsidRPr="004F5606">
              <w:rPr>
                <w:szCs w:val="28"/>
              </w:rPr>
              <w:t>Appeal Committee</w:t>
            </w:r>
            <w:r w:rsidRPr="004F5606">
              <w:rPr>
                <w:szCs w:val="28"/>
                <w:lang w:eastAsia="zh-CN"/>
              </w:rPr>
              <w:t>:</w:t>
            </w:r>
          </w:p>
        </w:tc>
        <w:tc>
          <w:tcPr>
            <w:tcW w:w="6102" w:type="dxa"/>
          </w:tcPr>
          <w:p w:rsidR="00536715" w:rsidRPr="004F5606" w:rsidRDefault="007B3A0A" w:rsidP="00C1234B">
            <w:pPr>
              <w:snapToGrid w:val="0"/>
              <w:rPr>
                <w:szCs w:val="28"/>
              </w:rPr>
            </w:pPr>
            <w:proofErr w:type="spellStart"/>
            <w:r w:rsidRPr="009E4205">
              <w:rPr>
                <w:szCs w:val="28"/>
              </w:rPr>
              <w:t>Mr</w:t>
            </w:r>
            <w:proofErr w:type="spellEnd"/>
            <w:r w:rsidRPr="009E4205">
              <w:rPr>
                <w:szCs w:val="28"/>
              </w:rPr>
              <w:t xml:space="preserve"> Justice </w:t>
            </w:r>
            <w:r w:rsidR="003E721D">
              <w:rPr>
                <w:szCs w:val="28"/>
              </w:rPr>
              <w:t>Ribeiro</w:t>
            </w:r>
            <w:r w:rsidRPr="009E4205">
              <w:rPr>
                <w:szCs w:val="28"/>
              </w:rPr>
              <w:t xml:space="preserve"> </w:t>
            </w:r>
            <w:r w:rsidR="00C1234B">
              <w:rPr>
                <w:szCs w:val="28"/>
              </w:rPr>
              <w:t>Acting CJ</w:t>
            </w:r>
            <w:r w:rsidR="008F65AD">
              <w:rPr>
                <w:szCs w:val="28"/>
              </w:rPr>
              <w:t xml:space="preserve">, </w:t>
            </w:r>
            <w:proofErr w:type="spellStart"/>
            <w:r w:rsidR="008F65AD" w:rsidRPr="009E4205">
              <w:rPr>
                <w:szCs w:val="28"/>
              </w:rPr>
              <w:t>Mr</w:t>
            </w:r>
            <w:proofErr w:type="spellEnd"/>
            <w:r w:rsidR="008F65AD" w:rsidRPr="009E4205">
              <w:rPr>
                <w:szCs w:val="28"/>
              </w:rPr>
              <w:t xml:space="preserve"> Justice </w:t>
            </w:r>
            <w:proofErr w:type="spellStart"/>
            <w:r w:rsidR="003E721D">
              <w:rPr>
                <w:szCs w:val="28"/>
              </w:rPr>
              <w:t>Fok</w:t>
            </w:r>
            <w:proofErr w:type="spellEnd"/>
            <w:r w:rsidR="008F65AD">
              <w:rPr>
                <w:szCs w:val="28"/>
              </w:rPr>
              <w:t xml:space="preserve"> </w:t>
            </w:r>
            <w:r w:rsidR="008F65AD" w:rsidRPr="009E4205">
              <w:rPr>
                <w:szCs w:val="28"/>
              </w:rPr>
              <w:t xml:space="preserve">PJ </w:t>
            </w:r>
            <w:r w:rsidR="006F66A0" w:rsidRPr="009E4205">
              <w:rPr>
                <w:szCs w:val="28"/>
              </w:rPr>
              <w:t>and</w:t>
            </w:r>
            <w:r w:rsidR="00C1234B">
              <w:rPr>
                <w:szCs w:val="28"/>
              </w:rPr>
              <w:t xml:space="preserve"> </w:t>
            </w:r>
            <w:proofErr w:type="spellStart"/>
            <w:r w:rsidR="006F66A0" w:rsidRPr="009E4205">
              <w:rPr>
                <w:szCs w:val="28"/>
              </w:rPr>
              <w:t>Mr</w:t>
            </w:r>
            <w:proofErr w:type="spellEnd"/>
            <w:r w:rsidR="006F66A0" w:rsidRPr="009E4205">
              <w:rPr>
                <w:szCs w:val="28"/>
              </w:rPr>
              <w:t xml:space="preserve"> Justice </w:t>
            </w:r>
            <w:r w:rsidR="003E721D">
              <w:rPr>
                <w:szCs w:val="28"/>
              </w:rPr>
              <w:t xml:space="preserve">Lam </w:t>
            </w:r>
            <w:r w:rsidR="003E721D" w:rsidRPr="009E4205">
              <w:rPr>
                <w:szCs w:val="28"/>
              </w:rPr>
              <w:t>PJ</w:t>
            </w:r>
          </w:p>
        </w:tc>
      </w:tr>
      <w:tr w:rsidR="00DB52C4" w:rsidRPr="004F5606" w:rsidTr="00777674">
        <w:trPr>
          <w:trHeight w:val="864"/>
        </w:trPr>
        <w:tc>
          <w:tcPr>
            <w:tcW w:w="2970" w:type="dxa"/>
          </w:tcPr>
          <w:p w:rsidR="00DB52C4" w:rsidRPr="004F5606" w:rsidRDefault="00155ECE" w:rsidP="00A1635D">
            <w:pPr>
              <w:rPr>
                <w:szCs w:val="28"/>
                <w:lang w:eastAsia="zh-CN"/>
              </w:rPr>
            </w:pPr>
            <w:r w:rsidRPr="004F5606">
              <w:rPr>
                <w:szCs w:val="28"/>
                <w:lang w:eastAsia="zh-CN"/>
              </w:rPr>
              <w:t>Date of Hearing and Determination:</w:t>
            </w:r>
          </w:p>
        </w:tc>
        <w:tc>
          <w:tcPr>
            <w:tcW w:w="6102" w:type="dxa"/>
          </w:tcPr>
          <w:p w:rsidR="00155ECE" w:rsidRDefault="00155ECE" w:rsidP="008F65AD">
            <w:pPr>
              <w:rPr>
                <w:szCs w:val="28"/>
                <w:lang w:eastAsia="zh-CN"/>
              </w:rPr>
            </w:pPr>
          </w:p>
          <w:p w:rsidR="00DB52C4" w:rsidRPr="004F5606" w:rsidRDefault="00495D88" w:rsidP="008F65AD">
            <w:pPr>
              <w:rPr>
                <w:szCs w:val="28"/>
                <w:lang w:eastAsia="zh-CN"/>
              </w:rPr>
            </w:pPr>
            <w:r>
              <w:rPr>
                <w:szCs w:val="28"/>
                <w:lang w:eastAsia="zh-CN"/>
              </w:rPr>
              <w:t>31 July</w:t>
            </w:r>
            <w:r w:rsidR="00A1635D">
              <w:rPr>
                <w:szCs w:val="28"/>
                <w:lang w:eastAsia="zh-CN"/>
              </w:rPr>
              <w:t xml:space="preserve"> 2024</w:t>
            </w:r>
          </w:p>
        </w:tc>
      </w:tr>
    </w:tbl>
    <w:p w:rsidR="00FB68DD" w:rsidRDefault="00FB68DD" w:rsidP="00C05406">
      <w:pPr>
        <w:rPr>
          <w:szCs w:val="28"/>
          <w:lang w:eastAsia="zh-CN"/>
        </w:rPr>
      </w:pPr>
    </w:p>
    <w:p w:rsidR="009C3822" w:rsidRDefault="009C3822" w:rsidP="00C05406">
      <w:pPr>
        <w:rPr>
          <w:szCs w:val="28"/>
          <w:lang w:eastAsia="zh-CN"/>
        </w:rPr>
      </w:pPr>
    </w:p>
    <w:tbl>
      <w:tblPr>
        <w:tblW w:w="9072" w:type="dxa"/>
        <w:tblInd w:w="108" w:type="dxa"/>
        <w:tblLayout w:type="fixed"/>
        <w:tblLook w:val="04A0" w:firstRow="1" w:lastRow="0" w:firstColumn="1" w:lastColumn="0" w:noHBand="0" w:noVBand="1"/>
      </w:tblPr>
      <w:tblGrid>
        <w:gridCol w:w="2835"/>
        <w:gridCol w:w="3261"/>
        <w:gridCol w:w="2976"/>
      </w:tblGrid>
      <w:tr w:rsidR="00C1234B" w:rsidRPr="00220FD5" w:rsidTr="003B3C9A">
        <w:trPr>
          <w:trHeight w:val="864"/>
        </w:trPr>
        <w:tc>
          <w:tcPr>
            <w:tcW w:w="2835" w:type="dxa"/>
            <w:shd w:val="clear" w:color="auto" w:fill="auto"/>
            <w:vAlign w:val="center"/>
          </w:tcPr>
          <w:p w:rsidR="00C1234B" w:rsidRPr="00220FD5" w:rsidRDefault="00C1234B" w:rsidP="003B3C9A">
            <w:pPr>
              <w:ind w:left="-15" w:right="-180"/>
              <w:rPr>
                <w:b/>
                <w:bCs/>
                <w:szCs w:val="28"/>
              </w:rPr>
            </w:pPr>
          </w:p>
        </w:tc>
        <w:tc>
          <w:tcPr>
            <w:tcW w:w="3261" w:type="dxa"/>
            <w:tcBorders>
              <w:top w:val="single" w:sz="4" w:space="0" w:color="auto"/>
              <w:bottom w:val="single" w:sz="4" w:space="0" w:color="auto"/>
            </w:tcBorders>
            <w:shd w:val="clear" w:color="auto" w:fill="auto"/>
            <w:vAlign w:val="center"/>
          </w:tcPr>
          <w:p w:rsidR="00C1234B" w:rsidRPr="00220FD5" w:rsidRDefault="00C1234B" w:rsidP="003B3C9A">
            <w:pPr>
              <w:spacing w:before="120" w:after="120"/>
              <w:jc w:val="center"/>
              <w:rPr>
                <w:b/>
                <w:bCs/>
                <w:szCs w:val="28"/>
              </w:rPr>
            </w:pPr>
            <w:r>
              <w:rPr>
                <w:b/>
                <w:bCs/>
                <w:spacing w:val="40"/>
                <w:szCs w:val="28"/>
              </w:rPr>
              <w:t>DETERMINATION</w:t>
            </w:r>
          </w:p>
        </w:tc>
        <w:tc>
          <w:tcPr>
            <w:tcW w:w="2976" w:type="dxa"/>
            <w:shd w:val="clear" w:color="auto" w:fill="auto"/>
            <w:vAlign w:val="center"/>
          </w:tcPr>
          <w:p w:rsidR="00C1234B" w:rsidRPr="00220FD5" w:rsidRDefault="00C1234B" w:rsidP="003B3C9A">
            <w:pPr>
              <w:rPr>
                <w:b/>
                <w:bCs/>
                <w:szCs w:val="28"/>
              </w:rPr>
            </w:pPr>
          </w:p>
        </w:tc>
      </w:tr>
    </w:tbl>
    <w:p w:rsidR="007D3E49" w:rsidRDefault="007D3E49" w:rsidP="007D3E49">
      <w:pPr>
        <w:rPr>
          <w:szCs w:val="28"/>
        </w:rPr>
      </w:pPr>
    </w:p>
    <w:p w:rsidR="007D3E49" w:rsidRDefault="007D3E49" w:rsidP="007D3E49">
      <w:pPr>
        <w:rPr>
          <w:szCs w:val="28"/>
        </w:rPr>
      </w:pPr>
    </w:p>
    <w:p w:rsidR="003A690B" w:rsidRPr="003A690B" w:rsidRDefault="003A690B" w:rsidP="003A690B">
      <w:pPr>
        <w:pStyle w:val="Bob1"/>
        <w:numPr>
          <w:ilvl w:val="0"/>
          <w:numId w:val="0"/>
        </w:numPr>
        <w:ind w:left="720" w:hanging="720"/>
        <w:rPr>
          <w:b/>
          <w:noProof/>
        </w:rPr>
      </w:pPr>
      <w:r w:rsidRPr="003A690B">
        <w:rPr>
          <w:b/>
          <w:noProof/>
        </w:rPr>
        <w:t>The Appeal Committee:</w:t>
      </w:r>
    </w:p>
    <w:p w:rsidR="003A690B" w:rsidRDefault="003A690B" w:rsidP="003A690B">
      <w:pPr>
        <w:pStyle w:val="Bob1"/>
        <w:tabs>
          <w:tab w:val="clear" w:pos="720"/>
          <w:tab w:val="left" w:pos="1440"/>
        </w:tabs>
        <w:ind w:left="0" w:firstLine="0"/>
        <w:jc w:val="both"/>
        <w:rPr>
          <w:noProof/>
        </w:rPr>
      </w:pPr>
      <w:r w:rsidRPr="0051713A">
        <w:rPr>
          <w:noProof/>
        </w:rPr>
        <w:t xml:space="preserve">We refer to the applicants in these applications for leave to appeal individually as </w:t>
      </w:r>
      <w:r w:rsidRPr="0051713A">
        <w:t>A</w:t>
      </w:r>
      <w:r>
        <w:t>1</w:t>
      </w:r>
      <w:r w:rsidRPr="0051713A">
        <w:t xml:space="preserve"> (Tang </w:t>
      </w:r>
      <w:proofErr w:type="spellStart"/>
      <w:r w:rsidRPr="0051713A">
        <w:t>Ngok</w:t>
      </w:r>
      <w:proofErr w:type="spellEnd"/>
      <w:r w:rsidRPr="0051713A">
        <w:t xml:space="preserve"> Kwan)</w:t>
      </w:r>
      <w:r>
        <w:t>,</w:t>
      </w:r>
      <w:r w:rsidRPr="0051713A">
        <w:t xml:space="preserve"> A</w:t>
      </w:r>
      <w:r>
        <w:t>2</w:t>
      </w:r>
      <w:r w:rsidRPr="0051713A">
        <w:t xml:space="preserve"> (</w:t>
      </w:r>
      <w:proofErr w:type="spellStart"/>
      <w:r w:rsidRPr="0051713A">
        <w:t>Tsui</w:t>
      </w:r>
      <w:proofErr w:type="spellEnd"/>
      <w:r w:rsidRPr="0051713A">
        <w:t xml:space="preserve"> Hon </w:t>
      </w:r>
      <w:proofErr w:type="spellStart"/>
      <w:r w:rsidRPr="0051713A">
        <w:t>Kwong</w:t>
      </w:r>
      <w:proofErr w:type="spellEnd"/>
      <w:r w:rsidRPr="0051713A">
        <w:t>)</w:t>
      </w:r>
      <w:r w:rsidRPr="0051713A">
        <w:rPr>
          <w:rStyle w:val="FootnoteReference"/>
        </w:rPr>
        <w:footnoteReference w:id="1"/>
      </w:r>
      <w:r w:rsidRPr="0051713A">
        <w:t xml:space="preserve"> and </w:t>
      </w:r>
      <w:r w:rsidRPr="0051713A">
        <w:rPr>
          <w:noProof/>
        </w:rPr>
        <w:t>A</w:t>
      </w:r>
      <w:r>
        <w:t>3</w:t>
      </w:r>
      <w:r w:rsidRPr="0051713A">
        <w:t xml:space="preserve"> (Chow Hang Tung),</w:t>
      </w:r>
      <w:r w:rsidRPr="0051713A">
        <w:rPr>
          <w:rStyle w:val="FootnoteReference"/>
        </w:rPr>
        <w:footnoteReference w:id="2"/>
      </w:r>
      <w:r w:rsidRPr="0051713A">
        <w:t xml:space="preserve"> </w:t>
      </w:r>
      <w:r>
        <w:t xml:space="preserve">and </w:t>
      </w:r>
      <w:r w:rsidRPr="0051713A">
        <w:t>as “the applicants” collectively.</w:t>
      </w:r>
    </w:p>
    <w:p w:rsidR="003A690B" w:rsidRDefault="003A690B" w:rsidP="003A690B">
      <w:pPr>
        <w:pStyle w:val="Bob1"/>
        <w:tabs>
          <w:tab w:val="clear" w:pos="720"/>
          <w:tab w:val="left" w:pos="1440"/>
        </w:tabs>
        <w:ind w:left="0" w:firstLine="0"/>
        <w:jc w:val="both"/>
        <w:rPr>
          <w:noProof/>
        </w:rPr>
      </w:pPr>
      <w:r w:rsidRPr="0051713A">
        <w:t>On 25 August 2021, the Commissioner of Police (“</w:t>
      </w:r>
      <w:r w:rsidRPr="003A690B">
        <w:rPr>
          <w:u w:val="single"/>
        </w:rPr>
        <w:t>CP</w:t>
      </w:r>
      <w:r w:rsidRPr="0051713A">
        <w:t>”) served a Notice (“</w:t>
      </w:r>
      <w:r w:rsidRPr="003A690B">
        <w:rPr>
          <w:u w:val="single"/>
        </w:rPr>
        <w:t>the Notice</w:t>
      </w:r>
      <w:r w:rsidRPr="0051713A">
        <w:t>”) on the applicants requiring them to provide specified information and documents within 14 days.  The Notice stated that it was served pursuant to section 3(1) of Schedule 5 (“</w:t>
      </w:r>
      <w:proofErr w:type="spellStart"/>
      <w:r w:rsidRPr="003A690B">
        <w:rPr>
          <w:u w:val="single"/>
        </w:rPr>
        <w:t>Schd</w:t>
      </w:r>
      <w:proofErr w:type="spellEnd"/>
      <w:r w:rsidRPr="003A690B">
        <w:rPr>
          <w:u w:val="single"/>
        </w:rPr>
        <w:t xml:space="preserve"> 5 s 3(1)</w:t>
      </w:r>
      <w:r w:rsidRPr="0051713A">
        <w:t>”) of the Implementation Rules (“</w:t>
      </w:r>
      <w:r w:rsidRPr="003A690B">
        <w:rPr>
          <w:u w:val="single"/>
        </w:rPr>
        <w:t>IR</w:t>
      </w:r>
      <w:r w:rsidRPr="0051713A">
        <w:t>”) made under Article 43(5) of the National Security Law (“</w:t>
      </w:r>
      <w:r w:rsidRPr="003A690B">
        <w:rPr>
          <w:u w:val="single"/>
        </w:rPr>
        <w:t>NSL</w:t>
      </w:r>
      <w:r w:rsidRPr="0051713A">
        <w:t xml:space="preserve">”).  </w:t>
      </w:r>
    </w:p>
    <w:p w:rsidR="003A690B" w:rsidRDefault="003A690B" w:rsidP="003A690B">
      <w:pPr>
        <w:pStyle w:val="Bob1"/>
        <w:tabs>
          <w:tab w:val="clear" w:pos="720"/>
          <w:tab w:val="left" w:pos="1440"/>
        </w:tabs>
        <w:ind w:left="0" w:firstLine="0"/>
        <w:jc w:val="both"/>
        <w:rPr>
          <w:noProof/>
        </w:rPr>
      </w:pPr>
      <w:r w:rsidRPr="0051713A">
        <w:rPr>
          <w:noProof/>
        </w:rPr>
        <w:lastRenderedPageBreak/>
        <w:t>The</w:t>
      </w:r>
      <w:r>
        <w:rPr>
          <w:noProof/>
        </w:rPr>
        <w:t xml:space="preserve"> applicants</w:t>
      </w:r>
      <w:r w:rsidRPr="0051713A">
        <w:rPr>
          <w:noProof/>
        </w:rPr>
        <w:t xml:space="preserve"> declined to provide the information and were charged </w:t>
      </w:r>
      <w:r>
        <w:rPr>
          <w:noProof/>
        </w:rPr>
        <w:t xml:space="preserve">with </w:t>
      </w:r>
      <w:r w:rsidRPr="0051713A">
        <w:rPr>
          <w:noProof/>
        </w:rPr>
        <w:t xml:space="preserve">and convicted of an offence under IR </w:t>
      </w:r>
      <w:proofErr w:type="spellStart"/>
      <w:r w:rsidRPr="0051713A">
        <w:t>Schd</w:t>
      </w:r>
      <w:proofErr w:type="spellEnd"/>
      <w:r w:rsidRPr="0051713A">
        <w:t xml:space="preserve"> 5 s 3(3</w:t>
      </w:r>
      <w:proofErr w:type="gramStart"/>
      <w:r w:rsidRPr="0051713A">
        <w:t>)(</w:t>
      </w:r>
      <w:proofErr w:type="gramEnd"/>
      <w:r w:rsidRPr="0051713A">
        <w:t>b) of failing to comply with the Notice.</w:t>
      </w:r>
      <w:r w:rsidRPr="0051713A">
        <w:rPr>
          <w:rStyle w:val="FootnoteReference"/>
        </w:rPr>
        <w:footnoteReference w:id="3"/>
      </w:r>
      <w:r w:rsidRPr="0051713A">
        <w:t xml:space="preserve">  </w:t>
      </w:r>
    </w:p>
    <w:p w:rsidR="003A690B" w:rsidRDefault="003A690B" w:rsidP="003A690B">
      <w:pPr>
        <w:pStyle w:val="Bob1"/>
        <w:tabs>
          <w:tab w:val="clear" w:pos="720"/>
          <w:tab w:val="left" w:pos="1440"/>
        </w:tabs>
        <w:ind w:left="0" w:firstLine="0"/>
        <w:jc w:val="both"/>
        <w:rPr>
          <w:noProof/>
        </w:rPr>
      </w:pPr>
      <w:r w:rsidRPr="0051713A">
        <w:t>They now seek leave to appeal on points of law as well as on the substantial and grave injustice (“</w:t>
      </w:r>
      <w:r w:rsidRPr="003A690B">
        <w:rPr>
          <w:u w:val="single"/>
        </w:rPr>
        <w:t>SGI</w:t>
      </w:r>
      <w:r w:rsidRPr="0051713A">
        <w:t xml:space="preserve">”) basis. The questions and SGI issues formulated by them are set out </w:t>
      </w:r>
      <w:r>
        <w:t xml:space="preserve">below </w:t>
      </w:r>
      <w:r w:rsidRPr="0051713A">
        <w:t>in the Appendix to this Determination.</w:t>
      </w:r>
      <w:r>
        <w:t xml:space="preserve">  Question (7), proposed by A1 and A2</w:t>
      </w:r>
      <w:r w:rsidR="004D21B4">
        <w:rPr>
          <w:lang w:val="en-US"/>
        </w:rPr>
        <w:t>,</w:t>
      </w:r>
      <w:r>
        <w:t xml:space="preserve"> </w:t>
      </w:r>
      <w:proofErr w:type="gramStart"/>
      <w:r>
        <w:t>was</w:t>
      </w:r>
      <w:proofErr w:type="gramEnd"/>
      <w:r>
        <w:t xml:space="preserve"> only placed before the Appeal Committee at the start of the hearing.</w:t>
      </w:r>
    </w:p>
    <w:p w:rsidR="003A690B" w:rsidRPr="0051713A" w:rsidRDefault="003A690B" w:rsidP="003A690B">
      <w:pPr>
        <w:pStyle w:val="Bob1"/>
        <w:tabs>
          <w:tab w:val="clear" w:pos="720"/>
          <w:tab w:val="left" w:pos="1440"/>
        </w:tabs>
        <w:spacing w:after="120"/>
        <w:ind w:left="0" w:firstLine="0"/>
        <w:jc w:val="both"/>
        <w:rPr>
          <w:noProof/>
        </w:rPr>
      </w:pPr>
      <w:r w:rsidRPr="0051713A">
        <w:t xml:space="preserve">We are satisfied that leave to appeal should be granted </w:t>
      </w:r>
      <w:r>
        <w:t xml:space="preserve">to all the applicants </w:t>
      </w:r>
      <w:r w:rsidRPr="0051713A">
        <w:t xml:space="preserve">in respect of Questions 1, 2 and </w:t>
      </w:r>
      <w:r>
        <w:t>3 set out below as being of the requisite importance and reasonably arguable.  They</w:t>
      </w:r>
      <w:r w:rsidRPr="0051713A">
        <w:t xml:space="preserve"> are based on the applicants’ Questions</w:t>
      </w:r>
      <w:r>
        <w:t xml:space="preserve">, </w:t>
      </w:r>
      <w:r w:rsidRPr="0051713A">
        <w:t xml:space="preserve">re-formulated </w:t>
      </w:r>
      <w:r>
        <w:t xml:space="preserve">as deemed necessary.  The Questions on which leave is granted are </w:t>
      </w:r>
      <w:r w:rsidRPr="0051713A">
        <w:t>as follows:</w:t>
      </w:r>
    </w:p>
    <w:p w:rsidR="003A690B" w:rsidRPr="00F869E4" w:rsidRDefault="003A690B" w:rsidP="003A690B">
      <w:pPr>
        <w:pStyle w:val="Bob1"/>
        <w:numPr>
          <w:ilvl w:val="0"/>
          <w:numId w:val="0"/>
        </w:numPr>
        <w:spacing w:after="120"/>
        <w:ind w:left="1440"/>
        <w:jc w:val="both"/>
      </w:pPr>
      <w:r w:rsidRPr="0051713A">
        <w:rPr>
          <w:u w:val="single"/>
        </w:rPr>
        <w:t>Question 1</w:t>
      </w:r>
    </w:p>
    <w:p w:rsidR="003A690B" w:rsidRDefault="003A690B" w:rsidP="003A690B">
      <w:pPr>
        <w:pStyle w:val="Bob1"/>
        <w:numPr>
          <w:ilvl w:val="0"/>
          <w:numId w:val="0"/>
        </w:numPr>
        <w:spacing w:after="120"/>
        <w:ind w:left="1440"/>
        <w:jc w:val="both"/>
      </w:pPr>
      <w:r w:rsidRPr="0051713A">
        <w:t xml:space="preserve">What are the </w:t>
      </w:r>
      <w:r>
        <w:t xml:space="preserve">elements of the offence under IR </w:t>
      </w:r>
      <w:proofErr w:type="spellStart"/>
      <w:r>
        <w:t>Schd</w:t>
      </w:r>
      <w:proofErr w:type="spellEnd"/>
      <w:r>
        <w:t xml:space="preserve"> 5 s 3(3) and in particular, was it necessary for the prosecution to prove that the Hong Kong Alliance in Support of P</w:t>
      </w:r>
      <w:r w:rsidR="004D21B4">
        <w:t>atriotic Democratic Movements of</w:t>
      </w:r>
      <w:r>
        <w:t xml:space="preserve"> China was in fact a “foreign agent” as defined by IR </w:t>
      </w:r>
      <w:proofErr w:type="spellStart"/>
      <w:r>
        <w:t>Schd</w:t>
      </w:r>
      <w:proofErr w:type="spellEnd"/>
      <w:r>
        <w:t xml:space="preserve"> 5 s 1, as opposed to an organization which the Commissioner of Police had reasonable grounds to believe was such a “foreign agent”?</w:t>
      </w:r>
    </w:p>
    <w:p w:rsidR="003A690B" w:rsidRDefault="003A690B" w:rsidP="003A690B">
      <w:pPr>
        <w:pStyle w:val="Bob1"/>
        <w:numPr>
          <w:ilvl w:val="0"/>
          <w:numId w:val="0"/>
        </w:numPr>
        <w:ind w:left="1440"/>
        <w:jc w:val="both"/>
      </w:pPr>
      <w:r>
        <w:rPr>
          <w:u w:val="single"/>
        </w:rPr>
        <w:t>Question 2</w:t>
      </w:r>
    </w:p>
    <w:p w:rsidR="003A690B" w:rsidRDefault="003A690B" w:rsidP="003A690B">
      <w:pPr>
        <w:pStyle w:val="Bob1"/>
        <w:numPr>
          <w:ilvl w:val="0"/>
          <w:numId w:val="0"/>
        </w:numPr>
        <w:ind w:left="1440"/>
        <w:jc w:val="both"/>
      </w:pPr>
      <w:r>
        <w:t xml:space="preserve">Was a challenge by way of defence to the validity of the Notice and its service on the applicants excluded by the “same person” test referred to in </w:t>
      </w:r>
      <w:r w:rsidRPr="00B0448D">
        <w:rPr>
          <w:i/>
          <w:iCs/>
        </w:rPr>
        <w:t>HKSAR v Chow Hang Tung</w:t>
      </w:r>
      <w:r>
        <w:t xml:space="preserve"> [2024] HKCFA 2?</w:t>
      </w:r>
    </w:p>
    <w:p w:rsidR="003A690B" w:rsidRDefault="003A690B" w:rsidP="003A690B">
      <w:pPr>
        <w:pStyle w:val="Bob1"/>
        <w:numPr>
          <w:ilvl w:val="0"/>
          <w:numId w:val="0"/>
        </w:numPr>
        <w:tabs>
          <w:tab w:val="left" w:pos="1440"/>
        </w:tabs>
        <w:spacing w:after="120"/>
        <w:ind w:left="1440"/>
      </w:pPr>
      <w:r>
        <w:rPr>
          <w:u w:val="single"/>
        </w:rPr>
        <w:lastRenderedPageBreak/>
        <w:t>Question 3</w:t>
      </w:r>
    </w:p>
    <w:p w:rsidR="003A690B" w:rsidRDefault="003A690B" w:rsidP="003A690B">
      <w:pPr>
        <w:pStyle w:val="Bob1"/>
        <w:numPr>
          <w:ilvl w:val="0"/>
          <w:numId w:val="0"/>
        </w:numPr>
        <w:tabs>
          <w:tab w:val="left" w:pos="1440"/>
        </w:tabs>
        <w:ind w:left="1440"/>
        <w:jc w:val="both"/>
      </w:pPr>
      <w:r>
        <w:t xml:space="preserve">Could the Notice validly require the production of information which came into existence before the promulgation of the NSL or the making of IR </w:t>
      </w:r>
      <w:proofErr w:type="spellStart"/>
      <w:r>
        <w:t>Schd</w:t>
      </w:r>
      <w:proofErr w:type="spellEnd"/>
      <w:r>
        <w:t xml:space="preserve"> 5?”</w:t>
      </w:r>
    </w:p>
    <w:p w:rsidR="003A690B" w:rsidRDefault="003A690B" w:rsidP="003A690B">
      <w:pPr>
        <w:pStyle w:val="Bob1"/>
        <w:tabs>
          <w:tab w:val="clear" w:pos="720"/>
          <w:tab w:val="left" w:pos="1440"/>
        </w:tabs>
        <w:ind w:left="0" w:firstLine="0"/>
        <w:jc w:val="both"/>
      </w:pPr>
      <w:r>
        <w:t xml:space="preserve">We refuse leave to appeal in respect of Questions 4, 5 and 7 proposed by A1 and A2, set out in the Appendix.  We do not consider Question 4 reasonably arguable and do not consider that Question 5 arises in the appeal.  Mr Robert Pang SC, appearing for A1 and A2 did not press for leave on those two Questions.  </w:t>
      </w:r>
    </w:p>
    <w:p w:rsidR="003A690B" w:rsidRDefault="003A690B" w:rsidP="003A690B">
      <w:pPr>
        <w:pStyle w:val="Bob1"/>
        <w:tabs>
          <w:tab w:val="clear" w:pos="720"/>
          <w:tab w:val="left" w:pos="1440"/>
        </w:tabs>
        <w:ind w:left="0" w:firstLine="0"/>
        <w:jc w:val="both"/>
      </w:pPr>
      <w:r>
        <w:t>Leave to appeal is also refused in respect of Question 7 which raises potentially far-reaching issues not mentioned or considered below.  We are not prepared to entertain such an application when introduced for the first time at this stage.</w:t>
      </w:r>
    </w:p>
    <w:p w:rsidR="003A690B" w:rsidRDefault="003A690B" w:rsidP="003A690B">
      <w:pPr>
        <w:pStyle w:val="Bob1"/>
        <w:tabs>
          <w:tab w:val="clear" w:pos="720"/>
          <w:tab w:val="left" w:pos="1440"/>
        </w:tabs>
        <w:ind w:left="0" w:firstLine="0"/>
        <w:jc w:val="both"/>
      </w:pPr>
      <w:r>
        <w:t xml:space="preserve">We grant leave to appeal on the SGI basis confined to the issue of whether the upholding of public interest immunity by the Courts below was erroneous and/or resulted in the denial of a fair trial for the applicants. </w:t>
      </w:r>
    </w:p>
    <w:p w:rsidR="003A690B" w:rsidRDefault="003A690B" w:rsidP="003A690B">
      <w:pPr>
        <w:pStyle w:val="Bob1"/>
        <w:tabs>
          <w:tab w:val="clear" w:pos="720"/>
          <w:tab w:val="left" w:pos="1440"/>
        </w:tabs>
        <w:ind w:left="0" w:firstLine="0"/>
        <w:jc w:val="both"/>
      </w:pPr>
      <w:r>
        <w:t>The appeal will be listed for hearing on 8 January 2025.</w:t>
      </w:r>
    </w:p>
    <w:p w:rsidR="003A690B" w:rsidRPr="004D21B4" w:rsidRDefault="003A690B" w:rsidP="00994902">
      <w:pPr>
        <w:pStyle w:val="Bob1"/>
        <w:numPr>
          <w:ilvl w:val="0"/>
          <w:numId w:val="0"/>
        </w:numPr>
        <w:spacing w:before="120" w:after="120"/>
        <w:ind w:left="720"/>
        <w:rPr>
          <w:rFonts w:eastAsia="PMingLiU"/>
          <w:szCs w:val="28"/>
          <w:lang w:eastAsia="zh-TW"/>
        </w:rPr>
      </w:pPr>
    </w:p>
    <w:p w:rsidR="00D10642" w:rsidRDefault="00D10642" w:rsidP="00994902">
      <w:pPr>
        <w:pStyle w:val="Bob1"/>
        <w:numPr>
          <w:ilvl w:val="0"/>
          <w:numId w:val="0"/>
        </w:numPr>
        <w:spacing w:before="120" w:after="120"/>
        <w:ind w:left="720"/>
        <w:rPr>
          <w:szCs w:val="28"/>
        </w:rPr>
      </w:pPr>
    </w:p>
    <w:p w:rsidR="00D10642" w:rsidRDefault="00D10642" w:rsidP="00994902">
      <w:pPr>
        <w:pStyle w:val="Bob1"/>
        <w:numPr>
          <w:ilvl w:val="0"/>
          <w:numId w:val="0"/>
        </w:numPr>
        <w:spacing w:before="120" w:after="120"/>
        <w:ind w:left="720"/>
        <w:rPr>
          <w:szCs w:val="28"/>
        </w:rPr>
      </w:pPr>
    </w:p>
    <w:tbl>
      <w:tblPr>
        <w:tblW w:w="9140" w:type="dxa"/>
        <w:jc w:val="center"/>
        <w:tblLayout w:type="fixed"/>
        <w:tblLook w:val="0000" w:firstRow="0" w:lastRow="0" w:firstColumn="0" w:lastColumn="0" w:noHBand="0" w:noVBand="0"/>
      </w:tblPr>
      <w:tblGrid>
        <w:gridCol w:w="3046"/>
        <w:gridCol w:w="3047"/>
        <w:gridCol w:w="3047"/>
      </w:tblGrid>
      <w:tr w:rsidR="007A46CC" w:rsidRPr="004F5606" w:rsidTr="007D3E49">
        <w:trPr>
          <w:trHeight w:val="576"/>
          <w:jc w:val="center"/>
        </w:trPr>
        <w:tc>
          <w:tcPr>
            <w:tcW w:w="3046" w:type="dxa"/>
            <w:vAlign w:val="bottom"/>
          </w:tcPr>
          <w:p w:rsidR="009C3822" w:rsidRPr="00AF789C" w:rsidRDefault="009C3822" w:rsidP="009C3822">
            <w:pPr>
              <w:jc w:val="center"/>
              <w:rPr>
                <w:szCs w:val="28"/>
              </w:rPr>
            </w:pPr>
          </w:p>
          <w:p w:rsidR="007A46CC" w:rsidRPr="004F5606" w:rsidRDefault="00BB4706" w:rsidP="003E721D">
            <w:pPr>
              <w:jc w:val="center"/>
              <w:rPr>
                <w:szCs w:val="28"/>
              </w:rPr>
            </w:pPr>
            <w:r w:rsidRPr="00AF789C">
              <w:rPr>
                <w:szCs w:val="28"/>
              </w:rPr>
              <w:t>(</w:t>
            </w:r>
            <w:r w:rsidR="003E721D">
              <w:rPr>
                <w:szCs w:val="28"/>
              </w:rPr>
              <w:t>R A V Ribeiro</w:t>
            </w:r>
            <w:r w:rsidRPr="00AF789C">
              <w:rPr>
                <w:szCs w:val="28"/>
              </w:rPr>
              <w:t>)</w:t>
            </w:r>
          </w:p>
        </w:tc>
        <w:tc>
          <w:tcPr>
            <w:tcW w:w="3047" w:type="dxa"/>
            <w:vAlign w:val="bottom"/>
          </w:tcPr>
          <w:p w:rsidR="007A46CC" w:rsidRPr="004F5606" w:rsidRDefault="00994902" w:rsidP="007B3A0A">
            <w:pPr>
              <w:jc w:val="center"/>
              <w:rPr>
                <w:szCs w:val="28"/>
              </w:rPr>
            </w:pPr>
            <w:r w:rsidRPr="004F5606">
              <w:rPr>
                <w:szCs w:val="28"/>
              </w:rPr>
              <w:t xml:space="preserve"> </w:t>
            </w:r>
            <w:r w:rsidR="008E75BF" w:rsidRPr="00220FD5">
              <w:rPr>
                <w:szCs w:val="28"/>
              </w:rPr>
              <w:t>(</w:t>
            </w:r>
            <w:r w:rsidR="003E721D">
              <w:rPr>
                <w:szCs w:val="28"/>
              </w:rPr>
              <w:t xml:space="preserve">Joseph </w:t>
            </w:r>
            <w:proofErr w:type="spellStart"/>
            <w:r w:rsidR="003E721D">
              <w:rPr>
                <w:szCs w:val="28"/>
              </w:rPr>
              <w:t>Fok</w:t>
            </w:r>
            <w:proofErr w:type="spellEnd"/>
            <w:r w:rsidR="008E75BF" w:rsidRPr="00220FD5">
              <w:rPr>
                <w:szCs w:val="28"/>
              </w:rPr>
              <w:t>)</w:t>
            </w:r>
          </w:p>
        </w:tc>
        <w:tc>
          <w:tcPr>
            <w:tcW w:w="3047" w:type="dxa"/>
            <w:vAlign w:val="bottom"/>
          </w:tcPr>
          <w:p w:rsidR="007A46CC" w:rsidRPr="004F5606" w:rsidRDefault="00994902" w:rsidP="007D3E49">
            <w:pPr>
              <w:jc w:val="center"/>
              <w:rPr>
                <w:szCs w:val="28"/>
              </w:rPr>
            </w:pPr>
            <w:r w:rsidRPr="004F5606">
              <w:rPr>
                <w:szCs w:val="28"/>
              </w:rPr>
              <w:t xml:space="preserve"> </w:t>
            </w:r>
            <w:r w:rsidR="007A46CC" w:rsidRPr="004F5606">
              <w:rPr>
                <w:szCs w:val="28"/>
              </w:rPr>
              <w:t>(</w:t>
            </w:r>
            <w:r w:rsidR="003E721D">
              <w:rPr>
                <w:szCs w:val="28"/>
              </w:rPr>
              <w:t>M H Lam</w:t>
            </w:r>
            <w:r w:rsidR="007A46CC" w:rsidRPr="004F5606">
              <w:rPr>
                <w:szCs w:val="28"/>
              </w:rPr>
              <w:t>)</w:t>
            </w:r>
          </w:p>
        </w:tc>
      </w:tr>
      <w:tr w:rsidR="007A46CC" w:rsidRPr="004F5606" w:rsidTr="007D3E49">
        <w:trPr>
          <w:trHeight w:val="432"/>
          <w:jc w:val="center"/>
        </w:trPr>
        <w:tc>
          <w:tcPr>
            <w:tcW w:w="3046" w:type="dxa"/>
            <w:vAlign w:val="center"/>
          </w:tcPr>
          <w:p w:rsidR="007A46CC" w:rsidRPr="004F5606" w:rsidRDefault="00C1234B" w:rsidP="00A86F0E">
            <w:pPr>
              <w:jc w:val="center"/>
              <w:rPr>
                <w:szCs w:val="28"/>
                <w:lang w:eastAsia="zh-CN"/>
              </w:rPr>
            </w:pPr>
            <w:r>
              <w:rPr>
                <w:szCs w:val="28"/>
              </w:rPr>
              <w:t>Acting Chief Justice</w:t>
            </w:r>
          </w:p>
        </w:tc>
        <w:tc>
          <w:tcPr>
            <w:tcW w:w="3047" w:type="dxa"/>
            <w:vAlign w:val="center"/>
          </w:tcPr>
          <w:p w:rsidR="007A46CC" w:rsidRPr="004F5606" w:rsidRDefault="007A46CC" w:rsidP="00A86F0E">
            <w:pPr>
              <w:jc w:val="center"/>
              <w:rPr>
                <w:szCs w:val="28"/>
              </w:rPr>
            </w:pPr>
            <w:r w:rsidRPr="004F5606">
              <w:rPr>
                <w:szCs w:val="28"/>
              </w:rPr>
              <w:t>Permanent Judge</w:t>
            </w:r>
          </w:p>
        </w:tc>
        <w:tc>
          <w:tcPr>
            <w:tcW w:w="3047" w:type="dxa"/>
            <w:vAlign w:val="center"/>
          </w:tcPr>
          <w:p w:rsidR="007A46CC" w:rsidRPr="004F5606" w:rsidRDefault="0037202F" w:rsidP="0037202F">
            <w:pPr>
              <w:jc w:val="center"/>
              <w:rPr>
                <w:szCs w:val="28"/>
              </w:rPr>
            </w:pPr>
            <w:r w:rsidRPr="004F5606">
              <w:rPr>
                <w:szCs w:val="28"/>
              </w:rPr>
              <w:t>Permanent Judge</w:t>
            </w:r>
          </w:p>
        </w:tc>
      </w:tr>
    </w:tbl>
    <w:p w:rsidR="007A46CC" w:rsidRPr="004F5606" w:rsidRDefault="007A46CC" w:rsidP="00994902">
      <w:pPr>
        <w:autoSpaceDE w:val="0"/>
        <w:autoSpaceDN w:val="0"/>
        <w:adjustRightInd w:val="0"/>
        <w:spacing w:before="120" w:after="120" w:line="360" w:lineRule="auto"/>
        <w:ind w:left="720" w:hanging="720"/>
        <w:jc w:val="both"/>
        <w:rPr>
          <w:szCs w:val="28"/>
          <w:lang w:eastAsia="zh-CN"/>
        </w:rPr>
      </w:pPr>
    </w:p>
    <w:p w:rsidR="009C3822" w:rsidRPr="004F5606" w:rsidRDefault="009C3822" w:rsidP="00994902">
      <w:pPr>
        <w:autoSpaceDE w:val="0"/>
        <w:autoSpaceDN w:val="0"/>
        <w:adjustRightInd w:val="0"/>
        <w:spacing w:before="120" w:after="120" w:line="360" w:lineRule="auto"/>
        <w:ind w:left="720" w:hanging="720"/>
        <w:jc w:val="both"/>
        <w:rPr>
          <w:szCs w:val="28"/>
          <w:lang w:eastAsia="zh-CN"/>
        </w:rPr>
      </w:pPr>
    </w:p>
    <w:p w:rsidR="003A690B" w:rsidRDefault="003A690B">
      <w:pPr>
        <w:rPr>
          <w:b/>
          <w:i/>
          <w:szCs w:val="28"/>
        </w:rPr>
      </w:pPr>
      <w:r>
        <w:rPr>
          <w:b/>
          <w:i/>
          <w:szCs w:val="28"/>
        </w:rPr>
        <w:br w:type="page"/>
      </w:r>
    </w:p>
    <w:p w:rsidR="006A2C97" w:rsidRPr="006A2C97" w:rsidRDefault="006A2C97" w:rsidP="00673DEE">
      <w:pPr>
        <w:autoSpaceDE w:val="0"/>
        <w:autoSpaceDN w:val="0"/>
        <w:adjustRightInd w:val="0"/>
        <w:ind w:left="720" w:hanging="720"/>
        <w:jc w:val="both"/>
        <w:rPr>
          <w:b/>
          <w:i/>
          <w:szCs w:val="28"/>
        </w:rPr>
      </w:pPr>
      <w:r w:rsidRPr="006A2C97">
        <w:rPr>
          <w:b/>
          <w:i/>
          <w:szCs w:val="28"/>
        </w:rPr>
        <w:lastRenderedPageBreak/>
        <w:t>FAMC 13/2024</w:t>
      </w:r>
    </w:p>
    <w:p w:rsidR="00495D88" w:rsidRDefault="003E721D" w:rsidP="00673DEE">
      <w:pPr>
        <w:autoSpaceDE w:val="0"/>
        <w:autoSpaceDN w:val="0"/>
        <w:adjustRightInd w:val="0"/>
        <w:ind w:left="720" w:hanging="720"/>
        <w:jc w:val="both"/>
        <w:rPr>
          <w:szCs w:val="28"/>
          <w:lang w:eastAsia="zh-CN"/>
        </w:rPr>
      </w:pPr>
      <w:proofErr w:type="spellStart"/>
      <w:r>
        <w:rPr>
          <w:szCs w:val="28"/>
        </w:rPr>
        <w:t>Mr</w:t>
      </w:r>
      <w:proofErr w:type="spellEnd"/>
      <w:r>
        <w:rPr>
          <w:szCs w:val="28"/>
        </w:rPr>
        <w:t xml:space="preserve"> </w:t>
      </w:r>
      <w:r w:rsidR="004D21B4">
        <w:rPr>
          <w:szCs w:val="28"/>
        </w:rPr>
        <w:t xml:space="preserve">Robert Pang SC and </w:t>
      </w:r>
      <w:proofErr w:type="spellStart"/>
      <w:r w:rsidR="004D21B4">
        <w:rPr>
          <w:szCs w:val="28"/>
        </w:rPr>
        <w:t>Mr</w:t>
      </w:r>
      <w:proofErr w:type="spellEnd"/>
      <w:r w:rsidR="004D21B4">
        <w:rPr>
          <w:szCs w:val="28"/>
        </w:rPr>
        <w:t xml:space="preserve"> </w:t>
      </w:r>
      <w:r w:rsidR="00495D88">
        <w:rPr>
          <w:szCs w:val="28"/>
        </w:rPr>
        <w:t>Esmond Wong</w:t>
      </w:r>
      <w:r>
        <w:rPr>
          <w:szCs w:val="28"/>
          <w:lang w:eastAsia="zh-CN"/>
        </w:rPr>
        <w:t xml:space="preserve">, </w:t>
      </w:r>
      <w:r w:rsidRPr="004F5606">
        <w:rPr>
          <w:szCs w:val="28"/>
        </w:rPr>
        <w:t>instructed by</w:t>
      </w:r>
      <w:r w:rsidR="00495D88">
        <w:rPr>
          <w:szCs w:val="28"/>
          <w:lang w:eastAsia="zh-CN"/>
        </w:rPr>
        <w:t xml:space="preserve"> Kenneth Lam, Solicitors</w:t>
      </w:r>
      <w:r w:rsidRPr="004F5606">
        <w:rPr>
          <w:szCs w:val="28"/>
        </w:rPr>
        <w:t>,</w:t>
      </w:r>
      <w:r>
        <w:rPr>
          <w:szCs w:val="28"/>
        </w:rPr>
        <w:t xml:space="preserve"> </w:t>
      </w:r>
      <w:r w:rsidRPr="004F5606">
        <w:rPr>
          <w:szCs w:val="28"/>
        </w:rPr>
        <w:t xml:space="preserve">for the </w:t>
      </w:r>
      <w:r w:rsidR="00495D88">
        <w:rPr>
          <w:szCs w:val="28"/>
        </w:rPr>
        <w:t>1</w:t>
      </w:r>
      <w:r w:rsidR="00495D88" w:rsidRPr="00495D88">
        <w:rPr>
          <w:szCs w:val="28"/>
          <w:vertAlign w:val="superscript"/>
        </w:rPr>
        <w:t>st</w:t>
      </w:r>
      <w:r w:rsidR="00495D88">
        <w:rPr>
          <w:szCs w:val="28"/>
        </w:rPr>
        <w:t xml:space="preserve"> and 2</w:t>
      </w:r>
      <w:r w:rsidR="00495D88" w:rsidRPr="00495D88">
        <w:rPr>
          <w:szCs w:val="28"/>
          <w:vertAlign w:val="superscript"/>
        </w:rPr>
        <w:t>nd</w:t>
      </w:r>
      <w:r w:rsidR="00495D88">
        <w:rPr>
          <w:szCs w:val="28"/>
        </w:rPr>
        <w:t xml:space="preserve"> </w:t>
      </w:r>
      <w:r>
        <w:rPr>
          <w:szCs w:val="28"/>
          <w:lang w:eastAsia="zh-CN"/>
        </w:rPr>
        <w:t>Applicant</w:t>
      </w:r>
      <w:r w:rsidR="00162083">
        <w:rPr>
          <w:szCs w:val="28"/>
          <w:lang w:eastAsia="zh-CN"/>
        </w:rPr>
        <w:t>s</w:t>
      </w:r>
    </w:p>
    <w:p w:rsidR="003E721D" w:rsidRDefault="00495D88" w:rsidP="00673DEE">
      <w:pPr>
        <w:autoSpaceDE w:val="0"/>
        <w:autoSpaceDN w:val="0"/>
        <w:adjustRightInd w:val="0"/>
        <w:ind w:left="720" w:hanging="720"/>
        <w:jc w:val="both"/>
        <w:rPr>
          <w:szCs w:val="28"/>
        </w:rPr>
      </w:pPr>
      <w:r>
        <w:rPr>
          <w:szCs w:val="28"/>
          <w:lang w:eastAsia="zh-CN"/>
        </w:rPr>
        <w:t xml:space="preserve"> </w:t>
      </w:r>
    </w:p>
    <w:p w:rsidR="006A2C97" w:rsidRPr="006A2C97" w:rsidRDefault="006A2C97" w:rsidP="00673DEE">
      <w:pPr>
        <w:autoSpaceDE w:val="0"/>
        <w:autoSpaceDN w:val="0"/>
        <w:adjustRightInd w:val="0"/>
        <w:ind w:left="720" w:hanging="720"/>
        <w:jc w:val="both"/>
        <w:rPr>
          <w:b/>
          <w:i/>
          <w:szCs w:val="28"/>
        </w:rPr>
      </w:pPr>
      <w:r w:rsidRPr="006A2C97">
        <w:rPr>
          <w:b/>
          <w:i/>
          <w:szCs w:val="28"/>
        </w:rPr>
        <w:t>FAMC 14/2024</w:t>
      </w:r>
    </w:p>
    <w:p w:rsidR="003E721D" w:rsidRDefault="00495D88" w:rsidP="00673DEE">
      <w:pPr>
        <w:autoSpaceDE w:val="0"/>
        <w:autoSpaceDN w:val="0"/>
        <w:adjustRightInd w:val="0"/>
        <w:ind w:left="720" w:hanging="720"/>
        <w:jc w:val="both"/>
        <w:rPr>
          <w:szCs w:val="28"/>
        </w:rPr>
      </w:pPr>
      <w:r>
        <w:rPr>
          <w:szCs w:val="28"/>
        </w:rPr>
        <w:t xml:space="preserve">The Applicant </w:t>
      </w:r>
      <w:r w:rsidR="00BE59C4">
        <w:rPr>
          <w:szCs w:val="28"/>
        </w:rPr>
        <w:t>a</w:t>
      </w:r>
      <w:r w:rsidR="00034D83">
        <w:rPr>
          <w:szCs w:val="28"/>
        </w:rPr>
        <w:t>ppeared</w:t>
      </w:r>
      <w:r>
        <w:rPr>
          <w:szCs w:val="28"/>
        </w:rPr>
        <w:t xml:space="preserve"> in person</w:t>
      </w:r>
    </w:p>
    <w:p w:rsidR="006A2C97" w:rsidRDefault="006A2C97" w:rsidP="00673DEE">
      <w:pPr>
        <w:autoSpaceDE w:val="0"/>
        <w:autoSpaceDN w:val="0"/>
        <w:adjustRightInd w:val="0"/>
        <w:ind w:left="720" w:hanging="720"/>
        <w:jc w:val="both"/>
        <w:rPr>
          <w:szCs w:val="28"/>
        </w:rPr>
      </w:pPr>
    </w:p>
    <w:p w:rsidR="006A2C97" w:rsidRPr="006A2C97" w:rsidRDefault="006A2C97" w:rsidP="00673DEE">
      <w:pPr>
        <w:autoSpaceDE w:val="0"/>
        <w:autoSpaceDN w:val="0"/>
        <w:adjustRightInd w:val="0"/>
        <w:ind w:left="720" w:hanging="720"/>
        <w:jc w:val="both"/>
        <w:rPr>
          <w:b/>
          <w:i/>
          <w:szCs w:val="28"/>
        </w:rPr>
      </w:pPr>
      <w:r w:rsidRPr="006A2C97">
        <w:rPr>
          <w:b/>
          <w:i/>
          <w:szCs w:val="28"/>
        </w:rPr>
        <w:t>Department of Justice</w:t>
      </w:r>
    </w:p>
    <w:p w:rsidR="00BB4706" w:rsidRDefault="00495D88" w:rsidP="00673DEE">
      <w:pPr>
        <w:autoSpaceDE w:val="0"/>
        <w:autoSpaceDN w:val="0"/>
        <w:adjustRightInd w:val="0"/>
        <w:ind w:left="720" w:hanging="720"/>
        <w:jc w:val="both"/>
        <w:rPr>
          <w:szCs w:val="28"/>
        </w:rPr>
      </w:pPr>
      <w:proofErr w:type="spellStart"/>
      <w:r>
        <w:rPr>
          <w:szCs w:val="28"/>
        </w:rPr>
        <w:t>Mr</w:t>
      </w:r>
      <w:proofErr w:type="spellEnd"/>
      <w:r>
        <w:rPr>
          <w:szCs w:val="28"/>
        </w:rPr>
        <w:t xml:space="preserve"> Jonathan Man DDPP, </w:t>
      </w:r>
      <w:proofErr w:type="spellStart"/>
      <w:r>
        <w:rPr>
          <w:szCs w:val="28"/>
        </w:rPr>
        <w:t>Mr</w:t>
      </w:r>
      <w:proofErr w:type="spellEnd"/>
      <w:r>
        <w:rPr>
          <w:szCs w:val="28"/>
        </w:rPr>
        <w:t xml:space="preserve"> Ivan Cheung ADPP and </w:t>
      </w:r>
      <w:proofErr w:type="spellStart"/>
      <w:r>
        <w:rPr>
          <w:szCs w:val="28"/>
        </w:rPr>
        <w:t>Ms</w:t>
      </w:r>
      <w:proofErr w:type="spellEnd"/>
      <w:r>
        <w:rPr>
          <w:szCs w:val="28"/>
        </w:rPr>
        <w:t xml:space="preserve"> Karen Ng SPP</w:t>
      </w:r>
      <w:r w:rsidR="00BB4706" w:rsidRPr="006A2CDD">
        <w:rPr>
          <w:szCs w:val="28"/>
          <w:lang w:eastAsia="zh-CN"/>
        </w:rPr>
        <w:t xml:space="preserve">, </w:t>
      </w:r>
      <w:r w:rsidR="00BB4706" w:rsidRPr="006A2CDD">
        <w:rPr>
          <w:szCs w:val="28"/>
        </w:rPr>
        <w:t>of the Department of Justice</w:t>
      </w:r>
      <w:r w:rsidR="00BB4706" w:rsidRPr="006A2CDD">
        <w:rPr>
          <w:szCs w:val="28"/>
          <w:lang w:eastAsia="zh-CN"/>
        </w:rPr>
        <w:t xml:space="preserve">, </w:t>
      </w:r>
      <w:r w:rsidR="00BB4706" w:rsidRPr="006A2CDD">
        <w:rPr>
          <w:szCs w:val="28"/>
        </w:rPr>
        <w:t>for the</w:t>
      </w:r>
      <w:r w:rsidR="00BB4706" w:rsidRPr="006A2CDD">
        <w:rPr>
          <w:szCs w:val="28"/>
          <w:lang w:eastAsia="zh-CN"/>
        </w:rPr>
        <w:t xml:space="preserve"> </w:t>
      </w:r>
      <w:r w:rsidR="003E721D">
        <w:rPr>
          <w:szCs w:val="28"/>
        </w:rPr>
        <w:t>Respondent</w:t>
      </w:r>
    </w:p>
    <w:p w:rsidR="00BB4706" w:rsidRDefault="00BB4706" w:rsidP="00673DEE">
      <w:pPr>
        <w:autoSpaceDE w:val="0"/>
        <w:autoSpaceDN w:val="0"/>
        <w:adjustRightInd w:val="0"/>
        <w:ind w:left="720" w:hanging="720"/>
        <w:jc w:val="both"/>
        <w:rPr>
          <w:szCs w:val="28"/>
        </w:rPr>
      </w:pPr>
    </w:p>
    <w:p w:rsidR="00361405" w:rsidRPr="004F5606" w:rsidRDefault="00361405" w:rsidP="00673DEE">
      <w:pPr>
        <w:autoSpaceDE w:val="0"/>
        <w:autoSpaceDN w:val="0"/>
        <w:adjustRightInd w:val="0"/>
        <w:ind w:left="720" w:hanging="720"/>
        <w:jc w:val="both"/>
        <w:rPr>
          <w:szCs w:val="28"/>
          <w:lang w:eastAsia="zh-CN"/>
        </w:rPr>
      </w:pPr>
    </w:p>
    <w:p w:rsidR="00C87B9F" w:rsidRPr="004F5606" w:rsidRDefault="00C87B9F" w:rsidP="00673DEE">
      <w:pPr>
        <w:autoSpaceDE w:val="0"/>
        <w:autoSpaceDN w:val="0"/>
        <w:adjustRightInd w:val="0"/>
        <w:ind w:left="720" w:hanging="720"/>
        <w:jc w:val="both"/>
        <w:rPr>
          <w:szCs w:val="28"/>
          <w:lang w:eastAsia="zh-CN"/>
        </w:rPr>
      </w:pPr>
    </w:p>
    <w:p w:rsidR="00C87B9F" w:rsidRPr="006A2CDD" w:rsidRDefault="00C87B9F" w:rsidP="00673DEE">
      <w:pPr>
        <w:autoSpaceDE w:val="0"/>
        <w:autoSpaceDN w:val="0"/>
        <w:adjustRightInd w:val="0"/>
        <w:ind w:left="720" w:hanging="720"/>
        <w:jc w:val="both"/>
        <w:rPr>
          <w:szCs w:val="28"/>
          <w:lang w:eastAsia="zh-CN"/>
        </w:rPr>
      </w:pPr>
    </w:p>
    <w:p w:rsidR="003A690B" w:rsidRDefault="003A690B">
      <w:pPr>
        <w:rPr>
          <w:szCs w:val="28"/>
          <w:lang w:eastAsia="zh-CN"/>
        </w:rPr>
      </w:pPr>
      <w:r>
        <w:rPr>
          <w:szCs w:val="28"/>
          <w:lang w:eastAsia="zh-CN"/>
        </w:rPr>
        <w:br w:type="page"/>
      </w:r>
    </w:p>
    <w:p w:rsidR="003A690B" w:rsidRDefault="003A690B" w:rsidP="003A690B">
      <w:pPr>
        <w:keepNext/>
        <w:spacing w:before="120" w:after="360" w:line="276" w:lineRule="auto"/>
        <w:jc w:val="center"/>
        <w:outlineLvl w:val="1"/>
      </w:pPr>
      <w:r w:rsidRPr="000A0400">
        <w:lastRenderedPageBreak/>
        <w:t>APPENDIX</w:t>
      </w:r>
    </w:p>
    <w:p w:rsidR="003A690B" w:rsidRPr="006F46E8" w:rsidRDefault="003A690B" w:rsidP="003A690B">
      <w:pPr>
        <w:pStyle w:val="docmapheading"/>
        <w:spacing w:line="240" w:lineRule="auto"/>
        <w:rPr>
          <w:sz w:val="24"/>
        </w:rPr>
      </w:pPr>
      <w:r w:rsidRPr="006F46E8">
        <w:rPr>
          <w:sz w:val="24"/>
        </w:rPr>
        <w:t>A1 &amp; A2 (Tang Ngok Kwan &amp; Tsui Hon Kwong, FAMC 13/2024)</w:t>
      </w:r>
    </w:p>
    <w:p w:rsidR="003A690B" w:rsidRPr="006F46E8" w:rsidRDefault="003A690B" w:rsidP="003A690B">
      <w:pPr>
        <w:pStyle w:val="docmapheading"/>
        <w:spacing w:line="240" w:lineRule="auto"/>
        <w:rPr>
          <w:sz w:val="24"/>
        </w:rPr>
      </w:pPr>
      <w:r w:rsidRPr="006F46E8">
        <w:rPr>
          <w:sz w:val="24"/>
        </w:rPr>
        <w:t>Points of law</w:t>
      </w:r>
    </w:p>
    <w:p w:rsidR="003A690B" w:rsidRPr="006F46E8" w:rsidRDefault="003A690B" w:rsidP="003A690B">
      <w:pPr>
        <w:pStyle w:val="Bob1"/>
        <w:numPr>
          <w:ilvl w:val="0"/>
          <w:numId w:val="0"/>
        </w:numPr>
        <w:spacing w:line="240" w:lineRule="auto"/>
        <w:jc w:val="both"/>
        <w:rPr>
          <w:sz w:val="24"/>
        </w:rPr>
      </w:pPr>
      <w:r w:rsidRPr="006F46E8">
        <w:rPr>
          <w:sz w:val="24"/>
        </w:rPr>
        <w:t xml:space="preserve">(1) </w:t>
      </w:r>
      <w:r w:rsidRPr="006F46E8">
        <w:rPr>
          <w:sz w:val="24"/>
        </w:rPr>
        <w:tab/>
      </w:r>
      <w:r w:rsidR="004D21B4">
        <w:rPr>
          <w:sz w:val="24"/>
        </w:rPr>
        <w:t>“</w:t>
      </w:r>
      <w:r w:rsidRPr="006F46E8">
        <w:rPr>
          <w:sz w:val="24"/>
        </w:rPr>
        <w:t xml:space="preserve">When prosecuting the offence of a failure on the part of a foreign or Taiwan agent to comply with a </w:t>
      </w:r>
      <w:r w:rsidR="004D21B4">
        <w:rPr>
          <w:sz w:val="24"/>
        </w:rPr>
        <w:t>notice served under section 3(1</w:t>
      </w:r>
      <w:r w:rsidRPr="006F46E8">
        <w:rPr>
          <w:sz w:val="24"/>
        </w:rPr>
        <w:t>)(b) of Schedule 5 of the Implementation Rules (‘Notice’ and ‘IR’ respectively) made under Article 43 of the Law of the People's Republic of China on Safeguarding National Security in the Hong Kong Special Administrative Reg</w:t>
      </w:r>
      <w:r w:rsidR="004D21B4">
        <w:rPr>
          <w:sz w:val="24"/>
        </w:rPr>
        <w:t>ion (‘Schedule 5</w:t>
      </w:r>
      <w:r w:rsidRPr="006F46E8">
        <w:rPr>
          <w:sz w:val="24"/>
        </w:rPr>
        <w:t xml:space="preserve">’ and ‘NSL’ respectively), contrary to sections 3(3)(a) and 3(3)(b) of Schedule 5 respectively, is the prosecution required to prove that the Notice was, as a matter of fact, served on a foreign or Taiwan agent as defined in section 1 of Schedule 5?” </w:t>
      </w:r>
    </w:p>
    <w:p w:rsidR="003A690B" w:rsidRPr="006F46E8" w:rsidRDefault="003A690B" w:rsidP="003A690B">
      <w:pPr>
        <w:pStyle w:val="Bob1"/>
        <w:numPr>
          <w:ilvl w:val="0"/>
          <w:numId w:val="0"/>
        </w:numPr>
        <w:spacing w:line="240" w:lineRule="auto"/>
        <w:jc w:val="both"/>
        <w:rPr>
          <w:sz w:val="24"/>
        </w:rPr>
      </w:pPr>
      <w:r w:rsidRPr="006F46E8">
        <w:rPr>
          <w:sz w:val="24"/>
        </w:rPr>
        <w:t xml:space="preserve">(2) </w:t>
      </w:r>
      <w:r w:rsidRPr="006F46E8">
        <w:rPr>
          <w:sz w:val="24"/>
        </w:rPr>
        <w:tab/>
        <w:t xml:space="preserve">“In determining if a defendant can raise a collateral challenge in non-constitutional challenges in a criminal prosecution, whether the ‘same person’ test stated in </w:t>
      </w:r>
      <w:r w:rsidRPr="006F46E8">
        <w:rPr>
          <w:i/>
          <w:iCs/>
          <w:sz w:val="24"/>
        </w:rPr>
        <w:t>HKSAR v Chow Hang Tung</w:t>
      </w:r>
      <w:r w:rsidR="004D21B4">
        <w:rPr>
          <w:sz w:val="24"/>
        </w:rPr>
        <w:t xml:space="preserve"> [2024] HKCFA 2 (‘</w:t>
      </w:r>
      <w:r w:rsidRPr="006F46E8">
        <w:rPr>
          <w:sz w:val="24"/>
          <w:u w:val="single"/>
        </w:rPr>
        <w:t>CHT</w:t>
      </w:r>
      <w:r w:rsidR="004D21B4">
        <w:rPr>
          <w:sz w:val="24"/>
        </w:rPr>
        <w:t>’</w:t>
      </w:r>
      <w:r w:rsidRPr="006F46E8">
        <w:rPr>
          <w:sz w:val="24"/>
        </w:rPr>
        <w:t xml:space="preserve">) applies in all such cases or it depends on the construction of all the relevant offence-creating statutory provisions?” </w:t>
      </w:r>
    </w:p>
    <w:p w:rsidR="003A690B" w:rsidRPr="006F46E8" w:rsidRDefault="003A690B" w:rsidP="003A690B">
      <w:pPr>
        <w:pStyle w:val="Bob1"/>
        <w:numPr>
          <w:ilvl w:val="0"/>
          <w:numId w:val="0"/>
        </w:numPr>
        <w:spacing w:line="240" w:lineRule="auto"/>
        <w:jc w:val="both"/>
        <w:rPr>
          <w:sz w:val="24"/>
        </w:rPr>
      </w:pPr>
      <w:r w:rsidRPr="006F46E8">
        <w:rPr>
          <w:sz w:val="24"/>
        </w:rPr>
        <w:t xml:space="preserve">(3) </w:t>
      </w:r>
      <w:r w:rsidRPr="006F46E8">
        <w:rPr>
          <w:sz w:val="24"/>
        </w:rPr>
        <w:tab/>
        <w:t xml:space="preserve">“If the answer to question (2) is that the ‘same person’ test is not conclusive, can a defendant challenge a Notice's legality by way of defence to an information alleging an offence of non-compliance under sections 3(3)(a) and 3(3)(b) of Schedule 5 (the ‘Offence’)?” </w:t>
      </w:r>
    </w:p>
    <w:p w:rsidR="003A690B" w:rsidRPr="006F46E8" w:rsidRDefault="003A690B" w:rsidP="003A690B">
      <w:pPr>
        <w:pStyle w:val="Bob1"/>
        <w:numPr>
          <w:ilvl w:val="0"/>
          <w:numId w:val="0"/>
        </w:numPr>
        <w:spacing w:line="240" w:lineRule="auto"/>
        <w:jc w:val="both"/>
        <w:rPr>
          <w:sz w:val="24"/>
        </w:rPr>
      </w:pPr>
      <w:r w:rsidRPr="006F46E8">
        <w:rPr>
          <w:sz w:val="24"/>
        </w:rPr>
        <w:t xml:space="preserve">(4) </w:t>
      </w:r>
      <w:r w:rsidRPr="006F46E8">
        <w:rPr>
          <w:sz w:val="24"/>
        </w:rPr>
        <w:tab/>
        <w:t>“Did the Notice go beyond requiring ‘information’ by requiring the production of ‘documents’?”</w:t>
      </w:r>
    </w:p>
    <w:p w:rsidR="003A690B" w:rsidRPr="006F46E8" w:rsidRDefault="003A690B" w:rsidP="003A690B">
      <w:pPr>
        <w:pStyle w:val="Bob1"/>
        <w:numPr>
          <w:ilvl w:val="0"/>
          <w:numId w:val="0"/>
        </w:numPr>
        <w:spacing w:line="240" w:lineRule="auto"/>
        <w:jc w:val="both"/>
        <w:rPr>
          <w:sz w:val="24"/>
        </w:rPr>
      </w:pPr>
      <w:r w:rsidRPr="006F46E8">
        <w:rPr>
          <w:sz w:val="24"/>
        </w:rPr>
        <w:t xml:space="preserve">(5) </w:t>
      </w:r>
      <w:r w:rsidRPr="006F46E8">
        <w:rPr>
          <w:sz w:val="24"/>
        </w:rPr>
        <w:tab/>
        <w:t>“Whether Schedule 5 is exempt from data protection principle 3 under Schedule 1 of the Personal Data (Privacy) Ordinance, Cap. 486 regarding the use of personal data held by a foreign or Taiwan agent?”</w:t>
      </w:r>
    </w:p>
    <w:p w:rsidR="003A690B" w:rsidRPr="006F46E8" w:rsidRDefault="003A690B" w:rsidP="003A690B">
      <w:pPr>
        <w:pStyle w:val="Bob1"/>
        <w:numPr>
          <w:ilvl w:val="0"/>
          <w:numId w:val="0"/>
        </w:numPr>
        <w:spacing w:line="240" w:lineRule="auto"/>
        <w:jc w:val="both"/>
        <w:rPr>
          <w:sz w:val="24"/>
        </w:rPr>
      </w:pPr>
      <w:r w:rsidRPr="006F46E8">
        <w:rPr>
          <w:sz w:val="24"/>
        </w:rPr>
        <w:t xml:space="preserve">(6) </w:t>
      </w:r>
      <w:r w:rsidRPr="006F46E8">
        <w:rPr>
          <w:sz w:val="24"/>
        </w:rPr>
        <w:tab/>
        <w:t>“Could the Notice require the production of information which existed before the promulgation of the NSL or the making of Schedule 5?”</w:t>
      </w:r>
    </w:p>
    <w:p w:rsidR="003A690B" w:rsidRPr="006F46E8" w:rsidRDefault="003A690B" w:rsidP="003A690B">
      <w:pPr>
        <w:pStyle w:val="Bob1"/>
        <w:numPr>
          <w:ilvl w:val="0"/>
          <w:numId w:val="0"/>
        </w:numPr>
        <w:spacing w:line="240" w:lineRule="auto"/>
        <w:jc w:val="both"/>
        <w:rPr>
          <w:sz w:val="24"/>
        </w:rPr>
      </w:pPr>
      <w:r w:rsidRPr="006F46E8">
        <w:rPr>
          <w:sz w:val="24"/>
        </w:rPr>
        <w:t>(7)</w:t>
      </w:r>
      <w:r w:rsidRPr="006F46E8">
        <w:rPr>
          <w:sz w:val="24"/>
        </w:rPr>
        <w:tab/>
        <w:t xml:space="preserve">“Whether the judge or magistrate considering Public Interest Immunity Claims in criminal proceedings according to the procedure set out in </w:t>
      </w:r>
      <w:r w:rsidRPr="006F46E8">
        <w:rPr>
          <w:i/>
          <w:iCs/>
          <w:sz w:val="24"/>
        </w:rPr>
        <w:t>R v Davis</w:t>
      </w:r>
      <w:r w:rsidRPr="006F46E8">
        <w:rPr>
          <w:sz w:val="24"/>
        </w:rPr>
        <w:t xml:space="preserve"> [1993] 1 WLR 613, </w:t>
      </w:r>
      <w:r w:rsidRPr="006F46E8">
        <w:rPr>
          <w:i/>
          <w:iCs/>
          <w:sz w:val="24"/>
        </w:rPr>
        <w:t xml:space="preserve">R v Turner </w:t>
      </w:r>
      <w:r w:rsidRPr="006F46E8">
        <w:rPr>
          <w:sz w:val="24"/>
        </w:rPr>
        <w:t xml:space="preserve">[1995] 1 WLR 264 and </w:t>
      </w:r>
      <w:r w:rsidRPr="006F46E8">
        <w:rPr>
          <w:i/>
          <w:iCs/>
          <w:sz w:val="24"/>
        </w:rPr>
        <w:t xml:space="preserve">HKSAR v </w:t>
      </w:r>
      <w:proofErr w:type="spellStart"/>
      <w:r w:rsidRPr="006F46E8">
        <w:rPr>
          <w:i/>
          <w:iCs/>
          <w:sz w:val="24"/>
        </w:rPr>
        <w:t>Agara</w:t>
      </w:r>
      <w:proofErr w:type="spellEnd"/>
      <w:r w:rsidRPr="006F46E8">
        <w:rPr>
          <w:i/>
          <w:iCs/>
          <w:sz w:val="24"/>
        </w:rPr>
        <w:t xml:space="preserve"> </w:t>
      </w:r>
      <w:r w:rsidRPr="006F46E8">
        <w:rPr>
          <w:sz w:val="24"/>
        </w:rPr>
        <w:t xml:space="preserve">[2014] 2 HKLRD 648, can also act as the tribunal of fact in the trial having considered </w:t>
      </w:r>
      <w:proofErr w:type="spellStart"/>
      <w:r w:rsidRPr="006F46E8">
        <w:rPr>
          <w:sz w:val="24"/>
        </w:rPr>
        <w:t>unredacted</w:t>
      </w:r>
      <w:proofErr w:type="spellEnd"/>
      <w:r w:rsidRPr="006F46E8">
        <w:rPr>
          <w:sz w:val="24"/>
        </w:rPr>
        <w:t xml:space="preserve"> material unavailable to the defence?”</w:t>
      </w:r>
    </w:p>
    <w:p w:rsidR="003A690B" w:rsidRPr="006F46E8" w:rsidRDefault="003A690B" w:rsidP="003A690B">
      <w:pPr>
        <w:pStyle w:val="docmapheading"/>
        <w:keepNext/>
        <w:spacing w:line="240" w:lineRule="auto"/>
        <w:jc w:val="both"/>
        <w:rPr>
          <w:sz w:val="24"/>
        </w:rPr>
      </w:pPr>
      <w:r w:rsidRPr="006F46E8">
        <w:rPr>
          <w:sz w:val="24"/>
        </w:rPr>
        <w:t xml:space="preserve">Substantial and grave injustice </w:t>
      </w:r>
    </w:p>
    <w:p w:rsidR="003A690B" w:rsidRDefault="003A690B" w:rsidP="003A690B">
      <w:pPr>
        <w:pStyle w:val="Bob1"/>
        <w:numPr>
          <w:ilvl w:val="0"/>
          <w:numId w:val="0"/>
        </w:numPr>
        <w:spacing w:line="240" w:lineRule="auto"/>
        <w:jc w:val="both"/>
        <w:rPr>
          <w:sz w:val="24"/>
        </w:rPr>
      </w:pPr>
      <w:r w:rsidRPr="006F46E8">
        <w:rPr>
          <w:sz w:val="24"/>
        </w:rPr>
        <w:t xml:space="preserve">A2 and A3 allege that they have “suffered a substantial and grave injustice as the </w:t>
      </w:r>
      <w:r w:rsidRPr="006F46E8">
        <w:rPr>
          <w:color w:val="414141"/>
          <w:sz w:val="24"/>
        </w:rPr>
        <w:t>J</w:t>
      </w:r>
      <w:r w:rsidRPr="006F46E8">
        <w:rPr>
          <w:sz w:val="24"/>
        </w:rPr>
        <w:t>udge departed from accepted norms in conducting the rehearing of the case, which led to the Judge</w:t>
      </w:r>
      <w:r w:rsidRPr="006F46E8">
        <w:rPr>
          <w:color w:val="414141"/>
          <w:sz w:val="24"/>
        </w:rPr>
        <w:t>'</w:t>
      </w:r>
      <w:r w:rsidRPr="006F46E8">
        <w:rPr>
          <w:sz w:val="24"/>
        </w:rPr>
        <w:t>s decision to dismiss the appeal against the conviction.”</w:t>
      </w:r>
    </w:p>
    <w:p w:rsidR="003A690B" w:rsidRDefault="003A690B">
      <w:pPr>
        <w:rPr>
          <w:rFonts w:eastAsia="PMingLiU"/>
          <w:i/>
          <w:noProof/>
          <w:spacing w:val="15"/>
          <w:kern w:val="2"/>
          <w:sz w:val="24"/>
          <w:szCs w:val="28"/>
          <w:lang w:val="en-GB" w:eastAsia="ja-JP"/>
          <w14:ligatures w14:val="standardContextual"/>
        </w:rPr>
      </w:pPr>
      <w:r>
        <w:rPr>
          <w:sz w:val="24"/>
        </w:rPr>
        <w:br w:type="page"/>
      </w:r>
    </w:p>
    <w:p w:rsidR="003A690B" w:rsidRPr="006F46E8" w:rsidRDefault="003A690B" w:rsidP="003A690B">
      <w:pPr>
        <w:pStyle w:val="docmapheading"/>
        <w:spacing w:line="240" w:lineRule="auto"/>
        <w:rPr>
          <w:sz w:val="24"/>
        </w:rPr>
      </w:pPr>
      <w:r w:rsidRPr="006F46E8">
        <w:rPr>
          <w:sz w:val="24"/>
        </w:rPr>
        <w:lastRenderedPageBreak/>
        <w:t>A3 (Chow Hang Tung, FAMC 14/2024)</w:t>
      </w:r>
    </w:p>
    <w:p w:rsidR="003A690B" w:rsidRPr="006F46E8" w:rsidRDefault="003A690B" w:rsidP="003A690B">
      <w:pPr>
        <w:pStyle w:val="docmapheading"/>
        <w:spacing w:line="240" w:lineRule="auto"/>
        <w:rPr>
          <w:sz w:val="24"/>
        </w:rPr>
      </w:pPr>
      <w:r w:rsidRPr="006F46E8">
        <w:rPr>
          <w:sz w:val="24"/>
        </w:rPr>
        <w:t>Points of law</w:t>
      </w:r>
    </w:p>
    <w:p w:rsidR="003A690B" w:rsidRPr="006F46E8" w:rsidRDefault="003A690B" w:rsidP="003A690B">
      <w:pPr>
        <w:pStyle w:val="Bob1"/>
        <w:numPr>
          <w:ilvl w:val="0"/>
          <w:numId w:val="0"/>
        </w:numPr>
        <w:spacing w:line="240" w:lineRule="auto"/>
        <w:jc w:val="both"/>
        <w:rPr>
          <w:sz w:val="24"/>
          <w:lang w:eastAsia="zh-TW"/>
        </w:rPr>
      </w:pPr>
      <w:r w:rsidRPr="006F46E8">
        <w:rPr>
          <w:sz w:val="24"/>
          <w:lang w:eastAsia="zh-TW"/>
        </w:rPr>
        <w:t xml:space="preserve">“For the offence of failing to comply with a notice served on a foreign </w:t>
      </w:r>
      <w:r w:rsidRPr="006F46E8">
        <w:rPr>
          <w:sz w:val="24"/>
          <w:lang w:eastAsia="zh-HK"/>
        </w:rPr>
        <w:t>agent or Taiwan agent to provide information contrary to section 3(3</w:t>
      </w:r>
      <w:proofErr w:type="gramStart"/>
      <w:r w:rsidRPr="006F46E8">
        <w:rPr>
          <w:sz w:val="24"/>
          <w:lang w:eastAsia="zh-HK"/>
        </w:rPr>
        <w:t>)(</w:t>
      </w:r>
      <w:proofErr w:type="gramEnd"/>
      <w:r w:rsidRPr="006F46E8">
        <w:rPr>
          <w:sz w:val="24"/>
          <w:lang w:eastAsia="zh-HK"/>
        </w:rPr>
        <w:t>b) of Schedule 5 to the Implementation Rules for Article 43 of the Law of the People’s Republic of China on Safeguarding National Security in the Hong Kong Special Administrative Region (Instrument A406A) (the “Offence”) what are the elements of the offence?</w:t>
      </w:r>
    </w:p>
    <w:p w:rsidR="003A690B" w:rsidRPr="006F46E8" w:rsidRDefault="003A690B" w:rsidP="003A690B">
      <w:pPr>
        <w:jc w:val="both"/>
        <w:rPr>
          <w:rFonts w:eastAsia="PMingLiU"/>
          <w:sz w:val="24"/>
          <w:lang w:eastAsia="zh-TW"/>
        </w:rPr>
      </w:pPr>
      <w:r w:rsidRPr="006F46E8">
        <w:rPr>
          <w:rFonts w:eastAsia="PMingLiU"/>
          <w:sz w:val="24"/>
          <w:lang w:eastAsia="zh-TW"/>
        </w:rPr>
        <w:t>In particular,</w:t>
      </w:r>
    </w:p>
    <w:p w:rsidR="003A690B" w:rsidRPr="006F46E8" w:rsidRDefault="003A690B" w:rsidP="004D21B4">
      <w:pPr>
        <w:pStyle w:val="Bob1"/>
        <w:numPr>
          <w:ilvl w:val="1"/>
          <w:numId w:val="9"/>
        </w:numPr>
        <w:tabs>
          <w:tab w:val="clear" w:pos="1440"/>
        </w:tabs>
        <w:spacing w:line="240" w:lineRule="auto"/>
        <w:ind w:left="720"/>
        <w:jc w:val="both"/>
        <w:rPr>
          <w:sz w:val="24"/>
        </w:rPr>
      </w:pPr>
      <w:r w:rsidRPr="006F46E8">
        <w:rPr>
          <w:sz w:val="24"/>
          <w:lang w:eastAsia="zh-TW"/>
        </w:rPr>
        <w:t>Is it an element of the offence that the subject organization involved was a foreign agent or Taiwan agent?</w:t>
      </w:r>
    </w:p>
    <w:p w:rsidR="003A690B" w:rsidRPr="006F46E8" w:rsidRDefault="003A690B" w:rsidP="003A690B">
      <w:pPr>
        <w:pStyle w:val="Bob1"/>
        <w:numPr>
          <w:ilvl w:val="1"/>
          <w:numId w:val="9"/>
        </w:numPr>
        <w:tabs>
          <w:tab w:val="clear" w:pos="1440"/>
          <w:tab w:val="num" w:pos="720"/>
        </w:tabs>
        <w:spacing w:line="240" w:lineRule="auto"/>
        <w:ind w:left="720"/>
        <w:jc w:val="both"/>
        <w:rPr>
          <w:sz w:val="24"/>
        </w:rPr>
      </w:pPr>
      <w:r w:rsidRPr="006F46E8">
        <w:rPr>
          <w:sz w:val="24"/>
          <w:lang w:eastAsia="zh-TW"/>
        </w:rPr>
        <w:t>Is the legality of the subject notice an element of the offence that is open to challenge by way of defence?”</w:t>
      </w:r>
    </w:p>
    <w:p w:rsidR="003A690B" w:rsidRPr="006F46E8" w:rsidRDefault="003A690B" w:rsidP="003A690B">
      <w:pPr>
        <w:pStyle w:val="docmapheading"/>
        <w:spacing w:line="240" w:lineRule="auto"/>
        <w:jc w:val="both"/>
        <w:rPr>
          <w:sz w:val="24"/>
        </w:rPr>
      </w:pPr>
      <w:r w:rsidRPr="006F46E8">
        <w:rPr>
          <w:sz w:val="24"/>
        </w:rPr>
        <w:t xml:space="preserve">Substantial and grave injustice </w:t>
      </w:r>
    </w:p>
    <w:p w:rsidR="003A690B" w:rsidRPr="006F46E8" w:rsidRDefault="003A690B" w:rsidP="003A690B">
      <w:pPr>
        <w:pStyle w:val="Bob1"/>
        <w:numPr>
          <w:ilvl w:val="0"/>
          <w:numId w:val="0"/>
        </w:numPr>
        <w:spacing w:line="240" w:lineRule="auto"/>
        <w:jc w:val="both"/>
        <w:rPr>
          <w:sz w:val="24"/>
        </w:rPr>
      </w:pPr>
      <w:r w:rsidRPr="006F46E8">
        <w:rPr>
          <w:sz w:val="24"/>
          <w:lang w:eastAsia="zh-TW"/>
        </w:rPr>
        <w:t>And further or in the alternative that a substantial and grave injustice has been done to the Applicant as:</w:t>
      </w:r>
    </w:p>
    <w:p w:rsidR="003A690B" w:rsidRDefault="003A690B" w:rsidP="004D21B4">
      <w:pPr>
        <w:pStyle w:val="Bob1"/>
        <w:numPr>
          <w:ilvl w:val="0"/>
          <w:numId w:val="11"/>
        </w:numPr>
        <w:spacing w:line="240" w:lineRule="auto"/>
        <w:ind w:hanging="720"/>
        <w:jc w:val="both"/>
        <w:rPr>
          <w:sz w:val="24"/>
        </w:rPr>
      </w:pPr>
      <w:r w:rsidRPr="006F46E8">
        <w:rPr>
          <w:sz w:val="24"/>
          <w:lang w:eastAsia="zh-TW"/>
        </w:rPr>
        <w:t>She was convicted and sentence under a law regulating foreign agent when the subject organization was not a foreign agent;</w:t>
      </w:r>
    </w:p>
    <w:p w:rsidR="003A690B" w:rsidRDefault="003A690B" w:rsidP="004D21B4">
      <w:pPr>
        <w:pStyle w:val="Bob1"/>
        <w:numPr>
          <w:ilvl w:val="0"/>
          <w:numId w:val="11"/>
        </w:numPr>
        <w:spacing w:line="240" w:lineRule="auto"/>
        <w:ind w:hanging="720"/>
        <w:jc w:val="both"/>
        <w:rPr>
          <w:sz w:val="24"/>
        </w:rPr>
      </w:pPr>
      <w:r w:rsidRPr="004D21B4">
        <w:rPr>
          <w:sz w:val="24"/>
        </w:rPr>
        <w:t>She was sentenced to near the maximum sentence allowed in the first ever prosecution under the offence when she was merely conducting herself in accordance with a plain and honest rending of the law and could not have predicted the Courts’ creative interpretation of the relevant provisions.</w:t>
      </w:r>
    </w:p>
    <w:p w:rsidR="003A690B" w:rsidRPr="004D21B4" w:rsidRDefault="003A690B" w:rsidP="004D21B4">
      <w:pPr>
        <w:pStyle w:val="Bob1"/>
        <w:numPr>
          <w:ilvl w:val="0"/>
          <w:numId w:val="11"/>
        </w:numPr>
        <w:spacing w:line="240" w:lineRule="auto"/>
        <w:ind w:hanging="720"/>
        <w:jc w:val="both"/>
        <w:rPr>
          <w:sz w:val="24"/>
        </w:rPr>
      </w:pPr>
      <w:r w:rsidRPr="004D21B4">
        <w:rPr>
          <w:sz w:val="24"/>
        </w:rPr>
        <w:t>The Judge’s dismissal of the appeal against sentence was made on the mistaken premise that the maximum sentence for the offence is 2 years imprisonment instead of 6 months.</w:t>
      </w:r>
    </w:p>
    <w:p w:rsidR="00673DEE" w:rsidRPr="003A690B" w:rsidRDefault="00673DEE" w:rsidP="003A690B">
      <w:pPr>
        <w:autoSpaceDE w:val="0"/>
        <w:autoSpaceDN w:val="0"/>
        <w:adjustRightInd w:val="0"/>
        <w:ind w:left="720" w:hanging="720"/>
        <w:jc w:val="both"/>
        <w:rPr>
          <w:szCs w:val="28"/>
          <w:lang w:val="en-GB" w:eastAsia="zh-CN"/>
        </w:rPr>
      </w:pPr>
    </w:p>
    <w:sectPr w:rsidR="00673DEE" w:rsidRPr="003A690B" w:rsidSect="00793194">
      <w:headerReference w:type="default" r:id="rId7"/>
      <w:footerReference w:type="even" r:id="rId8"/>
      <w:footerReference w:type="default" r:id="rId9"/>
      <w:headerReference w:type="first" r:id="rId10"/>
      <w:pgSz w:w="11909" w:h="16834" w:code="9"/>
      <w:pgMar w:top="1440" w:right="1440" w:bottom="1440" w:left="1440"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70A" w:rsidRDefault="009E170A">
      <w:r>
        <w:separator/>
      </w:r>
    </w:p>
  </w:endnote>
  <w:endnote w:type="continuationSeparator" w:id="0">
    <w:p w:rsidR="009E170A" w:rsidRDefault="009E1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新宋体">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2C4" w:rsidRDefault="00DB52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52C4" w:rsidRDefault="00DB5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41E" w:rsidRDefault="006B141E">
    <w:pPr>
      <w:pStyle w:val="Footer"/>
      <w:jc w:val="right"/>
    </w:pPr>
  </w:p>
  <w:p w:rsidR="00DB52C4" w:rsidRDefault="00DB5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70A" w:rsidRDefault="009E170A">
      <w:r>
        <w:separator/>
      </w:r>
    </w:p>
  </w:footnote>
  <w:footnote w:type="continuationSeparator" w:id="0">
    <w:p w:rsidR="009E170A" w:rsidRDefault="009E170A">
      <w:r>
        <w:continuationSeparator/>
      </w:r>
    </w:p>
  </w:footnote>
  <w:footnote w:id="1">
    <w:p w:rsidR="003A690B" w:rsidRDefault="003A690B" w:rsidP="003A690B">
      <w:pPr>
        <w:pStyle w:val="footnotes"/>
        <w:tabs>
          <w:tab w:val="left" w:pos="360"/>
        </w:tabs>
      </w:pPr>
      <w:r>
        <w:rPr>
          <w:rStyle w:val="FootnoteReference"/>
        </w:rPr>
        <w:footnoteRef/>
      </w:r>
      <w:r>
        <w:t xml:space="preserve"> </w:t>
      </w:r>
      <w:r>
        <w:tab/>
        <w:t xml:space="preserve">Applicants in </w:t>
      </w:r>
      <w:r>
        <w:rPr>
          <w:szCs w:val="24"/>
        </w:rPr>
        <w:t>FAMC 13/2024.</w:t>
      </w:r>
    </w:p>
  </w:footnote>
  <w:footnote w:id="2">
    <w:p w:rsidR="003A690B" w:rsidRDefault="003A690B" w:rsidP="003A690B">
      <w:pPr>
        <w:pStyle w:val="footnotes"/>
        <w:tabs>
          <w:tab w:val="left" w:pos="360"/>
        </w:tabs>
      </w:pPr>
      <w:r>
        <w:rPr>
          <w:rStyle w:val="FootnoteReference"/>
        </w:rPr>
        <w:footnoteRef/>
      </w:r>
      <w:r>
        <w:t xml:space="preserve"> </w:t>
      </w:r>
      <w:r>
        <w:tab/>
      </w:r>
      <w:r>
        <w:rPr>
          <w:szCs w:val="24"/>
        </w:rPr>
        <w:t xml:space="preserve">Applicant in FAMC 14/2024. </w:t>
      </w:r>
    </w:p>
  </w:footnote>
  <w:footnote w:id="3">
    <w:p w:rsidR="003A690B" w:rsidRDefault="003A690B" w:rsidP="003A690B">
      <w:pPr>
        <w:pStyle w:val="FootnoteText"/>
        <w:tabs>
          <w:tab w:val="left" w:pos="360"/>
        </w:tabs>
        <w:ind w:left="360" w:hanging="360"/>
      </w:pPr>
      <w:r>
        <w:rPr>
          <w:rStyle w:val="FootnoteReference"/>
        </w:rPr>
        <w:footnoteRef/>
      </w:r>
      <w:r>
        <w:t xml:space="preserve"> </w:t>
      </w:r>
      <w:r>
        <w:tab/>
      </w:r>
      <w:r w:rsidRPr="000026F7">
        <w:rPr>
          <w:sz w:val="24"/>
          <w:szCs w:val="24"/>
          <w:lang w:val="en-GB"/>
        </w:rPr>
        <w:t>Before Mr Peter Law, Principal Magistrate</w:t>
      </w:r>
      <w:r>
        <w:rPr>
          <w:sz w:val="24"/>
          <w:szCs w:val="24"/>
          <w:lang w:val="en-GB"/>
        </w:rPr>
        <w:t>,</w:t>
      </w:r>
      <w:r w:rsidRPr="000026F7">
        <w:rPr>
          <w:sz w:val="24"/>
          <w:szCs w:val="24"/>
          <w:lang w:val="en-GB"/>
        </w:rPr>
        <w:t xml:space="preserve"> </w:t>
      </w:r>
      <w:r>
        <w:rPr>
          <w:sz w:val="24"/>
          <w:szCs w:val="24"/>
          <w:lang w:val="en-GB"/>
        </w:rPr>
        <w:t>[</w:t>
      </w:r>
      <w:r w:rsidRPr="00E30020">
        <w:rPr>
          <w:sz w:val="24"/>
          <w:szCs w:val="24"/>
          <w:lang w:val="en-GB"/>
        </w:rPr>
        <w:t xml:space="preserve">2023] </w:t>
      </w:r>
      <w:proofErr w:type="spellStart"/>
      <w:r w:rsidRPr="00E30020">
        <w:rPr>
          <w:sz w:val="24"/>
          <w:szCs w:val="24"/>
          <w:lang w:val="en-GB"/>
        </w:rPr>
        <w:t>HKMagC</w:t>
      </w:r>
      <w:proofErr w:type="spellEnd"/>
      <w:r w:rsidRPr="00E30020">
        <w:rPr>
          <w:sz w:val="24"/>
          <w:szCs w:val="24"/>
          <w:lang w:val="en-GB"/>
        </w:rPr>
        <w:t xml:space="preserve"> 2 (4 March 2023)</w:t>
      </w:r>
      <w:r>
        <w:rPr>
          <w:sz w:val="24"/>
          <w:szCs w:val="24"/>
          <w:lang w:val="en-GB"/>
        </w:rPr>
        <w:t xml:space="preserve">.  Their appeal before Anna Lai J was dismissed, </w:t>
      </w:r>
      <w:r w:rsidRPr="00E30020">
        <w:rPr>
          <w:sz w:val="24"/>
          <w:szCs w:val="24"/>
          <w:lang w:val="en-GB"/>
        </w:rPr>
        <w:t>[2024] HKCFI 553 (14 March 2024).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2C4" w:rsidRDefault="00DB52C4" w:rsidP="006F66A0">
    <w:pPr>
      <w:pStyle w:val="Header"/>
      <w:tabs>
        <w:tab w:val="clear" w:pos="4320"/>
        <w:tab w:val="clear" w:pos="8640"/>
        <w:tab w:val="center" w:pos="4536"/>
      </w:tabs>
      <w:ind w:right="-43"/>
      <w:jc w:val="center"/>
      <w:rPr>
        <w:sz w:val="24"/>
      </w:rPr>
    </w:pPr>
    <w:r>
      <w:rPr>
        <w:sz w:val="24"/>
      </w:rP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2D5092">
      <w:rPr>
        <w:rStyle w:val="PageNumber"/>
        <w:noProof/>
        <w:sz w:val="24"/>
      </w:rPr>
      <w:t>7</w:t>
    </w:r>
    <w:r>
      <w:rPr>
        <w:rStyle w:val="PageNumber"/>
        <w:sz w:val="24"/>
      </w:rPr>
      <w:fldChar w:fldCharType="end"/>
    </w:r>
    <w:r>
      <w:rPr>
        <w:rStyle w:val="PageNumbe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6A0" w:rsidRDefault="006F66A0" w:rsidP="00B91EC8">
    <w:pPr>
      <w:pStyle w:val="Header"/>
      <w:tabs>
        <w:tab w:val="clear" w:pos="4320"/>
        <w:tab w:val="clear" w:pos="8640"/>
        <w:tab w:val="center" w:pos="4536"/>
      </w:tabs>
      <w:ind w:right="9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1E00"/>
    <w:multiLevelType w:val="hybridMultilevel"/>
    <w:tmpl w:val="2FECEB46"/>
    <w:lvl w:ilvl="0" w:tplc="D96C9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31203"/>
    <w:multiLevelType w:val="hybridMultilevel"/>
    <w:tmpl w:val="80FA622C"/>
    <w:lvl w:ilvl="0" w:tplc="EC08A396">
      <w:start w:val="1"/>
      <w:numFmt w:val="decimal"/>
      <w:pStyle w:val="paranumber"/>
      <w:lvlText w:val="%1."/>
      <w:lvlJc w:val="left"/>
      <w:pPr>
        <w:tabs>
          <w:tab w:val="num" w:pos="1530"/>
        </w:tabs>
        <w:ind w:left="1170" w:firstLine="0"/>
      </w:pPr>
      <w:rPr>
        <w:rFonts w:ascii="Times New Roman" w:hAnsi="Times New Roman" w:hint="default"/>
        <w:b w:val="0"/>
        <w:i w:val="0"/>
        <w:sz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1E68B7"/>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24284230"/>
    <w:multiLevelType w:val="multilevel"/>
    <w:tmpl w:val="25BAD3D0"/>
    <w:lvl w:ilvl="0">
      <w:start w:val="1"/>
      <w:numFmt w:val="decimal"/>
      <w:pStyle w:val="Bob1"/>
      <w:lvlText w:val="%1."/>
      <w:lvlJc w:val="left"/>
      <w:pPr>
        <w:tabs>
          <w:tab w:val="num" w:pos="1620"/>
        </w:tabs>
        <w:ind w:left="1620" w:hanging="720"/>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lowerRoman"/>
      <w:lvlText w:val="(%2)"/>
      <w:lvlJc w:val="left"/>
      <w:pPr>
        <w:tabs>
          <w:tab w:val="num" w:pos="1440"/>
        </w:tabs>
        <w:ind w:left="1440" w:hanging="720"/>
      </w:pPr>
      <w:rPr>
        <w:rFonts w:ascii="Times New Roman" w:eastAsiaTheme="minorEastAsia" w:hAnsi="Times New Roman" w:cs="Times New Roman"/>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15:restartNumberingAfterBreak="0">
    <w:nsid w:val="329B345C"/>
    <w:multiLevelType w:val="hybridMultilevel"/>
    <w:tmpl w:val="85CEC700"/>
    <w:lvl w:ilvl="0" w:tplc="B59E0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392717"/>
    <w:multiLevelType w:val="hybridMultilevel"/>
    <w:tmpl w:val="78C0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0486A"/>
    <w:multiLevelType w:val="hybridMultilevel"/>
    <w:tmpl w:val="36B891AE"/>
    <w:lvl w:ilvl="0" w:tplc="494E8C28">
      <w:start w:val="1"/>
      <w:numFmt w:val="decimal"/>
      <w:lvlText w:val="(%1)"/>
      <w:lvlJc w:val="left"/>
      <w:pPr>
        <w:ind w:left="360" w:hanging="360"/>
      </w:pPr>
      <w:rPr>
        <w:rFonts w:ascii="Times New Roman" w:eastAsia="PMingLiU"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0163CF8"/>
    <w:multiLevelType w:val="hybridMultilevel"/>
    <w:tmpl w:val="B6A8DD32"/>
    <w:lvl w:ilvl="0" w:tplc="2C6EC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7650F"/>
    <w:multiLevelType w:val="hybridMultilevel"/>
    <w:tmpl w:val="97DC5288"/>
    <w:lvl w:ilvl="0" w:tplc="A83E00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5AF6A65"/>
    <w:multiLevelType w:val="hybridMultilevel"/>
    <w:tmpl w:val="1E1428F2"/>
    <w:lvl w:ilvl="0" w:tplc="6750D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6"/>
  </w:num>
  <w:num w:numId="4">
    <w:abstractNumId w:val="2"/>
  </w:num>
  <w:num w:numId="5">
    <w:abstractNumId w:val="9"/>
  </w:num>
  <w:num w:numId="6">
    <w:abstractNumId w:val="4"/>
  </w:num>
  <w:num w:numId="7">
    <w:abstractNumId w:val="0"/>
  </w:num>
  <w:num w:numId="8">
    <w:abstractNumId w:val="8"/>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B1"/>
    <w:rsid w:val="000052DD"/>
    <w:rsid w:val="000054FE"/>
    <w:rsid w:val="000078C3"/>
    <w:rsid w:val="000167EC"/>
    <w:rsid w:val="00027674"/>
    <w:rsid w:val="000332CD"/>
    <w:rsid w:val="00034D83"/>
    <w:rsid w:val="0005277A"/>
    <w:rsid w:val="000564CF"/>
    <w:rsid w:val="000636BD"/>
    <w:rsid w:val="00072B56"/>
    <w:rsid w:val="000739E8"/>
    <w:rsid w:val="000767CD"/>
    <w:rsid w:val="000848EF"/>
    <w:rsid w:val="000916FD"/>
    <w:rsid w:val="00093601"/>
    <w:rsid w:val="000A305F"/>
    <w:rsid w:val="000A37AE"/>
    <w:rsid w:val="000B039E"/>
    <w:rsid w:val="000B3D8C"/>
    <w:rsid w:val="000C1EC3"/>
    <w:rsid w:val="000C2FAC"/>
    <w:rsid w:val="000C76F7"/>
    <w:rsid w:val="000D0AC9"/>
    <w:rsid w:val="000E10BF"/>
    <w:rsid w:val="000E34D3"/>
    <w:rsid w:val="000E79D2"/>
    <w:rsid w:val="000F4487"/>
    <w:rsid w:val="00113BF2"/>
    <w:rsid w:val="00122C35"/>
    <w:rsid w:val="001323CF"/>
    <w:rsid w:val="00133B16"/>
    <w:rsid w:val="0013419D"/>
    <w:rsid w:val="0014206C"/>
    <w:rsid w:val="00146AD2"/>
    <w:rsid w:val="0015531B"/>
    <w:rsid w:val="00155ECE"/>
    <w:rsid w:val="00162083"/>
    <w:rsid w:val="0016718F"/>
    <w:rsid w:val="00174341"/>
    <w:rsid w:val="001765D8"/>
    <w:rsid w:val="001812AA"/>
    <w:rsid w:val="001870C3"/>
    <w:rsid w:val="001A46D5"/>
    <w:rsid w:val="001B01D6"/>
    <w:rsid w:val="001C41DA"/>
    <w:rsid w:val="001C51C9"/>
    <w:rsid w:val="001D4FA0"/>
    <w:rsid w:val="001D6793"/>
    <w:rsid w:val="00200582"/>
    <w:rsid w:val="002071F2"/>
    <w:rsid w:val="002143F0"/>
    <w:rsid w:val="00216DC2"/>
    <w:rsid w:val="00217CE3"/>
    <w:rsid w:val="00230F16"/>
    <w:rsid w:val="002338C4"/>
    <w:rsid w:val="002473FB"/>
    <w:rsid w:val="00251DCA"/>
    <w:rsid w:val="00260780"/>
    <w:rsid w:val="00272415"/>
    <w:rsid w:val="00273E44"/>
    <w:rsid w:val="00277345"/>
    <w:rsid w:val="00277C88"/>
    <w:rsid w:val="00277DB4"/>
    <w:rsid w:val="00280915"/>
    <w:rsid w:val="00285325"/>
    <w:rsid w:val="00286D60"/>
    <w:rsid w:val="002948AE"/>
    <w:rsid w:val="002963E8"/>
    <w:rsid w:val="00296DA1"/>
    <w:rsid w:val="002B09B1"/>
    <w:rsid w:val="002B7929"/>
    <w:rsid w:val="002C6682"/>
    <w:rsid w:val="002D23D9"/>
    <w:rsid w:val="002D5092"/>
    <w:rsid w:val="002E60FF"/>
    <w:rsid w:val="002F26D2"/>
    <w:rsid w:val="002F55DB"/>
    <w:rsid w:val="002F79EC"/>
    <w:rsid w:val="00310F71"/>
    <w:rsid w:val="00313A28"/>
    <w:rsid w:val="003146EB"/>
    <w:rsid w:val="0031607E"/>
    <w:rsid w:val="0032128F"/>
    <w:rsid w:val="00337F11"/>
    <w:rsid w:val="00343590"/>
    <w:rsid w:val="003569B2"/>
    <w:rsid w:val="003569DC"/>
    <w:rsid w:val="00357AAE"/>
    <w:rsid w:val="003602DA"/>
    <w:rsid w:val="00361405"/>
    <w:rsid w:val="00367C37"/>
    <w:rsid w:val="0037202F"/>
    <w:rsid w:val="003729D0"/>
    <w:rsid w:val="0038065A"/>
    <w:rsid w:val="00386051"/>
    <w:rsid w:val="003A6620"/>
    <w:rsid w:val="003A690B"/>
    <w:rsid w:val="003B0E47"/>
    <w:rsid w:val="003C0E91"/>
    <w:rsid w:val="003C77F1"/>
    <w:rsid w:val="003D2EB3"/>
    <w:rsid w:val="003E0B67"/>
    <w:rsid w:val="003E721D"/>
    <w:rsid w:val="00406929"/>
    <w:rsid w:val="00410659"/>
    <w:rsid w:val="00417642"/>
    <w:rsid w:val="004212F5"/>
    <w:rsid w:val="0042267A"/>
    <w:rsid w:val="004522D7"/>
    <w:rsid w:val="00454DC6"/>
    <w:rsid w:val="00457EE0"/>
    <w:rsid w:val="0047728C"/>
    <w:rsid w:val="00483A7A"/>
    <w:rsid w:val="00495D88"/>
    <w:rsid w:val="004A7204"/>
    <w:rsid w:val="004B45A2"/>
    <w:rsid w:val="004B4B04"/>
    <w:rsid w:val="004C0D09"/>
    <w:rsid w:val="004C3798"/>
    <w:rsid w:val="004D21B4"/>
    <w:rsid w:val="004E75EF"/>
    <w:rsid w:val="004F5606"/>
    <w:rsid w:val="004F6039"/>
    <w:rsid w:val="00500F9B"/>
    <w:rsid w:val="005301AB"/>
    <w:rsid w:val="00534FE3"/>
    <w:rsid w:val="00536715"/>
    <w:rsid w:val="005375FE"/>
    <w:rsid w:val="0054503B"/>
    <w:rsid w:val="005471D2"/>
    <w:rsid w:val="00550AC2"/>
    <w:rsid w:val="00560B1B"/>
    <w:rsid w:val="00561C1F"/>
    <w:rsid w:val="00563EF1"/>
    <w:rsid w:val="00571ABA"/>
    <w:rsid w:val="00587ED1"/>
    <w:rsid w:val="005A6D3D"/>
    <w:rsid w:val="005B31A7"/>
    <w:rsid w:val="005C4FDF"/>
    <w:rsid w:val="005E00E4"/>
    <w:rsid w:val="005E6182"/>
    <w:rsid w:val="00611BF7"/>
    <w:rsid w:val="0063621E"/>
    <w:rsid w:val="006368E8"/>
    <w:rsid w:val="00641EC1"/>
    <w:rsid w:val="006423F0"/>
    <w:rsid w:val="006424CB"/>
    <w:rsid w:val="00644F8D"/>
    <w:rsid w:val="006703A1"/>
    <w:rsid w:val="00673DEE"/>
    <w:rsid w:val="00674609"/>
    <w:rsid w:val="00682A2E"/>
    <w:rsid w:val="006835D6"/>
    <w:rsid w:val="006962CE"/>
    <w:rsid w:val="006A2C97"/>
    <w:rsid w:val="006A2CDD"/>
    <w:rsid w:val="006A647B"/>
    <w:rsid w:val="006B10B6"/>
    <w:rsid w:val="006B141E"/>
    <w:rsid w:val="006C0F53"/>
    <w:rsid w:val="006D0532"/>
    <w:rsid w:val="006D4F9B"/>
    <w:rsid w:val="006E09A9"/>
    <w:rsid w:val="006F1721"/>
    <w:rsid w:val="006F3482"/>
    <w:rsid w:val="006F521D"/>
    <w:rsid w:val="006F5644"/>
    <w:rsid w:val="006F66A0"/>
    <w:rsid w:val="006F7359"/>
    <w:rsid w:val="007269D3"/>
    <w:rsid w:val="00730041"/>
    <w:rsid w:val="00734355"/>
    <w:rsid w:val="00740943"/>
    <w:rsid w:val="00742B1D"/>
    <w:rsid w:val="007568C1"/>
    <w:rsid w:val="0076025A"/>
    <w:rsid w:val="00760E89"/>
    <w:rsid w:val="00761487"/>
    <w:rsid w:val="00764E11"/>
    <w:rsid w:val="00766763"/>
    <w:rsid w:val="00766A6B"/>
    <w:rsid w:val="00777674"/>
    <w:rsid w:val="007826B6"/>
    <w:rsid w:val="00793194"/>
    <w:rsid w:val="007A0B1D"/>
    <w:rsid w:val="007A46CC"/>
    <w:rsid w:val="007B3A0A"/>
    <w:rsid w:val="007B48C2"/>
    <w:rsid w:val="007B4B3D"/>
    <w:rsid w:val="007C55F8"/>
    <w:rsid w:val="007C5ED3"/>
    <w:rsid w:val="007D3E49"/>
    <w:rsid w:val="007E6C11"/>
    <w:rsid w:val="007F3076"/>
    <w:rsid w:val="007F59C7"/>
    <w:rsid w:val="008136D4"/>
    <w:rsid w:val="00816464"/>
    <w:rsid w:val="00822057"/>
    <w:rsid w:val="00841A94"/>
    <w:rsid w:val="0084398F"/>
    <w:rsid w:val="00854442"/>
    <w:rsid w:val="008571E0"/>
    <w:rsid w:val="00861559"/>
    <w:rsid w:val="00864059"/>
    <w:rsid w:val="008713D5"/>
    <w:rsid w:val="0087440D"/>
    <w:rsid w:val="00877281"/>
    <w:rsid w:val="008817EC"/>
    <w:rsid w:val="00884A51"/>
    <w:rsid w:val="00895786"/>
    <w:rsid w:val="008A18F9"/>
    <w:rsid w:val="008D3DD9"/>
    <w:rsid w:val="008E115F"/>
    <w:rsid w:val="008E2A0F"/>
    <w:rsid w:val="008E3E6E"/>
    <w:rsid w:val="008E6E05"/>
    <w:rsid w:val="008E75BF"/>
    <w:rsid w:val="008F1BAC"/>
    <w:rsid w:val="008F4E97"/>
    <w:rsid w:val="008F65AD"/>
    <w:rsid w:val="00926F49"/>
    <w:rsid w:val="00927366"/>
    <w:rsid w:val="00943B0B"/>
    <w:rsid w:val="00962D4F"/>
    <w:rsid w:val="00963235"/>
    <w:rsid w:val="0096541D"/>
    <w:rsid w:val="0096584E"/>
    <w:rsid w:val="009706A2"/>
    <w:rsid w:val="0097208C"/>
    <w:rsid w:val="009879F2"/>
    <w:rsid w:val="00992426"/>
    <w:rsid w:val="00994902"/>
    <w:rsid w:val="00994B1B"/>
    <w:rsid w:val="00995A6F"/>
    <w:rsid w:val="0099670C"/>
    <w:rsid w:val="009A04C0"/>
    <w:rsid w:val="009A0DA7"/>
    <w:rsid w:val="009B78DB"/>
    <w:rsid w:val="009C20E2"/>
    <w:rsid w:val="009C3822"/>
    <w:rsid w:val="009D551A"/>
    <w:rsid w:val="009E170A"/>
    <w:rsid w:val="009E6453"/>
    <w:rsid w:val="009E6484"/>
    <w:rsid w:val="009E681D"/>
    <w:rsid w:val="00A1635D"/>
    <w:rsid w:val="00A34BEE"/>
    <w:rsid w:val="00A41BDE"/>
    <w:rsid w:val="00A502CB"/>
    <w:rsid w:val="00A63F6E"/>
    <w:rsid w:val="00A86F0E"/>
    <w:rsid w:val="00A9277D"/>
    <w:rsid w:val="00A93AFE"/>
    <w:rsid w:val="00A93C2B"/>
    <w:rsid w:val="00AD1B16"/>
    <w:rsid w:val="00AD3C21"/>
    <w:rsid w:val="00AD6E11"/>
    <w:rsid w:val="00AE46B9"/>
    <w:rsid w:val="00AF54B6"/>
    <w:rsid w:val="00AF6B86"/>
    <w:rsid w:val="00B15741"/>
    <w:rsid w:val="00B17E88"/>
    <w:rsid w:val="00B22291"/>
    <w:rsid w:val="00B334DB"/>
    <w:rsid w:val="00B35D07"/>
    <w:rsid w:val="00B42954"/>
    <w:rsid w:val="00B6080D"/>
    <w:rsid w:val="00B6193B"/>
    <w:rsid w:val="00B62407"/>
    <w:rsid w:val="00B82FCC"/>
    <w:rsid w:val="00B8388D"/>
    <w:rsid w:val="00B91875"/>
    <w:rsid w:val="00B91EC8"/>
    <w:rsid w:val="00BA3D55"/>
    <w:rsid w:val="00BA4207"/>
    <w:rsid w:val="00BB4706"/>
    <w:rsid w:val="00BC2DEA"/>
    <w:rsid w:val="00BC6FBE"/>
    <w:rsid w:val="00BC7003"/>
    <w:rsid w:val="00BD4261"/>
    <w:rsid w:val="00BD65DA"/>
    <w:rsid w:val="00BD7096"/>
    <w:rsid w:val="00BE59C4"/>
    <w:rsid w:val="00BE6A7E"/>
    <w:rsid w:val="00C05406"/>
    <w:rsid w:val="00C1234B"/>
    <w:rsid w:val="00C36A9F"/>
    <w:rsid w:val="00C51591"/>
    <w:rsid w:val="00C6489E"/>
    <w:rsid w:val="00C76444"/>
    <w:rsid w:val="00C85F40"/>
    <w:rsid w:val="00C87B9F"/>
    <w:rsid w:val="00C94B57"/>
    <w:rsid w:val="00CA58B2"/>
    <w:rsid w:val="00CB0A0F"/>
    <w:rsid w:val="00CB4232"/>
    <w:rsid w:val="00CB53AE"/>
    <w:rsid w:val="00CC26E6"/>
    <w:rsid w:val="00CC5A7E"/>
    <w:rsid w:val="00CD2F3D"/>
    <w:rsid w:val="00CE327B"/>
    <w:rsid w:val="00CF23BB"/>
    <w:rsid w:val="00CF2825"/>
    <w:rsid w:val="00CF48C7"/>
    <w:rsid w:val="00D06ABA"/>
    <w:rsid w:val="00D10642"/>
    <w:rsid w:val="00D21170"/>
    <w:rsid w:val="00D34A5B"/>
    <w:rsid w:val="00D36B06"/>
    <w:rsid w:val="00D36DB7"/>
    <w:rsid w:val="00D3795E"/>
    <w:rsid w:val="00D635B3"/>
    <w:rsid w:val="00D6574A"/>
    <w:rsid w:val="00D726BE"/>
    <w:rsid w:val="00D738EE"/>
    <w:rsid w:val="00D7702F"/>
    <w:rsid w:val="00D85C3C"/>
    <w:rsid w:val="00DA671C"/>
    <w:rsid w:val="00DB52C4"/>
    <w:rsid w:val="00DC7F8A"/>
    <w:rsid w:val="00DD224F"/>
    <w:rsid w:val="00DE1131"/>
    <w:rsid w:val="00DE11F9"/>
    <w:rsid w:val="00DE1743"/>
    <w:rsid w:val="00DE1D75"/>
    <w:rsid w:val="00E00641"/>
    <w:rsid w:val="00E0081C"/>
    <w:rsid w:val="00E057C3"/>
    <w:rsid w:val="00E12CE4"/>
    <w:rsid w:val="00E2078A"/>
    <w:rsid w:val="00E22C2E"/>
    <w:rsid w:val="00E22D94"/>
    <w:rsid w:val="00E3797A"/>
    <w:rsid w:val="00E37FCA"/>
    <w:rsid w:val="00E5653C"/>
    <w:rsid w:val="00E65477"/>
    <w:rsid w:val="00E85246"/>
    <w:rsid w:val="00E874AD"/>
    <w:rsid w:val="00E94B67"/>
    <w:rsid w:val="00E9512D"/>
    <w:rsid w:val="00EA41C0"/>
    <w:rsid w:val="00ED2B6B"/>
    <w:rsid w:val="00EE484C"/>
    <w:rsid w:val="00EF2264"/>
    <w:rsid w:val="00EF3DA3"/>
    <w:rsid w:val="00EF6793"/>
    <w:rsid w:val="00F006E5"/>
    <w:rsid w:val="00F113A6"/>
    <w:rsid w:val="00F12BA4"/>
    <w:rsid w:val="00F2503A"/>
    <w:rsid w:val="00F264F4"/>
    <w:rsid w:val="00F31BC5"/>
    <w:rsid w:val="00F32450"/>
    <w:rsid w:val="00F336A4"/>
    <w:rsid w:val="00F3453B"/>
    <w:rsid w:val="00F40306"/>
    <w:rsid w:val="00F46B31"/>
    <w:rsid w:val="00F51A32"/>
    <w:rsid w:val="00F57C1E"/>
    <w:rsid w:val="00F61B6E"/>
    <w:rsid w:val="00F7361B"/>
    <w:rsid w:val="00F76AB3"/>
    <w:rsid w:val="00F77D90"/>
    <w:rsid w:val="00F9393B"/>
    <w:rsid w:val="00F94880"/>
    <w:rsid w:val="00FA0083"/>
    <w:rsid w:val="00FA5486"/>
    <w:rsid w:val="00FB5613"/>
    <w:rsid w:val="00FB68DD"/>
    <w:rsid w:val="00FC023D"/>
    <w:rsid w:val="00FC1D0B"/>
    <w:rsid w:val="00FC24EB"/>
    <w:rsid w:val="00FC2670"/>
    <w:rsid w:val="00FC48DD"/>
    <w:rsid w:val="00FC7AE4"/>
    <w:rsid w:val="00FD2D17"/>
    <w:rsid w:val="00FF101B"/>
    <w:rsid w:val="00FF3F71"/>
    <w:rsid w:val="00FF5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79DAA5-C8EB-4A65-A1A7-3CB910EC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4"/>
      <w:lang w:eastAsia="en-US"/>
    </w:rPr>
  </w:style>
  <w:style w:type="paragraph" w:styleId="Heading1">
    <w:name w:val="heading 1"/>
    <w:basedOn w:val="Normal"/>
    <w:next w:val="Normal"/>
    <w:qFormat/>
    <w:pPr>
      <w:keepNext/>
      <w:jc w:val="right"/>
      <w:outlineLvl w:val="0"/>
    </w:pPr>
    <w:rPr>
      <w:b/>
      <w:bCs/>
    </w:rPr>
  </w:style>
  <w:style w:type="paragraph" w:styleId="Heading2">
    <w:name w:val="heading 2"/>
    <w:basedOn w:val="Normal"/>
    <w:next w:val="Normal"/>
    <w:autoRedefine/>
    <w:rsid w:val="002473FB"/>
    <w:pPr>
      <w:keepNext/>
      <w:adjustRightInd w:val="0"/>
      <w:spacing w:before="120" w:after="240"/>
      <w:outlineLvl w:val="1"/>
    </w:pPr>
    <w:rPr>
      <w:b/>
      <w:bCs/>
      <w:i/>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customStyle="1" w:styleId="judge">
    <w:name w:val="judge"/>
    <w:autoRedefine/>
    <w:rsid w:val="00F12BA4"/>
    <w:pPr>
      <w:keepNext/>
      <w:spacing w:before="240" w:after="240"/>
    </w:pPr>
    <w:rPr>
      <w:sz w:val="28"/>
      <w:lang w:eastAsia="en-US"/>
    </w:rPr>
  </w:style>
  <w:style w:type="paragraph" w:customStyle="1" w:styleId="paranumber">
    <w:name w:val="para number"/>
    <w:pPr>
      <w:numPr>
        <w:numId w:val="1"/>
      </w:numPr>
      <w:tabs>
        <w:tab w:val="clear" w:pos="1530"/>
        <w:tab w:val="left" w:pos="1440"/>
      </w:tabs>
      <w:spacing w:before="120" w:after="120" w:line="360" w:lineRule="auto"/>
      <w:ind w:left="0"/>
      <w:jc w:val="both"/>
    </w:pPr>
    <w:rPr>
      <w:sz w:val="28"/>
      <w:lang w:eastAsia="en-US"/>
    </w:rPr>
  </w:style>
  <w:style w:type="paragraph" w:customStyle="1" w:styleId="Quote1">
    <w:name w:val="Quote1"/>
    <w:autoRedefine/>
    <w:rsid w:val="006F521D"/>
    <w:pPr>
      <w:adjustRightInd w:val="0"/>
      <w:snapToGrid w:val="0"/>
      <w:spacing w:before="120" w:after="240"/>
      <w:ind w:left="1440" w:right="720"/>
      <w:jc w:val="both"/>
    </w:pPr>
    <w:rPr>
      <w:sz w:val="24"/>
      <w:lang w:eastAsia="en-US"/>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hanging="720"/>
      <w:jc w:val="both"/>
    </w:pPr>
    <w:rPr>
      <w:lang w:eastAsia="zh-CN"/>
    </w:rPr>
  </w:style>
  <w:style w:type="character" w:customStyle="1" w:styleId="FooterChar">
    <w:name w:val="Footer Char"/>
    <w:link w:val="Footer"/>
    <w:uiPriority w:val="99"/>
    <w:rsid w:val="006B141E"/>
    <w:rPr>
      <w:sz w:val="28"/>
      <w:szCs w:val="24"/>
      <w:lang w:eastAsia="en-US"/>
    </w:rPr>
  </w:style>
  <w:style w:type="table" w:styleId="TableGrid">
    <w:name w:val="Table Grid"/>
    <w:basedOn w:val="TableNormal"/>
    <w:uiPriority w:val="59"/>
    <w:rsid w:val="00181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autoRedefine/>
    <w:uiPriority w:val="29"/>
    <w:rsid w:val="004C0D09"/>
    <w:pPr>
      <w:adjustRightInd w:val="0"/>
      <w:snapToGrid w:val="0"/>
      <w:spacing w:before="120" w:after="240"/>
      <w:ind w:left="1440" w:right="720"/>
    </w:pPr>
    <w:rPr>
      <w:i/>
      <w:iCs/>
      <w:color w:val="000000"/>
    </w:rPr>
  </w:style>
  <w:style w:type="character" w:customStyle="1" w:styleId="QuoteChar">
    <w:name w:val="Quote Char"/>
    <w:link w:val="Quote"/>
    <w:uiPriority w:val="29"/>
    <w:rsid w:val="004C0D09"/>
    <w:rPr>
      <w:i/>
      <w:iCs/>
      <w:color w:val="000000"/>
      <w:sz w:val="28"/>
      <w:szCs w:val="24"/>
      <w:lang w:eastAsia="en-US"/>
    </w:rPr>
  </w:style>
  <w:style w:type="paragraph" w:customStyle="1" w:styleId="heading">
    <w:name w:val="heading"/>
    <w:basedOn w:val="Normal"/>
    <w:rsid w:val="006F521D"/>
    <w:pPr>
      <w:keepNext/>
      <w:tabs>
        <w:tab w:val="left" w:pos="6660"/>
      </w:tabs>
      <w:spacing w:before="240" w:after="240"/>
    </w:pPr>
    <w:rPr>
      <w:b/>
      <w:i/>
      <w:lang w:eastAsia="zh-CN"/>
    </w:rPr>
  </w:style>
  <w:style w:type="paragraph" w:styleId="ListParagraph">
    <w:name w:val="List Paragraph"/>
    <w:basedOn w:val="Normal"/>
    <w:uiPriority w:val="34"/>
    <w:qFormat/>
    <w:rsid w:val="0096584E"/>
    <w:pPr>
      <w:ind w:left="720"/>
      <w:contextualSpacing/>
      <w:jc w:val="both"/>
    </w:pPr>
    <w:rPr>
      <w:sz w:val="26"/>
      <w:szCs w:val="22"/>
    </w:rPr>
  </w:style>
  <w:style w:type="paragraph" w:styleId="FootnoteText">
    <w:name w:val="footnote text"/>
    <w:basedOn w:val="Normal"/>
    <w:link w:val="FootnoteTextChar"/>
    <w:uiPriority w:val="99"/>
    <w:semiHidden/>
    <w:rsid w:val="0096584E"/>
    <w:pPr>
      <w:jc w:val="both"/>
    </w:pPr>
    <w:rPr>
      <w:sz w:val="20"/>
      <w:szCs w:val="20"/>
    </w:rPr>
  </w:style>
  <w:style w:type="character" w:customStyle="1" w:styleId="FootnoteTextChar">
    <w:name w:val="Footnote Text Char"/>
    <w:link w:val="FootnoteText"/>
    <w:uiPriority w:val="99"/>
    <w:semiHidden/>
    <w:rsid w:val="0096584E"/>
    <w:rPr>
      <w:lang w:eastAsia="en-US"/>
    </w:rPr>
  </w:style>
  <w:style w:type="character" w:styleId="FootnoteReference">
    <w:name w:val="footnote reference"/>
    <w:uiPriority w:val="99"/>
    <w:semiHidden/>
    <w:rsid w:val="0096584E"/>
    <w:rPr>
      <w:vertAlign w:val="superscript"/>
    </w:rPr>
  </w:style>
  <w:style w:type="paragraph" w:customStyle="1" w:styleId="Bob1">
    <w:name w:val="Bob 1"/>
    <w:link w:val="Bob1Char"/>
    <w:qFormat/>
    <w:rsid w:val="007A46CC"/>
    <w:pPr>
      <w:numPr>
        <w:numId w:val="9"/>
      </w:numPr>
      <w:tabs>
        <w:tab w:val="clear" w:pos="1620"/>
        <w:tab w:val="num" w:pos="720"/>
      </w:tabs>
      <w:kinsoku w:val="0"/>
      <w:autoSpaceDE w:val="0"/>
      <w:autoSpaceDN w:val="0"/>
      <w:snapToGrid w:val="0"/>
      <w:spacing w:after="240" w:line="360" w:lineRule="auto"/>
      <w:ind w:left="720"/>
    </w:pPr>
    <w:rPr>
      <w:sz w:val="28"/>
      <w:szCs w:val="24"/>
      <w:lang w:val="en-GB"/>
    </w:rPr>
  </w:style>
  <w:style w:type="character" w:customStyle="1" w:styleId="Bob1Char">
    <w:name w:val="Bob 1 Char"/>
    <w:link w:val="Bob1"/>
    <w:rsid w:val="007A46CC"/>
    <w:rPr>
      <w:sz w:val="28"/>
      <w:szCs w:val="24"/>
      <w:lang w:val="en-GB" w:eastAsia="zh-CN" w:bidi="ar-SA"/>
    </w:rPr>
  </w:style>
  <w:style w:type="paragraph" w:customStyle="1" w:styleId="MF">
    <w:name w:val="MF"/>
    <w:basedOn w:val="Normal"/>
    <w:rsid w:val="002338C4"/>
    <w:pPr>
      <w:tabs>
        <w:tab w:val="left" w:pos="1440"/>
        <w:tab w:val="center" w:pos="4320"/>
        <w:tab w:val="right" w:pos="8280"/>
        <w:tab w:val="right" w:pos="9000"/>
      </w:tabs>
      <w:overflowPunct w:val="0"/>
      <w:autoSpaceDE w:val="0"/>
      <w:autoSpaceDN w:val="0"/>
      <w:adjustRightInd w:val="0"/>
      <w:snapToGrid w:val="0"/>
      <w:jc w:val="center"/>
      <w:textAlignment w:val="baseline"/>
    </w:pPr>
    <w:rPr>
      <w:rFonts w:eastAsia="MingLiU"/>
      <w:caps/>
      <w:szCs w:val="20"/>
      <w:lang w:val="en-GB" w:eastAsia="zh-CN"/>
    </w:rPr>
  </w:style>
  <w:style w:type="paragraph" w:customStyle="1" w:styleId="footnotes">
    <w:name w:val="footnotes"/>
    <w:basedOn w:val="FootnoteText"/>
    <w:link w:val="footnotesChar"/>
    <w:qFormat/>
    <w:rsid w:val="003A690B"/>
    <w:pPr>
      <w:spacing w:after="120"/>
      <w:jc w:val="left"/>
    </w:pPr>
    <w:rPr>
      <w:rFonts w:eastAsia="新宋体"/>
      <w:noProof/>
      <w:kern w:val="2"/>
      <w:sz w:val="24"/>
      <w:szCs w:val="28"/>
      <w:lang w:val="en-GB" w:eastAsia="ja-JP"/>
      <w14:ligatures w14:val="standardContextual"/>
    </w:rPr>
  </w:style>
  <w:style w:type="character" w:customStyle="1" w:styleId="footnotesChar">
    <w:name w:val="footnotes Char"/>
    <w:basedOn w:val="FootnoteTextChar"/>
    <w:link w:val="footnotes"/>
    <w:rsid w:val="003A690B"/>
    <w:rPr>
      <w:rFonts w:eastAsia="新宋体"/>
      <w:noProof/>
      <w:kern w:val="2"/>
      <w:sz w:val="24"/>
      <w:szCs w:val="28"/>
      <w:lang w:val="en-GB" w:eastAsia="ja-JP"/>
      <w14:ligatures w14:val="standardContextual"/>
    </w:rPr>
  </w:style>
  <w:style w:type="paragraph" w:customStyle="1" w:styleId="docmapheading">
    <w:name w:val="doc map heading"/>
    <w:basedOn w:val="DocumentMap"/>
    <w:link w:val="docmapheadingChar"/>
    <w:qFormat/>
    <w:rsid w:val="003A690B"/>
    <w:pPr>
      <w:spacing w:before="120" w:after="360" w:line="276" w:lineRule="auto"/>
      <w:outlineLvl w:val="1"/>
    </w:pPr>
    <w:rPr>
      <w:rFonts w:ascii="Times New Roman" w:eastAsia="PMingLiU" w:hAnsi="Times New Roman" w:cs="Times New Roman"/>
      <w:i/>
      <w:noProof/>
      <w:spacing w:val="15"/>
      <w:kern w:val="2"/>
      <w:sz w:val="28"/>
      <w:szCs w:val="28"/>
      <w:lang w:val="en-GB" w:eastAsia="ja-JP"/>
      <w14:ligatures w14:val="standardContextual"/>
    </w:rPr>
  </w:style>
  <w:style w:type="character" w:customStyle="1" w:styleId="docmapheadingChar">
    <w:name w:val="doc map heading Char"/>
    <w:basedOn w:val="DefaultParagraphFont"/>
    <w:link w:val="docmapheading"/>
    <w:rsid w:val="003A690B"/>
    <w:rPr>
      <w:rFonts w:eastAsia="PMingLiU"/>
      <w:i/>
      <w:noProof/>
      <w:spacing w:val="15"/>
      <w:kern w:val="2"/>
      <w:sz w:val="28"/>
      <w:szCs w:val="28"/>
      <w:lang w:val="en-GB" w:eastAsia="ja-JP"/>
      <w14:ligatures w14:val="standardContextual"/>
    </w:rPr>
  </w:style>
  <w:style w:type="paragraph" w:styleId="DocumentMap">
    <w:name w:val="Document Map"/>
    <w:basedOn w:val="Normal"/>
    <w:link w:val="DocumentMapChar"/>
    <w:uiPriority w:val="99"/>
    <w:semiHidden/>
    <w:unhideWhenUsed/>
    <w:rsid w:val="003A690B"/>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A690B"/>
    <w:rPr>
      <w:rFonts w:ascii="Segoe UI" w:hAnsi="Segoe UI" w:cs="Segoe UI"/>
      <w:sz w:val="16"/>
      <w:szCs w:val="16"/>
      <w:lang w:eastAsia="en-US"/>
    </w:rPr>
  </w:style>
  <w:style w:type="paragraph" w:styleId="BalloonText">
    <w:name w:val="Balloon Text"/>
    <w:basedOn w:val="Normal"/>
    <w:link w:val="BalloonTextChar"/>
    <w:uiPriority w:val="99"/>
    <w:semiHidden/>
    <w:unhideWhenUsed/>
    <w:rsid w:val="004D21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1B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95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hemie%20WF%20Chan\Documents\CFA_Phemie\CFA_Template\Determination_FAM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Determination_FAMC.dotx</Template>
  <TotalTime>0</TotalTime>
  <Pages>7</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FAMC No</vt:lpstr>
    </vt:vector>
  </TitlesOfParts>
  <Company>Judiciary Hong Kong SAR</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 No</dc:title>
  <dc:subject/>
  <dc:creator>Window User</dc:creator>
  <cp:keywords/>
  <cp:lastModifiedBy>Windows User</cp:lastModifiedBy>
  <cp:revision>2</cp:revision>
  <cp:lastPrinted>2024-08-01T06:44:00Z</cp:lastPrinted>
  <dcterms:created xsi:type="dcterms:W3CDTF">2024-08-02T02:59:00Z</dcterms:created>
  <dcterms:modified xsi:type="dcterms:W3CDTF">2024-08-02T02:59:00Z</dcterms:modified>
</cp:coreProperties>
</file>