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c>
          <w:tcPr>
            <w:tcW w:type="dxa" w:w="9406"/>
            <w:shd w:fill="0B7A75"/>
          </w:tcPr>
          <w:p>
            <w:r>
              <w:br/>
            </w:r>
          </w:p>
          <w:p>
            <w:pPr>
              <w:jc w:val="center"/>
            </w:pPr>
            <w:r>
              <w:rPr>
                <w:b/>
                <w:color w:val="FFFFFF"/>
                <w:sz w:val="28"/>
              </w:rPr>
              <w:t>FREE GUIDE</w:t>
            </w:r>
          </w:p>
          <w:p>
            <w:pPr>
              <w:jc w:val="center"/>
            </w:pPr>
            <w:r>
              <w:rPr>
                <w:rFonts w:ascii="Arial" w:hAnsi="Arial"/>
                <w:b/>
                <w:color w:val="FFFFFF"/>
                <w:sz w:val="88"/>
              </w:rPr>
              <w:t>SettleANZ</w:t>
            </w:r>
          </w:p>
          <w:p>
            <w:pPr>
              <w:jc w:val="center"/>
            </w:pPr>
            <w:r>
              <w:rPr>
                <w:color w:val="FFFFFF"/>
                <w:sz w:val="40"/>
              </w:rPr>
              <w:t>The Australia New Arrival Checklist</w:t>
            </w:r>
          </w:p>
          <w:p>
            <w:pPr>
              <w:jc w:val="center"/>
            </w:pPr>
            <w:r>
              <w:rPr>
                <w:color w:val="E8773A"/>
                <w:sz w:val="24"/>
              </w:rPr>
              <w:t>────────────────────────────────────────</w:t>
            </w:r>
          </w:p>
          <w:p>
            <w:pPr>
              <w:jc w:val="center"/>
            </w:pPr>
            <w:r>
              <w:rPr>
                <w:color w:val="FFFFFF"/>
                <w:sz w:val="26"/>
              </w:rPr>
              <w:t>Pre-Arrival  ·  On Arrival  ·  Post Arrival</w:t>
            </w:r>
          </w:p>
          <w:p>
            <w:pPr>
              <w:jc w:val="center"/>
            </w:pPr>
            <w:r>
              <w:rPr>
                <w:color w:val="FFFFFF"/>
                <w:sz w:val="24"/>
              </w:rPr>
              <w:t>Everything you need to do in the right order.</w:t>
            </w:r>
          </w:p>
          <w:p>
            <w:pPr>
              <w:jc w:val="center"/>
            </w:pPr>
            <w:r>
              <w:rPr>
                <w:color w:val="FFFFFF"/>
                <w:sz w:val="24"/>
              </w:rPr>
              <w:t>With pro tips from someone who arrived in Australia with nothing</w:t>
            </w:r>
          </w:p>
          <w:p>
            <w:pPr>
              <w:jc w:val="center"/>
            </w:pPr>
            <w:r>
              <w:rPr>
                <w:color w:val="FFFFFF"/>
                <w:sz w:val="24"/>
              </w:rPr>
              <w:t>and built a life here.</w:t>
            </w:r>
          </w:p>
          <w:p>
            <w:pPr>
              <w:jc w:val="center"/>
            </w:pPr>
            <w:r>
              <w:br/>
              <w:br/>
            </w:r>
          </w:p>
          <w:p>
            <w:pPr>
              <w:jc w:val="center"/>
            </w:pPr>
            <w:r>
              <w:rPr>
                <w:b/>
                <w:color w:val="FFFFFF"/>
                <w:sz w:val="24"/>
              </w:rPr>
              <w:t>By Entel Dajsmaili</w:t>
            </w:r>
          </w:p>
          <w:p>
            <w:pPr>
              <w:jc w:val="center"/>
            </w:pPr>
            <w:r>
              <w:rPr>
                <w:color w:val="FFFFFF"/>
                <w:sz w:val="22"/>
              </w:rPr>
              <w:t>Founder, SettleANZ</w:t>
            </w:r>
          </w:p>
          <w:p>
            <w:pPr>
              <w:jc w:val="center"/>
            </w:pPr>
            <w:r>
              <w:br/>
              <w:br/>
            </w:r>
          </w:p>
          <w:p>
            <w:pPr>
              <w:jc w:val="center"/>
            </w:pPr>
            <w:r>
              <w:rPr>
                <w:b/>
                <w:color w:val="E8773A"/>
                <w:sz w:val="36"/>
              </w:rPr>
              <w:t>SETTLEANZ.COM</w:t>
            </w:r>
          </w:p>
          <w:p/>
          <w:p/>
          <w:p/>
          <w:p/>
          <w:p/>
          <w:p/>
          <w:p/>
          <w:p/>
        </w:tc>
      </w:tr>
    </w:tbl>
    <w:p>
      <w:r>
        <w:br w:type="page"/>
      </w:r>
    </w:p>
    <w:p>
      <w:pPr>
        <w:jc w:val="center"/>
      </w:pPr>
      <w:r>
        <w:rPr>
          <w:b/>
          <w:color w:val="0B7A75"/>
          <w:sz w:val="24"/>
        </w:rPr>
        <w:t>PART 1 OF 3</w:t>
      </w:r>
    </w:p>
    <w:p>
      <w:pPr>
        <w:jc w:val="center"/>
      </w:pPr>
      <w:r>
        <w:rPr>
          <w:b/>
          <w:color w:val="0B7A75"/>
          <w:sz w:val="56"/>
        </w:rPr>
        <w:t>Before You Land</w:t>
      </w:r>
    </w:p>
    <w:p>
      <w:pPr>
        <w:jc w:val="center"/>
      </w:pPr>
      <w:r>
        <w:rPr>
          <w:i/>
          <w:color w:val="666666"/>
          <w:sz w:val="24"/>
        </w:rPr>
        <w:t>The steps most people skip and regret.</w:t>
      </w:r>
    </w:p>
    <w:p>
      <w:pPr>
        <w:jc w:val="center"/>
      </w:pPr>
      <w:r>
        <w:rPr>
          <w:i/>
          <w:color w:val="333333"/>
          <w:sz w:val="22"/>
        </w:rPr>
        <w:t>"The people who settle faster are not smarter — they just have better guidance from day one. Most of the mistakes I see new arrivals make happen before the plane even lands."</w:t>
      </w:r>
    </w:p>
    <w:p>
      <w:pPr>
        <w:jc w:val="center"/>
      </w:pPr>
      <w:r>
        <w:rPr>
          <w:color w:val="666666"/>
          <w:sz w:val="18"/>
        </w:rPr>
        <w:t>— Entel Dajsmaili, Founder SettleANZ</w:t>
      </w:r>
    </w:p>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1</w:t>
            </w:r>
          </w:p>
        </w:tc>
        <w:tc>
          <w:tcPr>
            <w:tcW w:type="dxa" w:w="4703"/>
            <w:shd w:fill="E6F4F3"/>
            <w:vAlign w:val="center"/>
          </w:tcPr>
          <w:p>
            <w:pPr>
              <w:spacing w:before="120" w:after="120"/>
            </w:pPr>
            <w:r>
              <w:rPr>
                <w:b/>
                <w:color w:val="333333"/>
                <w:sz w:val="26"/>
              </w:rPr>
              <w:t>Open an Australian bank account before you land</w:t>
            </w:r>
          </w:p>
        </w:tc>
      </w:tr>
    </w:tbl>
    <w:p>
      <w:pPr>
        <w:spacing w:before="40" w:after="120"/>
      </w:pPr>
      <w:r>
        <w:rPr>
          <w:color w:val="333333"/>
          <w:sz w:val="20"/>
        </w:rPr>
        <w:t>Several Australian banks including CommBank and NAB now allow you to open an account online before you arrive. Do this early — you will need an account number for your employer and rental application.</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Use Wise or OFX to transfer your money to Australia — not your home bank. The fee difference on a $10,000 transfer can be $200–400 AUD.</w:t>
            </w:r>
          </w:p>
        </w:tc>
      </w:tr>
    </w:tbl>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2</w:t>
            </w:r>
          </w:p>
        </w:tc>
        <w:tc>
          <w:tcPr>
            <w:tcW w:type="dxa" w:w="4703"/>
            <w:shd w:fill="E6F4F3"/>
            <w:vAlign w:val="center"/>
          </w:tcPr>
          <w:p>
            <w:pPr>
              <w:spacing w:before="120" w:after="120"/>
            </w:pPr>
            <w:r>
              <w:rPr>
                <w:b/>
                <w:color w:val="333333"/>
                <w:sz w:val="26"/>
              </w:rPr>
              <w:t>Research your city and suburb before booking</w:t>
            </w:r>
          </w:p>
        </w:tc>
      </w:tr>
    </w:tbl>
    <w:p>
      <w:pPr>
        <w:spacing w:before="40" w:after="120"/>
      </w:pPr>
      <w:r>
        <w:rPr>
          <w:color w:val="333333"/>
          <w:sz w:val="20"/>
        </w:rPr>
        <w:t>Sydney, Melbourne, Brisbane, and Perth are all very different cities with different costs, cultures, and job markets. Choose your suburb based on commute time, community fit, and budget — not just rent price.</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Look for suburbs with a strong community from your background. Schools, mosques, temples, and cultural grocers make the first months significantly easier.</w:t>
            </w:r>
          </w:p>
        </w:tc>
      </w:tr>
    </w:tbl>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3</w:t>
            </w:r>
          </w:p>
        </w:tc>
        <w:tc>
          <w:tcPr>
            <w:tcW w:type="dxa" w:w="4703"/>
            <w:shd w:fill="E6F4F3"/>
            <w:vAlign w:val="center"/>
          </w:tcPr>
          <w:p>
            <w:pPr>
              <w:spacing w:before="120" w:after="120"/>
            </w:pPr>
            <w:r>
              <w:rPr>
                <w:b/>
                <w:color w:val="333333"/>
                <w:sz w:val="26"/>
              </w:rPr>
              <w:t>Book short-term accommodation first — not a lease</w:t>
            </w:r>
          </w:p>
        </w:tc>
      </w:tr>
    </w:tbl>
    <w:p>
      <w:pPr>
        <w:spacing w:before="40" w:after="120"/>
      </w:pPr>
      <w:r>
        <w:rPr>
          <w:color w:val="333333"/>
          <w:sz w:val="20"/>
        </w:rPr>
        <w:t>Do not sign a 12-month lease before you have spent time in a suburb. Book 2–4 weeks of short-term accommodation to explore the area before committing.</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Serviced apartments near public transport give you flexibility and time to find the right long-term rental without pressure. Use Styaz, Vbro or Airbnb to find reliable short term rentals.</w:t>
            </w:r>
          </w:p>
        </w:tc>
      </w:tr>
    </w:tbl>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4</w:t>
            </w:r>
          </w:p>
        </w:tc>
        <w:tc>
          <w:tcPr>
            <w:tcW w:type="dxa" w:w="4703"/>
            <w:shd w:fill="E6F4F3"/>
            <w:vAlign w:val="center"/>
          </w:tcPr>
          <w:p>
            <w:pPr>
              <w:spacing w:before="120" w:after="120"/>
            </w:pPr>
            <w:r>
              <w:rPr>
                <w:b/>
                <w:color w:val="333333"/>
                <w:sz w:val="26"/>
              </w:rPr>
              <w:t>Confirm your visa grant — in writing</w:t>
            </w:r>
          </w:p>
        </w:tc>
      </w:tr>
    </w:tbl>
    <w:p>
      <w:pPr>
        <w:spacing w:before="40" w:after="120"/>
      </w:pPr>
      <w:r>
        <w:rPr>
          <w:color w:val="333333"/>
          <w:sz w:val="20"/>
        </w:rPr>
        <w:t>Don't assume approval. Download your visa grant letter and save it in three places. Employers, landlords, and banks will ask for it.</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Screenshot the grant notification and email it to yourself the same day. Keep a printed copy in your carry-on luggage.</w:t>
            </w:r>
          </w:p>
        </w:tc>
      </w:tr>
    </w:tbl>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5</w:t>
            </w:r>
          </w:p>
        </w:tc>
        <w:tc>
          <w:tcPr>
            <w:tcW w:type="dxa" w:w="4703"/>
            <w:shd w:fill="E6F4F3"/>
            <w:vAlign w:val="center"/>
          </w:tcPr>
          <w:p>
            <w:pPr>
              <w:spacing w:before="120" w:after="120"/>
            </w:pPr>
            <w:r>
              <w:rPr>
                <w:b/>
                <w:color w:val="333333"/>
                <w:sz w:val="26"/>
              </w:rPr>
              <w:t>Sort travel and health insurance before departure</w:t>
            </w:r>
          </w:p>
        </w:tc>
      </w:tr>
    </w:tbl>
    <w:p>
      <w:pPr>
        <w:spacing w:before="40" w:after="120"/>
      </w:pPr>
      <w:r>
        <w:rPr>
          <w:color w:val="333333"/>
          <w:sz w:val="20"/>
        </w:rPr>
        <w:t>Medicare takes time to activate for new arrivals. A gap in coverage can be very expensive. Sort international health insurance that covers your arrival period before you leave home.</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SafetyWing covers the gap between landing and Medicare activation. Cigna and AXA cover longer stays. Compare before you leave — it is cheaper to buy abroad.</w:t>
            </w:r>
          </w:p>
        </w:tc>
      </w:tr>
    </w:tbl>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6</w:t>
            </w:r>
          </w:p>
        </w:tc>
        <w:tc>
          <w:tcPr>
            <w:tcW w:type="dxa" w:w="4703"/>
            <w:shd w:fill="E6F4F3"/>
            <w:vAlign w:val="center"/>
          </w:tcPr>
          <w:p>
            <w:pPr>
              <w:spacing w:before="120" w:after="120"/>
            </w:pPr>
            <w:r>
              <w:rPr>
                <w:b/>
                <w:color w:val="333333"/>
                <w:sz w:val="26"/>
              </w:rPr>
              <w:t>Prepare your document pack — have these ready</w:t>
            </w:r>
          </w:p>
        </w:tc>
      </w:tr>
    </w:tbl>
    <w:p>
      <w:pPr>
        <w:spacing w:before="40" w:after="120"/>
      </w:pPr>
      <w:r>
        <w:rPr>
          <w:color w:val="333333"/>
          <w:sz w:val="20"/>
        </w:rPr>
        <w:t>Passport and certified copies · Visa grant letter · Academic qualifications (notarised) · Employment references on letterhead · 3–6 months bank statements · International driving licence · Vaccination records</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Get a certified translation of any document not in English before you leave. Translation in Australia costs 3–5x more than at home.</w:t>
            </w:r>
          </w:p>
        </w:tc>
      </w:tr>
    </w:tbl>
    <w:p/>
    <w:p>
      <w:r>
        <w:br w:type="page"/>
      </w:r>
    </w:p>
    <w:p>
      <w:pPr>
        <w:jc w:val="center"/>
      </w:pPr>
      <w:r>
        <w:rPr>
          <w:b/>
          <w:color w:val="0B7A75"/>
          <w:sz w:val="24"/>
        </w:rPr>
        <w:t>PART 2 OF 3</w:t>
      </w:r>
    </w:p>
    <w:p>
      <w:pPr>
        <w:jc w:val="center"/>
      </w:pPr>
      <w:r>
        <w:rPr>
          <w:b/>
          <w:color w:val="0B7A75"/>
          <w:sz w:val="56"/>
        </w:rPr>
        <w:t>Your First Two Weeks</w:t>
      </w:r>
    </w:p>
    <w:p>
      <w:pPr>
        <w:jc w:val="center"/>
      </w:pPr>
      <w:r>
        <w:rPr>
          <w:i/>
          <w:color w:val="666666"/>
          <w:sz w:val="24"/>
        </w:rPr>
        <w:t>Do these in order. Each one unlocks the next.</w:t>
      </w:r>
    </w:p>
    <w:p>
      <w:pPr>
        <w:jc w:val="center"/>
      </w:pPr>
      <w:r>
        <w:rPr>
          <w:i/>
          <w:color w:val="333333"/>
          <w:sz w:val="22"/>
        </w:rPr>
        <w:t>"The sequence matters more than people realise. TFN before bank setup. Bank account before rental application. Medicare before you need it. Getting the order wrong costs you weeks, not days."</w:t>
      </w:r>
    </w:p>
    <w:p>
      <w:pPr>
        <w:jc w:val="center"/>
      </w:pPr>
      <w:r>
        <w:rPr>
          <w:color w:val="666666"/>
          <w:sz w:val="18"/>
        </w:rPr>
        <w:t>— Entel Dajsmaili, SettleANZ</w:t>
      </w:r>
    </w:p>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1</w:t>
            </w:r>
          </w:p>
        </w:tc>
        <w:tc>
          <w:tcPr>
            <w:tcW w:type="dxa" w:w="4703"/>
            <w:shd w:fill="E6F4F3"/>
            <w:vAlign w:val="center"/>
          </w:tcPr>
          <w:p>
            <w:pPr>
              <w:spacing w:before="120" w:after="120"/>
            </w:pPr>
            <w:r>
              <w:rPr>
                <w:b/>
                <w:color w:val="333333"/>
                <w:sz w:val="26"/>
              </w:rPr>
              <w:t>Get a local SIM card — Day 1</w:t>
            </w:r>
          </w:p>
        </w:tc>
      </w:tr>
    </w:tbl>
    <w:p>
      <w:pPr>
        <w:spacing w:before="40" w:after="120"/>
      </w:pPr>
      <w:r>
        <w:rPr>
          <w:color w:val="333333"/>
          <w:sz w:val="20"/>
        </w:rPr>
        <w:t>Buy a prepaid SIM at the airport before you leave the terminal. Optus, Woolworths Mobile, and Circles.Life all offer good value for new arrivals. You need a working local number for every application you fill in.</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Get a plan with at least 20GB data — you will use it heavily while navigating, researching, and setting up. Data is cheap in Australia.</w:t>
            </w:r>
          </w:p>
        </w:tc>
      </w:tr>
    </w:tbl>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2</w:t>
            </w:r>
          </w:p>
        </w:tc>
        <w:tc>
          <w:tcPr>
            <w:tcW w:type="dxa" w:w="4703"/>
            <w:shd w:fill="E6F4F3"/>
            <w:vAlign w:val="center"/>
          </w:tcPr>
          <w:p>
            <w:pPr>
              <w:spacing w:before="120" w:after="120"/>
            </w:pPr>
            <w:r>
              <w:rPr>
                <w:b/>
                <w:color w:val="333333"/>
                <w:sz w:val="26"/>
              </w:rPr>
              <w:t>Apply for your Tax File Number (TFN) — Day 1–2</w:t>
            </w:r>
          </w:p>
        </w:tc>
      </w:tr>
    </w:tbl>
    <w:p>
      <w:pPr>
        <w:spacing w:before="40" w:after="120"/>
      </w:pPr>
      <w:r>
        <w:rPr>
          <w:color w:val="333333"/>
          <w:sz w:val="20"/>
        </w:rPr>
        <w:t>Your TFN is the most important number in Australia. You need it to work legally, open certain bank products, and access government services. Apply online through the ATO website. Takes 10 minutes. Number arrives within 28 days.</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Apply the day you arrive. The 28-day processing period starts from application — the sooner you apply, the sooner you can give it to your employer.</w:t>
            </w:r>
          </w:p>
        </w:tc>
      </w:tr>
    </w:tbl>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3</w:t>
            </w:r>
          </w:p>
        </w:tc>
        <w:tc>
          <w:tcPr>
            <w:tcW w:type="dxa" w:w="4703"/>
            <w:shd w:fill="E6F4F3"/>
            <w:vAlign w:val="center"/>
          </w:tcPr>
          <w:p>
            <w:pPr>
              <w:spacing w:before="120" w:after="120"/>
            </w:pPr>
            <w:r>
              <w:rPr>
                <w:b/>
                <w:color w:val="333333"/>
                <w:sz w:val="26"/>
              </w:rPr>
              <w:t>Activate your bank account and confirm transfers</w:t>
            </w:r>
          </w:p>
        </w:tc>
      </w:tr>
    </w:tbl>
    <w:p>
      <w:pPr>
        <w:spacing w:before="40" w:after="120"/>
      </w:pPr>
      <w:r>
        <w:rPr>
          <w:color w:val="333333"/>
          <w:sz w:val="20"/>
        </w:rPr>
        <w:t>If you pre-opened an account, activate it at a branch with your passport. CommBank, ANZ, NAB, and Westpac all have new-to-Australia products with no minimum balance for the first year.</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Set up Wise as your transfer account too. When family sends you money or you send money home, Wise saves you 3–5% on every transfer.</w:t>
            </w:r>
          </w:p>
        </w:tc>
      </w:tr>
    </w:tbl>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4</w:t>
            </w:r>
          </w:p>
        </w:tc>
        <w:tc>
          <w:tcPr>
            <w:tcW w:type="dxa" w:w="4703"/>
            <w:shd w:fill="E6F4F3"/>
            <w:vAlign w:val="center"/>
          </w:tcPr>
          <w:p>
            <w:pPr>
              <w:spacing w:before="120" w:after="120"/>
            </w:pPr>
            <w:r>
              <w:rPr>
                <w:b/>
                <w:color w:val="333333"/>
                <w:sz w:val="26"/>
              </w:rPr>
              <w:t>Enrol in Medicare — Week 1</w:t>
            </w:r>
          </w:p>
        </w:tc>
      </w:tr>
    </w:tbl>
    <w:p>
      <w:pPr>
        <w:spacing w:before="40" w:after="120"/>
      </w:pPr>
      <w:r>
        <w:rPr>
          <w:color w:val="333333"/>
          <w:sz w:val="20"/>
        </w:rPr>
        <w:t>If eligible, enrol in Medicare at a Services Australia office. Bring your visa grant, passport, and proof of address. Your card arrives in 2–3 weeks — in the interim you receive a reference number.</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Find a bulk-billing GP near your accommodation before you need one. Bulk billing means no out-of-pocket cost for standard consultations. Use the HealthEngine app to search.</w:t>
            </w:r>
          </w:p>
        </w:tc>
      </w:tr>
    </w:tbl>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5</w:t>
            </w:r>
          </w:p>
        </w:tc>
        <w:tc>
          <w:tcPr>
            <w:tcW w:type="dxa" w:w="4703"/>
            <w:shd w:fill="E6F4F3"/>
            <w:vAlign w:val="center"/>
          </w:tcPr>
          <w:p>
            <w:pPr>
              <w:spacing w:before="120" w:after="120"/>
            </w:pPr>
            <w:r>
              <w:rPr>
                <w:b/>
                <w:color w:val="333333"/>
                <w:sz w:val="26"/>
              </w:rPr>
              <w:t>Register your address and set up utilities</w:t>
            </w:r>
          </w:p>
        </w:tc>
      </w:tr>
    </w:tbl>
    <w:p>
      <w:pPr>
        <w:spacing w:before="40" w:after="120"/>
      </w:pPr>
      <w:r>
        <w:rPr>
          <w:color w:val="333333"/>
          <w:sz w:val="20"/>
        </w:rPr>
        <w:t>You need a residential address for almost every official process. Set up electricity, gas, and internet — all done online or by phone, usually connected within 2–5 business days.</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Compare energy providers on the government Energy Made Easy website before signing anything. New customer discounts are worth $100–200 AUD in the first year.</w:t>
            </w:r>
          </w:p>
        </w:tc>
      </w:tr>
    </w:tbl>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6</w:t>
            </w:r>
          </w:p>
        </w:tc>
        <w:tc>
          <w:tcPr>
            <w:tcW w:type="dxa" w:w="4703"/>
            <w:shd w:fill="E6F4F3"/>
            <w:vAlign w:val="center"/>
          </w:tcPr>
          <w:p>
            <w:pPr>
              <w:spacing w:before="120" w:after="120"/>
            </w:pPr>
            <w:r>
              <w:rPr>
                <w:b/>
                <w:color w:val="333333"/>
                <w:sz w:val="26"/>
              </w:rPr>
              <w:t>Get your orientation done in the first week</w:t>
            </w:r>
          </w:p>
        </w:tc>
      </w:tr>
    </w:tbl>
    <w:p>
      <w:pPr>
        <w:spacing w:before="40" w:after="120"/>
      </w:pPr>
      <w:r>
        <w:rPr>
          <w:color w:val="333333"/>
          <w:sz w:val="20"/>
        </w:rPr>
        <w:t>Find your nearest supermarket, GP, pharmacy, public transport stop, and ATM. Walk the neighbourhood. Identify your local community group, cultural centre, or place of worship.</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Download the Opal app (Sydney) or Myki app (Melbourne) for public transport. Load $30–50 for your first week — you will use it more than you expect.</w:t>
            </w:r>
          </w:p>
        </w:tc>
      </w:tr>
    </w:tbl>
    <w:p/>
    <w:p>
      <w:r>
        <w:br w:type="page"/>
      </w:r>
    </w:p>
    <w:p>
      <w:pPr>
        <w:jc w:val="center"/>
      </w:pPr>
      <w:r>
        <w:rPr>
          <w:b/>
          <w:color w:val="0B7A75"/>
          <w:sz w:val="24"/>
        </w:rPr>
        <w:t>PART 3 OF 3</w:t>
      </w:r>
    </w:p>
    <w:p>
      <w:pPr>
        <w:jc w:val="center"/>
      </w:pPr>
      <w:r>
        <w:rPr>
          <w:b/>
          <w:color w:val="0B7A75"/>
          <w:sz w:val="56"/>
        </w:rPr>
        <w:t>Months 1 to 3 — Settling In</w:t>
      </w:r>
    </w:p>
    <w:p>
      <w:pPr>
        <w:jc w:val="center"/>
      </w:pPr>
      <w:r>
        <w:rPr>
          <w:i/>
          <w:color w:val="666666"/>
          <w:sz w:val="24"/>
        </w:rPr>
        <w:t>Stop surviving. Start building.</w:t>
      </w:r>
    </w:p>
    <w:p>
      <w:pPr>
        <w:jc w:val="center"/>
      </w:pPr>
      <w:r>
        <w:rPr>
          <w:i/>
          <w:color w:val="333333"/>
          <w:sz w:val="22"/>
        </w:rPr>
        <w:t>"Month one is survival. Month two is adjustment. Month three is when people either find their footing — or start to spiral. The difference is almost always whether they have the right people around them."</w:t>
      </w:r>
    </w:p>
    <w:p>
      <w:pPr>
        <w:jc w:val="center"/>
      </w:pPr>
      <w:r>
        <w:rPr>
          <w:color w:val="666666"/>
          <w:sz w:val="18"/>
        </w:rPr>
        <w:t>— Entel Dajsmaili, SettleANZ</w:t>
      </w:r>
    </w:p>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1</w:t>
            </w:r>
          </w:p>
        </w:tc>
        <w:tc>
          <w:tcPr>
            <w:tcW w:type="dxa" w:w="4703"/>
            <w:shd w:fill="E6F4F3"/>
            <w:vAlign w:val="center"/>
          </w:tcPr>
          <w:p>
            <w:pPr>
              <w:spacing w:before="120" w:after="120"/>
            </w:pPr>
            <w:r>
              <w:rPr>
                <w:b/>
                <w:color w:val="333333"/>
                <w:sz w:val="26"/>
              </w:rPr>
              <w:t>Find your long-term rental</w:t>
            </w:r>
          </w:p>
        </w:tc>
      </w:tr>
    </w:tbl>
    <w:p>
      <w:pPr>
        <w:spacing w:before="40" w:after="120"/>
      </w:pPr>
      <w:r>
        <w:rPr>
          <w:color w:val="333333"/>
          <w:sz w:val="20"/>
        </w:rPr>
        <w:t>Now that you have spent 2–4 weeks exploring, you know the suburbs. Apply for a long-term rental with your document pack ready. No rental history? Offer 2–3 months rent in advance and provide extra references.</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Attend open homes in person, agents remember faces. A warm introduction from a SettleANZ concierge can significantly improve your application's chances.</w:t>
            </w:r>
          </w:p>
        </w:tc>
      </w:tr>
    </w:tbl>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2</w:t>
            </w:r>
          </w:p>
        </w:tc>
        <w:tc>
          <w:tcPr>
            <w:tcW w:type="dxa" w:w="4703"/>
            <w:shd w:fill="E6F4F3"/>
            <w:vAlign w:val="center"/>
          </w:tcPr>
          <w:p>
            <w:pPr>
              <w:spacing w:before="120" w:after="120"/>
            </w:pPr>
            <w:r>
              <w:rPr>
                <w:b/>
                <w:color w:val="333333"/>
                <w:sz w:val="26"/>
              </w:rPr>
              <w:t>Find the right school for your children</w:t>
            </w:r>
          </w:p>
        </w:tc>
      </w:tr>
    </w:tbl>
    <w:p>
      <w:pPr>
        <w:spacing w:before="40" w:after="120"/>
      </w:pPr>
      <w:r>
        <w:rPr>
          <w:color w:val="333333"/>
          <w:sz w:val="20"/>
        </w:rPr>
        <w:t>Public primary and secondary school is free in Australia. Enrolment requires proof of address, immunisation records, and passport. Research which school fits your children's needs — not just academically, but culturally and socially.</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Ask which schools in your suburb have ESL (English as Second Language) support. For families from India, China, or the Middle East — some suburbs have very strong community representation in specific schools.</w:t>
            </w:r>
          </w:p>
        </w:tc>
      </w:tr>
    </w:tbl>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3</w:t>
            </w:r>
          </w:p>
        </w:tc>
        <w:tc>
          <w:tcPr>
            <w:tcW w:type="dxa" w:w="4703"/>
            <w:shd w:fill="E6F4F3"/>
            <w:vAlign w:val="center"/>
          </w:tcPr>
          <w:p>
            <w:pPr>
              <w:spacing w:before="120" w:after="120"/>
            </w:pPr>
            <w:r>
              <w:rPr>
                <w:b/>
                <w:color w:val="333333"/>
                <w:sz w:val="26"/>
              </w:rPr>
              <w:t>Register with a GP and dentist</w:t>
            </w:r>
          </w:p>
        </w:tc>
      </w:tr>
    </w:tbl>
    <w:p>
      <w:pPr>
        <w:spacing w:before="40" w:after="120"/>
      </w:pPr>
      <w:r>
        <w:rPr>
          <w:color w:val="333333"/>
          <w:sz w:val="20"/>
        </w:rPr>
        <w:t>Don't wait until you are sick. Find a bulk-billing GP within walking distance and register as a patient. Find a dentist too — dental is not covered by Medicare and costs can be a shock if unplanned.</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For culturally matched care — a GP who speaks your language, a specialist from your background — SettleANZ maintains a vetted referral network matched to your community. Ask us.</w:t>
            </w:r>
          </w:p>
        </w:tc>
      </w:tr>
    </w:tbl>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4</w:t>
            </w:r>
          </w:p>
        </w:tc>
        <w:tc>
          <w:tcPr>
            <w:tcW w:type="dxa" w:w="4703"/>
            <w:shd w:fill="E6F4F3"/>
            <w:vAlign w:val="center"/>
          </w:tcPr>
          <w:p>
            <w:pPr>
              <w:spacing w:before="120" w:after="120"/>
            </w:pPr>
            <w:r>
              <w:rPr>
                <w:b/>
                <w:color w:val="333333"/>
                <w:sz w:val="26"/>
              </w:rPr>
              <w:t>Set up your superannuation correctly</w:t>
            </w:r>
          </w:p>
        </w:tc>
      </w:tr>
    </w:tbl>
    <w:p>
      <w:pPr>
        <w:spacing w:before="40" w:after="120"/>
      </w:pPr>
      <w:r>
        <w:rPr>
          <w:color w:val="333333"/>
          <w:sz w:val="20"/>
        </w:rPr>
        <w:t>Superannuation is Australia's retirement savings system. Your employer contributes 11% of your salary on top of your wage. You can choose your own fund — don't just accept the employer default. Compare fees and returns.</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If you leave Australia permanently, you can claim your super back under the Departing Australia Superannuation Payment (DASP). Keep your fund details on file from day one.</w:t>
            </w:r>
          </w:p>
        </w:tc>
      </w:tr>
    </w:tbl>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5</w:t>
            </w:r>
          </w:p>
        </w:tc>
        <w:tc>
          <w:tcPr>
            <w:tcW w:type="dxa" w:w="4703"/>
            <w:shd w:fill="E6F4F3"/>
            <w:vAlign w:val="center"/>
          </w:tcPr>
          <w:p>
            <w:pPr>
              <w:spacing w:before="120" w:after="120"/>
            </w:pPr>
            <w:r>
              <w:rPr>
                <w:b/>
                <w:color w:val="333333"/>
                <w:sz w:val="26"/>
              </w:rPr>
              <w:t>Get an Australian driving licence</w:t>
            </w:r>
          </w:p>
        </w:tc>
      </w:tr>
    </w:tbl>
    <w:p>
      <w:pPr>
        <w:spacing w:before="40" w:after="120"/>
      </w:pPr>
      <w:r>
        <w:rPr>
          <w:color w:val="333333"/>
          <w:sz w:val="20"/>
        </w:rPr>
        <w:t>If you hold a valid overseas licence, you can drive in Australia for 3–6 months depending on your state. After that, you must convert. Book your test early — wait times can be 4–8 weeks in major cities.</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An international driving permit from your home country makes the conversion process smoother. Check your state's Roads authority website for the specific conversion requirements.</w:t>
            </w:r>
          </w:p>
        </w:tc>
      </w:tr>
    </w:tbl>
    <w:p/>
    <w:tbl>
      <w:tblPr>
        <w:tblW w:type="auto" w:w="0"/>
        <w:jc w:val="left"/>
        <w:tblLook w:firstColumn="1" w:firstRow="1" w:lastColumn="0" w:lastRow="0" w:noHBand="0" w:noVBand="1" w:val="04A0"/>
      </w:tblPr>
      <w:tblGrid>
        <w:gridCol w:w="4703"/>
        <w:gridCol w:w="4703"/>
      </w:tblGrid>
      <w:tr>
        <w:tc>
          <w:tcPr>
            <w:tcW w:type="dxa" w:w="720"/>
            <w:shd w:fill="0B7A75"/>
            <w:vAlign w:val="center"/>
          </w:tcPr>
          <w:p>
            <w:pPr>
              <w:jc w:val="center"/>
            </w:pPr>
            <w:r>
              <w:rPr>
                <w:b/>
                <w:color w:val="FFFFFF"/>
                <w:sz w:val="36"/>
              </w:rPr>
              <w:t>6</w:t>
            </w:r>
          </w:p>
        </w:tc>
        <w:tc>
          <w:tcPr>
            <w:tcW w:type="dxa" w:w="4703"/>
            <w:shd w:fill="E6F4F3"/>
            <w:vAlign w:val="center"/>
          </w:tcPr>
          <w:p>
            <w:pPr>
              <w:spacing w:before="120" w:after="120"/>
            </w:pPr>
            <w:r>
              <w:rPr>
                <w:b/>
                <w:color w:val="333333"/>
                <w:sz w:val="26"/>
              </w:rPr>
              <w:t>Find your community — this one matters most</w:t>
            </w:r>
          </w:p>
        </w:tc>
      </w:tr>
    </w:tbl>
    <w:p>
      <w:pPr>
        <w:spacing w:before="40" w:after="120"/>
      </w:pPr>
      <w:r>
        <w:rPr>
          <w:color w:val="333333"/>
          <w:sz w:val="20"/>
        </w:rPr>
        <w:t>Isolation is the biggest risk in the first three months. Find your people. Your cultural community group, local sports club, place of worship, professional network. The relationships built in month 1–3 carry you through the hard days.</w:t>
      </w:r>
    </w:p>
    <w:tbl>
      <w:tblPr>
        <w:tblW w:type="auto" w:w="0"/>
        <w:jc w:val="left"/>
        <w:tblLook w:firstColumn="1" w:firstRow="1" w:lastColumn="0" w:lastRow="0" w:noHBand="0" w:noVBand="1" w:val="04A0"/>
      </w:tblPr>
      <w:tblGrid>
        <w:gridCol w:w="9406"/>
      </w:tblGrid>
      <w:tr>
        <w:tc>
          <w:tcPr>
            <w:tcW w:type="dxa" w:w="9406"/>
            <w:shd w:fill="FDF6F0"/>
            <w:tcBorders>
              <w:top w:val="single" w:sz="12" w:color="E8773A"/>
              <w:left w:val="single" w:sz="12" w:color="E8773A"/>
              <w:bottom w:val="single" w:sz="12" w:color="E8773A"/>
              <w:right w:val="single" w:sz="12" w:color="E8773A"/>
            </w:tcBorders>
          </w:tcPr>
          <w:p>
            <w:pPr>
              <w:spacing w:before="80" w:after="80"/>
            </w:pPr>
            <w:r>
              <w:rPr>
                <w:b/>
                <w:color w:val="E8773A"/>
                <w:sz w:val="20"/>
              </w:rPr>
              <w:t>★ PRO TIP</w:t>
            </w:r>
          </w:p>
          <w:p>
            <w:pPr>
              <w:spacing w:before="40" w:after="120"/>
            </w:pPr>
            <w:r>
              <w:rPr>
                <w:i/>
                <w:color w:val="E8773A"/>
                <w:sz w:val="20"/>
              </w:rPr>
              <w:t>Meetup.com, Facebook community groups, and your local council's multicultural services are all good starting points. Don't wait until you feel ready — go before you feel ready.</w:t>
            </w:r>
          </w:p>
        </w:tc>
      </w:tr>
    </w:tbl>
    <w:p/>
    <w:p>
      <w:r>
        <w:br w:type="page"/>
      </w:r>
    </w:p>
    <w:tbl>
      <w:tblPr>
        <w:tblW w:type="auto" w:w="0"/>
        <w:tblLook w:firstColumn="1" w:firstRow="1" w:lastColumn="0" w:lastRow="0" w:noHBand="0" w:noVBand="1" w:val="04A0"/>
      </w:tblPr>
      <w:tblGrid>
        <w:gridCol w:w="9406"/>
      </w:tblGrid>
      <w:tr>
        <w:tc>
          <w:tcPr>
            <w:tcW w:type="dxa" w:w="9406"/>
            <w:shd w:fill="0B7A75"/>
          </w:tcPr>
          <w:p>
            <w:r>
              <w:br/>
            </w:r>
          </w:p>
          <w:p>
            <w:pPr>
              <w:jc w:val="center"/>
            </w:pPr>
            <w:r>
              <w:rPr>
                <w:b/>
                <w:color w:val="FFFFFF"/>
                <w:sz w:val="56"/>
              </w:rPr>
              <w:t>You've Got the Checklist!</w:t>
            </w:r>
          </w:p>
          <w:p>
            <w:pPr>
              <w:jc w:val="center"/>
            </w:pPr>
            <w:r>
              <w:rPr>
                <w:color w:val="FFFFFF"/>
                <w:sz w:val="28"/>
              </w:rPr>
              <w:t>Now let's put it to work for you.</w:t>
            </w:r>
          </w:p>
          <w:p>
            <w:pPr>
              <w:jc w:val="center"/>
            </w:pPr>
            <w:r>
              <w:rPr>
                <w:color w:val="E8773A"/>
                <w:sz w:val="24"/>
              </w:rPr>
              <w:t>────────────────────────────────────────</w:t>
            </w:r>
          </w:p>
          <w:tbl>
            <w:tblPr>
              <w:tblW w:type="auto" w:w="0"/>
              <w:tblLook w:firstColumn="1" w:firstRow="1" w:lastColumn="0" w:lastRow="0" w:noHBand="0" w:noVBand="1" w:val="04A0"/>
            </w:tblPr>
            <w:tblGrid>
              <w:gridCol w:w="9406"/>
            </w:tblGrid>
            <w:tr>
              <w:tc>
                <w:tcPr>
                  <w:tcW w:type="dxa" w:w="9406"/>
                  <w:shd w:fill="E8773A"/>
                </w:tcPr>
                <w:p/>
                <w:p>
                  <w:pPr>
                    <w:jc w:val="center"/>
                  </w:pPr>
                  <w:r>
                    <w:rPr>
                      <w:b/>
                      <w:color w:val="FFFFFF"/>
                      <w:sz w:val="36"/>
                    </w:rPr>
                    <w:t>Need Personalized Help?</w:t>
                  </w:r>
                </w:p>
                <w:p>
                  <w:pPr>
                    <w:jc w:val="center"/>
                  </w:pPr>
                  <w:r>
                    <w:rPr>
                      <w:color w:val="FFFFFF"/>
                      <w:sz w:val="26"/>
                    </w:rPr>
                    <w:t>If you're looking for personalized assistance</w:t>
                  </w:r>
                </w:p>
                <w:p>
                  <w:pPr>
                    <w:jc w:val="center"/>
                  </w:pPr>
                  <w:r>
                    <w:rPr>
                      <w:color w:val="FFFFFF"/>
                      <w:sz w:val="26"/>
                    </w:rPr>
                    <w:t>for immigration/relocation to ANZ region,</w:t>
                  </w:r>
                </w:p>
                <w:p>
                  <w:pPr>
                    <w:jc w:val="center"/>
                  </w:pPr>
                  <w:r>
                    <w:rPr>
                      <w:color w:val="FFFFFF"/>
                      <w:sz w:val="26"/>
                    </w:rPr>
                    <w:t>I'd love to help you.</w:t>
                  </w:r>
                </w:p>
                <w:p>
                  <w:pPr>
                    <w:jc w:val="center"/>
                  </w:pPr>
                  <w:r>
                    <w:br/>
                  </w:r>
                </w:p>
                <w:p>
                  <w:pPr>
                    <w:jc w:val="center"/>
                  </w:pPr>
                  <w:r>
                    <w:rPr>
                      <w:b/>
                      <w:color w:val="FFFFFF"/>
                      <w:sz w:val="40"/>
                    </w:rPr>
                    <w:t>Entel@settleanz.com</w:t>
                  </w:r>
                </w:p>
              </w:tc>
            </w:tr>
          </w:tbl>
          <w:p/>
          <w:p/>
          <w:p/>
          <w:p/>
          <w:p>
            <w:pPr>
              <w:jc w:val="center"/>
            </w:pPr>
            <w:r>
              <w:rPr>
                <w:color w:val="FFFFFF"/>
                <w:sz w:val="24"/>
              </w:rPr>
              <w:t>If you find this helpful, drop me a message.</w:t>
            </w:r>
          </w:p>
          <w:p>
            <w:pPr>
              <w:jc w:val="center"/>
            </w:pPr>
            <w:r>
              <w:rPr>
                <w:b/>
                <w:color w:val="E8773A"/>
                <w:sz w:val="44"/>
              </w:rPr>
              <w:t>SETTLEANZ.COM</w:t>
            </w:r>
          </w:p>
          <w:p>
            <w:pPr>
              <w:jc w:val="center"/>
            </w:pPr>
            <w:r>
              <w:rPr>
                <w:color w:val="FFFFFF"/>
                <w:sz w:val="24"/>
              </w:rPr>
              <w:t>Your Australian Journey Starts Here</w:t>
            </w:r>
          </w:p>
          <w:p/>
          <w:p/>
          <w:p>
            <w:pPr>
              <w:jc w:val="center"/>
            </w:pPr>
            <w:r>
              <w:rPr>
                <w:i/>
                <w:color w:val="FFFFFF"/>
                <w:sz w:val="22"/>
              </w:rPr>
              <w:t>"The best time to plant a tree was 20 years ago.</w:t>
            </w:r>
          </w:p>
          <w:p>
            <w:pPr>
              <w:jc w:val="center"/>
            </w:pPr>
            <w:r>
              <w:rPr>
                <w:i/>
                <w:color w:val="FFFFFF"/>
                <w:sz w:val="22"/>
              </w:rPr>
              <w:t>The second best time is now."</w:t>
            </w:r>
          </w:p>
          <w:p/>
          <w:p/>
          <w:p/>
          <w:p/>
          <w:p/>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