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/>
          <w:b/>
          <w:sz w:val="22"/>
        </w:rPr>
        <w:t>config</w:t>
      </w:r>
    </w:p>
    <w:p>
      <w:pPr>
        <w:spacing w:before="0" w:after="60" w:line="240" w:lineRule="auto"/>
      </w:pPr>
      <w:r>
        <w:rPr>
          <w:rFonts w:ascii="Arial" w:hAnsi="Arial"/>
          <w:b/>
          <w:sz w:val="19"/>
        </w:rPr>
        <w:t>config/overrides.example.yml</w:t>
      </w:r>
    </w:p>
    <w:p>
      <w:pPr>
        <w:spacing w:before="0" w:after="80" w:line="240" w:lineRule="auto"/>
      </w:pPr>
      <w:r>
        <w:rPr>
          <w:rFonts w:ascii="Arial" w:hAnsi="Arial"/>
          <w:b w:val="0"/>
          <w:sz w:val="19"/>
        </w:rPr>
        <w:t>Показывает форму общих ручных overrides: выбор operation, field mapping и transformation. Файл является примером структуры и не добавляет provider-specific правила в Mapping::Mapper.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