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 w:line="240" w:lineRule="auto"/>
      </w:pPr>
      <w:r>
        <w:rPr>
          <w:rFonts w:ascii="Arial" w:hAnsi="Arial" w:eastAsia="Arial"/>
          <w:b/>
          <w:sz w:val="20"/>
        </w:rPr>
        <w:t>Class: ProviderCompiler::Core::API::Parameter</w:t>
      </w:r>
    </w:p>
    <w:p>
      <w:pPr>
        <w:spacing w:before="0" w:after="60" w:line="240" w:lineRule="auto"/>
      </w:pPr>
      <w:r>
        <w:rPr>
          <w:rFonts w:ascii="Arial" w:hAnsi="Arial" w:eastAsia="Arial"/>
          <w:b w:val="0"/>
          <w:sz w:val="20"/>
        </w:rPr>
        <w:t>Исходный файл: lib/provider_compiler/core/api/parameter.rb</w:t>
      </w:r>
    </w:p>
    <w:p>
      <w:pPr>
        <w:spacing w:before="0" w:after="80" w:line="240" w:lineRule="auto"/>
      </w:pPr>
      <w:r>
        <w:rPr>
          <w:rFonts w:ascii="Arial" w:hAnsi="Arial" w:eastAsia="Arial"/>
          <w:b w:val="0"/>
          <w:sz w:val="20"/>
        </w:rPr>
        <w:t>Назначение: Внутренняя модель OpenAPI parameter для path, query, header или cookie.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625"/>
        <w:gridCol w:w="7625"/>
      </w:tblGrid>
      <w:tr>
        <w:trPr>
          <w:tblHeader w:val="true"/>
        </w:trP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Свойство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Значение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Тип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Класс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Данные объекта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name, location, required, schema, description, example, deprecated, extensions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Прямые require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schema</w:t>
            </w:r>
          </w:p>
        </w:tc>
      </w:tr>
      <w:tr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Unit tests</w:t>
            </w:r>
          </w:p>
        </w:tc>
        <w:tc>
          <w:tcPr>
            <w:tcW w:type="dxa" w:w="7625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spec/unit/core/api/parameter_spec.rb</w:t>
            </w:r>
          </w:p>
        </w:tc>
      </w:tr>
    </w:tbl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</w:r>
    </w:p>
    <w:p>
      <w:pPr>
        <w:spacing w:before="0" w:after="60" w:line="240" w:lineRule="auto"/>
      </w:pPr>
      <w:r>
        <w:rPr>
          <w:rFonts w:ascii="Arial" w:hAnsi="Arial" w:eastAsia="Arial"/>
          <w:b/>
          <w:sz w:val="20"/>
        </w:rPr>
        <w:t>Методы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rPr>
          <w:tblHeader w:val="true"/>
        </w:trP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Метод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Принимает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Возвращает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Ошибки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Назначение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initialize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name:, location:, required: false, schema: nil, description: nil, example: nil, deprecated: false, extensions: {}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Экземпляр класса создается через .new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ArgumentError при нарушении инвариантов данных.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Сохраняет входные данные и зависимости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path?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header?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cookie?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to_h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представление объекта.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==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other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Сравнивает объекты по значимым данным.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 [public]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Возвращает hash для value equality.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empty?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string_keyed_copy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hash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serialize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Внутреннее значение для вызывающего метода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Вспомогательная часть внутренней логики класса.</w:t>
            </w:r>
          </w:p>
        </w:tc>
      </w:tr>
      <w:tr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core_api_object? [private]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value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Нет в штатном сценарии.</w:t>
            </w:r>
          </w:p>
        </w:tc>
        <w:tc>
          <w:tcPr>
            <w:tcW w:type="dxa" w:w="3050"/>
            <w:vAlign w:val="top"/>
          </w:tcPr>
          <w:p>
            <w:pPr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Проверяет условие, указанное названием метода.</w:t>
            </w:r>
          </w:p>
        </w:tc>
      </w:tr>
    </w:tbl>
    <w:sectPr w:rsidR="00FC693F" w:rsidRPr="0006063C" w:rsidSect="00034616">
      <w:pgSz w:w="16838" w:h="11906" w:orient="landscape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