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00" w:line="240" w:lineRule="auto"/>
      </w:pPr>
      <w:r>
        <w:rPr>
          <w:rFonts w:ascii="Arial" w:hAnsi="Arial" w:eastAsia="Arial"/>
          <w:b/>
          <w:sz w:val="20"/>
        </w:rPr>
        <w:t>Class: ProviderCompiler::Core::Mapping::ErrorMapping</w:t>
      </w:r>
    </w:p>
    <w:p>
      <w:pPr>
        <w:spacing w:before="0" w:after="60" w:line="240" w:lineRule="auto"/>
      </w:pPr>
      <w:r>
        <w:rPr>
          <w:rFonts w:ascii="Arial" w:hAnsi="Arial" w:eastAsia="Arial"/>
          <w:b w:val="0"/>
          <w:sz w:val="20"/>
        </w:rPr>
        <w:t>Исходный файл: lib/provider_compiler/core/mapping/error_mapping.rb</w:t>
      </w:r>
    </w:p>
    <w:p>
      <w:pPr>
        <w:spacing w:before="0" w:after="80" w:line="240" w:lineRule="auto"/>
      </w:pPr>
      <w:r>
        <w:rPr>
          <w:rFonts w:ascii="Arial" w:hAnsi="Arial" w:eastAsia="Arial"/>
          <w:b w:val="0"/>
          <w:sz w:val="20"/>
        </w:rPr>
        <w:t>Назначение: Описание преобразования HTTP/provider error во внутренний failure code с дополнительными путями code/message и retry metadata.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625"/>
        <w:gridCol w:w="7625"/>
      </w:tblGrid>
      <w:tr>
        <w:trPr>
          <w:tblHeader w:val="true"/>
        </w:trPr>
        <w:tc>
          <w:tcPr>
            <w:tcW w:type="dxa" w:w="762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Свойство</w:t>
            </w:r>
          </w:p>
        </w:tc>
        <w:tc>
          <w:tcPr>
            <w:tcW w:type="dxa" w:w="762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Значение</w:t>
            </w:r>
          </w:p>
        </w:tc>
      </w:tr>
      <w:tr>
        <w:tc>
          <w:tcPr>
            <w:tcW w:type="dxa" w:w="762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Тип</w:t>
            </w:r>
          </w:p>
        </w:tc>
        <w:tc>
          <w:tcPr>
            <w:tcW w:type="dxa" w:w="762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Класс</w:t>
            </w:r>
          </w:p>
        </w:tc>
      </w:tr>
      <w:tr>
        <w:tc>
          <w:tcPr>
            <w:tcW w:type="dxa" w:w="762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Данные объекта</w:t>
            </w:r>
          </w:p>
        </w:tc>
        <w:tc>
          <w:tcPr>
            <w:tcW w:type="dxa" w:w="762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operation_role, http_status, provider_code, provider_code_path, message_path, target, retryable, retry_after_header, decision, evidence, metadata</w:t>
            </w:r>
          </w:p>
        </w:tc>
      </w:tr>
      <w:tr>
        <w:tc>
          <w:tcPr>
            <w:tcW w:type="dxa" w:w="762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Unit tests</w:t>
            </w:r>
          </w:p>
        </w:tc>
        <w:tc>
          <w:tcPr>
            <w:tcW w:type="dxa" w:w="762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spec/unit/core/mapping/error_mapping_spec.rb</w:t>
            </w:r>
          </w:p>
        </w:tc>
      </w:tr>
    </w:tbl>
    <w:p>
      <w:pPr>
        <w:spacing w:before="0" w:after="40" w:line="240" w:lineRule="auto"/>
      </w:pPr>
      <w:r>
        <w:rPr>
          <w:rFonts w:ascii="Arial" w:hAnsi="Arial" w:eastAsia="Arial"/>
          <w:b w:val="0"/>
          <w:sz w:val="20"/>
        </w:rPr>
      </w:r>
    </w:p>
    <w:p>
      <w:pPr>
        <w:spacing w:before="0" w:after="60" w:line="240" w:lineRule="auto"/>
      </w:pPr>
      <w:r>
        <w:rPr>
          <w:rFonts w:ascii="Arial" w:hAnsi="Arial" w:eastAsia="Arial"/>
          <w:b/>
          <w:sz w:val="20"/>
        </w:rPr>
        <w:t>Методы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50"/>
        <w:gridCol w:w="3050"/>
        <w:gridCol w:w="3050"/>
        <w:gridCol w:w="3050"/>
        <w:gridCol w:w="3050"/>
      </w:tblGrid>
      <w:tr>
        <w:trPr>
          <w:tblHeader w:val="true"/>
        </w:trP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Метод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Принимает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Возвращает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Ошибки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Назначение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initialize [public]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operation_role: nil, http_status: nil, provider_code: nil, provider_code_path: nil, message_path: nil, target: nil, retryable: false, retry_after_header: nil, decision: :auto, evidence: [], metadata: {}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Экземпляр класса создается через .new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ArgumentError при нарушении инвариантов данных.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Сохраняет входные данные и зависимости объекта.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matches_http_status? [public]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status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Boolean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 в штатном сценарии.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Проверяет условие, указанное названием метода.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retryable? [public]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Boolean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 в штатном сценарии.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Проверяет условие, указанное названием метода.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auto? [public]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Boolean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 в штатном сценарии.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Проверяет условие, указанное названием метода.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needs_review? [public]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Boolean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 в штатном сценарии.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Проверяет условие, указанное названием метода.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manual? [public]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Boolean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 в штатном сценарии.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Проверяет условие, указанное названием метода.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unresolved? [public]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Boolean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 в штатном сценарии.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Проверяет условие, указанное названием метода.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resolved? [public]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Boolean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 в штатном сценарии.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Проверяет условие, указанное названием метода.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to_h [public]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Hash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 в штатном сценарии.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Возвращает Hash представление объекта.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== [public]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other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Boolean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 в штатном сценарии.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Сравнивает объекты по значимым данным.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hash [public]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Integer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 в штатном сценарии.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Возвращает hash для value equality.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copy_collection [private]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value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Глубокая копия входного значения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 в штатном сценарии.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Копирует данные для `collection`.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serialize [private]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value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Внутреннее значение для вызывающего метода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 в штатном сценарии.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Вспомогательная часть внутренней логики класса.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serializable_core_object? [private]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value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Boolean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 в штатном сценарии.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Проверяет условие, указанное названием метода.</w:t>
            </w:r>
          </w:p>
        </w:tc>
      </w:tr>
    </w:tbl>
    <w:sectPr w:rsidR="00FC693F" w:rsidRPr="0006063C" w:rsidSect="00034616">
      <w:pgSz w:w="16838" w:h="11906" w:orient="landscape"/>
      <w:pgMar w:top="794" w:right="794" w:bottom="794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