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00" w:line="240" w:lineRule="auto"/>
      </w:pPr>
      <w:r>
        <w:rPr>
          <w:rFonts w:ascii="Arial" w:hAnsi="Arial" w:eastAsia="Arial"/>
          <w:b/>
          <w:sz w:val="20"/>
        </w:rPr>
        <w:t>Class: ProviderCompiler::Mapping::StatusMapper</w:t>
      </w:r>
    </w:p>
    <w:p>
      <w:pPr>
        <w:spacing w:before="0" w:after="60" w:line="240" w:lineRule="auto"/>
      </w:pPr>
      <w:r>
        <w:rPr>
          <w:rFonts w:ascii="Arial" w:hAnsi="Arial" w:eastAsia="Arial"/>
          <w:b w:val="0"/>
          <w:sz w:val="20"/>
        </w:rPr>
        <w:t>Исходный файл: lib/provider_compiler/mapping/status_mapper.rb</w:t>
      </w:r>
    </w:p>
    <w:p>
      <w:pPr>
        <w:spacing w:before="0" w:after="80" w:line="240" w:lineRule="auto"/>
      </w:pPr>
      <w:r>
        <w:rPr>
          <w:rFonts w:ascii="Arial" w:hAnsi="Arial" w:eastAsia="Arial"/>
          <w:b w:val="0"/>
          <w:sz w:val="20"/>
        </w:rPr>
        <w:t>Назначение: Находит provider status enum и строит канонический status mapping без угадывания неизвестных значений.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625"/>
        <w:gridCol w:w="7625"/>
      </w:tblGrid>
      <w:tr>
        <w:trPr>
          <w:tblHeader w:val="true"/>
        </w:trPr>
        <w:tc>
          <w:tcPr>
            <w:tcW w:type="dxa" w:w="762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Свойство</w:t>
            </w:r>
          </w:p>
        </w:tc>
        <w:tc>
          <w:tcPr>
            <w:tcW w:type="dxa" w:w="762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Значение</w:t>
            </w:r>
          </w:p>
        </w:tc>
      </w:tr>
      <w:tr>
        <w:tc>
          <w:tcPr>
            <w:tcW w:type="dxa" w:w="762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Тип</w:t>
            </w:r>
          </w:p>
        </w:tc>
        <w:tc>
          <w:tcPr>
            <w:tcW w:type="dxa" w:w="762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Класс</w:t>
            </w:r>
          </w:p>
        </w:tc>
      </w:tr>
      <w:tr>
        <w:tc>
          <w:tcPr>
            <w:tcW w:type="dxa" w:w="762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Данные объекта</w:t>
            </w:r>
          </w:p>
        </w:tc>
        <w:tc>
          <w:tcPr>
            <w:tcW w:type="dxa" w:w="762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diagnostics</w:t>
            </w:r>
          </w:p>
        </w:tc>
      </w:tr>
      <w:tr>
        <w:tc>
          <w:tcPr>
            <w:tcW w:type="dxa" w:w="762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Константы</w:t>
            </w:r>
          </w:p>
        </w:tc>
        <w:tc>
          <w:tcPr>
            <w:tcW w:type="dxa" w:w="762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CANONICAL</w:t>
            </w:r>
          </w:p>
        </w:tc>
      </w:tr>
      <w:tr>
        <w:tc>
          <w:tcPr>
            <w:tcW w:type="dxa" w:w="762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Прямые require</w:t>
            </w:r>
          </w:p>
        </w:tc>
        <w:tc>
          <w:tcPr>
            <w:tcW w:type="dxa" w:w="762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../core/diagnostic, ../core/mapping/status_mapping</w:t>
            </w:r>
          </w:p>
        </w:tc>
      </w:tr>
      <w:tr>
        <w:tc>
          <w:tcPr>
            <w:tcW w:type="dxa" w:w="762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Unit tests</w:t>
            </w:r>
          </w:p>
        </w:tc>
        <w:tc>
          <w:tcPr>
            <w:tcW w:type="dxa" w:w="762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spec/unit/mapping/status_mapper_spec.rb</w:t>
            </w:r>
          </w:p>
        </w:tc>
      </w:tr>
    </w:tbl>
    <w:p>
      <w:pPr>
        <w:spacing w:before="0" w:after="40" w:line="240" w:lineRule="auto"/>
      </w:pPr>
      <w:r>
        <w:rPr>
          <w:rFonts w:ascii="Arial" w:hAnsi="Arial" w:eastAsia="Arial"/>
          <w:b w:val="0"/>
          <w:sz w:val="20"/>
        </w:rPr>
      </w:r>
    </w:p>
    <w:p>
      <w:pPr>
        <w:spacing w:before="0" w:after="60" w:line="240" w:lineRule="auto"/>
      </w:pPr>
      <w:r>
        <w:rPr>
          <w:rFonts w:ascii="Arial" w:hAnsi="Arial" w:eastAsia="Arial"/>
          <w:b/>
          <w:sz w:val="20"/>
        </w:rPr>
        <w:t>Методы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50"/>
        <w:gridCol w:w="3050"/>
        <w:gridCol w:w="3050"/>
        <w:gridCol w:w="3050"/>
        <w:gridCol w:w="3050"/>
      </w:tblGrid>
      <w:tr>
        <w:trPr>
          <w:tblHeader w:val="true"/>
        </w:trPr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Метод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Принимает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Возвращает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Ошибки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Назначение</w:t>
            </w:r>
          </w:p>
        </w:tc>
      </w:tr>
      <w:tr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initialize [public]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Нет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Экземпляр класса создается через .new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Нет в штатном сценарии.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Сохраняет входные данные и зависимости объекта.</w:t>
            </w:r>
          </w:p>
        </w:tc>
      </w:tr>
      <w:tr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call [public]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provider_spec:, operation_matches: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Core::Mapping::StatusMapping либо nil при unresolved mapping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Через Core::Result и Diagnostic.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Выполняет основную операцию класса.</w:t>
            </w:r>
          </w:p>
        </w:tc>
      </w:tr>
      <w:tr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status_observations [private]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matches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Внутреннее значение для вызывающего метода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Нет отдельно.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Вспомогательная часть внутренней логики класса.</w:t>
            </w:r>
          </w:p>
        </w:tc>
      </w:tr>
      <w:tr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find_status_fields [private]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schema, prefix = nil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Найденный объект либо nil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Нет отдельно.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Ищет данные для `status fields`.</w:t>
            </w:r>
          </w:p>
        </w:tc>
      </w:tr>
      <w:tr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provider_paths [private]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observations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Внутреннее значение для вызывающего метода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Нет отдельно.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Вспомогательная часть внутренней логики класса.</w:t>
            </w:r>
          </w:p>
        </w:tc>
      </w:tr>
      <w:tr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validate_status_paths [private]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matches, observations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Внутренний результат проверки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Нет отдельно.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Проверяет `status paths`.</w:t>
            </w:r>
          </w:p>
        </w:tc>
      </w:tr>
      <w:tr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selected_operation [private]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matches, role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Найденный объект либо nil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Нет отдельно.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Вспомогательная часть внутренней логики класса.</w:t>
            </w:r>
          </w:p>
        </w:tc>
      </w:tr>
      <w:tr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canonical_status [private]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value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Внутреннее значение для вызывающего метода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Нет отдельно.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Вспомогательная часть внутренней логики класса.</w:t>
            </w:r>
          </w:p>
        </w:tc>
      </w:tr>
      <w:tr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normalize [private]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value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Внутреннее значение для вызывающего метода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Нет отдельно.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Вспомогательная часть внутренней логики класса.</w:t>
            </w:r>
          </w:p>
        </w:tc>
      </w:tr>
      <w:tr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add [private]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severity, code, message, state, metadata: {}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Внутреннее значение для вызывающего метода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Нет отдельно.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Вспомогательная часть внутренней логики класса.</w:t>
            </w:r>
          </w:p>
        </w:tc>
      </w:tr>
    </w:tbl>
    <w:sectPr w:rsidR="00FC693F" w:rsidRPr="0006063C" w:rsidSect="00034616">
      <w:pgSz w:w="16838" w:h="11906" w:orient="landscape"/>
      <w:pgMar w:top="794" w:right="794" w:bottom="794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