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6e47c58b7ccc5e690611f94c6c8394d19a9e6a"/>
    <w:p>
      <w:pPr>
        <w:pStyle w:val="Heading1"/>
      </w:pPr>
      <w:r>
        <w:t xml:space="preserve">AgriChain — Mobile Money &amp; QuickBooks Integration Plan</w:t>
      </w:r>
    </w:p>
    <w:p>
      <w:pPr>
        <w:pStyle w:val="FirstParagraph"/>
      </w:pPr>
      <w:r>
        <w:rPr>
          <w:i/>
          <w:iCs/>
        </w:rPr>
        <w:t xml:space="preserve">Prepared for management, finance, and operator/partner discussions.</w:t>
      </w:r>
      <w:r>
        <w:t xml:space="preserve"> </w:t>
      </w:r>
      <w:r>
        <w:rPr>
          <w:i/>
          <w:iCs/>
        </w:rPr>
        <w:t xml:space="preserve">AgriChain — Mtandeo Commodities Ltd, Uganda.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AgriChain can pay farmers and suppliers, and collect from buyers, directly through the</w:t>
      </w:r>
      <w:r>
        <w:t xml:space="preserve"> </w:t>
      </w:r>
      <w:r>
        <w:rPr>
          <w:b/>
          <w:bCs/>
        </w:rPr>
        <w:t xml:space="preserve">MTN MoMo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Airtel Money</w:t>
      </w:r>
      <w:r>
        <w:t xml:space="preserve"> </w:t>
      </w:r>
      <w:r>
        <w:t xml:space="preserve">APIs — this is normal</w:t>
      </w:r>
      <w:r>
        <w:t xml:space="preserve"> </w:t>
      </w:r>
      <w:r>
        <w:rPr>
          <w:i/>
          <w:iCs/>
        </w:rPr>
        <w:t xml:space="preserve">merchant</w:t>
      </w:r>
      <w:r>
        <w:t xml:space="preserve"> </w:t>
      </w:r>
      <w:r>
        <w:t xml:space="preserve">use and requires</w:t>
      </w:r>
      <w:r>
        <w:t xml:space="preserve"> </w:t>
      </w:r>
      <w:r>
        <w:rPr>
          <w:b/>
          <w:bCs/>
        </w:rPr>
        <w:t xml:space="preserve">no special payment-systems licence</w:t>
      </w:r>
      <w:r>
        <w:t xml:space="preserve">.</w:t>
      </w:r>
      <w:r>
        <w:t xml:space="preserve"> </w:t>
      </w:r>
      <w:r>
        <w:t xml:space="preserve">“Becoming our own payment gateway/aggregator”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businesses is a different, regulated activity that requires a</w:t>
      </w:r>
      <w:r>
        <w:t xml:space="preserve"> </w:t>
      </w:r>
      <w:r>
        <w:rPr>
          <w:b/>
          <w:bCs/>
        </w:rPr>
        <w:t xml:space="preserve">Bank of Uganda licence</w:t>
      </w:r>
      <w:r>
        <w:t xml:space="preserve"> </w:t>
      </w:r>
      <w:r>
        <w:t xml:space="preserve">and is a company/regulatory project, not a software feature.</w:t>
      </w:r>
    </w:p>
    <w:p>
      <w:pPr>
        <w:pStyle w:val="BodyText"/>
      </w:pPr>
      <w:r>
        <w:t xml:space="preserve">Separately,</w:t>
      </w:r>
      <w:r>
        <w:t xml:space="preserve"> </w:t>
      </w:r>
      <w:r>
        <w:rPr>
          <w:b/>
          <w:bCs/>
        </w:rPr>
        <w:t xml:space="preserve">QuickBooks</w:t>
      </w:r>
      <w:r>
        <w:t xml:space="preserve"> </w:t>
      </w:r>
      <w:r>
        <w:t xml:space="preserve">can be connected so AgriChain’s financial events (payments, procurement spend, sales) flow into the books automatically, removing manual re-entry.</w:t>
      </w:r>
    </w:p>
    <w:p>
      <w:pPr>
        <w:pStyle w:val="BodyText"/>
      </w:pPr>
      <w:r>
        <w:t xml:space="preserve">The recommended sequence: wire up mobile-money</w:t>
      </w:r>
      <w:r>
        <w:t xml:space="preserve"> </w:t>
      </w:r>
      <w:r>
        <w:rPr>
          <w:b/>
          <w:bCs/>
        </w:rPr>
        <w:t xml:space="preserve">disbursements</w:t>
      </w:r>
      <w:r>
        <w:t xml:space="preserve"> </w:t>
      </w:r>
      <w:r>
        <w:t xml:space="preserve">(sandbox first), confirm settlement of mobile-money payments, then connect QuickBooks so the books only ever reflect real, settled cash.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8" w:name="part-a-quickbooks-integration-plan"/>
    <w:p>
      <w:pPr>
        <w:pStyle w:val="Heading1"/>
      </w:pPr>
      <w:r>
        <w:t xml:space="preserve">Part A — QuickBooks Integration Plan</w:t>
      </w:r>
    </w:p>
    <w:bookmarkStart w:id="11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Get AgriChain’s financial events into QuickBooks automatically so the books reflect real procurement spend, payments, and sales — without manual data entry.</w:t>
      </w:r>
    </w:p>
    <w:bookmarkEnd w:id="11"/>
    <w:bookmarkStart w:id="12" w:name="X4b804a45e89038625800afb83fed101b3d5ad8a"/>
    <w:p>
      <w:pPr>
        <w:pStyle w:val="Heading2"/>
      </w:pPr>
      <w:r>
        <w:t xml:space="preserve">2. Direction &amp; grain (the two decisions that shape everything)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One-way push, AgriChain → QuickBooks. AgriChain remains the operational source of truth; QuickBooks is the book of record. (Two-way sync is far more complex and not needed.)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Grain — recommended:</w:t>
      </w:r>
      <w:r>
        <w:t xml:space="preserve"> </w:t>
      </w:r>
      <w:r>
        <w:rPr>
          <w:b/>
          <w:bCs/>
        </w:rPr>
        <w:t xml:space="preserve">Daily summarised journal entries per buying station</w:t>
      </w:r>
      <w:r>
        <w:t xml:space="preserve">, not every individual delivery. A field operation can generate thousands of micro-payments a day; pushing each one bloats QuickBooks and makes reconciliation difficult. We push one summarised entry per station per day, with drill-down references back to AgriChain.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Alternative (only if the accountant insists):</w:t>
      </w:r>
      <w:r>
        <w:t xml:space="preserve"> </w:t>
      </w:r>
      <w:r>
        <w:t xml:space="preserve">transaction-level — each supplier/farmer payment as a Bill/Expense and each sale as an Invoice. This can be added later if required.</w:t>
      </w:r>
    </w:p>
    <w:bookmarkEnd w:id="12"/>
    <w:bookmarkStart w:id="13" w:name="what-maps-to-what"/>
    <w:p>
      <w:pPr>
        <w:pStyle w:val="Heading2"/>
      </w:pPr>
      <w:r>
        <w:t xml:space="preserve">3. What maps to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AgriChain event</w:t>
            </w:r>
          </w:p>
        </w:tc>
        <w:tc>
          <w:tcPr/>
          <w:p>
            <w:pPr>
              <w:pStyle w:val="Compact"/>
            </w:pPr>
            <w:r>
              <w:t xml:space="preserve">QuickBooks object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Farmer / supplier payment (money out)</w:t>
            </w:r>
          </w:p>
        </w:tc>
        <w:tc>
          <w:tcPr/>
          <w:p>
            <w:pPr>
              <w:pStyle w:val="Compact"/>
            </w:pPr>
            <w:r>
              <w:t xml:space="preserve">Expense / Bill Payment (or summarised Journal Entry)</w:t>
            </w:r>
          </w:p>
        </w:tc>
        <w:tc>
          <w:tcPr/>
          <w:p>
            <w:pPr>
              <w:pStyle w:val="Compact"/>
            </w:pPr>
            <w:r>
              <w:t xml:space="preserve">Farmers &amp; suppliers = QuickBooks</w:t>
            </w:r>
            <w:r>
              <w:t xml:space="preserve"> </w:t>
            </w:r>
            <w:r>
              <w:rPr>
                <w:b/>
                <w:bCs/>
              </w:rPr>
              <w:t xml:space="preserve">Vendors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Cash-float top-up &amp; deductions</w:t>
            </w:r>
          </w:p>
        </w:tc>
        <w:tc>
          <w:tcPr/>
          <w:p>
            <w:pPr>
              <w:pStyle w:val="Compact"/>
            </w:pPr>
            <w:r>
              <w:t xml:space="preserve">Transfer / Journal Entry</w:t>
            </w:r>
          </w:p>
        </w:tc>
        <w:tc>
          <w:tcPr/>
          <w:p>
            <w:pPr>
              <w:pStyle w:val="Compact"/>
            </w:pPr>
            <w:r>
              <w:t xml:space="preserve">Internal movement; tracks agent cash 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to a buyer (money in)</w:t>
            </w:r>
          </w:p>
        </w:tc>
        <w:tc>
          <w:tcPr/>
          <w:p>
            <w:pPr>
              <w:pStyle w:val="Compact"/>
            </w:pPr>
            <w:r>
              <w:t xml:space="preserve">Sales Receipt / Invoice</w:t>
            </w:r>
          </w:p>
        </w:tc>
        <w:tc>
          <w:tcPr/>
          <w:p>
            <w:pPr>
              <w:pStyle w:val="Compact"/>
            </w:pPr>
            <w:r>
              <w:t xml:space="preserve">Buyers = QuickBooks</w:t>
            </w:r>
            <w:r>
              <w:t xml:space="preserve"> </w:t>
            </w:r>
            <w:r>
              <w:rPr>
                <w:b/>
                <w:bCs/>
              </w:rPr>
              <w:t xml:space="preserve">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Commodity (coffee, maize, etc.)</w:t>
            </w:r>
          </w:p>
        </w:tc>
        <w:tc>
          <w:tcPr/>
          <w:p>
            <w:pPr>
              <w:pStyle w:val="Compact"/>
            </w:pPr>
            <w:r>
              <w:t xml:space="preserve">Product/Service</w:t>
            </w:r>
            <w:r>
              <w:t xml:space="preserve"> </w:t>
            </w: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One item per commodity in the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cost by commodity</w:t>
            </w:r>
          </w:p>
        </w:tc>
        <w:tc>
          <w:tcPr/>
          <w:p>
            <w:pPr>
              <w:pStyle w:val="Compact"/>
            </w:pPr>
            <w:r>
              <w:t xml:space="preserve">Mapped to expense / COGS accounts</w:t>
            </w:r>
          </w:p>
        </w:tc>
        <w:tc>
          <w:tcPr/>
          <w:p>
            <w:pPr>
              <w:pStyle w:val="Compact"/>
            </w:pPr>
            <w:r>
              <w:t xml:space="preserve">Drives margin reporting</w:t>
            </w:r>
          </w:p>
        </w:tc>
      </w:tr>
    </w:tbl>
    <w:bookmarkEnd w:id="13"/>
    <w:bookmarkStart w:id="14" w:name="X21843a81ce1b6524ef3d5d3812020dedb0c62f5"/>
    <w:p>
      <w:pPr>
        <w:pStyle w:val="Heading2"/>
      </w:pPr>
      <w:r>
        <w:t xml:space="preserve">4. Chart-of-accounts mapping (needs the accountant’s sign-off)</w:t>
      </w:r>
    </w:p>
    <w:p>
      <w:pPr>
        <w:pStyle w:val="FirstParagraph"/>
      </w:pPr>
      <w:r>
        <w:t xml:space="preserve">Before any code, finance decides which QuickBooks accounts these events hit — e.g. </w:t>
      </w:r>
      <w:r>
        <w:t xml:space="preserve">“Crop Purchases (COGS)”</w:t>
      </w:r>
      <w:r>
        <w:t xml:space="preserve">,</w:t>
      </w:r>
      <w:r>
        <w:t xml:space="preserve"> </w:t>
      </w:r>
      <w:r>
        <w:t xml:space="preserve">“Mobile Money Clearing”</w:t>
      </w:r>
      <w:r>
        <w:t xml:space="preserve">,</w:t>
      </w:r>
      <w:r>
        <w:t xml:space="preserve"> </w:t>
      </w:r>
      <w:r>
        <w:t xml:space="preserve">“Cash Float — Field Agents”</w:t>
      </w:r>
      <w:r>
        <w:t xml:space="preserve">,</w:t>
      </w:r>
      <w:r>
        <w:t xml:space="preserve"> </w:t>
      </w:r>
      <w:r>
        <w:t xml:space="preserve">“Sales Revenue”</w:t>
      </w:r>
      <w:r>
        <w:t xml:space="preserve">.</w:t>
      </w:r>
      <w:r>
        <w:t xml:space="preserve"> </w:t>
      </w:r>
      <w:r>
        <w:rPr>
          <w:b/>
          <w:bCs/>
        </w:rPr>
        <w:t xml:space="preserve">This is a business decision, not a technical one.</w:t>
      </w:r>
      <w:r>
        <w:t xml:space="preserve"> </w:t>
      </w:r>
      <w:r>
        <w:t xml:space="preserve">A simple mapping table will be provided for finance to complete.</w:t>
      </w:r>
    </w:p>
    <w:bookmarkEnd w:id="14"/>
    <w:bookmarkStart w:id="15" w:name="phasing"/>
    <w:p>
      <w:pPr>
        <w:pStyle w:val="Heading2"/>
      </w:pPr>
      <w:r>
        <w:t xml:space="preserve">5. Phasing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Code?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— Decisions</w:t>
            </w:r>
          </w:p>
        </w:tc>
        <w:tc>
          <w:tcPr/>
          <w:p>
            <w:pPr>
              <w:pStyle w:val="Compact"/>
            </w:pPr>
            <w:r>
              <w:t xml:space="preserve">Confirm grain + chart-of-accounts mapping with the accountant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Connect &amp; masters</w:t>
            </w:r>
          </w:p>
        </w:tc>
        <w:tc>
          <w:tcPr/>
          <w:p>
            <w:pPr>
              <w:pStyle w:val="Compact"/>
            </w:pPr>
            <w:r>
              <w:t xml:space="preserve">Connect QuickBooks; sync vendors (farmers/suppliers), customers (buyers), items (commodities)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Money out</w:t>
            </w:r>
          </w:p>
        </w:tc>
        <w:tc>
          <w:tcPr/>
          <w:p>
            <w:pPr>
              <w:pStyle w:val="Compact"/>
            </w:pPr>
            <w:r>
              <w:t xml:space="preserve">Push payments / procurement as daily summarised entries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Money in</w:t>
            </w:r>
          </w:p>
        </w:tc>
        <w:tc>
          <w:tcPr/>
          <w:p>
            <w:pPr>
              <w:pStyle w:val="Compact"/>
            </w:pPr>
            <w:r>
              <w:t xml:space="preserve">Push sales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 — Reconciliation aids</w:t>
            </w:r>
          </w:p>
        </w:tc>
        <w:tc>
          <w:tcPr/>
          <w:p>
            <w:pPr>
              <w:pStyle w:val="Compact"/>
            </w:pPr>
            <w:r>
              <w:t xml:space="preserve">Sync log + status indicators in the back office; retry failures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5"/>
    <w:bookmarkStart w:id="16" w:name="effort-key-dependency"/>
    <w:p>
      <w:pPr>
        <w:pStyle w:val="Heading2"/>
      </w:pPr>
      <w:r>
        <w:t xml:space="preserve">6. Effort &amp; key dependency</w:t>
      </w:r>
    </w:p>
    <w:p>
      <w:pPr>
        <w:pStyle w:val="FirstParagraph"/>
      </w:pPr>
      <w:r>
        <w:t xml:space="preserve">Moderate build, mostly back-office and API-server work.</w:t>
      </w:r>
      <w:r>
        <w:t xml:space="preserve"> </w:t>
      </w:r>
      <w:r>
        <w:rPr>
          <w:b/>
          <w:bCs/>
        </w:rPr>
        <w:t xml:space="preserve">Key dependency:</w:t>
      </w:r>
      <w:r>
        <w:t xml:space="preserve"> </w:t>
      </w:r>
      <w:r>
        <w:t xml:space="preserve">if mobile-money payments are still unsettled (recorded as pending), they must not post to QuickBooks as cleared.</w:t>
      </w:r>
      <w:r>
        <w:t xml:space="preserve"> </w:t>
      </w:r>
      <w:r>
        <w:rPr>
          <w:b/>
          <w:bCs/>
        </w:rPr>
        <w:t xml:space="preserve">Sequence Phase 2 (money-out) after the mobile-money settlement is resolved</w:t>
      </w:r>
      <w:r>
        <w:t xml:space="preserve"> </w:t>
      </w:r>
      <w:r>
        <w:t xml:space="preserve">(see Part B).</w:t>
      </w:r>
    </w:p>
    <w:bookmarkEnd w:id="16"/>
    <w:bookmarkStart w:id="17" w:name="connection-method"/>
    <w:p>
      <w:pPr>
        <w:pStyle w:val="Heading2"/>
      </w:pPr>
      <w:r>
        <w:t xml:space="preserve">7. Connection method</w:t>
      </w:r>
    </w:p>
    <w:p>
      <w:pPr>
        <w:pStyle w:val="FirstParagraph"/>
      </w:pPr>
      <w:r>
        <w:t xml:space="preserve">QuickBooks connects via secure OAuth (log in with the QuickBooks account; no API keys to copy around). It exposes QuickBooks’ accounting REST API for the objects above.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7019905889c353ecaef38a510775b1e4768548f"/>
    <w:p>
      <w:pPr>
        <w:pStyle w:val="Heading1"/>
      </w:pPr>
      <w:r>
        <w:t xml:space="preserve">Part B — Direct MTN &amp; Airtel integration, and</w:t>
      </w:r>
      <w:r>
        <w:t xml:space="preserve"> </w:t>
      </w:r>
      <w:r>
        <w:t xml:space="preserve">“being our own gateway”</w:t>
      </w:r>
    </w:p>
    <w:bookmarkStart w:id="19" w:name="the-apis-exist-and-are-open-to-us"/>
    <w:p>
      <w:pPr>
        <w:pStyle w:val="Heading2"/>
      </w:pPr>
      <w:r>
        <w:t xml:space="preserve">1. The APIs exist and are open to us</w:t>
      </w:r>
    </w:p>
    <w:p>
      <w:pPr>
        <w:pStyle w:val="FirstParagraph"/>
      </w:pPr>
      <w:r>
        <w:t xml:space="preserve">Both operators provide modern REST APIs with self-service sandboxes: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MTN MoMo Open API</w:t>
      </w:r>
      <w:r>
        <w:t xml:space="preserve"> </w:t>
      </w:r>
      <w:r>
        <w:t xml:space="preserve">(launched in Uganda first, 2018):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(receive money) and</w:t>
      </w:r>
      <w:r>
        <w:t xml:space="preserve"> </w:t>
      </w:r>
      <w:r>
        <w:rPr>
          <w:b/>
          <w:bCs/>
        </w:rPr>
        <w:t xml:space="preserve">Disbursements</w:t>
      </w:r>
      <w:r>
        <w:t xml:space="preserve"> </w:t>
      </w:r>
      <w:r>
        <w:t xml:space="preserve">(pay out to wallets). Self-service sandbox at</w:t>
      </w:r>
      <w:r>
        <w:t xml:space="preserve"> </w:t>
      </w:r>
      <w:r>
        <w:rPr>
          <w:rStyle w:val="VerbatimChar"/>
        </w:rPr>
        <w:t xml:space="preserve">momodeveloper.mtn.com</w:t>
      </w:r>
      <w:r>
        <w:t xml:space="preserve">; production requires KYC, a registered Ugandan company, and an MTN account manager. Go-live ~10 days after testing.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Airtel Money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developers.airtel.africa</w:t>
      </w:r>
      <w:r>
        <w:t xml:space="preserve">): the same Collections + Disbursements model, OAuth2, sandbox → KYC → go-live.</w:t>
      </w:r>
    </w:p>
    <w:p>
      <w:pPr>
        <w:pStyle w:val="FirstParagraph"/>
      </w:pPr>
      <w:r>
        <w:t xml:space="preserve">This maps directly onto AgriChain’s existing payment design:</w:t>
      </w:r>
      <w:r>
        <w:t xml:space="preserve"> </w:t>
      </w:r>
      <w:r>
        <w:rPr>
          <w:b/>
          <w:bCs/>
        </w:rPr>
        <w:t xml:space="preserve">Disbursements</w:t>
      </w:r>
      <w:r>
        <w:t xml:space="preserve"> </w:t>
      </w:r>
      <w:r>
        <w:t xml:space="preserve">= paying farmers/suppliers;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= receiving payments from buyers.</w:t>
      </w:r>
    </w:p>
    <w:bookmarkEnd w:id="19"/>
    <w:bookmarkStart w:id="20" w:name="X870f5eccf9e80a1f7740e3c751dd013b967a9b9"/>
    <w:p>
      <w:pPr>
        <w:pStyle w:val="Heading2"/>
      </w:pPr>
      <w:r>
        <w:t xml:space="preserve">2. The critical distinction on</w:t>
      </w:r>
      <w:r>
        <w:t xml:space="preserve"> </w:t>
      </w:r>
      <w:r>
        <w:t xml:space="preserve">“being our own gateway”</w:t>
      </w:r>
    </w:p>
    <w:p>
      <w:pPr>
        <w:pStyle w:val="FirstParagraph"/>
      </w:pPr>
      <w:r>
        <w:t xml:space="preserve">There are two very different things with very different legal consequences: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 Using the APIs to pay our own counterparties</w:t>
      </w:r>
      <w:r>
        <w:t xml:space="preserve"> </w:t>
      </w:r>
      <w:r>
        <w:t xml:space="preserve">(farmers, suppliers) and collect from our own buyers — this is normal</w:t>
      </w:r>
      <w:r>
        <w:t xml:space="preserve"> </w:t>
      </w:r>
      <w:r>
        <w:rPr>
          <w:b/>
          <w:bCs/>
        </w:rPr>
        <w:t xml:space="preserve">merchant</w:t>
      </w:r>
      <w:r>
        <w:t xml:space="preserve"> </w:t>
      </w:r>
      <w:r>
        <w:t xml:space="preserve">use.</w:t>
      </w:r>
      <w:r>
        <w:t xml:space="preserve"> </w:t>
      </w:r>
      <w:r>
        <w:rPr>
          <w:b/>
          <w:bCs/>
        </w:rPr>
        <w:t xml:space="preserve">No payment-systems licence required.</w:t>
      </w:r>
      <w:r>
        <w:t xml:space="preserve"> </w:t>
      </w:r>
      <w:r>
        <w:t xml:space="preserve">We integrate directly and settle to our own bank.</w:t>
      </w:r>
      <w:r>
        <w:t xml:space="preserve"> </w:t>
      </w:r>
      <w:r>
        <w:rPr>
          <w:i/>
          <w:iCs/>
        </w:rPr>
        <w:t xml:space="preserve">This is what AgriChain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 Becoming an aggregator/gateway</w:t>
      </w:r>
      <w:r>
        <w:t xml:space="preserve"> </w:t>
      </w:r>
      <w:r>
        <w:t xml:space="preserve">— facilitating payments</w:t>
      </w:r>
      <w:r>
        <w:t xml:space="preserve"> </w:t>
      </w:r>
      <w:r>
        <w:rPr>
          <w:b/>
          <w:bCs/>
        </w:rPr>
        <w:t xml:space="preserve">on behalf of other businesses</w:t>
      </w:r>
      <w:r>
        <w:t xml:space="preserve"> </w:t>
      </w:r>
      <w:r>
        <w:t xml:space="preserve">— under Uganda’s</w:t>
      </w:r>
      <w:r>
        <w:t xml:space="preserve"> </w:t>
      </w:r>
      <w:r>
        <w:rPr>
          <w:b/>
          <w:bCs/>
        </w:rPr>
        <w:t xml:space="preserve">National Payment Systems Act 2020</w:t>
      </w:r>
      <w:r>
        <w:t xml:space="preserve">, an aggregator/integrator/payment gateway is a regulated</w:t>
      </w:r>
      <w:r>
        <w:t xml:space="preserve"> </w:t>
      </w:r>
      <w:r>
        <w:rPr>
          <w:b/>
          <w:bCs/>
        </w:rPr>
        <w:t xml:space="preserve">Payment System Operator (PSO)</w:t>
      </w:r>
      <w:r>
        <w:t xml:space="preserve">. Requirements include:</w:t>
      </w:r>
    </w:p>
    <w:p>
      <w:pPr>
        <w:pStyle w:val="Compact"/>
        <w:numPr>
          <w:ilvl w:val="1"/>
          <w:numId w:val="1005"/>
        </w:numPr>
      </w:pPr>
      <w:r>
        <w:t xml:space="preserve">A Bank of Uganda PSO licence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NITA-U</w:t>
      </w:r>
      <w:r>
        <w:t xml:space="preserve"> </w:t>
      </w:r>
      <w:r>
        <w:t xml:space="preserve">systems certification (obtained first)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FIA</w:t>
      </w:r>
      <w:r>
        <w:t xml:space="preserve"> </w:t>
      </w:r>
      <w:r>
        <w:t xml:space="preserve">(Financial Intelligence Authority) registration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Minimum paid-up capital ~UGX 100M–500M</w:t>
      </w:r>
      <w:r>
        <w:t xml:space="preserve"> </w:t>
      </w:r>
      <w:r>
        <w:t xml:space="preserve">depending on class</w:t>
      </w:r>
    </w:p>
    <w:p>
      <w:pPr>
        <w:pStyle w:val="Compact"/>
        <w:numPr>
          <w:ilvl w:val="1"/>
          <w:numId w:val="1005"/>
        </w:numPr>
      </w:pPr>
      <w:r>
        <w:t xml:space="preserve">AML/CFT policy, business plan, audited financials, and ongoing annual reporting to BoU / NITA-U / FIA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“be our own gateway that eventually pushes to the bank”</w:t>
      </w:r>
      <w:r>
        <w:t xml:space="preserve"> </w:t>
      </w:r>
      <w:r>
        <w:t xml:space="preserve">is feasible but is a</w:t>
      </w:r>
      <w:r>
        <w:t xml:space="preserve"> </w:t>
      </w:r>
      <w:r>
        <w:rPr>
          <w:b/>
          <w:bCs/>
        </w:rPr>
        <w:t xml:space="preserve">company/regulatory project</w:t>
      </w:r>
      <w:r>
        <w:t xml:space="preserve">, not a software feature — only worth pursuing if AgriChain intends to offer payments as a service to</w:t>
      </w:r>
      <w:r>
        <w:t xml:space="preserve"> </w:t>
      </w:r>
      <w:r>
        <w:rPr>
          <w:b/>
          <w:bCs/>
        </w:rPr>
        <w:t xml:space="preserve">third parties</w:t>
      </w:r>
      <w:r>
        <w:t xml:space="preserve">. For running AgriChain itself, option (A) is all that is needed and is far faster.</w:t>
      </w:r>
    </w:p>
    <w:bookmarkEnd w:id="20"/>
    <w:bookmarkStart w:id="21" w:name="how-money-actually-reaches-the-bank"/>
    <w:p>
      <w:pPr>
        <w:pStyle w:val="Heading2"/>
      </w:pPr>
      <w:r>
        <w:t xml:space="preserve">3. How money actually reaches the bank</w:t>
      </w:r>
    </w:p>
    <w:p>
      <w:pPr>
        <w:pStyle w:val="FirstParagraph"/>
      </w:pPr>
      <w:r>
        <w:t xml:space="preserve">Money does not move from MoMo straight into a bank account via API. The flow is:</w:t>
      </w:r>
    </w:p>
    <w:p>
      <w:pPr>
        <w:pStyle w:val="Compact"/>
        <w:numPr>
          <w:ilvl w:val="0"/>
          <w:numId w:val="1006"/>
        </w:numPr>
      </w:pPr>
      <w:r>
        <w:t xml:space="preserve">Funds sit in the</w:t>
      </w:r>
      <w:r>
        <w:t xml:space="preserve"> </w:t>
      </w:r>
      <w:r>
        <w:rPr>
          <w:b/>
          <w:bCs/>
        </w:rPr>
        <w:t xml:space="preserve">MoMo business wallet</w:t>
      </w:r>
      <w:r>
        <w:t xml:space="preserve"> </w:t>
      </w:r>
      <w:r>
        <w:t xml:space="preserve">as e-money.</w:t>
      </w:r>
    </w:p>
    <w:p>
      <w:pPr>
        <w:pStyle w:val="Compact"/>
        <w:numPr>
          <w:ilvl w:val="0"/>
          <w:numId w:val="1006"/>
        </w:numPr>
      </w:pPr>
      <w:r>
        <w:t xml:space="preserve">We trigger</w:t>
      </w:r>
      <w:r>
        <w:t xml:space="preserve"> </w:t>
      </w:r>
      <w:r>
        <w:rPr>
          <w:b/>
          <w:bCs/>
        </w:rPr>
        <w:t xml:space="preserve">self-liquidation / settlement</w:t>
      </w:r>
      <w:r>
        <w:t xml:space="preserve"> </w:t>
      </w:r>
      <w:r>
        <w:t xml:space="preserve">(on-demand, or a scheduled daily/weekly standing order).</w:t>
      </w:r>
    </w:p>
    <w:p>
      <w:pPr>
        <w:pStyle w:val="Compact"/>
        <w:numPr>
          <w:ilvl w:val="0"/>
          <w:numId w:val="1006"/>
        </w:numPr>
      </w:pPr>
      <w:r>
        <w:t xml:space="preserve">The operator converts the e-money to cash via its</w:t>
      </w:r>
      <w:r>
        <w:t xml:space="preserve"> </w:t>
      </w:r>
      <w:r>
        <w:rPr>
          <w:b/>
          <w:bCs/>
        </w:rPr>
        <w:t xml:space="preserve">escrow / partner bank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Cash lands in the</w:t>
      </w:r>
      <w:r>
        <w:t xml:space="preserve"> </w:t>
      </w:r>
      <w:r>
        <w:rPr>
          <w:b/>
          <w:bCs/>
        </w:rPr>
        <w:t xml:space="preserve">corporate bank account</w:t>
      </w:r>
      <w:r>
        <w:t xml:space="preserve">.</w:t>
      </w:r>
    </w:p>
    <w:p>
      <w:pPr>
        <w:pStyle w:val="FirstParagraph"/>
      </w:pPr>
      <w:r>
        <w:t xml:space="preserve">The operator’s escrow bank is the bridge between e-money and the banking system;</w:t>
      </w:r>
      <w:r>
        <w:t xml:space="preserve"> </w:t>
      </w:r>
      <w:r>
        <w:t xml:space="preserve">“pushing to the bank”</w:t>
      </w:r>
      <w:r>
        <w:t xml:space="preserve"> </w:t>
      </w:r>
      <w:r>
        <w:t xml:space="preserve">is the settlement step, configurable as a standing order.</w:t>
      </w:r>
      <w:r>
        <w:t xml:space="preserve"> </w:t>
      </w:r>
      <w:r>
        <w:rPr>
          <w:b/>
          <w:bCs/>
        </w:rPr>
        <w:t xml:space="preserve">Merchant fees apply</w:t>
      </w:r>
      <w:r>
        <w:t xml:space="preserve"> </w:t>
      </w:r>
      <w:r>
        <w:t xml:space="preserve">(MTN charges roughly 1% for individual merchants and 2% for business merchants on received payments).</w:t>
      </w:r>
    </w:p>
    <w:bookmarkEnd w:id="21"/>
    <w:bookmarkStart w:id="22" w:name="recommendation"/>
    <w:p>
      <w:pPr>
        <w:pStyle w:val="Heading2"/>
      </w:pPr>
      <w:r>
        <w:t xml:space="preserve">4. Recommendation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(A) now:</w:t>
      </w:r>
      <w:r>
        <w:t xml:space="preserve"> </w:t>
      </w:r>
      <w:r>
        <w:t xml:space="preserve">wire MTN + Airtel</w:t>
      </w:r>
      <w:r>
        <w:t xml:space="preserve"> </w:t>
      </w:r>
      <w:r>
        <w:rPr>
          <w:b/>
          <w:bCs/>
        </w:rPr>
        <w:t xml:space="preserve">Disbursements</w:t>
      </w:r>
      <w:r>
        <w:t xml:space="preserve"> </w:t>
      </w:r>
      <w:r>
        <w:t xml:space="preserve">into the existing payment path so farmer/supplier payouts go out automatically — sandbox first. Add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if/when buyers should pay via MoMo. Settlement to the bank = a standing order configured with the operator (no code).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(B) as a separate strategic decision</w:t>
      </w:r>
      <w:r>
        <w:t xml:space="preserve"> </w:t>
      </w:r>
      <w:r>
        <w:t xml:space="preserve">— only if monetising payments for other agribusinesses. A licensing roadmap can be drafted separately if that is on the table.</w:t>
      </w:r>
    </w:p>
    <w:p>
      <w:r>
        <w:pict>
          <v:rect style="width:0;height:1.5pt" o:hralign="center" o:hrstd="t" o:hr="t"/>
        </w:pict>
      </w:r>
    </w:p>
    <w:bookmarkEnd w:id="22"/>
    <w:bookmarkStart w:id="23" w:name="appendix-sandbox-configuration-values"/>
    <w:p>
      <w:pPr>
        <w:pStyle w:val="Heading2"/>
      </w:pPr>
      <w:r>
        <w:t xml:space="preserve">Appendix — Sandbox configuration 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Sandbox value / how to obtain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https://sandbox.momodeveloper.mtn.com</w:t>
            </w:r>
            <w:r>
              <w:t xml:space="preserve"> </w:t>
            </w:r>
            <w:r>
              <w:t xml:space="preserve">(fixed sandbox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MTN_MOMO_SUBSCRIPTION_KEY</w:t>
            </w:r>
          </w:p>
        </w:tc>
        <w:tc>
          <w:tcPr/>
          <w:p>
            <w:pPr>
              <w:pStyle w:val="Compact"/>
            </w:pPr>
            <w:r>
              <w:t xml:space="preserve">From your MTN developer profile after subscribing to a product (Collections/Disbursements) at</w:t>
            </w:r>
            <w:r>
              <w:t xml:space="preserve"> </w:t>
            </w:r>
            <w:r>
              <w:rPr>
                <w:rStyle w:val="VerbatimChar"/>
              </w:rPr>
              <w:t xml:space="preserve">momodeveloper.mtn.com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MTN_MOMO_USER_ID</w:t>
            </w:r>
          </w:p>
        </w:tc>
        <w:tc>
          <w:tcPr/>
          <w:p>
            <w:pPr>
              <w:pStyle w:val="Compact"/>
            </w:pPr>
            <w:r>
              <w:t xml:space="preserve">Self-generated in sandbox:</w:t>
            </w:r>
            <w:r>
              <w:t xml:space="preserve"> </w:t>
            </w:r>
            <w:r>
              <w:rPr>
                <w:rStyle w:val="VerbatimChar"/>
              </w:rPr>
              <w:t xml:space="preserve">POST /v1_0/apiuser</w:t>
            </w:r>
            <w:r>
              <w:t xml:space="preserve"> </w:t>
            </w:r>
            <w:r>
              <w:t xml:space="preserve">(returns a UUID you supply)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MTN_MOMO_API_KEY</w:t>
            </w:r>
          </w:p>
        </w:tc>
        <w:tc>
          <w:tcPr/>
          <w:p>
            <w:pPr>
              <w:pStyle w:val="Compact"/>
            </w:pPr>
            <w:r>
              <w:t xml:space="preserve">Self-generated in sandbox:</w:t>
            </w:r>
            <w:r>
              <w:t xml:space="preserve"> </w:t>
            </w:r>
            <w:r>
              <w:rPr>
                <w:rStyle w:val="VerbatimChar"/>
              </w:rPr>
              <w:t xml:space="preserve">POST /v1_0/apiuser/{userId}/apikey</w:t>
            </w:r>
            <w:r>
              <w:t xml:space="preserve"> </w:t>
            </w:r>
            <w:r>
              <w:t xml:space="preserve">(shown once — save immediately)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AIRTEL_MONEY_HOST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https://openapiuat.airtel.africa</w:t>
            </w:r>
            <w:r>
              <w:t xml:space="preserve"> </w:t>
            </w:r>
            <w:r>
              <w:t xml:space="preserve">(fixed staging/sandbox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AIRTEL_MONEY_CLIENT_ID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t xml:space="preserve">“Key Management”</w:t>
            </w:r>
            <w:r>
              <w:t xml:space="preserve"> </w:t>
            </w:r>
            <w:r>
              <w:t xml:space="preserve">after creating an application at</w:t>
            </w:r>
            <w:r>
              <w:t xml:space="preserve"> </w:t>
            </w:r>
            <w:r>
              <w:rPr>
                <w:rStyle w:val="VerbatimChar"/>
              </w:rPr>
              <w:t xml:space="preserve">developers.airtel.africa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AIRTEL_MONEY_CLIENT_SECRET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t xml:space="preserve">“Key Management”</w:t>
            </w:r>
            <w:r>
              <w:t xml:space="preserve"> </w:t>
            </w:r>
            <w:r>
              <w:t xml:space="preserve">alongside the client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Production note:</w:t>
      </w:r>
      <w:r>
        <w:t xml:space="preserve"> </w:t>
      </w:r>
      <w:r>
        <w:t xml:space="preserve">in MTN production the host becomes</w:t>
      </w:r>
      <w:r>
        <w:t xml:space="preserve"> </w:t>
      </w:r>
      <w:r>
        <w:rPr>
          <w:rStyle w:val="VerbatimChar"/>
        </w:rPr>
        <w:t xml:space="preserve">https://proxy.momoapi.mtn.com</w:t>
      </w:r>
      <w:r>
        <w:t xml:space="preserve"> </w:t>
      </w:r>
      <w:r>
        <w:t xml:space="preserve">and the target-environment header changes from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mtnuganda</w:t>
      </w:r>
      <w:r>
        <w:t xml:space="preserve">; the User ID and API Key come from the MTN Partner Portal (not self-generated). Airtel production host becomes</w:t>
      </w:r>
      <w:r>
        <w:t xml:space="preserve"> </w:t>
      </w:r>
      <w:r>
        <w:rPr>
          <w:rStyle w:val="VerbatimChar"/>
        </w:rPr>
        <w:t xml:space="preserve">https://openapi.airtel.africa</w:t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2026-06-10T09:57:22Z</dcterms:created>
  <dcterms:modified xsi:type="dcterms:W3CDTF">2026-06-10T09:57:22Z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