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Adrian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8D4BDE9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</w:t>
      </w:r>
      <w:r w:rsidR="006D4EC4">
        <w:rPr>
          <w:rFonts w:asciiTheme="minorHAnsi" w:eastAsia="Times New Roman" w:hAnsiTheme="minorHAnsi" w:cs="Times New Roman"/>
          <w:b/>
          <w:i/>
        </w:rPr>
        <w:t xml:space="preserve"> </w:t>
      </w:r>
      <w:proofErr w:type="spellStart"/>
      <w:r w:rsidR="006D4EC4">
        <w:rPr>
          <w:rFonts w:asciiTheme="minorHAnsi" w:eastAsia="Times New Roman" w:hAnsiTheme="minorHAnsi" w:cs="Times New Roman"/>
          <w:b/>
          <w:i/>
        </w:rPr>
        <w:t>PowerBI</w:t>
      </w:r>
      <w:proofErr w:type="spellEnd"/>
      <w:r w:rsidR="006D4EC4">
        <w:rPr>
          <w:rFonts w:asciiTheme="minorHAnsi" w:eastAsia="Times New Roman" w:hAnsiTheme="minorHAnsi" w:cs="Times New Roman"/>
          <w:b/>
          <w:i/>
        </w:rPr>
        <w:t xml:space="preserve"> Dashboards, and</w:t>
      </w:r>
      <w:r>
        <w:rPr>
          <w:rFonts w:asciiTheme="minorHAnsi" w:eastAsia="Times New Roman" w:hAnsiTheme="minorHAnsi" w:cs="Times New Roman"/>
          <w:b/>
          <w:i/>
        </w:rPr>
        <w:t xml:space="preserve"> Complex SQL Queries!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6BA1CD4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4B075403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Experimental </w:t>
                            </w:r>
                            <w:r w:rsidR="0015532A"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Design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Skills: </w:t>
                      </w:r>
                    </w:p>
                    <w:p w14:paraId="5CF7F0DA" w14:textId="6BA1CD4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4B075403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bookmarkStart w:id="1" w:name="_GoBack"/>
                      <w:bookmarkEnd w:id="1"/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Experimental </w:t>
                      </w:r>
                      <w:r w:rsidR="0015532A"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Design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1E562976" w14:textId="2E875D34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171867E3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732CBEAF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 director of the acquisitions</w:t>
      </w:r>
      <w:r w:rsidR="0045283C">
        <w:rPr>
          <w:rFonts w:ascii="Times New Roman" w:eastAsia="Times New Roman" w:hAnsi="Times New Roman" w:cs="Times New Roman"/>
        </w:rPr>
        <w:t xml:space="preserve"> and data analytics</w:t>
      </w:r>
      <w:r>
        <w:rPr>
          <w:rFonts w:ascii="Times New Roman" w:eastAsia="Times New Roman" w:hAnsi="Times New Roman" w:cs="Times New Roman"/>
        </w:rPr>
        <w:t xml:space="preserve"> department</w:t>
      </w:r>
      <w:r w:rsidR="0045283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 fields</w:t>
      </w:r>
      <w:r w:rsidR="00424F49">
        <w:rPr>
          <w:rFonts w:ascii="Times New Roman" w:eastAsia="Times New Roman" w:hAnsi="Times New Roman" w:cs="Times New Roman"/>
        </w:rPr>
        <w:t xml:space="preserve"> in a growing</w:t>
      </w:r>
      <w:r w:rsidR="00827ECE">
        <w:rPr>
          <w:rFonts w:ascii="Times New Roman" w:eastAsia="Times New Roman" w:hAnsi="Times New Roman" w:cs="Times New Roman"/>
        </w:rPr>
        <w:t xml:space="preserve"> SF</w:t>
      </w:r>
      <w:r>
        <w:rPr>
          <w:rFonts w:ascii="Times New Roman" w:eastAsia="Times New Roman" w:hAnsi="Times New Roman" w:cs="Times New Roman"/>
        </w:rPr>
        <w:t xml:space="preserve">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</w:t>
      </w:r>
      <w:bookmarkStart w:id="0" w:name="_GoBack"/>
      <w:bookmarkEnd w:id="0"/>
      <w:r w:rsidR="00404336">
        <w:rPr>
          <w:rFonts w:ascii="Times New Roman" w:eastAsia="Times New Roman" w:hAnsi="Times New Roman" w:cs="Times New Roman"/>
        </w:rPr>
        <w:t>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4BA64070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0B598304" w14:textId="7CB763CF" w:rsidR="0015532A" w:rsidRDefault="00644CAE" w:rsidP="0015532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227CF31D" w14:textId="77777777" w:rsidR="0015532A" w:rsidRPr="0015532A" w:rsidRDefault="0015532A" w:rsidP="0015532A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795B15C4" w:rsidR="00465A29" w:rsidRPr="00AC7385" w:rsidRDefault="00465A29" w:rsidP="0015532A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ED48DA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18251" w14:textId="77777777" w:rsidR="004E3A26" w:rsidRDefault="004E3A26">
      <w:r>
        <w:separator/>
      </w:r>
    </w:p>
  </w:endnote>
  <w:endnote w:type="continuationSeparator" w:id="0">
    <w:p w14:paraId="1EEE8A7F" w14:textId="77777777" w:rsidR="004E3A26" w:rsidRDefault="004E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9DE7" w14:textId="77777777" w:rsidR="004E3A26" w:rsidRDefault="004E3A26">
      <w:r>
        <w:separator/>
      </w:r>
    </w:p>
  </w:footnote>
  <w:footnote w:type="continuationSeparator" w:id="0">
    <w:p w14:paraId="5EB8FF82" w14:textId="77777777" w:rsidR="004E3A26" w:rsidRDefault="004E3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283C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3A26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2022-06-29T06:32:00Z</cp:lastPrinted>
  <dcterms:created xsi:type="dcterms:W3CDTF">2022-06-29T06:32:00Z</dcterms:created>
  <dcterms:modified xsi:type="dcterms:W3CDTF">2022-07-13T19:35:00Z</dcterms:modified>
</cp:coreProperties>
</file>