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drian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A85E99C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 Complex SQL Queries, and Python ML Applications!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5C1411D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61891E3E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- </w:t>
                            </w:r>
                            <w:r w:rsidRPr="00C420D6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Machine Learning,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Exploratory Data Analysis,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A/B Testing</w:t>
                            </w:r>
                          </w:p>
                          <w:p w14:paraId="112462B2" w14:textId="0BF4609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Tableau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VS Code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kills: </w:t>
                      </w:r>
                    </w:p>
                    <w:p w14:paraId="5CF7F0DA" w14:textId="5C1411D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61891E3E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- </w:t>
                      </w:r>
                      <w:r w:rsidRPr="00C420D6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Machine Learning,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Exploratory Data Analysis,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>A/B Testing</w:t>
                      </w:r>
                    </w:p>
                    <w:p w14:paraId="112462B2" w14:textId="0BF4609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Tableau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PowerBI</w:t>
                      </w:r>
                      <w:proofErr w:type="spellEnd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Git / GitHub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VS Code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0EDFEE7D" w14:textId="3D2EDD5E" w:rsidR="009E0B1C" w:rsidRPr="003C0B97" w:rsidRDefault="009E0B1C" w:rsidP="009E0B1C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42CC7618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proofErr w:type="gramStart"/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0C153509" w14:textId="6C7AC8CC" w:rsidR="00BB7B13" w:rsidRDefault="00424F4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Wore</w:t>
      </w:r>
      <w:r w:rsidR="00961BAD">
        <w:rPr>
          <w:rFonts w:ascii="Times New Roman" w:eastAsia="Times New Roman" w:hAnsi="Times New Roman" w:cs="Times New Roman"/>
        </w:rPr>
        <w:t xml:space="preserve"> multiple hats across finance, data, and technology fields</w:t>
      </w:r>
      <w:r>
        <w:rPr>
          <w:rFonts w:ascii="Times New Roman" w:eastAsia="Times New Roman" w:hAnsi="Times New Roman" w:cs="Times New Roman"/>
        </w:rPr>
        <w:t xml:space="preserve"> in a growing real estate SMB</w:t>
      </w:r>
      <w:r w:rsidR="00C420D6">
        <w:rPr>
          <w:rFonts w:ascii="Times New Roman" w:eastAsia="Times New Roman" w:hAnsi="Times New Roman" w:cs="Times New Roman"/>
        </w:rPr>
        <w:t xml:space="preserve"> 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5EDD4545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data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4BA64070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0F8FDAD5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4+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1B3E6AB4" w14:textId="40A0B07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D64B0E5" w14:textId="780B6EA3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1DEB069D" w14:textId="18C8F283" w:rsidR="00465A29" w:rsidRPr="00775EBB" w:rsidRDefault="00644CAE" w:rsidP="00775EB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306E8E67" w14:textId="77777777" w:rsidR="00465A29" w:rsidRPr="00465A29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10"/>
          <w:szCs w:val="10"/>
        </w:rPr>
      </w:pPr>
    </w:p>
    <w:p w14:paraId="790CF523" w14:textId="77777777" w:rsidR="009A63CF" w:rsidRDefault="009A63CF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272B731B" w:rsidR="00465A29" w:rsidRPr="00AC7385" w:rsidRDefault="00465A29" w:rsidP="005E3A85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5E3A85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1DC7" w14:textId="77777777" w:rsidR="000C1ECA" w:rsidRDefault="000C1ECA">
      <w:r>
        <w:separator/>
      </w:r>
    </w:p>
  </w:endnote>
  <w:endnote w:type="continuationSeparator" w:id="0">
    <w:p w14:paraId="685E196F" w14:textId="77777777" w:rsidR="000C1ECA" w:rsidRDefault="000C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B8B3B" w14:textId="77777777" w:rsidR="000C1ECA" w:rsidRDefault="000C1ECA">
      <w:r>
        <w:separator/>
      </w:r>
    </w:p>
  </w:footnote>
  <w:footnote w:type="continuationSeparator" w:id="0">
    <w:p w14:paraId="21793E96" w14:textId="77777777" w:rsidR="000C1ECA" w:rsidRDefault="000C1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61CD0"/>
    <w:rsid w:val="00D65BFD"/>
    <w:rsid w:val="00D7646F"/>
    <w:rsid w:val="00D80250"/>
    <w:rsid w:val="00D80A6C"/>
    <w:rsid w:val="00D81210"/>
    <w:rsid w:val="00D83022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A053B"/>
    <w:rsid w:val="00EA235C"/>
    <w:rsid w:val="00EA252F"/>
    <w:rsid w:val="00EA35E8"/>
    <w:rsid w:val="00EA48E5"/>
    <w:rsid w:val="00EA77C8"/>
    <w:rsid w:val="00EB1421"/>
    <w:rsid w:val="00ED06B3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2022-06-29T06:32:00Z</cp:lastPrinted>
  <dcterms:created xsi:type="dcterms:W3CDTF">2022-06-29T06:32:00Z</dcterms:created>
  <dcterms:modified xsi:type="dcterms:W3CDTF">2022-06-29T06:33:00Z</dcterms:modified>
</cp:coreProperties>
</file>