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عقود تعيين الشيخ أسامة في إدارة الشركات</w:t>
      </w:r>
    </w:p>
    <w:p>
      <w:pPr>
        <w:jc w:val="right"/>
        <w:bidi/>
      </w:pPr>
      <w:r>
        <w:rPr>
          <w:b w:val="0"/>
          <w:i/>
          <w:color w:val="555555"/>
        </w:rPr>
        <w:t>الرقم: 69 | النوع: غير مصنف | التاريخ: 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https://drive.google.com/file/d/1ihfw9lQjxKDpLKOd-Qb_4T6LXncYJhsI/view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[OCR-garbled PDF content; document title: عقود تعيين الشيخ اسامة في إدارة الشركات. Extracted text consists almost entirely of repeated mis-ordered Arabic glyph sequences of the name "أسامة بن احمد بن عباس زيني" with a few legible fragments: "الحكم الملتمس عليه النهائي من محكمة الاستئناف", "الحكم الملتمس عليه البتدائي", "إدارته", and a fragment referencing "عقد البيع للشركات وقيمة الحصص المباعة المبرم بين الشيخ اسامة احمد زيني وموكلي والمتضمن مبلغ". The PDF text layer is corrupted/non-extractable in readable form.]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