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التماس من المحامي الشهري بتاريخ 13-07-1445 ـ ومرفقاتها ـ 42824717.pdf</w:t>
      </w:r>
    </w:p>
    <w:p>
      <w:pPr>
        <w:jc w:val="right"/>
        <w:bidi/>
      </w:pPr>
      <w:r>
        <w:rPr>
          <w:b w:val="0"/>
          <w:i/>
          <w:color w:val="555555"/>
        </w:rPr>
        <w:t>الرقم: 76 | النوع: مذكرة قضائية | التاريخ: 13-07-1445 | القسم: ب. المذكرات المقدمة من الطرفين (49 ملفاً)</w:t>
      </w:r>
    </w:p>
    <w:p>
      <w:pPr>
        <w:jc w:val="right"/>
        <w:bidi/>
      </w:pPr>
      <w:r>
        <w:rPr>
          <w:b w:val="0"/>
          <w:i/>
          <w:color w:val="0563C1"/>
        </w:rPr>
        <w:t>الرابط: https://drive.google.com/file/d/1HVbLJm6BQ4picvDOwVgvqMGPcBQNlvdZ/view?usp=drivesdk</w:t>
      </w:r>
    </w:p>
    <w:p>
      <w:pPr>
        <w:jc w:val="right"/>
        <w:bidi/>
      </w:pPr>
      <w:r>
        <w:rPr>
          <w:b w:val="0"/>
          <w:i/>
        </w:rPr>
        <w:t>[مخرج آلي / Script Output - سماوي]  [مخرج آلي يحتاج مراجعة بشرية - وردي]</w:t>
      </w:r>
    </w:p>
    <w:p/>
    <w:p>
      <w:pPr>
        <w:jc w:val="right"/>
        <w:bidi/>
      </w:pPr>
      <w:r>
        <w:rPr>
          <w:b w:val="0"/>
          <w:i w:val="0"/>
        </w:rPr>
        <w:t>[ملاحظة المعالجة: مذكرة التماس من المحامي الشهري بتاريخ 13-07-1445هـ ومرفقاتها، القضية 42824717. ملف PDF حجمه نحو 4.9 ميجابايت. معظم النص المستخرج عبارة عن العنوان "أسامة بن أحمد بن عباس زيني" مكرر بترميز عربي معكوس عبر صفحات عديدة. الأجزاء ذات المحتوى الفعلي القابل للقراءة هي: (1) وثيقة وكالة إلكترونية من وزارة العدل، و(2) حسابات تقدير قيمة حصص المورث في شركتي تخارج آبار وزيني والإضافة للأعمال العقارية. وفيما يلي تفريغ المحتوى القابل للقراءة:]</w:t>
      </w:r>
    </w:p>
    <w:p>
      <w:pPr>
        <w:jc w:val="right"/>
        <w:bidi/>
      </w:pPr>
      <w:r>
        <w:rPr>
          <w:b w:val="0"/>
          <w:i w:val="0"/>
        </w:rPr>
        <w:t>== وثيقة وكالة - وزارة العدل، المملكة العربية السعودية ==</w:t>
        <w:br/>
        <w:t>صدرت هذه الوثيقة من النظام الإلكتروني وخدمات التوثيق، ويمكن التحقق من صحتها عبر الخدمات الإلكترونية لوزارة العدل.</w:t>
      </w:r>
    </w:p>
    <w:p>
      <w:pPr>
        <w:jc w:val="right"/>
        <w:bidi/>
      </w:pPr>
      <w:r>
        <w:rPr>
          <w:b w:val="0"/>
          <w:i w:val="0"/>
        </w:rPr>
        <w:t>الأطراف:</w:t>
        <w:br/>
        <w:t>1 - الموكل: أسامة بن أحمد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النطاق والصلاحيات: يحق للوكيل توكيل الغير - مراجعة جميع الجهات ذات العلاقة وإنهاء جميع الإجراءات اللازمة والتوقيع - الاستلام والتسليم - الإقرار والإنكار - الصلح - التنازل - الإبراء - طلب اليمين وردها - إحضار الشهود والبينات والطعن فيها - الإجابة وجرح المطالبات - المطالبة وإقامة الدعاوى - المرافعة والمدافعة - سماع الدعاوى والرد عليها - تعيين الخبراء والمحكمين وردهم واستبدالهم - طلب التحكيم - طلب الحجز والتنفيذ ومراجعة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ونفاذها - المطالبة بتنفيذ الأحكام - طلب تطبيق المادة 230 من نظام المرافعات الشرعية - طلب الإدخال والتداخل - طلب التقاضي - استلام صكوك الأحكام - حضور جلسات جميع الدعاوى لدى جميع المحاكم - طلب رد الاعتبار - طلب الشفعة - طلب نقض وطلب إحالة الدعوى - المراجعة لدى المحاكم ولجان فض المنازعات المالية والمصرفية واللجان العمالية واللجان الطبية الشرعية والمحاكم الإدارية (ديوان المظالم) والنيابة العامة ولجان الفصل في المنازعات والمخالفات التأمينية والضريبية والمجلس الأعلى للقضاء والمحكمة العليا ولجنة تأديب المحامين بوزارة العدل ولجان النظر في تظلمات العلامات التجارية ومخالفات نظام مراقبة البنوك - الإمهال - إضافة المادتين 231 و232 من نظام المرافعات الشرعية - مراجعة وزارة العدل والداخلية والخارجية والتجارة وفروعها وأقسامها - مراجعة المباحث الجنائية والإدارية ورئاسة أمن الدولة والرئاسة العامة للاستخبارات ومراكز الشرطة والإمارة وإدارة تنفيذ الأحكام الحقوقية - مراجعة المجلس الأعلى للقضاء - مراجعة النيابة العامة ووزارة الاستثمار - مراجعة مؤسسة النقد العربي السعودي - مراجعة البنوك.</w:t>
      </w:r>
    </w:p>
    <w:p>
      <w:pPr>
        <w:jc w:val="right"/>
        <w:bidi/>
      </w:pPr>
      <w:r>
        <w:rPr>
          <w:b w:val="0"/>
          <w:i w:val="0"/>
        </w:rPr>
        <w:t>رقم الوكالة: 451560570</w:t>
        <w:br/>
        <w:t>تاريخ إصدار الوكالة: 1445/03/20هـ | 2023/10/05م</w:t>
        <w:br/>
        <w:t>تاريخ إنهاء الوكالة: 1446/03/20هـ | 2024/09/23م</w:t>
        <w:br/>
        <w:t>حالة الوكالة: معتمدة</w:t>
        <w:br/>
        <w:t>مصدر الوكالة: خدمات الوكالات الإلكترونية</w:t>
      </w:r>
    </w:p>
    <w:p>
      <w:pPr>
        <w:jc w:val="right"/>
        <w:bidi/>
      </w:pPr>
      <w:r>
        <w:rPr>
          <w:b w:val="0"/>
          <w:i w:val="0"/>
        </w:rPr>
        <w:t>== حسابات تقدير قيمة حصص المورث (مرفق) ==</w:t>
        <w:br/>
        <w:t>حصة الشيخ أحمد عباس زيني من شركة تخارج آبار وزيني 1428هـ:</w:t>
        <w:br/>
        <w:t>136,750,000 × .279 = 38,153,250</w:t>
      </w:r>
    </w:p>
    <w:p>
      <w:pPr>
        <w:jc w:val="right"/>
        <w:bidi/>
      </w:pPr>
      <w:r>
        <w:rPr>
          <w:b w:val="0"/>
          <w:i w:val="0"/>
        </w:rPr>
        <w:t>حصة الشيخ أحمد عباس زيني من شركة الضيافة للأعمال العقارية 1429هـ (حصة آل زيني من الشركة):</w:t>
        <w:br/>
        <w:t>228,785,567 × .779 = 178,223,956.69</w:t>
        <w:br/>
        <w:t>حصة الشيخ أحمد عباس زيني: 178,223,956.69 × .279 = 49,724,483.92</w:t>
      </w:r>
    </w:p>
    <w:p>
      <w:pPr>
        <w:jc w:val="right"/>
        <w:bidi/>
      </w:pPr>
      <w:r>
        <w:rPr>
          <w:b w:val="0"/>
          <w:i w:val="0"/>
        </w:rPr>
        <w:t>إجمالي قيم الحصص للشيخ أحمد عباس زيني رحمه الله:</w:t>
        <w:br/>
        <w:t>38,153,250 + 49,724,483.92 = 87,877,733.92</w:t>
      </w:r>
    </w:p>
    <w:p>
      <w:pPr>
        <w:jc w:val="right"/>
        <w:bidi/>
      </w:pPr>
      <w:r>
        <w:rPr>
          <w:b w:val="0"/>
          <w:i w:val="0"/>
        </w:rPr>
        <w:t>[انتهى المحتوى القابل للقراءة. باقي المستند تكرار للعنوان بالترميز المعكوس.]</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