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jc w:val="right"/>
        <w:bidi/>
      </w:pPr>
      <w:r>
        <w:rPr>
          <w:b w:val="0"/>
          <w:i w:val="0"/>
        </w:rPr>
        <w:t>صدرت هذه الوثيقة من النظام الإلكتروني ومن خدمات التوثيق، ويمكن التحقق من صحة الوثيقة عبر الخدمات الإلكترونية لوزارة العدل.</w:t>
      </w:r>
    </w:p>
    <w:p>
      <w:pPr>
        <w:jc w:val="right"/>
        <w:bidi/>
      </w:pPr>
      <w:r>
        <w:rPr>
          <w:b w:val="0"/>
          <w:i w:val="0"/>
        </w:rPr>
        <w:t>وثيقة وكالة - وزارة العدل - المملكة العربية السعودية</w:t>
        <w:br/>
        <w:t>خدمات الوكالات الإلكترونية - حالة الوكالة: معتمدة</w:t>
      </w:r>
    </w:p>
    <w:p>
      <w:pPr>
        <w:jc w:val="right"/>
        <w:bidi/>
      </w:pPr>
      <w:r>
        <w:rPr>
          <w:b w:val="0"/>
          <w:i w:val="0"/>
        </w:rPr>
        <w:t>الأطراف: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النطاق: الاستلام والتسليم.</w:t>
      </w:r>
    </w:p>
    <w:p>
      <w:pPr>
        <w:jc w:val="right"/>
        <w:bidi/>
      </w:pPr>
      <w:r>
        <w:rPr>
          <w:b w:val="0"/>
          <w:i w:val="0"/>
        </w:rPr>
        <w:t>الصلاحيات/البنود (مختصر): يحق للوكيل توكيل الغير - مراجعة جميع الجهات ذات العلاقة وإنهاء جميع الإجراءات اللازمة والتوقيع فيما يتطلب ذلك - طلب اليمين وردها والامتناع عنها - إحضار الشهود والبينات والطعن فيها - الإجابة وحضور المطالبات والمحاكم - الإقرار - الإنكار - الصلح - التنازل - الإبراء - سماع الدعاوى والرد عليها - المرافعة والمدافعة - المطالبة وإقامة الدعاوى - الطعن بالتزوير - تعيين الخبراء والمحكمين - طلب التحكيم - طلب الحجز والتنفيذ ومراجعة دوائر الحجز والتنفيذ - طلب المنع من السفر ورفعه - إنكار الخطوط والأختام والتواقيع - الطعن بالتزوير - التعديل - التماس إعادة النظر - الاعتراض على الأحكام وطلب الاستئناف - قبول الأحكام ونفيها - المطالبة بتنفيذ الأحكام - طلب تطبيق المادة 230 من نظام المرافعات الشرعية - استلام صكوك الأحكام - طلب تنفيذ القرارات - طلب الإدخال والتداخل - طلب الشفعة - حضور جلسات جميع الدعاوى لدى جميع المحاكم - مراجعة المحاكم العامة والإدارية (ديوان المظالم) واللجان الطبية الشرعية واللجان العمالية ولجان فض المنازعات المالية ولجنة المنازعات المصرفية والمشتركة لدى مؤسسة النقد - لجان الفصل في منازعات الأوراق المالية ولجان الفصل في منازعات الأوراق التجارية ولجنة حسم المنازعات التجارية - لجان الفصل في المخالفات والمنازعات الضريبية واللجنة الاستئنافية - لجنة تأديب المحامين بوزارة العدل - المحكمة العليا - المجلس الأعلى للقضاء - محاكم الاستئناف - إضافة المادتين 231 و232 من نظام المرافعات الشرعية - الإمهال - لجنة النظر في تظلمات العلامات التجارية - مخالفات نظام مراقبة البنوك.</w:t>
        <w:br/>
        <w:t>مراجعة وزارة العدل - مراجعة وزارة الداخلية - مراجعة وزارة الخارجية - مراجعة وزارة التجارة وفروعها وما يتبعها من إدارات وأقسام - مراجعة المباحث الإدارية والمباحث الجنائية - رئاسة أمن الدولة - الرئاسة العامة للاستخبارات - مراكز الشرطة - الإمارة وإدارة تنفيذ الأحكام الحقوقية - المجلس الأعلى للقضاء - وزارة الاستثمار - النيابة العامة - مؤسسة النقد العربي السعودي.</w:t>
      </w:r>
    </w:p>
    <w:p>
      <w:pPr>
        <w:jc w:val="right"/>
        <w:bidi/>
      </w:pPr>
      <w:r>
        <w:rPr>
          <w:b w:val="0"/>
          <w:i w:val="0"/>
        </w:rPr>
        <w:t>تاريخ إصدار الوكالة: 1445/03/20هـ الموافق 2023/10/05م</w:t>
        <w:br/>
        <w:t>رقم الوكالة: 451560570</w:t>
        <w:br/>
        <w:t>تاريخ إنهاء الوكالة: 1446/03/20هـ الموافق 2024/09/23م</w:t>
        <w:br/>
        <w:t>حالة الوكالة: معتمدة</w:t>
        <w:br/>
        <w:t>مصدر الوكالة: خدمات الوكالات الإلكترونية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