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التصنيف الرئييس</w:t>
      </w:r>
    </w:p>
    <w:p>
      <w:pPr>
        <w:jc w:val="right"/>
        <w:bidi/>
      </w:pPr>
      <w:r>
        <w:rPr>
          <w:b w:val="0"/>
          <w:i w:val="0"/>
        </w:rPr>
        <w:t>°ó األحكام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008017301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تقديم °ó السابق إلغاء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الطلب *\</w:t>
      </w:r>
    </w:p>
    <w:p>
      <w:pPr>
        <w:jc w:val="right"/>
        <w:bidi/>
      </w:pPr>
      <w:r>
        <w:rPr>
          <w:b w:val="0"/>
          <w:i w:val="0"/>
        </w:rPr>
        <w:t>°ó النظر يف المخالفة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