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والطحينة الوطني المحدودة</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المطلوبات غير المتداولة مطلوب لطرف ذو علاقة فرض طويل الاجل</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الإجار للدور الواحد.</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الوفد</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سابعاً : التجـ</w:t>
      </w:r>
    </w:p>
    <w:p>
      <w:pPr>
        <w:jc w:val="right"/>
        <w:bidi/>
      </w:pPr>
      <w:r>
        <w:rPr>
          <w:b w:val="0"/>
          <w:i w:val="0"/>
        </w:rPr>
        <w:t>اوزات</w:t>
      </w:r>
    </w:p>
    <w:p>
      <w:pPr>
        <w:jc w:val="right"/>
        <w:bidi/>
      </w:pPr>
      <w:r>
        <w:rPr>
          <w:b w:val="0"/>
          <w:i w:val="0"/>
        </w:rPr>
        <w:t>سابعاً : التجاوزات</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والتليفول</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التكليفول</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شرف الوادي في Al Rajhi Bank</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التليفون</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