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طعن للعليا في التماس إعادة النظر</w:t>
      </w:r>
    </w:p>
    <w:p>
      <w:pPr>
        <w:pStyle w:val="Heading2"/>
        <w:jc w:val="right"/>
        <w:bidi/>
      </w:pPr>
      <w:r>
        <w:t>[المُرسَل إليه / المخاطَب والتحية] ===</w:t>
        <w:br/>
        <w:t>أصحاب المعالي رئيس وأعضاء المحكمة العليا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pStyle w:val="Heading2"/>
        <w:jc w:val="right"/>
        <w:bidi/>
      </w:pPr>
      <w:r>
        <w:t>[ترويسة / كليشة رسمية — معلومات متكررة] ===</w:t>
        <w:b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pStyle w:val="Heading2"/>
        <w:jc w:val="right"/>
        <w:bidi/>
      </w:pPr>
      <w:r>
        <w:t>[المتن الفعلي: الوقائع / الأسباب / المنطوق] ===</w:t>
        <w:b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