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pStyle w:val="Heading2"/>
        <w:jc w:val="right"/>
        <w:bidi/>
      </w:pPr>
      <w:r>
        <w:t>[ترويسة / كليشة رسمية — معلومات متكررة] ===</w:t>
        <w:b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pStyle w:val="Heading2"/>
        <w:jc w:val="right"/>
        <w:bidi/>
      </w:pPr>
      <w:r>
        <w:t>[ترويسة / كليشة رسمية — معلومات متكررة] ===</w:t>
        <w:b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pStyle w:val="Heading2"/>
        <w:jc w:val="right"/>
        <w:bidi/>
      </w:pPr>
      <w:r>
        <w:t>[ترويسة / كليشة رسمية — معلومات متكررة] ===</w:t>
        <w:b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pStyle w:val="Heading2"/>
        <w:jc w:val="right"/>
        <w:bidi/>
      </w:pPr>
      <w:r>
        <w:t>[ترويسة / كليشة رسمية — معلومات متكررة] ===</w:t>
        <w:b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يلاملا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م٢٠٠٦ سطسملا ٣١ يف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