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خدمة الشكوى الإلكترونية :. المجلس الأعلى للقضاء</w:t>
      </w:r>
    </w:p>
    <w:p>
      <w:pPr>
        <w:pStyle w:val="Heading2"/>
        <w:jc w:val="right"/>
        <w:bidi/>
      </w:pPr>
      <w:r>
        <w:t>[المتن الفعلي: الوقائع / الأسباب / المنطوق] ===</w:t>
        <w:br/>
        <w:t>ةينوتركللإا نييز سابع نب دمحا نب هماسأ ابحرم</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pStyle w:val="Heading2"/>
        <w:jc w:val="right"/>
        <w:bidi/>
      </w:pPr>
      <w:r>
        <w:t>[بيانات الأطراف: المدعي / المدعى عليه / الحاضرون] ===</w:t>
        <w:b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ةمكحملاب ةرئادب قلعتت</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jc w:val="right"/>
        <w:bidi/>
      </w:pPr>
      <w:r>
        <w:rPr>
          <w:b w:val="0"/>
          <w:i w:val="0"/>
        </w:rPr>
        <w:t>تاقفرملا</w:t>
      </w:r>
    </w:p>
    <w:p>
      <w:pPr>
        <w:pStyle w:val="Heading2"/>
        <w:jc w:val="right"/>
        <w:bidi/>
      </w:pPr>
      <w:r>
        <w:t>[الطلبات / المرفقات] ===</w:t>
        <w:b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pStyle w:val="Heading2"/>
        <w:jc w:val="right"/>
        <w:bidi/>
      </w:pPr>
      <w:r>
        <w:t>[المتن الفعلي: الوقائع / الأسباب / المنطوق] ===</w:t>
        <w:b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