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رسمية — معلومات متكررة] ===</w:t>
        <w:b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رسمية — معلومات متكررة] ===</w:t>
        <w:b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رسمية — معلومات متكررة] ===</w:t>
        <w:b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رسمية — معلومات متكررة] ===</w:t>
        <w:b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pStyle w:val="Heading2"/>
        <w:jc w:val="right"/>
        <w:bidi/>
      </w:pPr>
      <w:r>
        <w:t>[الطلبات / المرفقات] ===</w:t>
        <w:br/>
        <w:t>مرفق (۲)</w:t>
      </w:r>
    </w:p>
    <w:p>
      <w:pPr>
        <w:pStyle w:val="Heading2"/>
        <w:jc w:val="right"/>
        <w:bidi/>
      </w:pPr>
      <w:r>
        <w:t>[المتن الفعلي: الوقائع / الأسباب / المنطوق] ===</w:t>
        <w:b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