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تقديم 21-05-2024 (1)</w:t>
      </w:r>
    </w:p>
    <w:p>
      <w:pPr>
        <w:jc w:val="right"/>
        <w:bidi/>
      </w:pPr>
      <w:r>
        <w:rPr>
          <w:b w:val="0"/>
          <w:i/>
          <w:color w:val="555555"/>
        </w:rPr>
        <w:t>الرقم: 184 | النوع: مذكرة قضائية | التاريخ: 21-05-2024 | القسم: ي. مرفقات خطاب شكوى وزير العدل الأولى والثانية (21 ملفاً)</w:t>
      </w:r>
    </w:p>
    <w:p>
      <w:pPr>
        <w:jc w:val="right"/>
        <w:bidi/>
      </w:pPr>
      <w:r>
        <w:rPr>
          <w:b w:val="0"/>
          <w:i/>
          <w:color w:val="0563C1"/>
        </w:rPr>
        <w:t>الرابط: https://drive.google.com/file/d/1hNKX5SAhtUnQ8ewA0mYyRn0nDZ66ST77/view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