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الإيميل الوارد من الدكتور محمد البنا بشأن دراسة الحكمين في قضية 42824717.pdf</w:t>
      </w:r>
    </w:p>
    <w:p>
      <w:pPr>
        <w:jc w:val="right"/>
        <w:bidi/>
      </w:pPr>
      <w:r>
        <w:rPr>
          <w:b w:val="0"/>
          <w:i/>
          <w:color w:val="555555"/>
        </w:rPr>
        <w:t>الرقم: 7 | النوع: حكم / صك | التاريخ: 2025-10-14 | القسم: أ. المجلد الرئيسي للقضية</w:t>
      </w:r>
    </w:p>
    <w:p>
      <w:pPr>
        <w:jc w:val="right"/>
        <w:bidi/>
      </w:pPr>
      <w:r>
        <w:rPr>
          <w:b w:val="0"/>
          <w:i/>
          <w:color w:val="0563C1"/>
        </w:rPr>
        <w:t>الرابط: https://drive.google.com/file/d/1DRxKZ-gVDQSUhPlnXiU-LkmKup6E5I7-/view?usp=drivesdk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سعادة الأستاذ الدكتور سعيد يحيى</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وتقبل خالص التحية والتقدير د. محمد البنا</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pStyle w:val="Heading2"/>
        <w:jc w:val="right"/>
        <w:bidi/>
      </w:pPr>
      <w:r>
        <w:t>[ترويسة / كليشة رسمية — معلومات متكررة] ===</w:t>
        <w:br/>
        <w:t>E: mohammedalbanna@hejailanlaw.com</w:t>
      </w:r>
    </w:p>
    <w:p>
      <w:pPr>
        <w:pStyle w:val="Heading2"/>
        <w:jc w:val="right"/>
        <w:bidi/>
      </w:pPr>
      <w:r>
        <w:t>[المتن الفعلي: الوقائع / الأسباب / المنطوق] ===</w:t>
        <w:b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pStyle w:val="Heading2"/>
        <w:jc w:val="right"/>
        <w:bidi/>
      </w:pPr>
      <w:r>
        <w:t>[ترويسة / كليشة رسمية — معلومات متكررة] ===</w:t>
        <w:br/>
        <w:t>www.hejailanlaw.com</w:t>
      </w:r>
    </w:p>
    <w:p>
      <w:pPr>
        <w:pStyle w:val="Heading2"/>
        <w:jc w:val="right"/>
        <w:bidi/>
      </w:pPr>
      <w:r>
        <w:t>[المتن الفعلي: الوقائع / الأسباب / المنطوق] ===</w:t>
        <w:b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pStyle w:val="Heading2"/>
        <w:jc w:val="right"/>
        <w:bidi/>
      </w:pPr>
      <w:r>
        <w:t>[ترويسة / كليشة رسمية — معلومات متكررة] ===</w:t>
        <w:br/>
        <w:t>From: Anwar Bahmishan \&lt;anwar.bahmishan@ozco.com\&gt;</w:t>
      </w:r>
    </w:p>
    <w:p>
      <w:pPr>
        <w:pStyle w:val="Heading2"/>
        <w:jc w:val="right"/>
        <w:bidi/>
      </w:pPr>
      <w:r>
        <w:t>[المتن الفعلي: الوقائع / الأسباب / المنطوق] ===</w:t>
        <w:br/>
        <w:t>Sent: Monday, September 29, 2025 11:20 AM</w:t>
      </w:r>
    </w:p>
    <w:p>
      <w:pPr>
        <w:pStyle w:val="Heading2"/>
        <w:jc w:val="right"/>
        <w:bidi/>
      </w:pPr>
      <w:r>
        <w:t>[ترويسة / كليشة رسمية — معلومات متكررة] ===</w:t>
        <w:br/>
        <w:t>To: Saud Mansouri \&lt;mansouri@hejailanlaw.com\&gt;</w:t>
      </w:r>
    </w:p>
    <w:p>
      <w:pPr>
        <w:jc w:val="right"/>
        <w:bidi/>
      </w:pPr>
      <w:r>
        <w:rPr>
          <w:b w:val="0"/>
          <w:i w:val="0"/>
        </w:rPr>
        <w:t>Cc: Dr.Said Yehya \&lt;saidyehya@hejailanlaw.com\&gt;; Ossama Zainy \&lt;Ossama.Zainy@ozco.com\&gt;; Ahmed Zainy</w:t>
      </w:r>
    </w:p>
    <w:p>
      <w:pPr>
        <w:pStyle w:val="Heading2"/>
        <w:jc w:val="right"/>
        <w:bidi/>
      </w:pPr>
      <w:r>
        <w:t>[المتن الفعلي: الوقائع / الأسباب / المنطوق] ===</w:t>
        <w:b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وبنظرة متفحصة في البند الث من العقد يتبين أن هناك مبلغ أجرة مقابل الأعمال التي قام بها الشيخ أسامة</w:t>
      </w:r>
    </w:p>
    <w:p>
      <w:pPr>
        <w:jc w:val="right"/>
        <w:bidi/>
      </w:pPr>
      <w:r>
        <w:rPr>
          <w:b w:val="0"/>
          <w:i w:val="0"/>
        </w:rPr>
        <w:t>ويتمثل التناقض في أن الدائرة ذكرت أن الأعمال التي قام بها الشيخ أسامة لا تخص الشركة محل الدعوى</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اختصاص المحكمة العامة وانما من اختصاص التجارية.</w:t>
      </w:r>
    </w:p>
    <w:p>
      <w:pPr>
        <w:pStyle w:val="Heading2"/>
        <w:jc w:val="right"/>
        <w:bidi/>
      </w:pPr>
      <w:r>
        <w:t>[ترويسة / كليشة رسمية — معلومات متكررة] ===</w:t>
        <w:br/>
        <w:t>ثالثا: تناقض في الحكم - ادعاء القاضي في التسبيب بأن أخر صفحة من الحكم في تسبيب القاضي الصفحة</w:t>
      </w:r>
    </w:p>
    <w:p>
      <w:pPr>
        <w:pStyle w:val="Heading2"/>
        <w:jc w:val="right"/>
        <w:bidi/>
      </w:pPr>
      <w:r>
        <w:t>[المتن الفعلي: الوقائع / الأسباب / المنطوق] ===</w:t>
        <w:br/>
        <w:t>الخامسة)</w:t>
      </w:r>
    </w:p>
    <w:p>
      <w:pPr>
        <w:jc w:val="right"/>
        <w:bidi/>
      </w:pPr>
      <w:r>
        <w:rPr>
          <w:b w:val="0"/>
          <w:i w:val="0"/>
        </w:rPr>
        <w:t>\- الشيخ أسامة قبل بالتقييم وهذا غير صحيح</w:t>
      </w:r>
    </w:p>
    <w:p>
      <w:pPr>
        <w:jc w:val="right"/>
        <w:bidi/>
      </w:pPr>
      <w:r>
        <w:rPr>
          <w:b w:val="0"/>
          <w:i w:val="0"/>
        </w:rPr>
        <w:t>\- ادعاء القاضي بأن تقرير أبو غزالة هو أقرب تقييم لتلك الحصص بينما حادثة التخارج هي العملية التي تنسخ</w:t>
      </w:r>
    </w:p>
    <w:p>
      <w:pPr>
        <w:jc w:val="right"/>
        <w:bidi/>
      </w:pPr>
      <w:r>
        <w:rPr>
          <w:b w:val="0"/>
          <w:i w:val="0"/>
        </w:rPr>
        <w:t>ذلك التقييم</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w:t>
      </w:r>
    </w:p>
    <w:p>
      <w:pPr>
        <w:jc w:val="right"/>
        <w:bidi/>
      </w:pPr>
      <w:r>
        <w:rPr>
          <w:b w:val="0"/>
          <w:i w:val="0"/>
        </w:rPr>
        <w:t>شراء الشيخ أسامة من والده.</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pStyle w:val="Heading2"/>
        <w:jc w:val="right"/>
        <w:bidi/>
      </w:pPr>
      <w:r>
        <w:t>[بيانات الأطراف: المدعي / المدعى عليه / الحاضرون] ===</w:t>
        <w:br/>
        <w:t>قصورها العقلي منذ ولادتها. وهذا أمر يبطل الوكالة الصادرة منها (مرفق الحكم).</w:t>
      </w:r>
    </w:p>
    <w:p>
      <w:pPr>
        <w:pStyle w:val="Heading2"/>
        <w:jc w:val="right"/>
        <w:bidi/>
      </w:pPr>
      <w:r>
        <w:t>[الطلبات / المرفقات] ===</w:t>
        <w:br/>
        <w:t>المرفقات</w:t>
      </w:r>
    </w:p>
    <w:p>
      <w:pPr>
        <w:pStyle w:val="Heading2"/>
        <w:jc w:val="right"/>
        <w:bidi/>
      </w:pPr>
      <w:r>
        <w:t>[المتن الفعلي: الوقائع / الأسباب / المنطوق] ===</w:t>
        <w:br/>
        <w:t>. الاحكام - الدرجة الأولى والاستئناف</w:t>
      </w:r>
    </w:p>
    <w:p>
      <w:pPr>
        <w:jc w:val="right"/>
        <w:bidi/>
      </w:pPr>
      <w:r>
        <w:rPr>
          <w:b w:val="0"/>
          <w:i w:val="0"/>
        </w:rPr>
        <w:t>حكم الدعيلج - الأولى والاستئناف</w:t>
      </w:r>
    </w:p>
    <w:p>
      <w:pPr>
        <w:jc w:val="right"/>
        <w:bidi/>
      </w:pPr>
      <w:r>
        <w:rPr>
          <w:b w:val="0"/>
          <w:i w:val="0"/>
        </w:rPr>
        <w:t>عقد المبايعة</w:t>
      </w:r>
    </w:p>
    <w:p>
      <w:pPr>
        <w:jc w:val="right"/>
        <w:bidi/>
      </w:pPr>
      <w:r>
        <w:rPr>
          <w:b w:val="0"/>
          <w:i w:val="0"/>
        </w:rPr>
        <w:t>ملف المستندات الجديدة قرارات تعيين الشيخ / اسامة زيني مدير بالشركات).</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حكم الولاية على الوالدة عاتقة الحرازي</w:t>
      </w:r>
    </w:p>
    <w:p>
      <w:pPr>
        <w:jc w:val="right"/>
        <w:bidi/>
      </w:pPr>
      <w:r>
        <w:rPr>
          <w:b w:val="0"/>
          <w:i w:val="0"/>
        </w:rPr>
        <w:t>حكم الصلح والتخارج في الشركات</w:t>
      </w:r>
    </w:p>
    <w:p>
      <w:pPr>
        <w:jc w:val="right"/>
        <w:bidi/>
      </w:pPr>
      <w:r>
        <w:rPr>
          <w:b w:val="0"/>
          <w:i w:val="0"/>
        </w:rPr>
        <w:t>. حكم الولاية ضد المرحوم الشيخ أحمد زيني</w:t>
      </w:r>
    </w:p>
    <w:p>
      <w:pPr>
        <w:jc w:val="right"/>
        <w:bidi/>
      </w:pPr>
      <w:r>
        <w:rPr>
          <w:b w:val="0"/>
          <w:i w:val="0"/>
        </w:rPr>
        <w:t>تقرير شامل</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الذي أمر بالوفاء بالعقود.</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ومصاريف عائلية لا يمكن التحقق من قيمتها، وأجرة عمل تخص شركات أخرى غير</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ادعى المدعي (الورثة) أن قيمة الحصص المباعة بلغت 368,757,931 ريال، وفقا لتقرير الخبير أبو غزالة، بينما ثمن البيع الفعلي المدون في عقد البيع هو ١٢٠٠٠٠٠ ، بينما قيمة الأسهم كانت بقيمة 450,000 ريال فقط.</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تقرير الخبير أغفل عوامل مؤثرة، في مقابل وجود المستندات البنكية والعقود المقدمة من الطرف</w:t>
      </w:r>
    </w:p>
    <w:p>
      <w:pPr>
        <w:jc w:val="right"/>
        <w:bidi/>
      </w:pPr>
      <w:r>
        <w:rPr>
          <w:b w:val="0"/>
          <w:i w:val="0"/>
        </w:rPr>
        <w:t>الآخر.</w:t>
      </w:r>
    </w:p>
    <w:p>
      <w:pPr>
        <w:jc w:val="right"/>
        <w:bidi/>
      </w:pPr>
      <w:r>
        <w:rPr>
          <w:b w:val="0"/>
          <w:i w:val="0"/>
        </w:rPr>
        <w:t>ثانيا: التناقض في صفة البائع</w:t>
      </w:r>
    </w:p>
    <w:p>
      <w:pPr>
        <w:jc w:val="right"/>
        <w:bidi/>
      </w:pPr>
      <w:r>
        <w:rPr>
          <w:b w:val="0"/>
          <w:i w:val="0"/>
        </w:rPr>
        <w:t>١- تارةً يدعي أنه باع الحصص بصفته قيماً على والده باع الحصص لنفسه كما في ص٢)</w:t>
      </w:r>
    </w:p>
    <w:p>
      <w:pPr>
        <w:jc w:val="right"/>
        <w:bidi/>
      </w:pPr>
      <w:r>
        <w:rPr>
          <w:b w:val="0"/>
          <w:i w:val="0"/>
        </w:rPr>
        <w:t>فدور "القيم" هو حماية أصول القاصر (والده) وأدائها بأعلى قيمة ممكنة.</w:t>
      </w:r>
    </w:p>
    <w:p>
      <w:pPr>
        <w:jc w:val="right"/>
        <w:bidi/>
      </w:pPr>
      <w:r>
        <w:rPr>
          <w:b w:val="0"/>
          <w:i w:val="0"/>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w:t>
      </w:r>
    </w:p>
    <w:p>
      <w:pPr>
        <w:jc w:val="right"/>
        <w:bidi/>
      </w:pPr>
      <w:r>
        <w:rPr>
          <w:b w:val="0"/>
          <w:i w:val="0"/>
        </w:rPr>
        <w:t>بواجب الأمانة.</w:t>
      </w:r>
    </w:p>
    <w:p>
      <w:pPr>
        <w:jc w:val="right"/>
        <w:bidi/>
      </w:pPr>
      <w:r>
        <w:rPr>
          <w:b w:val="0"/>
          <w:i w:val="0"/>
        </w:rPr>
        <w:t>ثالثا: التناقض حول المورث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pStyle w:val="Heading2"/>
        <w:jc w:val="right"/>
        <w:bidi/>
      </w:pPr>
      <w:r>
        <w:t>[بيانات الأطراف: المدعي / المدعى عليه / الحاضرون] ===</w:t>
        <w:br/>
        <w:t>للمشتري وهو المدعى عليه.</w:t>
      </w:r>
    </w:p>
    <w:p>
      <w:pPr>
        <w:pStyle w:val="Heading2"/>
        <w:jc w:val="right"/>
        <w:bidi/>
      </w:pPr>
      <w:r>
        <w:t>[المتن الفعلي: الوقائع / الأسباب / المنطوق] ===</w:t>
        <w:b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خامسا: التناقض في الإجراءات</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٢- لم تجر الدائرة المقتضى الشرعي تجاه العقد الصحيح الموقع من الطرفين بكامل إرادتهما</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للشيخ أسامة في ذمة البائع (المورث).</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٢ - رفضت المحكمة استجواب والدة موكلنا لإبطال الوكالات ورأت أن ذلك حق جوازي لها، ثم</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شكلا ومضمونا" ، وذلك بالتزوير ووصل الأمر للتحقيقات الجنائية ثم تراجعوا</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التزوير لجأ إلى الدفع بالغين الفاحش</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تناقض التواريخ الثابتة من كون العقد تم صحيحا بتوقيع المورث، وحال أهليته فتواريخ المستشفى</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الفاحش، وكون المورث فاقدا للأهلية والإدراك، وعليه فلا يمكن إعمال هذه المواد آنفة الذكر على</w:t>
      </w:r>
    </w:p>
    <w:p>
      <w:pPr>
        <w:jc w:val="right"/>
        <w:bidi/>
      </w:pPr>
      <w:r>
        <w:rPr>
          <w:b w:val="0"/>
          <w:i w:val="0"/>
        </w:rPr>
        <w:t>الواقعة محل الدعوى". وهذا يتناقض مع الثابت فقها ونظاما من أنه إذا تم العقد بإرادة صحيحة</w:t>
      </w:r>
    </w:p>
    <w:p>
      <w:pPr>
        <w:pStyle w:val="Heading2"/>
        <w:jc w:val="right"/>
        <w:bidi/>
      </w:pPr>
      <w:r>
        <w:t>[ترويسة / كليشة رسمية — معلومات متكررة] ===</w:t>
        <w:br/>
        <w:t>فلا يعدل عنها إلى غيرها. كما يتناقض مع الثابت من تواريخ التقارير الطبية التي تثبت بيقين أنها</w:t>
      </w:r>
    </w:p>
    <w:p>
      <w:pPr>
        <w:pStyle w:val="Heading2"/>
        <w:jc w:val="right"/>
        <w:bidi/>
      </w:pPr>
      <w:r>
        <w:t>[المتن الفعلي: الوقائع / الأسباب / المنطوق] ===</w:t>
        <w:b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pStyle w:val="Heading2"/>
        <w:jc w:val="right"/>
        <w:bidi/>
      </w:pPr>
      <w:r>
        <w:t>[بيانات الأطراف: المدعي / المدعى عليه / الحاضرون] ===</w:t>
        <w:br/>
        <w:t>فقد شارك المدعي في إجراءات التخارج وأقرّ بها. لكنه لاحقاً أنكر صحة الحصص</w:t>
      </w:r>
    </w:p>
    <w:p>
      <w:pPr>
        <w:pStyle w:val="Heading2"/>
        <w:jc w:val="right"/>
        <w:bidi/>
      </w:pPr>
      <w:r>
        <w:t>[المتن الفعلي: الوقائع / الأسباب / المنطوق] ===</w:t>
        <w:b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وهذا يبين التناقض الصريح بين طبيعة الدعوى الحقيقة وهي النزاع في صحة العقد والمطالبة</w:t>
      </w:r>
    </w:p>
    <w:p>
      <w:pPr>
        <w:jc w:val="right"/>
        <w:bidi/>
      </w:pPr>
      <w:r>
        <w:rPr>
          <w:b w:val="0"/>
          <w:i w:val="0"/>
        </w:rPr>
        <w:t>بإبطاله، وبين ما انتهى إليه الحال من تقييم حصص في شركة.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