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4257FF~1.DOC (مذكرة قديمة بترميز تالف)</w:t>
      </w:r>
    </w:p>
    <w:p>
      <w:pPr>
        <w:jc w:val="right"/>
        <w:bidi/>
      </w:pPr>
      <w:r>
        <w:rPr>
          <w:b w:val="0"/>
          <w:i/>
          <w:color w:val="555555"/>
        </w:rPr>
        <w:t>الرقم: 53 | النوع: مذكرة قضائية | التاريخ:  | القسم: ب. المذكرات المقدمة من الطرفين (49 ملفاً)</w:t>
      </w:r>
    </w:p>
    <w:p>
      <w:pPr>
        <w:jc w:val="right"/>
        <w:bidi/>
      </w:pPr>
      <w:r>
        <w:rPr>
          <w:b w:val="0"/>
          <w:i/>
          <w:color w:val="0563C1"/>
        </w:rPr>
        <w:t>الرابط: https://drive.google.com/file/d/1ReUOa7m1Qxcy0flblu5M0MbFx0Rkx03X/view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طعن للعليا في التماس إعادة النظر</w:t>
      </w:r>
    </w:p>
    <w:p>
      <w:pPr>
        <w:pStyle w:val="Heading2"/>
        <w:jc w:val="right"/>
        <w:bidi/>
      </w:pPr>
      <w:r>
        <w:t>[المُرسَل إليه / المخاطَب والتحية] ===</w:t>
        <w:br/>
        <w:t>أصحاب المعالي رئيس وأعضاء المحكمة العليا حفظهم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jc w:val="right"/>
        <w:bidi/>
      </w:pPr>
      <w:r>
        <w:rPr>
          <w:b w:val="0"/>
          <w:i w:val="0"/>
        </w:rPr>
        <w:t>ـــــــــــــــــــــــــــــــــــــــــــــ</w:t>
      </w:r>
    </w:p>
    <w:p>
      <w:pPr>
        <w:jc w:val="right"/>
        <w:bidi/>
      </w:pPr>
      <w:r>
        <w:rPr>
          <w:b w:val="0"/>
          <w:i w:val="0"/>
        </w:rPr>
        <w:t>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jc w:val="right"/>
        <w:bidi/>
      </w:pPr>
      <w:r>
        <w:rPr>
          <w:b w:val="0"/>
          <w:i w:val="0"/>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jc w:val="right"/>
        <w:bidi/>
      </w:pPr>
      <w:r>
        <w:rPr>
          <w:b w:val="0"/>
          <w:i w:val="0"/>
        </w:rPr>
        <w:t>مُلخص تسبيب الحكم: جاءت الأسباب كما يلي:"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jc w:val="right"/>
        <w:bidi/>
      </w:pPr>
      <w:r>
        <w:rPr>
          <w:b w:val="0"/>
          <w:i w:val="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jc w:val="right"/>
        <w:bidi/>
      </w:pPr>
      <w:r>
        <w:rPr>
          <w:b w:val="0"/>
          <w:i w:val="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jc w:val="right"/>
        <w:bidi/>
      </w:pPr>
      <w:r>
        <w:rPr>
          <w:b w:val="0"/>
          <w:i w:val="0"/>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jc w:val="right"/>
        <w:bidi/>
      </w:pPr>
      <w:r>
        <w:rPr>
          <w:b w:val="0"/>
          <w:i w:val="0"/>
        </w:rPr>
        <w:t>الاعتراض من ناحية الشكل :</w:t>
      </w:r>
    </w:p>
    <w:p>
      <w:pPr>
        <w:jc w:val="right"/>
        <w:bidi/>
      </w:pPr>
      <w:r>
        <w:rPr>
          <w:b w:val="0"/>
          <w:i w:val="0"/>
        </w:rPr>
        <w:t>حيث إنّنا تسلمنا نسخة صك الحكم محل هذا الاعتراض بتاريخ 09/09/1447هـ ، وتقدمنا بهذه اللائحة الاعتراضية بتاريخ اليوم ....... ../10/1447هـ الموافق ../03/2026م ، وضمن المدّة النظاميّة للاعتراض وفقا للمادة (93) من نظام المحاكم التجارية ونص الحاجة منها:"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مدة الاعتراض بطلب النقض ثلاثون يومًا"، وعليه فإنّ هذا الاعتراض يكون جديراً بالقبول شكلاً .</w:t>
      </w:r>
    </w:p>
    <w:p>
      <w:pPr>
        <w:jc w:val="right"/>
        <w:bidi/>
      </w:pPr>
      <w:r>
        <w:rPr>
          <w:b w:val="0"/>
          <w:i w:val="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jc w:val="right"/>
        <w:bidi/>
      </w:pPr>
      <w:r>
        <w:rPr>
          <w:b w:val="0"/>
          <w:i w:val="0"/>
        </w:rPr>
        <w:t>مخالفة أحكام الشريعة الإسلامية أو الأنظمة، أو الخطأ في تطبيقها أو تأويلها، أو مخالفة مبدأ قضائي صادر من المحكمة العليا.</w:t>
      </w:r>
    </w:p>
    <w:p>
      <w:pPr>
        <w:jc w:val="right"/>
        <w:bidi/>
      </w:pPr>
      <w:r>
        <w:rPr>
          <w:b w:val="0"/>
          <w:i w:val="0"/>
        </w:rPr>
        <w:t>".اهفصو يف وأ ةعقاولا فييكت يف أطخلا3-</w:t>
      </w:r>
    </w:p>
    <w:p>
      <w:pPr>
        <w:jc w:val="right"/>
        <w:bidi/>
      </w:pPr>
      <w:r>
        <w:rPr>
          <w:b w:val="0"/>
          <w:i w:val="0"/>
        </w:rPr>
        <w:t>أولا: مخالفة أحكام الشريعة الإسلامية أو الأنظمة، أو الخطأ في تطبيقها أو تأويلها، أو مخالفة مبدأ قضائي صادر من المحكمة العليا: ونطعن فيه بما يلي:</w:t>
      </w:r>
    </w:p>
    <w:p>
      <w:pPr>
        <w:jc w:val="right"/>
        <w:bidi/>
      </w:pPr>
      <w:r>
        <w:rPr>
          <w:b w:val="0"/>
          <w:i w:val="0"/>
        </w:rPr>
        <w:t>السبب الأول: الخطأ في تطبيق النظام – عدم تمثيل المطعون ضدها الثانية تمثيلاً صحيحًا:</w:t>
      </w:r>
    </w:p>
    <w:p>
      <w:pPr>
        <w:jc w:val="right"/>
        <w:bidi/>
      </w:pPr>
      <w:r>
        <w:rPr>
          <w:b w:val="0"/>
          <w:i w:val="0"/>
        </w:rPr>
        <w:t>المخالفة: مخالفة الفقرة (ز) من المادة (٢٠٠) من نظام المرافعات الشرعية، والمادة (17) من نظام الإثبات، ونصها:" الإقرار القضائي حجة قاطعة على المقر، وقاصرة عليه".</w:t>
      </w:r>
    </w:p>
    <w:p>
      <w:pPr>
        <w:pStyle w:val="Heading2"/>
        <w:jc w:val="right"/>
        <w:bidi/>
      </w:pPr>
      <w:r>
        <w:t>[ترويسة / كليشة رسمية — معلومات متكررة] ===</w:t>
        <w:b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pStyle w:val="Heading2"/>
        <w:jc w:val="right"/>
        <w:bidi/>
      </w:pPr>
      <w:r>
        <w:t>[المتن الفعلي: الوقائع / الأسباب / المنطوق] ===</w:t>
        <w:b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jc w:val="right"/>
        <w:bidi/>
      </w:pPr>
      <w:r>
        <w:rPr>
          <w:b w:val="0"/>
          <w:i w:val="0"/>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jc w:val="right"/>
        <w:bidi/>
      </w:pPr>
      <w:r>
        <w:rPr>
          <w:b w:val="0"/>
          <w:i w:val="0"/>
        </w:rPr>
        <w:t>السبب الثاني: الفساد في الاستدلال – التناقض بين الشكل والموضوع:</w:t>
      </w:r>
    </w:p>
    <w:p>
      <w:pPr>
        <w:jc w:val="right"/>
        <w:bidi/>
      </w:pPr>
      <w:r>
        <w:rPr>
          <w:b w:val="0"/>
          <w:i w:val="0"/>
        </w:rPr>
        <w:t>المخالفة: مخالفة الفقرة (هـ) من المادة (٢٠٠) من نظام المرافعات الشرعية، ومبدأ اتساق الأسباب مع المنطوق.</w:t>
      </w:r>
    </w:p>
    <w:p>
      <w:pPr>
        <w:jc w:val="right"/>
        <w:bidi/>
      </w:pPr>
      <w:r>
        <w:rPr>
          <w:b w:val="0"/>
          <w:i w:val="0"/>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jc w:val="right"/>
        <w:bidi/>
      </w:pPr>
      <w:r>
        <w:rPr>
          <w:b w:val="0"/>
          <w:i w:val="0"/>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jc w:val="right"/>
        <w:bidi/>
      </w:pPr>
      <w:r>
        <w:rPr>
          <w:b w:val="0"/>
          <w:i w:val="0"/>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jc w:val="right"/>
        <w:bidi/>
      </w:pPr>
      <w:r>
        <w:rPr>
          <w:b w:val="0"/>
          <w:i w:val="0"/>
        </w:rPr>
        <w:t>السبب الثالث: القصور في التسبيب – تجاهل حجية حكم الصلح.</w:t>
      </w:r>
    </w:p>
    <w:p>
      <w:pPr>
        <w:jc w:val="right"/>
        <w:bidi/>
      </w:pPr>
      <w:r>
        <w:rPr>
          <w:b w:val="0"/>
          <w:i w:val="0"/>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jc w:val="right"/>
        <w:bidi/>
      </w:pPr>
      <w:r>
        <w:rPr>
          <w:b w:val="0"/>
          <w:i w:val="0"/>
        </w:rPr>
        <w:t>موضعها من الحكم: الصفحات (٣-٤) من صك الحكم المطعون فيه، حيث أشارت الدائرة إلى حكم الصلح بشكل عابر دون الرد على دلالاته أو بيان سبب عدم الأخذ به.</w:t>
      </w:r>
    </w:p>
    <w:p>
      <w:pPr>
        <w:jc w:val="right"/>
        <w:bidi/>
      </w:pPr>
      <w:r>
        <w:rPr>
          <w:b w:val="0"/>
          <w:i w:val="0"/>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jc w:val="right"/>
        <w:bidi/>
      </w:pPr>
      <w:r>
        <w:rPr>
          <w:b w:val="0"/>
          <w:i w:val="0"/>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jc w:val="right"/>
        <w:bidi/>
      </w:pPr>
      <w:r>
        <w:rPr>
          <w:b w:val="0"/>
          <w:i w:val="0"/>
        </w:rPr>
        <w:t>ثانيًا: الخطأ في تكييف الواقعة أو في وصفها: ونطعن فيه بما يلي:</w:t>
      </w:r>
    </w:p>
    <w:p>
      <w:pPr>
        <w:jc w:val="right"/>
        <w:bidi/>
      </w:pPr>
      <w:r>
        <w:rPr>
          <w:b w:val="0"/>
          <w:i w:val="0"/>
        </w:rPr>
        <w:t>السبب الأول: الخطأ في تطبيق النظام – تكييف حكم محكمة التنفيذ تكييفًا غير سليم:</w:t>
      </w:r>
    </w:p>
    <w:p>
      <w:pPr>
        <w:jc w:val="right"/>
        <w:bidi/>
      </w:pPr>
      <w:r>
        <w:rPr>
          <w:b w:val="0"/>
          <w:i w:val="0"/>
        </w:rPr>
        <w:t>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jc w:val="right"/>
        <w:bidi/>
      </w:pPr>
      <w:r>
        <w:rPr>
          <w:b w:val="0"/>
          <w:i w:val="0"/>
        </w:rPr>
        <w:t>المخالفة: مخالفة المادة (٨٦) من نظام الإثبات، والفقرة (ب) من المادة (٢٠٠) من نظام المرافعات الشرعية.</w:t>
      </w:r>
    </w:p>
    <w:p>
      <w:pPr>
        <w:jc w:val="right"/>
        <w:bidi/>
      </w:pPr>
      <w:r>
        <w:rPr>
          <w:b w:val="0"/>
          <w:i w:val="0"/>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jc w:val="right"/>
        <w:bidi/>
      </w:pPr>
      <w:r>
        <w:rPr>
          <w:b w:val="0"/>
          <w:i w:val="0"/>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jc w:val="right"/>
        <w:bidi/>
      </w:pPr>
      <w:r>
        <w:rPr>
          <w:b w:val="0"/>
          <w:i w:val="0"/>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jc w:val="right"/>
        <w:bidi/>
      </w:pPr>
      <w:r>
        <w:rPr>
          <w:b w:val="0"/>
          <w:i w:val="0"/>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jc w:val="right"/>
        <w:bidi/>
      </w:pPr>
      <w:r>
        <w:rPr>
          <w:b w:val="0"/>
          <w:i w:val="0"/>
        </w:rPr>
        <w:t>السبب الثاني: الخطأ في تطبيق النظام – إهدار حجية المحررات الرسمية والإقرار القضائي:</w:t>
      </w:r>
    </w:p>
    <w:p>
      <w:pPr>
        <w:jc w:val="right"/>
        <w:bidi/>
      </w:pPr>
      <w:r>
        <w:rPr>
          <w:b w:val="0"/>
          <w:i w:val="0"/>
        </w:rPr>
        <w:t>المخالفة: مخالفة المادتين (25) و(17) من نظام الإثبات.</w:t>
      </w:r>
    </w:p>
    <w:p>
      <w:pPr>
        <w:jc w:val="right"/>
        <w:bidi/>
      </w:pPr>
      <w:r>
        <w:rPr>
          <w:b w:val="0"/>
          <w:i w:val="0"/>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jc w:val="right"/>
        <w:bidi/>
      </w:pPr>
      <w:r>
        <w:rPr>
          <w:b w:val="0"/>
          <w:i w:val="0"/>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jc w:val="right"/>
        <w:bidi/>
      </w:pPr>
      <w:r>
        <w:rPr>
          <w:b w:val="0"/>
          <w:i w:val="0"/>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pStyle w:val="Heading2"/>
        <w:jc w:val="right"/>
        <w:bidi/>
      </w:pPr>
      <w:r>
        <w:t>[الطلبات / المرفقات] ===</w:t>
        <w:br/>
        <w:t>الطلبات:</w:t>
      </w:r>
    </w:p>
    <w:p>
      <w:pPr>
        <w:pStyle w:val="Heading2"/>
        <w:jc w:val="right"/>
        <w:bidi/>
      </w:pPr>
      <w:r>
        <w:t>[المتن الفعلي: الوقائع / الأسباب / المنطوق] ===</w:t>
        <w:br/>
        <w:t>قبول الطعن شكلاً.</w:t>
      </w:r>
    </w:p>
    <w:p>
      <w:pPr>
        <w:jc w:val="right"/>
        <w:bidi/>
      </w:pPr>
      <w:r>
        <w:rPr>
          <w:b w:val="0"/>
          <w:i w:val="0"/>
        </w:rPr>
        <w:t>نقض الحكم المطعون فيه رقم (٤٧٣١٩٨٢٦١٩) وتاريخ ٠٩/٠٩/١٤٤٧هـ.</w:t>
      </w:r>
    </w:p>
    <w:p>
      <w:pPr>
        <w:jc w:val="right"/>
        <w:bidi/>
      </w:pPr>
      <w:r>
        <w:rPr>
          <w:b w:val="0"/>
          <w:i w:val="0"/>
        </w:rPr>
        <w:t>إعادة القضية إلى محكمة الاستئناف لنظر التماس إعادة النظر مجددًا أمام دائرة أخرى، مع الأخذ بعين الاعتبار الأسس النظامية الواردة في هذا الطعن.</w:t>
      </w:r>
    </w:p>
    <w:p>
      <w:pPr>
        <w:jc w:val="right"/>
        <w:bidi/>
      </w:pPr>
      <w:r>
        <w:rPr>
          <w:b w:val="0"/>
          <w:i w:val="0"/>
        </w:rPr>
        <w:t>والله الموفق، وصلى الله وسلم على نبينا محمد وعلى آله وصحبه أجمعين.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