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نقض؟ .docx</w:t>
      </w:r>
    </w:p>
    <w:p>
      <w:pPr>
        <w:jc w:val="right"/>
        <w:bidi/>
      </w:pPr>
      <w:r>
        <w:rPr>
          <w:b w:val="0"/>
          <w:i/>
          <w:color w:val="555555"/>
        </w:rPr>
        <w:t>الرقم: 91 | النوع: مذكرة قضائية | التاريخ: 2026-03-17 | القسم: ب. المذكرات المقدمة من الطرفين (49 ملفاً)</w:t>
      </w:r>
    </w:p>
    <w:p>
      <w:pPr>
        <w:jc w:val="right"/>
        <w:bidi/>
      </w:pPr>
      <w:r>
        <w:rPr>
          <w:b w:val="0"/>
          <w:i/>
          <w:color w:val="0563C1"/>
        </w:rPr>
        <w:t>الرابط: https://drive.google.com/file/d/18NCHtWd0dTAw2NWQVGO9hPIUjZgU2IpV/view?usp=drivesdk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أولاً: ملخص الوقائع</w:t>
      </w:r>
    </w:p>
    <w:p>
      <w:pPr>
        <w:jc w:val="right"/>
        <w:bidi/>
      </w:pPr>
      <w:r>
        <w:rPr>
          <w:b w:val="0"/>
          <w:i w:val="0"/>
        </w:rPr>
        <w:t>تعود وقائع النزاع إلى عقد مبايعة مؤرخ في ٢٠/٩/١٤٣١هـ، بموجبه اشترى الطاعن من والده المرحوم/ أحمد عباس زيني كامل حصصه في شركة أحمد زيني التجارية. وقد تضمن العقد في البند (ثالثاً) إقراراً صريحاً من المورث باستحقاق الطاعن لمبلغ ٧٨ مليون ريال كأتعاب عن إدارته للشركات لمدة ثلاثين عاماً.</w:t>
      </w:r>
    </w:p>
    <w:p>
      <w:pPr>
        <w:jc w:val="right"/>
        <w:bidi/>
      </w:pPr>
      <w:r>
        <w:rPr>
          <w:b w:val="0"/>
          <w:i w:val="0"/>
        </w:rPr>
        <w:t>بعد وفاة المورث، أقام المطعون ضدهما دعوى ضد الطاعن بدعوى الغبن، وانتهت بإلزام الطاعن بمبلغ كبير. تقدم الطاعن بالتماس لإعادة النظر مستنداً إلى: (١) عقود تأسيس الشركات وسجلاتها الرسمية، (٢) حكم محكمة التنفيذ بإبراء والدة الطاعن، (٣) صك الولاية الصادر بحق الوالدة، (٤) التناقضات الجوهرية في الأحكام السابقة. إلا أن الدائرة الاستئنافية رفضت الالتماس، مما استدعى هذا الطعن.</w:t>
      </w:r>
    </w:p>
    <w:p>
      <w:pPr>
        <w:jc w:val="right"/>
        <w:bidi/>
      </w:pPr>
      <w:r>
        <w:rPr>
          <w:b w:val="0"/>
          <w:i w:val="0"/>
        </w:rPr>
        <w:t>ثانيا: أسباب طلب النقض</w:t>
      </w:r>
    </w:p>
    <w:p>
      <w:pPr>
        <w:jc w:val="right"/>
        <w:bidi/>
      </w:pPr>
      <w:r>
        <w:rPr>
          <w:b w:val="0"/>
          <w:i w:val="0"/>
        </w:rPr>
        <w:t>السبب الأول: مخالفة الحكم لأحكام نظام الإثبات وحجية المحررات الرسمية (المادتان ٢٥، ٢٦)</w:t>
      </w:r>
    </w:p>
    <w:p>
      <w:pPr>
        <w:jc w:val="right"/>
        <w:bidi/>
      </w:pPr>
      <w:r>
        <w:rPr>
          <w:b w:val="0"/>
          <w:i w:val="0"/>
        </w:rPr>
        <w:t>إن الحكم المطعون فيه لم يأخذ بالمستندات المقدمة من الطاعن والمتمثلة في عقود تأسيس الشركات وسجلاتها الرسمية الصادرة من وزارة التجارة وكاتب العدل، رغم أن هذه المستندات تعتبر محررات رسمية قاطعة في الإثبات ولم يطعن الخصوم في صحتها، ورغم أنها تثبت بما لا يدع مجالاً للشك أن الطاعن أدار هذه الشركات لمدة (٣٠) ثلاثين عاماً.</w:t>
      </w:r>
    </w:p>
    <w:p>
      <w:pPr>
        <w:jc w:val="right"/>
        <w:bidi/>
      </w:pPr>
      <w:r>
        <w:rPr>
          <w:b w:val="0"/>
          <w:i w:val="0"/>
        </w:rPr>
        <w:t>وقد نصت المادة (٢٥) من نظام الإثبات على أن المحرر الرسمي هو ما يثبته موظف عام وفق الأوضاع النظامية، ونصت المادة (٢٦) على أن المحرر الرسمي حجة على الكافة بما دون فيه ما لم يثبت تزويره. ولما كانت هذه المستندات مستوفية للشروط، فإن تجاهلها يشكل مخالفة صريحة للنظام.</w:t>
      </w:r>
    </w:p>
    <w:p>
      <w:pPr>
        <w:jc w:val="right"/>
        <w:bidi/>
      </w:pPr>
      <w:r>
        <w:rPr>
          <w:b w:val="0"/>
          <w:i w:val="0"/>
        </w:rPr>
        <w:t>السبب الثاني: إهدار حجية الإقرار القضائي (المادة ١٧)</w:t>
      </w:r>
    </w:p>
    <w:p>
      <w:pPr>
        <w:jc w:val="right"/>
        <w:bidi/>
      </w:pPr>
      <w:r>
        <w:rPr>
          <w:b w:val="0"/>
          <w:i w:val="0"/>
        </w:rPr>
        <w:t>إن إقرار المورث في العقد باستحقاق الطاعن لمبالغ الإدارة يثبت أن هذه المبالغ داخلة في قيمة الصفقة. وقد نصت المادة (١٧) من نظام الإثبات على أن "الإقرار حجة قاطعة على المقر ومن يخلفه".</w:t>
      </w:r>
    </w:p>
    <w:p>
      <w:pPr>
        <w:jc w:val="right"/>
        <w:bidi/>
      </w:pPr>
      <w:r>
        <w:rPr>
          <w:b w:val="0"/>
          <w:i w:val="0"/>
        </w:rPr>
        <w:t>وحتى لو افترضنا جدلاً وجود غبن في قيمة الحصص - وهو ما لم يثبت - فإن هذا الافتراض لا يغير من حقيقة أن المورث أقر باستحقاق الطاعن لهذه المبالغ. والأهم من ذلك، أنه في حال ثبوت الغبن، فإن الإشكالية الأكبر في منطوق الحكم تكمن في تجاهله لهذا الإقرار الحقيقي، حيث كان المفروض على المحكمة أن تخصم هذه المبالغ من المبلغ الذي حكمت به، لأن إقرار المورث بها يعني أنها جزء أصيل من قيمة الصفقة وليست دخيلة عليها. وتجاهل المحكمة لهذا الإقرار رغم ثبوته جعل الحكم مجحفاً بحق الطاعن ومخالفاً لنص المادة (١٧) من نظام الإثبات.</w:t>
      </w:r>
    </w:p>
    <w:p>
      <w:pPr>
        <w:jc w:val="right"/>
        <w:bidi/>
      </w:pPr>
      <w:r>
        <w:rPr>
          <w:b w:val="0"/>
          <w:i w:val="0"/>
        </w:rPr>
        <w:t>إن إقرار المورث في العقد باستحقاق الطاعن لمبالغ الإدارة يعني أن هذه المبالغ داخلة في قيمة الصفقة، وكان المفروض على المحكمة إنها تخصمها من المبلغ الذي حكمت به. هذا الإقرار هو حقيقة قائمة بذاتها، ولا يسقطها افتراض الغبن مهما كان. بل إن وجود هذا الإقرار يخلق إشكالية كبرى في منطوق الحكم الذي تجاهله، إذ كيف يُحكم على الطاعن بدفع قيمة كاملة للحصص دون أن تخصم منها المبالغ التي أقر المورث باستحقاقه إياها؟</w:t>
      </w:r>
    </w:p>
    <w:p>
      <w:pPr>
        <w:jc w:val="right"/>
        <w:bidi/>
      </w:pPr>
      <w:r>
        <w:rPr>
          <w:b w:val="0"/>
          <w:i w:val="0"/>
        </w:rPr>
        <w:t>ولا يغير من ذلك سكوت المورث الطويل بعد العقد لمدة (٧) سبع سنوات، حيث عاش بعد نقل الحصص بتاريخ ١٦/١٠/١٤٣١هـ ولم يدع المطعون ضده هذا الغبن، ثم تم تخارجهم في حصصهم بتاريخ ١٠/١٠/١٤٣٤هـ ولم يدعوا الغبن أيضاً، مما يؤكد صحة الإقرار واستقرار التعاملات بناءً عليه.</w:t>
      </w:r>
    </w:p>
    <w:p>
      <w:pPr>
        <w:jc w:val="right"/>
        <w:bidi/>
      </w:pPr>
      <w:r>
        <w:rPr>
          <w:b w:val="0"/>
          <w:i w:val="0"/>
        </w:rPr>
        <w:t>السبب الثالث: شرط التعذر وتوافره (الفقرة ب من المادة ٢٠٠)</w:t>
      </w:r>
    </w:p>
    <w:p>
      <w:pPr>
        <w:jc w:val="right"/>
        <w:bidi/>
      </w:pPr>
      <w:r>
        <w:rPr>
          <w:b w:val="0"/>
          <w:i w:val="0"/>
        </w:rPr>
        <w:t>إن عدم تمكن الطاعن من تقديم عقود التأسيس والسجلات التجارية في وقت سابق لم يكن بسبب تقصير أو إهمال، بل لظروف قاهرة تمثلت في: (١) تواجده خارج المملكة للعلاج خلال فترة الترافع، (٢) جائحة كورونا وإجراءاتها، (٣) تعثر الشركة الأمينة على المستندات وإشهار إفلاسها، (٤) حريق في المستودعات وما تبع ذلك من إجراءات تدقيق وفرز.</w:t>
      </w:r>
    </w:p>
    <w:p>
      <w:pPr>
        <w:jc w:val="right"/>
        <w:bidi/>
      </w:pPr>
      <w:r>
        <w:rPr>
          <w:b w:val="0"/>
          <w:i w:val="0"/>
        </w:rPr>
        <w:t>وقد استقر قضاء المحكمة العليا على أن شرط "التعذر" في الفقرة (ب) من المادة ٢٠٠ لا يقتصر على المستندات الجديدة فقط، بل يشمل المستندات القديمة التي تعذر تقديمها قبل الحكم لسبب قاهر.</w:t>
      </w:r>
    </w:p>
    <w:p>
      <w:pPr>
        <w:jc w:val="right"/>
        <w:bidi/>
      </w:pPr>
      <w:r>
        <w:rPr>
          <w:b w:val="0"/>
          <w:i w:val="0"/>
        </w:rPr>
        <w:t>السبب الرابع: الخطأ في تكييف حكم التنفيذ (المادة ٨٦)</w:t>
      </w:r>
    </w:p>
    <w:p>
      <w:pPr>
        <w:jc w:val="right"/>
        <w:bidi/>
      </w:pPr>
      <w:r>
        <w:rPr>
          <w:b w:val="0"/>
          <w:i w:val="0"/>
        </w:rPr>
        <w:t>إن حكم محكمة التنفيذ رقم ٤٧٣١٤٦١٧٠٣ وتاريخ ١٣/٠٤/١٤٤٧هـ والذي يثبت إبراء المطعون ضدها الثانية (والدة الطاعن) لذمته، هو مستند قضائي جديد مكتسب قوة الأمر المقضي، صادر من جهة مختصة. وقد نصت المادة (٨٦) من نظام الإثبات على أن الأحكام التي حازت حجية الأمر المقضي حجة فيما فصلت فيه.</w:t>
      </w:r>
    </w:p>
    <w:p>
      <w:pPr>
        <w:jc w:val="right"/>
        <w:bidi/>
      </w:pPr>
      <w:r>
        <w:rPr>
          <w:b w:val="0"/>
          <w:i w:val="0"/>
        </w:rPr>
        <w:t>وإن وصف الدائرة لهذا الحكم بأنه "شأن تنفيذي لا يتعلق بموضوع الدعوى" هو خطأ في تكييف الواقعة، إذ أن هذا الحكم يثبت براءة ذمة الطاعن بناءً على إقرار الوالدة نفسه، ويدعم سبب الالتماس المستند إلى الفقرة (ز) بعدم تمثيلها تمثيلاً صحيحاً.</w:t>
      </w:r>
    </w:p>
    <w:p>
      <w:pPr>
        <w:jc w:val="right"/>
        <w:bidi/>
      </w:pPr>
      <w:r>
        <w:rPr>
          <w:b w:val="0"/>
          <w:i w:val="0"/>
        </w:rPr>
        <w:t>السبب الخامس: مخالفة حكم الصلح لحجية الأمر المقضي</w:t>
      </w:r>
    </w:p>
    <w:p>
      <w:pPr>
        <w:jc w:val="right"/>
        <w:bidi/>
      </w:pPr>
      <w:r>
        <w:rPr>
          <w:b w:val="0"/>
          <w:i w:val="0"/>
        </w:rPr>
        <w:t>إن حكم الصلح والتخارج الصادر من الدائرة السابعة عشرة بالمحكمة الإدارية بجدة برقم (١٨٥/١٧/٢) وتاريخ ٢/١٢/١٤٣٢هـ قضى بإقرار الأطراف - بمن فيهم المطعون ضده - بالصلح والتخارج من الشركات محل النزاع، وتضمن إبراء ذمة الطاعن من أي مطالبات مستقبلية. وقد نص البند (١/٤) من الحكم على أن الطرف الثاني (عدنان زيني) أقر "بأنه ليس له أي حق في مطالبة الطرف الأول ... ويعتبر هذا التخارج بالصلح إبراء ذمة شامل ونهائي لذمة الطرف الأول وإسقاطاً لحقهم في أي مطلب أو دعوى ... في الماضي والحاضر والمستقبل".</w:t>
      </w:r>
    </w:p>
    <w:p>
      <w:pPr>
        <w:jc w:val="right"/>
        <w:bidi/>
      </w:pPr>
      <w:r>
        <w:rPr>
          <w:b w:val="0"/>
          <w:i w:val="0"/>
        </w:rPr>
        <w:t>ورغم هذا الإقرار القضائي الملزم، فقد نظرت المحكمة في دعوى المطعون ضده مجدداً، مما يعد مخالفة صريحة لحجية الأمر المقضي.</w:t>
      </w:r>
    </w:p>
    <w:p>
      <w:pPr>
        <w:jc w:val="right"/>
        <w:bidi/>
      </w:pPr>
      <w:r>
        <w:rPr>
          <w:b w:val="0"/>
          <w:i w:val="0"/>
        </w:rPr>
        <w:t>السبب السادس: التناقض الجوهري في أسباب الحكم (الفقرة هـ)</w:t>
      </w:r>
    </w:p>
    <w:p>
      <w:pPr>
        <w:jc w:val="right"/>
        <w:bidi/>
      </w:pPr>
      <w:r>
        <w:rPr>
          <w:b w:val="0"/>
          <w:i w:val="0"/>
        </w:rPr>
        <w:t>لقد شاب الحكم المطعون فيه تناقضات جوهرية في أسبابه، من أبرزها:</w:t>
      </w:r>
    </w:p>
    <w:p>
      <w:pPr>
        <w:jc w:val="right"/>
        <w:bidi/>
      </w:pPr>
      <w:r>
        <w:rPr>
          <w:b w:val="0"/>
          <w:i w:val="0"/>
        </w:rPr>
        <w:t>التناقض الأول: بخصوص موقف الطاعن من تقييم أبو غزالة</w:t>
        <w:br/>
        <w:t>نسبت المحكمة للطاعن أنه "قبل ورضي" بتقييم مكتب أبو غزالة، مع أن الثابت في حكم الصلح والتخارج أنه اعترض على هذا التقييم، ولم يتم التخارج والصلح إلا بقيمة مختلفة تماماً. هذا التناقض بين ما نسبته المحكمة للطاعن وبين الثابت في الأوراق يشكل خطأً جوهرياً في فهم الوقائع.</w:t>
      </w:r>
    </w:p>
    <w:p>
      <w:pPr>
        <w:jc w:val="right"/>
        <w:bidi/>
      </w:pPr>
      <w:r>
        <w:rPr>
          <w:b w:val="0"/>
          <w:i w:val="0"/>
        </w:rPr>
        <w:t>ًانامز برقألا مييقتلاب ذخألا صوصخب :يناثلا ضقانتلا</w:t>
        <w:br/>
        <w:t>قالت المحكمة إنها أخذت بالتقييم الأقرب زماناً لانتقال الحصص، ثم تجاهلت أن التقييم الأقرب هو الوارد في العقد نفسه بين الأطراف، وأخذت بتقييم آخر أحدث. هذا التناقض في المنهجية التي اتبعتها المحكمة يجعل حكمها غير متسق مع أسسه التي بني عليها.</w:t>
      </w:r>
    </w:p>
    <w:p>
      <w:pPr>
        <w:jc w:val="right"/>
        <w:bidi/>
      </w:pPr>
      <w:r>
        <w:rPr>
          <w:b w:val="0"/>
          <w:i w:val="0"/>
        </w:rPr>
        <w:t>التناقض الثالث: بخصوص قيمة التخارج الفعلية</w:t>
      </w:r>
    </w:p>
    <w:p>
      <w:pPr>
        <w:jc w:val="right"/>
        <w:bidi/>
      </w:pPr>
      <w:r>
        <w:rPr>
          <w:b w:val="0"/>
          <w:i w:val="0"/>
        </w:rPr>
        <w:t>تجاهلت المحكمة قيمة التخارج الفعلية التي تمت باتفاق الأطراف ونفذت أمام وزارة التجارة وكاتب العدل، وأخذت بتقييم آخر مختلف تماماً. والأصل الشرعي والنظامي أن عقد الصلح والتخارج من أقوى العقود الملزمة، ويكتسب حجية قاطعة بمجرد توثيقه، والاتفاق اللاحق بين الأطراف ينسخ ما قبله من تقييمات، لأن إرادة الأطراف الحرة هي مصدر الالتزامات.</w:t>
      </w:r>
    </w:p>
    <w:p>
      <w:pPr>
        <w:jc w:val="right"/>
        <w:bidi/>
      </w:pPr>
      <w:r>
        <w:rPr>
          <w:b w:val="0"/>
          <w:i w:val="0"/>
        </w:rPr>
        <w:t>ومن المبادئ المستقرة في القضاء أن "الأسباب والمنطوق وحدة واحدة لا تتجزأ"، فإذا شاب الأسباب خلل جوهري أو تناقض، انعكس هذا الخلل على المنطوق وأفقده قوته النظامية. وهذه التناقضات مجتمعة تثبت أن تسبيب الحكم كان مشوباً بخلل جوهري انعكس على منطوقه، مما يوجب نقضه.</w:t>
      </w:r>
    </w:p>
    <w:p>
      <w:pPr>
        <w:jc w:val="right"/>
        <w:bidi/>
      </w:pPr>
      <w:r>
        <w:rPr>
          <w:b w:val="0"/>
          <w:i w:val="0"/>
        </w:rPr>
        <w:t>(ز ةرقفلا) ًاحيحص ًاليثمت ةيناثلا اهدض نوعطملا ليثمت مدع :عباسلا ببسلا</w:t>
      </w:r>
    </w:p>
    <w:p>
      <w:pPr>
        <w:jc w:val="right"/>
        <w:bidi/>
      </w:pPr>
      <w:r>
        <w:rPr>
          <w:b w:val="0"/>
          <w:i w:val="0"/>
        </w:rPr>
        <w:t>لقد ثبت بموجب صك الولاية أن المطعون ضدها الثانية (والدة الطاعن) قاصر عقلياً منذ الولادة، وهذا ما أقر به ابنها المطعون ضده الأول في صك الولاية. كما صدر حكم محكمة التنفيذ بإبراء الطاعن بناءً على إقرارها، مما يؤكد عدم رضاها بهذه الدعوى وأنها لم تقدم بإرادتها الحرة.</w:t>
      </w:r>
    </w:p>
    <w:p>
      <w:pPr>
        <w:jc w:val="right"/>
        <w:bidi/>
      </w:pPr>
      <w:r>
        <w:rPr>
          <w:b w:val="0"/>
          <w:i w:val="0"/>
        </w:rPr>
        <w:t>وقد استقر قضاء المحكمة العليا على أن الفقرة (ز) من المادة ٢٠٠ تهدف لحماية من صدر الحكم ضده ولم يكن ممثلاً تمثيلاً صحيحاً، سواء بسبب انعدام الأهلية أو خلل في الوكالة. وإن صدور صك الولاية بعد الحكم لا ينفي وجود الحاجة للولاية قبله، بل يعزز أن حالتها كانت تستوجب الولاية.</w:t>
      </w:r>
    </w:p>
    <w:p>
      <w:pPr>
        <w:pStyle w:val="Heading2"/>
        <w:jc w:val="right"/>
        <w:bidi/>
      </w:pPr>
      <w:r>
        <w:t>[الطلبات / المرفقات] ===</w:t>
        <w:br/>
        <w:t>ثالثا: الطلبات</w:t>
      </w:r>
    </w:p>
    <w:p>
      <w:pPr>
        <w:jc w:val="right"/>
        <w:bidi/>
      </w:pPr>
      <w:r>
        <w:rPr>
          <w:b w:val="0"/>
          <w:i w:val="0"/>
        </w:rPr>
        <w:t>لذا، وبالله التوفيق، نطلب من عدالة المحكمة العليا:</w:t>
      </w:r>
    </w:p>
    <w:p>
      <w:pPr>
        <w:pStyle w:val="Heading2"/>
        <w:jc w:val="right"/>
        <w:bidi/>
      </w:pPr>
      <w:r>
        <w:t>[المتن الفعلي: الوقائع / الأسباب / المنطوق] ===</w:t>
        <w:br/>
        <w:t>أولاً: قبول الطعن شكلاً.</w:t>
      </w:r>
    </w:p>
    <w:p>
      <w:pPr>
        <w:jc w:val="right"/>
        <w:bidi/>
      </w:pPr>
      <w:r>
        <w:rPr>
          <w:b w:val="0"/>
          <w:i w:val="0"/>
        </w:rPr>
        <w:t>ثانياً: نقض الحكم المطعون فيه رقم ٤٧٣١٩٨٢٦١٩ وتاريخ ٠٩/٠٩/١٤٤٧هـ الصادر من الدائرة الاستئنافية الثانية بالمحكمة التجارية بجدة.</w:t>
      </w:r>
    </w:p>
    <w:p>
      <w:pPr>
        <w:jc w:val="right"/>
        <w:bidi/>
      </w:pPr>
      <w:r>
        <w:rPr>
          <w:b w:val="0"/>
          <w:i w:val="0"/>
        </w:rPr>
        <w:t>ثالثاً: إعادة القضية إلى محكمة الاستئناف لنظرها مجدداً أمام دائرة أخرى، مع الأخذ بعين الاعتبار الأسباب النظامية الواردة في هذا الطعن.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