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لالري زلا</w:t>
        <w:br/>
        <w:t>عل 1-7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ص اام كر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السو لالس .د سعودي حاضر</w:t>
        <w:br/>
        <w:t>سلطان ماجد ناصر القحطاني الهوية الوطنية الس إ.د سعودي محامى</w:t>
        <w:br/>
        <w:t>طارق خلف بن رايع الحارثى الهوية الوطنية 00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اا 10و١١‏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مخامى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الهوية الوطنية ل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  <w:br/>
        <w:t>سلطان ماجد ناصر القحطاني الهوية الوطنية ل لالاا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|لكك) | اتشلكة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241418107 رقمالجلسة: ‎١٠9‏ سانت لس</w:t>
        <w:br/>
        <w:t>ل طلطراق القضية 77 مي ببح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سليمازق محمد ماليمازق السمدوري 9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39 مع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8 1</w:t>
        <w:br/>
        <w:t>الصة عليه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  <w:br/>
        <w:t>نعم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شيع</w:t>
        <w:br/>
        <w:t>للد قوقيع أعضاء الدائرة 37نس حت ب ا بٍ؟ى؟]؟)ٍ سحب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صالع العواجي رئيس الدائرة القضمائية 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