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مؤقت tmp</w:t>
      </w:r>
    </w:p>
    <w:p>
      <w:pPr>
        <w:jc w:val="right"/>
        <w:bidi/>
      </w:pPr>
      <w:r>
        <w:rPr>
          <w:b w:val="0"/>
          <w:i/>
          <w:color w:val="555555"/>
        </w:rPr>
        <w:t>الرقم: 195 | النوع: حكم / صك | التاريخ:  | القسم: ي. مرفقات خطاب شكوى وزير العدل الأولى والثانية (21 ملفاً)</w:t>
      </w:r>
    </w:p>
    <w:p>
      <w:pPr>
        <w:jc w:val="right"/>
        <w:bidi/>
      </w:pPr>
      <w:r>
        <w:rPr>
          <w:b w:val="0"/>
          <w:i/>
          <w:color w:val="0563C1"/>
        </w:rPr>
        <w:t>الرابط: https://drive.google.com/file/d/1sQwUVoEcRxqlkPwnHWLSb9jsleFE_KOp/view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pStyle w:val="Heading2"/>
        <w:jc w:val="right"/>
        <w:bidi/>
      </w:pPr>
      <w:r>
        <w:t>[بيانات الأطراف: المدعي / المدعى عليه / الحاضرون] ===</w:t>
        <w:br/>
        <w:t>ديون عن البائع ، وهو مورث المدعين ومورثي، فالبائع هو الوالد، وتفصيلها كالتالي:</w:t>
      </w:r>
    </w:p>
    <w:p>
      <w:pPr>
        <w:pStyle w:val="Heading2"/>
        <w:jc w:val="right"/>
        <w:bidi/>
      </w:pPr>
      <w:r>
        <w:t>[المتن الفعلي: الوقائع / الأسباب / المنطوق] ===</w:t>
        <w:b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pStyle w:val="Heading2"/>
        <w:jc w:val="right"/>
        <w:bidi/>
      </w:pPr>
      <w:r>
        <w:t>[المتن الفعلي: الوقائع / الأسباب / المنطوق] ===</w:t>
        <w:b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pStyle w:val="Heading2"/>
        <w:jc w:val="right"/>
        <w:bidi/>
      </w:pPr>
      <w:r>
        <w:t>[المتن الفعلي: الوقائع / الأسباب / المنطوق] ===</w:t>
        <w:b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pStyle w:val="Heading2"/>
        <w:jc w:val="right"/>
        <w:bidi/>
      </w:pPr>
      <w:r>
        <w:t>[المتن الفعلي: الوقائع / الأسباب / المنطوق] ===</w:t>
        <w:b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