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pStyle w:val="Heading2"/>
        <w:jc w:val="right"/>
        <w:bidi/>
      </w:pPr>
      <w:r>
        <w:t>[ترويسة / كليشة رسمية — معلومات متكررة] ===</w:t>
        <w:br/>
        <w:t>صدرت هذه الوثيقة من النظام الإلكتروني وخدمات التوثيق، ويمكن التحقق من صحة الوثيقة عبر الخدمات الإلكترونية لوزارة العدل.</w:t>
      </w:r>
    </w:p>
    <w:p>
      <w:pPr>
        <w:pStyle w:val="Heading2"/>
        <w:jc w:val="right"/>
        <w:bidi/>
      </w:pPr>
      <w:r>
        <w:t>[المتن الفعلي: الوقائع / الأسباب / المنطوق] ===</w:t>
        <w:br/>
        <w:t>الأطراف:</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[المتن الفعلي: الوقائع / الأسباب / المنطوق]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تاريخ إصدار الوكالة: 1445/03/20هـ | 2023/10/05م - رقم الوكالة: 451560570</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pStyle w:val="Heading2"/>
        <w:jc w:val="right"/>
        <w:bidi/>
      </w:pPr>
      <w:r>
        <w:t>[بيانات الأطراف: المدعي / المدعى عليه / الحاضرون] ===</w:t>
        <w:br/>
        <w:t>المملكة العربية السعودية - وزارة العدل - وثيقة وكالة</w:t>
      </w:r>
    </w:p>
    <w:p>
      <w:pPr>
        <w:pStyle w:val="Heading2"/>
        <w:jc w:val="right"/>
        <w:bidi/>
      </w:pPr>
      <w:r>
        <w:t>[المتن الفعلي: الوقائع / الأسباب / المنطوق] ===</w:t>
        <w:br/>
        <w:t>[انتهى المحتوى القابل للقراءة. باقي المستند تكرار للعنوان بالترميز المعكوس وعبارة CamScanner.]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