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4257FF~1.DOC (مذكرة قديمة بترميز تالف)</w:t>
      </w:r>
    </w:p>
    <w:p>
      <w:pPr>
        <w:jc w:val="right"/>
        <w:bidi/>
      </w:pPr>
      <w:r>
        <w:rPr>
          <w:b w:val="0"/>
          <w:i/>
          <w:color w:val="0563C1"/>
        </w:rPr>
        <w:t>الرابط: https://drive.google.com/file/d/1ReUOa7m1Qxcy0flblu5M0MbFx0Rkx03X/view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مذكرة قضائية</w:t>
      </w:r>
    </w:p>
    <w:p>
      <w:pPr>
        <w:jc w:val="right"/>
        <w:bidi/>
      </w:pPr>
      <w:r>
        <w:rPr>
          <w:b/>
        </w:rPr>
        <w:t xml:space="preserve">الجهة المصدِرة: </w:t>
      </w:r>
      <w:r>
        <w:t>المحكمة العليا</w:t>
      </w:r>
    </w:p>
    <w:p>
      <w:pPr>
        <w:jc w:val="right"/>
        <w:bidi/>
      </w:pPr>
      <w:r>
        <w:rPr>
          <w:b/>
        </w:rPr>
        <w:t xml:space="preserve">رقم القضية: </w:t>
      </w:r>
      <w:r>
        <w:t>42824717</w:t>
      </w:r>
    </w:p>
    <w:p>
      <w:pPr>
        <w:jc w:val="right"/>
        <w:bidi/>
      </w:pPr>
      <w:r>
        <w:rPr>
          <w:b/>
        </w:rPr>
        <w:t xml:space="preserve">رقم الصك/الحكم: </w:t>
      </w:r>
      <w:r>
        <w:t>4630548401</w:t>
      </w:r>
    </w:p>
    <w:p>
      <w:pPr>
        <w:jc w:val="right"/>
        <w:bidi/>
      </w:pPr>
      <w:r>
        <w:rPr>
          <w:b/>
        </w:rPr>
        <w:t xml:space="preserve">التاريخ: </w:t>
      </w:r>
      <w:r>
        <w:t>09/09/1447</w:t>
      </w:r>
    </w:p>
    <w:p>
      <w:pPr>
        <w:jc w:val="right"/>
        <w:bidi/>
      </w:pPr>
      <w:r>
        <w:rPr>
          <w:b/>
        </w:rPr>
        <w:t xml:space="preserve">الأطراف: </w:t>
      </w:r>
      <w:r>
        <w:t>عدنان زيني، أسامة زيني، أحمد زيني (المورّث)، عاتقة الحرازي</w:t>
      </w:r>
    </w:p>
    <w:p/>
    <w:p>
      <w:pPr>
        <w:pStyle w:val="Heading2"/>
        <w:jc w:val="right"/>
        <w:bidi/>
      </w:pPr>
      <w:r>
        <w:t>[المتن الفعلي: الوقائع / الأسباب / المنطوق] ===</w:t>
        <w:br/>
        <w:t>طعن للعليا في التماس إعادة النظر</w:t>
      </w:r>
    </w:p>
    <w:p>
      <w:pPr>
        <w:pStyle w:val="Heading2"/>
        <w:jc w:val="right"/>
        <w:bidi/>
      </w:pPr>
      <w:r>
        <w:t>[المُرسَل إليه / المخاطَب والتحية] ===</w:t>
        <w:br/>
        <w:t>أصحاب المعالي رئيس وأعضاء المحكمة العليا حفظهم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مخالفة أحكام الشريعة الإسلامية أو الأنظمة، أو الخطأ في تطبيقها أو تأويلها، أو مخالفة مبدأ قضائي صادر من المحكمة العليا.</w:t>
      </w:r>
    </w:p>
    <w:p>
      <w:pPr>
        <w:jc w:val="right"/>
        <w:bidi/>
      </w:pPr>
      <w:r>
        <w:rPr>
          <w:b w:val="0"/>
          <w:i w:val="0"/>
        </w:rPr>
        <w:t>".اهفصو يف وأ ةعقاولا فييكت يف أطخلا3-</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السبب الأول: الخطأ في تطبيق النظام – عدم تمثيل المطعون ضدها الثانية تمثيلاً صحيحًا:</w:t>
      </w:r>
    </w:p>
    <w:p>
      <w:pPr>
        <w:jc w:val="right"/>
        <w:bidi/>
      </w:pPr>
      <w:r>
        <w:rPr>
          <w:b w:val="0"/>
          <w:i w:val="0"/>
        </w:rPr>
        <w:t>المخالفة: مخالفة الفقرة (ز) من المادة (٢٠٠) من نظام المرافعات الشرعية، والمادة (17) من نظام الإثبات، ونصها:" الإقرار القضائي حجة قاطعة على المقر، وقاصرة عليه".</w:t>
      </w:r>
    </w:p>
    <w:p>
      <w:pPr>
        <w:pStyle w:val="Heading2"/>
        <w:jc w:val="right"/>
        <w:bidi/>
      </w:pPr>
      <w:r>
        <w:t>[ترويسة / كليشة رسمية — معلومات متكررة] ===</w:t>
        <w:b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pStyle w:val="Heading2"/>
        <w:jc w:val="right"/>
        <w:bidi/>
      </w:pPr>
      <w:r>
        <w:t>[المتن الفعلي: الوقائع / الأسباب / المنطوق] ===</w:t>
        <w:b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السبب الثاني: الفساد في الاستدلال – التناقض بين الشكل والموضوع:</w:t>
      </w:r>
    </w:p>
    <w:p>
      <w:pPr>
        <w:jc w:val="right"/>
        <w:bidi/>
      </w:pPr>
      <w:r>
        <w:rPr>
          <w:b w:val="0"/>
          <w:i w:val="0"/>
        </w:rPr>
        <w:t>المخالفة: مخالفة الفقرة (هـ) من المادة (٢٠٠) من نظام المرافعات الشرعية، ومبدأ اتساق الأسباب مع المنطوق.</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السبب الثالث: القصور في التسبيب – تجاهل حجية حكم الصلح.</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السبب الأول: الخطأ في تطبيق النظام – تكييف حكم محكمة التنفيذ تكييفًا غير سليم:</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المخالفة: مخالفة المادة (٨٦) من نظام الإثبات، والفقرة (ب) من المادة (٢٠٠) من نظام المرافعات الشرعية.</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السبب الثاني: الخطأ في تطبيق النظام – إهدار حجية المحررات الرسمية والإقرار القضائي:</w:t>
      </w:r>
    </w:p>
    <w:p>
      <w:pPr>
        <w:jc w:val="right"/>
        <w:bidi/>
      </w:pPr>
      <w:r>
        <w:rPr>
          <w:b w:val="0"/>
          <w:i w:val="0"/>
        </w:rPr>
        <w:t>المخالفة: مخالفة المادتين (25) و(17) من نظام الإثبات.</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pStyle w:val="Heading2"/>
        <w:jc w:val="right"/>
        <w:bidi/>
      </w:pPr>
      <w:r>
        <w:t>[الطلبات / المرفقات] ===</w:t>
        <w:br/>
        <w:t>الطلبات:</w:t>
      </w:r>
    </w:p>
    <w:p>
      <w:pPr>
        <w:pStyle w:val="Heading2"/>
        <w:jc w:val="right"/>
        <w:bidi/>
      </w:pPr>
      <w:r>
        <w:t>[المتن الفعلي: الوقائع / الأسباب / المنطوق] ===</w:t>
        <w:b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إعادة القضية إلى محكمة الاستئناف لنظر التماس إعادة النظر مجددًا أمام دائرة أخرى، مع الأخذ بعين الاعتبار الأسس النظامية الواردة في هذا الطعن.</w:t>
      </w:r>
    </w:p>
    <w:p>
      <w:pPr>
        <w:jc w:val="right"/>
        <w:bidi/>
      </w:pPr>
      <w:r>
        <w:rPr>
          <w:b w:val="0"/>
          <w:i w:val="0"/>
        </w:rPr>
        <w:t>والله الموفق، وصلى الله وسلم على نبينا محمد وعلى آله وصحبه أجمعين.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