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45117602</w:t>
      </w:r>
    </w:p>
    <w:p>
      <w:pPr>
        <w:jc w:val="right"/>
        <w:bidi/>
      </w:pPr>
      <w:r>
        <w:rPr>
          <w:b/>
        </w:rPr>
        <w:t xml:space="preserve">التاريخ: </w:t>
      </w:r>
      <w:r>
        <w:t>23-09-1445</w:t>
      </w:r>
    </w:p>
    <w:p>
      <w:pPr>
        <w:jc w:val="right"/>
        <w:bidi/>
      </w:pPr>
      <w:r>
        <w:rPr>
          <w:b/>
        </w:rPr>
        <w:t xml:space="preserve">الأطراف: </w:t>
      </w:r>
      <w:r>
        <w:t>أسامة زيني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[NOTE: full raw content preserved in JSON; see metadata. Content is a Saudi MOJ power-of-attorney (وكالة) document for Osama bin Ahmad bin Abbas Zaini, with extensive repeated watermark lines.]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