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عقود تعيين الشيخ أسامة في إدارة الشركات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https://drive.google.com/file/d/1ihfw9lQjxKDpLKOd-Qb_4T6LXncYJhsI/view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غير مصنف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/>
    <w:p>
      <w:pPr>
        <w:jc w:val="right"/>
        <w:bidi/>
      </w:pPr>
      <w:r>
        <w:rPr>
          <w:b w:val="0"/>
          <w:i w:val="0"/>
        </w:rPr>
        <w:t>[OCR-garbled PDF content; document title: عقود تعيين الشيخ اسامة في إدارة الشركات. Extracted text consists almost entirely of repeated mis-ordered Arabic glyph sequences of the name "أسامة بن احمد بن عباس زيني" with a few legible fragments: "الحكم الملتمس عليه النهائي من محكمة الاستئناف", "الحكم الملتمس عليه البتدائي", "إدارته", and a fragment referencing "عقد البيع للشركات وقيمة الحصص المباعة المبرم بين الشيخ اسامة احمد زيني وموكلي والمتضمن مبلغ". The PDF text layer is corrupted/non-extractable in readable form.]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