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مذكرة التماس من المحامي الشهري بتاريخ 13-07-1445 ـ ومرفقاتها ـ 42824717.pdf</w:t>
      </w:r>
    </w:p>
    <w:p>
      <w:pPr>
        <w:jc w:val="right"/>
        <w:bidi/>
      </w:pPr>
      <w:r>
        <w:rPr>
          <w:b w:val="0"/>
          <w:i/>
          <w:color w:val="0563C1"/>
        </w:rPr>
        <w:t>الرابط: https://drive.google.com/file/d/1HVbLJm6BQ4picvDOwVgvqMGPcBQNlvdZ/view?usp=drivesdk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مذكرة قضائية</w:t>
      </w:r>
    </w:p>
    <w:p>
      <w:pPr>
        <w:jc w:val="right"/>
        <w:bidi/>
      </w:pPr>
      <w:r>
        <w:rPr>
          <w:b/>
        </w:rPr>
        <w:t xml:space="preserve">الجهة المصدِرة: </w:t>
      </w:r>
      <w:r>
        <w:t>وزارة العدل</w:t>
      </w:r>
    </w:p>
    <w:p>
      <w:pPr>
        <w:jc w:val="right"/>
        <w:bidi/>
      </w:pPr>
      <w:r>
        <w:rPr>
          <w:b/>
        </w:rPr>
        <w:t xml:space="preserve">رقم القضية: </w:t>
      </w:r>
      <w:r>
        <w:t>42824717</w:t>
      </w:r>
    </w:p>
    <w:p>
      <w:pPr>
        <w:jc w:val="right"/>
        <w:bidi/>
      </w:pPr>
      <w:r>
        <w:rPr>
          <w:b/>
        </w:rPr>
        <w:t xml:space="preserve">التاريخ: </w:t>
      </w:r>
      <w:r>
        <w:t>13-07-1445</w:t>
      </w:r>
    </w:p>
    <w:p>
      <w:pPr>
        <w:jc w:val="right"/>
        <w:bidi/>
      </w:pPr>
      <w:r>
        <w:rPr>
          <w:b/>
        </w:rPr>
        <w:t xml:space="preserve">الأطراف: </w:t>
      </w:r>
      <w:r>
        <w:t>أسامة زيني، أحمد زيني (المورّث)</w:t>
      </w:r>
    </w:p>
    <w:p/>
    <w:p>
      <w:pPr>
        <w:pStyle w:val="Heading2"/>
        <w:jc w:val="right"/>
        <w:bidi/>
      </w:pPr>
      <w:r>
        <w:t>[الطلبات / المرفقات] ===</w:t>
        <w:br/>
        <w:t>[ملاحظة المعالجة: مذكرة التماس من المحامي الشهري بتاريخ 13-07-1445هـ ومرفقاتها، القضية 42824717. ملف PDF حجمه نحو 4.9 ميجابايت. معظم النص المستخرج عبارة عن العنوان "أسامة بن أحمد بن عباس زيني" مكرر بترميز عربي معكوس عبر صفحات عديدة. الأجزاء ذات المحتوى الفعلي القابل للقراءة هي: (1) وثيقة وكالة إلكترونية من وزارة العدل، و(2) حسابات تقدير قيمة حصص المورث في شركتي تخارج آبار وزيني والإضافة للأعمال العقارية. وفيما يلي تفريغ المحتوى القابل للقراءة:]</w:t>
      </w:r>
    </w:p>
    <w:p>
      <w:pPr>
        <w:pStyle w:val="Heading2"/>
        <w:jc w:val="right"/>
        <w:bidi/>
      </w:pPr>
      <w:r>
        <w:t>[بيانات الأطراف: المدعي / المدعى عليه / الحاضرون] ===</w:t>
        <w:br/>
        <w:t>== وثيقة وكالة - وزارة العدل، المملكة العربية السعودية</w:t>
      </w:r>
    </w:p>
    <w:p>
      <w:pPr>
        <w:pStyle w:val="Heading2"/>
        <w:jc w:val="right"/>
        <w:bidi/>
      </w:pPr>
      <w:r>
        <w:t>[ترويسة / كليشة رسمية — معلومات متكررة] ===</w:t>
        <w:br/>
        <w:t>صدرت هذه الوثيقة من النظام الإلكتروني وخدمات التوثيق، ويمكن التحقق من صحتها عبر الخدمات الإلكترونية لوزارة العدل.</w:t>
      </w:r>
    </w:p>
    <w:p>
      <w:pPr>
        <w:pStyle w:val="Heading2"/>
        <w:jc w:val="right"/>
        <w:bidi/>
      </w:pPr>
      <w:r>
        <w:t>[المتن الفعلي: الوقائع / الأسباب / المنطوق] ===</w:t>
        <w:br/>
        <w:t>الأطراف:</w:t>
        <w:br/>
        <w:t>1 - الموكل: أسامة بن أحمد بن عباس زيني، سعودي، رقم هوية 1008017301، أصالة عن نفسه.</w:t>
        <w:br/>
        <w:t>2 - الوكيل: علي بن مشرف بن مفرح بن راشد، سعودي، رقم هوية 1064274077، أصالة عن نفسه.</w:t>
      </w:r>
    </w:p>
    <w:p>
      <w:pPr>
        <w:jc w:val="right"/>
        <w:bidi/>
      </w:pPr>
      <w:r>
        <w:rPr>
          <w:b w:val="0"/>
          <w:i w:val="0"/>
        </w:rPr>
        <w:t>النطاق والصلاحيات: يحق للوكيل توكيل الغير - مراجعة جميع الجهات ذات العلاقة وإنهاء جميع الإجراءات اللازمة والتوقيع - الاستلام والتسليم - الإقرار والإنكار - الصلح - التنازل - الإبراء - طلب اليمين وردها - إحضار الشهود والبينات والطعن فيها - الإجابة وجرح المطالبات - المطالبة وإقامة الدعاوى - المرافعة والمدافعة - سماع الدعاوى والرد عليها - تعيين الخبراء والمحكمين وردهم واستبدالهم - طلب التحكيم - طلب الحجز والتنفيذ ومراجعة دوائر الحجز والتنفيذ - طلب المنع من السفر ورفعه - إنكار الخطوط والأختام والتواقيع - الطعن بالتزوير - التعديل - التماس إعادة النظر - الاعتراض على الأحكام وطلب الاستئناف - قبول الأحكام ونفاذها - المطالبة بتنفيذ الأحكام - طلب تطبيق المادة 230 من نظام المرافعات الشرعية - طلب الإدخال والتداخل - طلب التقاضي - استلام صكوك الأحكام - حضور جلسات جميع الدعاوى لدى جميع المحاكم - طلب رد الاعتبار - طلب الشفعة - طلب نقض وطلب إحالة الدعوى - المراجعة لدى المحاكم ولجان فض المنازعات المالية والمصرفية واللجان العمالية واللجان الطبية الشرعية والمحاكم الإدارية (ديوان المظالم) والنيابة العامة ولجان الفصل في المنازعات والمخالفات التأمينية والضريبية والمجلس الأعلى للقضاء والمحكمة العليا ولجنة تأديب المحامين بوزارة العدل ولجان النظر في تظلمات العلامات التجارية ومخالفات نظام مراقبة البنوك - الإمهال - إضافة المادتين 231 و232 من نظام المرافعات الشرعية - مراجعة وزارة العدل والداخلية والخارجية والتجارة وفروعها وأقسامها - مراجعة المباحث الجنائية والإدارية ورئاسة أمن الدولة والرئاسة العامة للاستخبارات ومراكز الشرطة والإمارة وإدارة تنفيذ الأحكام الحقوقية - مراجعة المجلس الأعلى للقضاء - مراجعة النيابة العامة ووزارة الاستثمار - مراجعة مؤسسة النقد العربي السعودي - مراجعة البنوك.</w:t>
      </w:r>
    </w:p>
    <w:p>
      <w:pPr>
        <w:pStyle w:val="Heading2"/>
        <w:jc w:val="right"/>
        <w:bidi/>
      </w:pPr>
      <w:r>
        <w:t>[بيانات الأطراف: المدعي / المدعى عليه / الحاضرون] ===</w:t>
        <w:br/>
        <w:t>رقم الوكالة: 451560570</w:t>
        <w:br/>
        <w:t>تاريخ إصدار الوكالة: 1445/03/20هـ | 2023/10/05م</w:t>
        <w:br/>
        <w:t>تاريخ إنهاء الوكالة: 1446/03/20هـ | 2024/09/23م</w:t>
        <w:br/>
        <w:t>حالة الوكالة: معتمدة</w:t>
      </w:r>
    </w:p>
    <w:p>
      <w:pPr>
        <w:pStyle w:val="Heading2"/>
        <w:jc w:val="right"/>
        <w:bidi/>
      </w:pPr>
      <w:r>
        <w:t>[المتن الفعلي: الوقائع / الأسباب / المنطوق] ===</w:t>
        <w:br/>
        <w:t>ةينورتكلإلا تالاكولا تامدخ :ةلاكولا ردصم</w:t>
      </w:r>
    </w:p>
    <w:p>
      <w:pPr>
        <w:jc w:val="right"/>
        <w:bidi/>
      </w:pPr>
      <w:r>
        <w:rPr>
          <w:b w:val="0"/>
          <w:i w:val="0"/>
        </w:rPr>
        <w:t>== حسابات تقدير قيمة حصص المورث (مرفق) ==</w:t>
        <w:br/>
        <w:t>حصة الشيخ أحمد عباس زيني من شركة تخارج آبار وزيني 1428هـ:</w:t>
        <w:br/>
        <w:t>136,750,000 × .279 = 38,153,250</w:t>
      </w:r>
    </w:p>
    <w:p>
      <w:pPr>
        <w:jc w:val="right"/>
        <w:bidi/>
      </w:pPr>
      <w:r>
        <w:rPr>
          <w:b w:val="0"/>
          <w:i w:val="0"/>
        </w:rPr>
        <w:t>حصة الشيخ أحمد عباس زيني من شركة الضيافة للأعمال العقارية 1429هـ (حصة آل زيني من الشركة):</w:t>
        <w:br/>
        <w:t>228,785,567 × .779 = 178,223,956.69</w:t>
        <w:br/>
        <w:t>حصة الشيخ أحمد عباس زيني: 178,223,956.69 × .279 = 49,724,483.92</w:t>
      </w:r>
    </w:p>
    <w:p>
      <w:pPr>
        <w:jc w:val="right"/>
        <w:bidi/>
      </w:pPr>
      <w:r>
        <w:rPr>
          <w:b w:val="0"/>
          <w:i w:val="0"/>
        </w:rPr>
        <w:t>إجمالي قيم الحصص للشيخ أحمد عباس زيني رحمه الله:</w:t>
        <w:br/>
        <w:t>38,153,250 + 49,724,483.92 = 87,877,733.92</w:t>
      </w:r>
    </w:p>
    <w:p>
      <w:pPr>
        <w:jc w:val="right"/>
        <w:bidi/>
      </w:pPr>
      <w:r>
        <w:rPr>
          <w:b w:val="0"/>
          <w:i w:val="0"/>
        </w:rPr>
        <w:t>[انتهى المحتوى القابل للقراءة. باقي المستند تكرار للعنوان بالترميز المعكوس.]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