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(وورد)</w:t>
      </w:r>
    </w:p>
    <w:p>
      <w:pPr>
        <w:jc w:val="right"/>
        <w:bidi/>
      </w:pPr>
      <w:r>
        <w:rPr>
          <w:b w:val="0"/>
          <w:i/>
          <w:color w:val="0563C1"/>
        </w:rPr>
        <w:t>الرابط: https://drive.google.com/file/d/1sGa6vU9pxPmYgXixYyXpWitQqkU0-Gz5/view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26/04 /1446</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450، 120 ريال</w:t>
      </w:r>
    </w:p>
    <w:p/>
    <w:p>
      <w:pPr>
        <w:pStyle w:val="Heading2"/>
        <w:jc w:val="right"/>
        <w:bidi/>
      </w:pPr>
      <w:r>
        <w:t>[المتن الفعلي: الوقائع / الأسباب / المنطوق] ===</w:t>
        <w:br/>
        <w:t>التاريخ: 26/04 /1446هـ</w:t>
      </w:r>
    </w:p>
    <w:p>
      <w:pPr>
        <w:pStyle w:val="Heading2"/>
        <w:jc w:val="right"/>
        <w:bidi/>
      </w:pPr>
      <w:r>
        <w:t>[المُرسَل إليه / المخاطَب والتحية] ===</w:t>
        <w:br/>
        <w:t>معالي الدكتور/ وليد بن محمد الصمعاني وزير العدل ورئيس المجلس الأعلى للقضاء ،،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w:t>
      </w:r>
    </w:p>
    <w:p>
      <w:pPr>
        <w:jc w:val="right"/>
        <w:bidi/>
      </w:pPr>
      <w:r>
        <w:rPr>
          <w:b w:val="0"/>
          <w:i w:val="0"/>
        </w:rPr>
        <w:t>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 وما فعلته المحكمة هو تعدي على إرادة المتعاقدين، إذ لو كان الثمن على النحو الذي فرضته المحكمة، لما ارتضيت بالعقد .</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050 562 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