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ردود على حكم الالتماس 717</w:t>
      </w:r>
    </w:p>
    <w:p>
      <w:pPr>
        <w:jc w:val="right"/>
        <w:bidi/>
      </w:pPr>
      <w:r>
        <w:rPr>
          <w:b w:val="0"/>
          <w:i/>
          <w:color w:val="555555"/>
        </w:rPr>
        <w:t>الرقم: 59 | النوع: حكم / صك | التاريخ:  | القسم: ب. المذكرات المقدمة من الطرفين (49 ملفاً)</w:t>
      </w:r>
    </w:p>
    <w:p>
      <w:pPr>
        <w:jc w:val="right"/>
        <w:bidi/>
      </w:pPr>
      <w:r>
        <w:rPr>
          <w:b w:val="0"/>
          <w:i/>
          <w:color w:val="0563C1"/>
        </w:rPr>
        <w:t>الرابط: https://drive.google.com/file/d/1eJmqgeo661_WxLozitxnZkbexF4tPPg0/view</w:t>
      </w:r>
    </w:p>
    <w:p>
      <w:pPr>
        <w:jc w:val="right"/>
        <w:bidi/>
      </w:pPr>
      <w:r>
        <w:rPr>
          <w:b w:val="0"/>
          <w:i/>
        </w:rPr>
        <w:t>[مخرج آلي / Script Output - سماوي]  [مخرج آلي يحتاج مراجعة بشرية - وردي]</w:t>
      </w:r>
    </w:p>
    <w:p/>
    <w:p>
      <w:pPr>
        <w:jc w:val="right"/>
        <w:bidi/>
      </w:pPr>
      <w:r>
        <w:rPr>
          <w:b w:val="0"/>
          <w:i w:val="0"/>
        </w:rPr>
        <w:t>أولاً: الرد على موضوع الأوراق الجديدة (عقود التأسيس والسجلات التجارية)</w:t>
      </w:r>
    </w:p>
    <w:p>
      <w:pPr>
        <w:jc w:val="right"/>
        <w:bidi/>
      </w:pPr>
      <w:r>
        <w:rPr>
          <w:b w:val="0"/>
          <w:i w:val="0"/>
        </w:rPr>
        <w:t>المحكمة قالت إن موضوع إدارة الطاعن للشركات "مو جديد، وأنه كلام قديم ومناقش من قبل". هذا الكلام غير صحيح للأسباب التالية:</w:t>
      </w:r>
    </w:p>
    <w:p>
      <w:pPr>
        <w:jc w:val="right"/>
        <w:bidi/>
      </w:pPr>
      <w:r>
        <w:rPr>
          <w:b w:val="0"/>
          <w:i w:val="0"/>
        </w:rPr>
        <w:t>أولاً: المستندات اللي جابها الطاعن هي عقود تأسيس الشركات وسجلاتها الرسمية من وزارة التجارة وكاتب العدل، وهذي مستندات رسمية وقوية. نظام الإثبات المادة (25) و(26) تنص على أن المحرر الرسمي حجة على الكافة، وما دام لم يثبت تزويره، فهو صحيح وملزم للجميع.</w:t>
      </w:r>
    </w:p>
    <w:p>
      <w:pPr>
        <w:jc w:val="right"/>
        <w:bidi/>
      </w:pPr>
      <w:r>
        <w:rPr>
          <w:b w:val="0"/>
          <w:i w:val="0"/>
        </w:rPr>
        <w:t>ثانياً: هذي المستندات تثبت أن الطاعن أدار الشركات لمدة ٣٠ سنة. وهذا الكلام موثقة من المرحوم الشيخ أحمد بنفسه في عقد البيع، حيث أقر أن المبلغ المذكور بالعقد يشمل مقابل إدارة الطاعن لكل هذه السنين. ونظام الإثبات بالمادة (17) يقول الإقرار حجة قاطعة على اللي أقر وورثته من بعده.</w:t>
      </w:r>
    </w:p>
    <w:p>
      <w:pPr>
        <w:jc w:val="right"/>
        <w:bidi/>
      </w:pPr>
      <w:r>
        <w:rPr>
          <w:b w:val="0"/>
          <w:i w:val="0"/>
        </w:rPr>
        <w:t>ثالثاً: إقرار المرحوم في العقد باستحقاق الطاعن لمبالغ الإدارة يعني أن المبالغ داخلة في قيمة الصفقة، وكان المفروض على المحكمة إنها تخصمها من المبلغ الذي حكمت به. وحتى لو افترضنا جدلاً - ومو معناه إننا نقر - أنه صار غبناً في قيمة الحصص، هذا لا يلغي إقرار المرحوم، ولا يسقط حجيته، لأنه إقرار قاطع وما يتأثر بدعاوى الغبن اللي جاءت بعدين، خصوصاً أن الإقرار موجود بالعقد نفسه ومؤيد بالمستندات الرسمية.</w:t>
      </w:r>
    </w:p>
    <w:p>
      <w:pPr>
        <w:jc w:val="right"/>
        <w:bidi/>
      </w:pPr>
      <w:r>
        <w:rPr>
          <w:b w:val="0"/>
          <w:i w:val="0"/>
        </w:rPr>
        <w:t>رابعاً: هذه المستندات اللي جابها الطاعن عبارة عن أدلة مترابطة، كان المفروض المحكمة تعتد بها. ونظام الإثبات المادة (1) تقول إن الإثبات هو إقامة الدليل على واقعة قانونية أو تصرف قانوني.</w:t>
      </w:r>
    </w:p>
    <w:p>
      <w:pPr>
        <w:jc w:val="right"/>
        <w:bidi/>
      </w:pPr>
      <w:r>
        <w:rPr>
          <w:b w:val="0"/>
          <w:i w:val="0"/>
        </w:rPr>
        <w:t>خامساً: تجاهل المحكمة لهذي المستندات وعدم خصمها للمبالغ التي يستحقها الطاعن جعل الحكم غير عادل. حتى لو افترضنا أن القيمة التي حكمت بها المحكمة هي الصحيحة، الوالد أقر في العقد أمام شهود إنه متنازل للطاعن عن جزء من قيمة الحصص مقابل إدارته للشركات. هذا الإقرار مكتوب بالعقد وموثق بشهود. من باب الإنصاف، كان على الأقل على القضاة خصم هذا المبلغ من القيمة التي حكموا فيها، وهذا كان راح يغير نتيجة الحكم، لكن المحكمة تجاهلت الإقرار مع أنه ثابت.</w:t>
      </w:r>
    </w:p>
    <w:p>
      <w:pPr>
        <w:jc w:val="right"/>
        <w:bidi/>
      </w:pPr>
      <w:r>
        <w:rPr>
          <w:b w:val="0"/>
          <w:i w:val="0"/>
        </w:rPr>
        <w:t>سادساً: شرط "التعذر" في الفقرة (ب) من المادة ٢٠٠ ما يقتصر على المستندات الجديدة فقط، بل يشمل المستندات القديمة اللي ما قدر أحد يقدمها قبل الحكم لسبب قاهر. وقضاء المحكمة العليا استقر على أن شرط التعذر يمتد ليشمل المستندات اللي كانت موجودة، وتعذر تقديمها (سبب التعذر في ظروف قاهرة ؟ )</w:t>
      </w:r>
    </w:p>
    <w:p>
      <w:pPr>
        <w:jc w:val="right"/>
        <w:bidi/>
      </w:pPr>
      <w:r>
        <w:rPr>
          <w:b w:val="0"/>
          <w:i w:val="0"/>
        </w:rPr>
        <w:t>ثانياً: الرد على موضوع حكم التنفيذ (ورقة الإبراء)</w:t>
      </w:r>
    </w:p>
    <w:p>
      <w:pPr>
        <w:jc w:val="right"/>
        <w:bidi/>
      </w:pPr>
      <w:r>
        <w:rPr>
          <w:b w:val="0"/>
          <w:i w:val="0"/>
        </w:rPr>
        <w:t>بالنسبة لحكم التنفيذ اللي فيه إبراء والدة الطاعن، المحكمة قالت إن هذا الحكم يتعلق بالتنفيذ، وليس بموضوع الدعوى. لكن الطاعن ما قدم حكم التنفيذ كسبب مستقل تحت الفقرة (ب)، قدمه كدليل يدعم سبب الفقرة (ز) اللي تتعلق بعدم تمثيل الوالدة تمثيلاً صحيح في الدعوى.</w:t>
      </w:r>
    </w:p>
    <w:p>
      <w:pPr>
        <w:jc w:val="right"/>
        <w:bidi/>
      </w:pPr>
      <w:r>
        <w:rPr>
          <w:b w:val="0"/>
          <w:i w:val="0"/>
        </w:rPr>
        <w:t>أولاً: صدور حكم التنفيذ بإبراء الطاعن من المبلغ المحكوم به لصالح والدته يعني أن ذمة الطاعن بريئة من هذا الدين قانونياً. هذا الإبراء لو كان موجود وقت نظر الدعوى، كان راح يؤثر في وضع الوالدة القانوني في القضية.</w:t>
      </w:r>
    </w:p>
    <w:p>
      <w:pPr>
        <w:jc w:val="right"/>
        <w:bidi/>
      </w:pPr>
      <w:r>
        <w:rPr>
          <w:b w:val="0"/>
          <w:i w:val="0"/>
        </w:rPr>
        <w:t>ثانياً: الإبراء الذي صدر من الوالدة للطاعن بعد الحكم، ما ينفي وجود خلل في تمثيلها في أثناء الدعوى، بالعكس ممكن يكون دليلاً إنها ما كانت على دراية كاملة بحقوقها وقت الدعوى، أو أن من كان يمثلها لم يعبر عن إرادتها الحقيقية.</w:t>
      </w:r>
    </w:p>
    <w:p>
      <w:pPr>
        <w:jc w:val="right"/>
        <w:bidi/>
      </w:pPr>
      <w:r>
        <w:rPr>
          <w:b w:val="0"/>
          <w:i w:val="0"/>
        </w:rPr>
        <w:t>ثالثاً: صدور حكم التنفيذ بالإبراء يثبت أن الوالدة - لو كانت ممثلة تمثيل صحيح - كان ممكناً تتنازل عن طلبها قبل بأن تتنازل عن حقها من بدري، وكان النزاع انتهى. استمرار النزاع لين وصلوا لحكم بالإلزام وبعدين الإبراء يدل على أنه يوجد خلل في التمثيل في أثناء الدعوى.</w:t>
      </w:r>
    </w:p>
    <w:p>
      <w:pPr>
        <w:jc w:val="right"/>
        <w:bidi/>
      </w:pPr>
      <w:r>
        <w:rPr>
          <w:b w:val="0"/>
          <w:i w:val="0"/>
        </w:rPr>
        <w:t>رابعاً: اللي قالته المحكمة إن نفس ورقة الإبراء قدمت في التماس سابق، هذا الكلام مردود عليه؛ لأن الطاعن ما قدم الورقة نفسها، قدم حكماً قضائياً نهائياً من دائرة التنفيذ، وهذا الحكم غير ورقة الإبراء تماماً من حيث طبيعته القانونية وحجيته. حكم التنفيذ هذا مستند قضائي جديد مكتسب قوة الأمر المقضي، صادر من جهة قضائية مختصة، ونافذ وواجب التنفيذ. هذا المستند لم يكن موجوداً وقت الالتماس السابق، فهو جديد ولم يعرض على المحكمة من قبل. قيمته كدليل مو بس إنه إبراء للذمة، بل هو قرينة قوية تدعم سبب الفقرة (ز)، خصوصاً مع الأدلة الثانية عن حالة الوالدة وصك الولاية الذي صدر بعد الحكم، وكل هذا يعزز بأن الوالدة ما كانت ممثلة تمثيلاً صحيحاً في الدعوى.</w:t>
      </w:r>
    </w:p>
    <w:p>
      <w:pPr>
        <w:jc w:val="right"/>
        <w:bidi/>
      </w:pPr>
      <w:r>
        <w:rPr>
          <w:b w:val="0"/>
          <w:i w:val="0"/>
        </w:rPr>
        <w:t>ثالثاً: الرد على موضوع تناقض منطوق الحكم (الفقرة هـ)</w:t>
      </w:r>
    </w:p>
    <w:p>
      <w:pPr>
        <w:jc w:val="right"/>
        <w:bidi/>
      </w:pPr>
      <w:r>
        <w:rPr>
          <w:b w:val="0"/>
          <w:i w:val="0"/>
        </w:rPr>
        <w:t>المحكمة قالت إن المنطوق واضح وصدر بالإلزام، وإن أسباب الحكم السابق متوافقة مع الطلبات، وإن الملتمس ما بين وجه التناقض في المنطوق. هذا الكلام غير صحيح، والتناقضات اللي في أحكام الدرجة الأولى والاستئناف تثبت العكس. ومن المبادئ المعروفة في القضاء السعودي إن "الأسباب والمنطوق وحدة واحدة ما تتجزأ"، فإذا كان في خلل بالأسباب، هذا الخلل ينعكس على المنطوق ويضعف قوته. والتناقضات اللي تثبت هذا الخلل هي:</w:t>
      </w:r>
    </w:p>
    <w:p>
      <w:pPr>
        <w:jc w:val="right"/>
        <w:bidi/>
      </w:pPr>
      <w:r>
        <w:rPr>
          <w:b w:val="0"/>
          <w:i w:val="0"/>
        </w:rPr>
        <w:t>التناقض الأول: المحكمة من ناحية استندت إلى إقرار الوالد إنه "ما باع أي شيء من أملاكه لأحد أبنائه"، ومن ناحية أخرى استندت إلى تقارير طبية تثبت أنه كان يعاني النسيان. والأغرب أن نفس هذه الواقعة كانت قدام قاضي المحكمة العامة في قضية الحجر على المرحوم والقاضي وقتها حكم برد دعوى الخصوم، وقرر إنه المرحوم ما يحتاج إلى ولي، واستند إلى التقرير نفسه من الصحة النفسية الذي أكد صحة أهليته، رغم أنه يعاني النسيان. ليش القضاة هنا أخذوا بإقراره السلبي بعدم البيع، وقاضي الحجر شاف التقارير نفسها، وحكم بكامل أهليته، ورد دعوى الحجر؟ هذا التناقض أثر في الحكم.</w:t>
      </w:r>
    </w:p>
    <w:p>
      <w:pPr>
        <w:jc w:val="right"/>
        <w:bidi/>
      </w:pPr>
      <w:r>
        <w:rPr>
          <w:b w:val="0"/>
          <w:i w:val="0"/>
        </w:rPr>
        <w:t>التناقض الثاني: المحكمة قالت إنها "غير ملزمة بتحقيق العقد" رغم وجود قرائن عندها تثبت عدم صحته، وبعدين راحت وحكمت بعدم صحة العقد بناء على القرائن نفسها بدون تحقيق. هذا التناقض في التسبيب جعل الحكم يخلو من أساس موضوعي سليم.</w:t>
      </w:r>
    </w:p>
    <w:p>
      <w:pPr>
        <w:jc w:val="right"/>
        <w:bidi/>
      </w:pPr>
      <w:r>
        <w:rPr>
          <w:b w:val="0"/>
          <w:i w:val="0"/>
        </w:rPr>
        <w:t>التناقض الثالث: المحكمة قالت إن الدعوى "ليست لإنكار واقعة البيع، بل للغبن في قيمة المبيع"، وبعدين راحت وحكمت بعدم صحة البيع بناء على القرائن نفسها. كيف تكون الدعوى موجهة للغبن بس، وبعدين يحكمون بعدم صحة البيع؟ هذا تناقض واضح.</w:t>
      </w:r>
    </w:p>
    <w:p>
      <w:pPr>
        <w:jc w:val="right"/>
        <w:bidi/>
      </w:pPr>
      <w:r>
        <w:rPr>
          <w:b w:val="0"/>
          <w:i w:val="0"/>
        </w:rPr>
        <w:t>التناقض الرابع والأخطر: المحكمة جزمت وقالت إن المرحوم "ما وقع أصالة على عقد البيع، وأنه كان فاقدا للأهلية". هذا الكلام ما عليه دليل، ويتناقض مع الوقائع التي تثبت حضور المرحوم ومعه شهود وقعوا على العقد في المجلس نفسه، وهم: عدنان فوزي الهندي، فيصل فهد القثامي، عبده مسعد الوصابي. المحكمة ما استمعت لهؤلاء الشهود، ولا حققت معهم، ورغم ذلك جزمت بعدم توقيعه. هذا القول يرقى إلى أن يكون كذباً على لسان القضاء، لأنه يناقض الوقائع الثابتة بالمحررات الرسمية التي لم يطعن فيها بالتزوير.</w:t>
      </w:r>
    </w:p>
    <w:p>
      <w:pPr>
        <w:jc w:val="right"/>
        <w:bidi/>
      </w:pPr>
      <w:r>
        <w:rPr>
          <w:b w:val="0"/>
          <w:i w:val="0"/>
        </w:rPr>
        <w:t>التناقض الخامس: المحكمة تذبذبت في موقفها من العقد الرسمي. من ناحية قالت إن العقد موثق أمام وزارة التجارة وكاتب العدل، لكنها قالت إن التوثيق هذا "ما له أثر قانوني يثبت صحة العقد". ومن ناحية أخرى استندت إلى المادة (26) من نظام الإثبات التي تقول إن المحرر الرسمي حجة على الكافة أي أن ما هو مكتوب في العقد الموثق يعتبر صحيحاً وملزماً للجميع، ما لم يثبت تزويره بطريقة قانونية. وبعدين راحت وطرحت العقد الرسمي جانباً، واعتمدت على قرائن غير مثبتة، رغم أن العقد ما طعن فيه بالتزوير، ورغم أن الشهود ما استمعت لهم. هذا يتعارض مع القاعدة المعروفة "الثابت لا يصار إلى غيره إلا بدليل جلي معتمد". المحكمة هنا تناقضت حين وثقت بالعقد رسمياً ثم تجاهلته.</w:t>
      </w:r>
    </w:p>
    <w:p>
      <w:pPr>
        <w:jc w:val="right"/>
        <w:bidi/>
      </w:pPr>
      <w:r>
        <w:rPr>
          <w:b w:val="0"/>
          <w:i w:val="0"/>
        </w:rPr>
        <w:t>التناقض السادس: المحكمة نسبت للطاعن إنه "قبل ورضي" بتقييم مكتب أبو غزالة. هذا الكلام غير صحيح أبداً، بل هو كذب على الطاعن. الثابت في حكم الصلح والتخارج إن الطاعن لم يرض بهذا التقييم، بل تم التخارج على صلح بقيمة مختلفة تماماً. ممكن التوضيح أكثر بأن حتى وإن قبل الطاعن بتقييم أبو غزالة، ولكن أبدى اعتراضه، ولم يتم التخارج والصلح إلا بقيمة مختلفة.</w:t>
      </w:r>
    </w:p>
    <w:p>
      <w:pPr>
        <w:jc w:val="right"/>
        <w:bidi/>
      </w:pPr>
      <w:r>
        <w:rPr>
          <w:b w:val="0"/>
          <w:i w:val="0"/>
        </w:rPr>
        <w:t>التناقض السابع: المحكمة قالت إنها أخذت بالتقييم الأقرب زماناً لانتقال الحصص، بعدين تجاهلت إن التقييم الأقرب هو اللي في العقد نفسه بين الأطراف، وأخذت بتقييم آخر. هذا تناقض بالمنهجية. والأهم أن العقد هذا استوفى كل الأركان الشرعية والنظامية، من أهلية الطرفين والقيمة العادلة للصفقة، والتي يتجلى عدلها إن المرحوم كان اشترى الحصص نفسها بـ 62 مليون ريال، وباعها للطاعن بـ 120 مليون ريال، يعني زيادة 58 مليون وبنسبة 93.55% عن سعر شرائه. هذه الزيادة الكبيرة تثبت أن الصفقة عادلة ومربحة للبائع، وتنفي أي كلام عن غبن.</w:t>
      </w:r>
    </w:p>
    <w:p>
      <w:pPr>
        <w:jc w:val="right"/>
        <w:bidi/>
      </w:pPr>
      <w:r>
        <w:rPr>
          <w:b w:val="0"/>
          <w:i w:val="0"/>
        </w:rPr>
        <w:t>التناقض الثامن: المحكمة تجاهلت قيمة التخارج الفعلية التي تمت باتفاق الأطراف، ونفذت أمام وزارة التجارة وكاتب العدل، وأخذت بتقييم آخر مختلف. والأصل الشرعي والنظامي إن عقد الصلح والتخارج من أقوى العقود الملزمة، ويكتسب حجية قاطعة بمجرد توثيقه. والاتفاق اللاحق بين الأطراف ينسخ الذي قبله من تقييمات، لأن إرادة الأطراف الحرة هي مصدر الالتزامات. وحتى لو افترضنا أن المحكمة تبغي ترجع إلى تقييم فعلي، كان المفروض تأخذ بقيمة التخارج نفسها، لأنها القيمة الفعلية التي تم بها التخارج ونفذت. هذا المنطق يخلي الحكم معيباً، خصوصاً أن القضاة ما حققوا في المستندات اللي عندهم، مثل حكم الصلح اللي أشاروا إليه في حيثياتهم وتجاهلوه، أو في منطقية القيمة المذكورة بالعقد نفسه.</w:t>
      </w:r>
    </w:p>
    <w:p>
      <w:pPr>
        <w:jc w:val="right"/>
        <w:bidi/>
      </w:pPr>
      <w:r>
        <w:rPr>
          <w:b w:val="0"/>
          <w:i w:val="0"/>
        </w:rPr>
        <w:t>حكم الصلح والتخارج الصادر سنة ١٤٣٢هـ مو مجرد ورقة عادية، هذا هو المستند الأم والمرجع الأساسي اللي المفروض ينهي النزاع نهائياً بين الأطراف جميعهم. القضاء السعودي والمحكمة العليا عندهم مبدأ ثابت ومعروف، أن "الأسباب والمنطوق وحدة واحدة ما تتجزأ". يعني إذا كان في خلل أو تناقض في أسباب الحكم، هذا الخلل ينعكس حتماً على منطوق الحكم، ويخل بقوته وحجيته. الخصوم في محضر الصلح والتخارج أبرأوا ذمة الطاعن بموجب حكم الصلح النهائي.كيف المحكمة ترجع إلى التقرير نفسه الذي تم الصلح بناءً عليه، وتستخدمه عشان تلزم أسامة بمبالغ جديدة، مع أن الصلح الذي وافقوا عليه هو نفسه اللي أبرأ ذمته؟ هذا تناقض واضح وصريح.</w:t>
      </w:r>
    </w:p>
    <w:p>
      <w:pPr>
        <w:jc w:val="right"/>
        <w:bidi/>
      </w:pPr>
      <w:r>
        <w:rPr>
          <w:b w:val="0"/>
          <w:i w:val="0"/>
        </w:rPr>
        <w:t>حكم الصلح صدر في نزاع بين الخصوم أنفسهم (عدنان وغيره ضد أسامة) حول الشركات نفسها (شركة أحمد زيني التجارية.) البند (1/4) من الحكم ينص على أن عدنان أقر:</w:t>
      </w:r>
    </w:p>
    <w:p>
      <w:pPr>
        <w:jc w:val="right"/>
        <w:bidi/>
      </w:pPr>
      <w:r>
        <w:rPr>
          <w:b w:val="0"/>
          <w:i w:val="0"/>
        </w:rPr>
        <w:t>"بأنه ليس له أي حق في مطالبة الطرف الأول (أسامة زيني) سواء بصفته شريكاً أو مديراً للشركات محل الدعوى ... ويعتبر هذا التخارج بالصلح إبراء ذمة شامل ونهائي لذمة الطرف الأول وإسقاطاً لحقهم في أي مطلب أو دعوى مهما كان نوعها أو سببها في الماضي والحاضر والمستقبل فيما يتعلق بتلك الشركات."</w:t>
      </w:r>
    </w:p>
    <w:p>
      <w:pPr>
        <w:jc w:val="right"/>
        <w:bidi/>
      </w:pPr>
      <w:r>
        <w:rPr>
          <w:b w:val="0"/>
          <w:i w:val="0"/>
        </w:rPr>
        <w:t>الحكم لم يقل "حق عدنان الشخصي" فقط، بل قال "حقهم" وأطلقها. بمعنى أنها تشمل:</w:t>
      </w:r>
    </w:p>
    <w:p>
      <w:pPr>
        <w:jc w:val="right"/>
        <w:bidi/>
      </w:pPr>
      <w:r>
        <w:rPr>
          <w:b w:val="0"/>
          <w:i w:val="0"/>
        </w:rPr>
        <w:t>\- الحقوق الشخصية لعدنان (نصيبه المباشر في الشركة)</w:t>
      </w:r>
    </w:p>
    <w:p>
      <w:pPr>
        <w:jc w:val="right"/>
        <w:bidi/>
      </w:pPr>
      <w:r>
        <w:rPr>
          <w:b w:val="0"/>
          <w:i w:val="0"/>
        </w:rPr>
        <w:t>\- الحقوق الموروثة (التي آلت إليه من والده)</w:t>
      </w:r>
    </w:p>
    <w:p>
      <w:pPr>
        <w:jc w:val="right"/>
        <w:bidi/>
      </w:pPr>
      <w:r>
        <w:rPr>
          <w:b w:val="0"/>
          <w:i w:val="0"/>
        </w:rPr>
        <w:t>لأنه بمجرد وفاة المورث، اندمجت حقوقه مع حقوق الورثة، وأصبحت كلها تحت مظلة واحدة. لما عدنان يوقع على هذا الصلح، ويوافق على إبراء ذمة الشيخ أسامة، هذا الإبراء يشمل كل المطالبات المتعلقة بالشركات، سواء كانت ناشئة عن حق شخصي أو عن حق موروث.</w:t>
      </w:r>
    </w:p>
    <w:p>
      <w:pPr>
        <w:jc w:val="right"/>
        <w:bidi/>
      </w:pPr>
      <w:r>
        <w:rPr>
          <w:b w:val="0"/>
          <w:i w:val="0"/>
        </w:rPr>
        <w:t>وهذه النقطة تصب في انعدام صفة عدنان وفقا للمادة ز.</w:t>
      </w:r>
    </w:p>
    <w:p>
      <w:pPr>
        <w:jc w:val="right"/>
        <w:bidi/>
      </w:pPr>
      <w:r>
        <w:rPr>
          <w:b w:val="0"/>
          <w:i w:val="0"/>
        </w:rPr>
        <w:t>الخلاصة:</w:t>
      </w:r>
    </w:p>
    <w:p>
      <w:pPr>
        <w:jc w:val="right"/>
        <w:bidi/>
      </w:pPr>
      <w:r>
        <w:rPr>
          <w:b w:val="0"/>
          <w:i w:val="0"/>
        </w:rPr>
        <w:t>التناقض هنا إن المحكمة تجاهلت حكماً قضائياً بات (حكم الصلح)، وبنَت حكمها على تقرير استخدم في قضية سابقة انتهت بإبراء الذمة. هذا التناقض بين الذي اتفق عليه قضائياً واللي حكمت به المحكمة لاحقاً، يجعل منطوق الحكمين غير قائمين على أساس سليم، وهذا سبب قوي جداً يستوجب نقض الحكم.</w:t>
      </w:r>
    </w:p>
    <w:p>
      <w:pPr>
        <w:jc w:val="right"/>
        <w:bidi/>
      </w:pPr>
      <w:r>
        <w:rPr>
          <w:b w:val="0"/>
          <w:i w:val="0"/>
        </w:rPr>
        <w:t>كل هذه التناقضات تثبت أن تسبيب أحكام الدرجة الأولى والاستئناف كان فيه خلل جوهري، وتضمن أكاذيب على لسان القضاء لما نسبوا للطاعن أو للمرحوم أو للواقع أشياء ما صارت، مثلاً إنه ما في شهود مع أنهم موجودون، وإن الطاعن قبل تقييم ما قبله، وإن المرحوم ما وقع على العقد مع أن توقيعه ثابت بمحرر رسمي. هذه الأخطاء انعكست على منطوق الحكم وجعلته غير منصف.</w:t>
      </w:r>
    </w:p>
    <w:p>
      <w:pPr>
        <w:jc w:val="right"/>
        <w:bidi/>
      </w:pPr>
      <w:r>
        <w:rPr>
          <w:b w:val="0"/>
          <w:i w:val="0"/>
        </w:rPr>
        <w:t>رابعاً: الرد على موضوع عدم التمثيل الصحيح (الفقرة ز)</w:t>
      </w:r>
    </w:p>
    <w:p>
      <w:pPr>
        <w:jc w:val="right"/>
        <w:bidi/>
      </w:pPr>
      <w:r>
        <w:rPr>
          <w:b w:val="0"/>
          <w:i w:val="0"/>
        </w:rPr>
        <w:t>المحكمة قالت بالنسبة لموضوع صفة عدنان زيني إنه "دفع موضوعي قديم مناقش، وما يدخل في الفقرة التي تتكلم عن التمثيل". هذا الكلام غير دقيق:</w:t>
      </w:r>
    </w:p>
    <w:p>
      <w:pPr>
        <w:jc w:val="right"/>
        <w:bidi/>
      </w:pPr>
      <w:r>
        <w:rPr>
          <w:b w:val="0"/>
          <w:i w:val="0"/>
        </w:rPr>
        <w:t>أولاً: الفقرة (ز) من المادة ٢٠٠ تتكلم عن الحكم على "من لم يكن ممثلاً تمثيلاً صحيحاً في الدعوى". انعدام صفة الخصم مرتبط بمسألة التمثيل، لأن الذي ما له صفة في الدعوى ما يعتبر ممثل تمثيل صحيح.</w:t>
      </w:r>
    </w:p>
    <w:p>
      <w:pPr>
        <w:jc w:val="right"/>
        <w:bidi/>
      </w:pPr>
      <w:r>
        <w:rPr>
          <w:b w:val="0"/>
          <w:i w:val="0"/>
        </w:rPr>
        <w:t>ثانياً: بخصوص تنازل عدنان زيني عن حصصه للطاعن، هذا التنازل ثابت بالأوراق الرسمية. تنازل عن حصصه بتاريخ ١٦/١/١٤٣١هـ، وعاش بعدها ٧ سنوات وما ادعى الغبن، وتم تخارج الخصوم في حصصهم بتاريخ ١٠/١/١٤٣٤هـ وما ادعى الغبن، وبعد وفاة الوالد رفع دعوى يتهم الطاعن بالتزوير حتى انتهى بأن ادعائه يخص الغبن. هذا يثبت أنه ما له صفة في الدعوى من الأساس.</w:t>
      </w:r>
    </w:p>
    <w:p>
      <w:pPr>
        <w:jc w:val="right"/>
        <w:bidi/>
      </w:pPr>
      <w:r>
        <w:rPr>
          <w:b w:val="0"/>
          <w:i w:val="0"/>
        </w:rPr>
        <w:t>ثالثاً: بالنسبة لموضوع تمثيل والدة الطاعن بدعوى أنها قاصرة عقلياً، المحكمة قالت إن "واقع حالها يخالف كذا، وما صدر بحقها صك ولاية طول عمرها، وصك الولاية اللي جابوه صدر بعد الحكم".</w:t>
      </w:r>
    </w:p>
    <w:p>
      <w:pPr>
        <w:jc w:val="right"/>
        <w:bidi/>
      </w:pPr>
      <w:r>
        <w:rPr>
          <w:b w:val="0"/>
          <w:i w:val="0"/>
        </w:rPr>
        <w:t>أولاً: صدور صك الولاية بعد الحكم لا ينفي أنها كانت محتاجة ولاية قبل الحكم، بالعكس ممكن يكون دليلاً إن حالتها كانت تستوجب الولاية من قبل. وقصورها العقلي منذ الولادة ثابت بإقرار ابنها عدنان نفسه في صك الولاية المرفق.</w:t>
      </w:r>
    </w:p>
    <w:p>
      <w:pPr>
        <w:jc w:val="right"/>
        <w:bidi/>
      </w:pPr>
      <w:r>
        <w:rPr>
          <w:b w:val="0"/>
          <w:i w:val="0"/>
        </w:rPr>
        <w:t>ثانياً: مسألة الأهلية من النظام العام، والمحكمة ملزمة تتحقق منها من تلقاء نفسها. وهي ما لم تفعل ذلك، واعتمدت على عدم وجود صك ولاية سابق كدليل على اكتمال الأهلية، وهذا غلط.</w:t>
      </w:r>
    </w:p>
    <w:p>
      <w:pPr>
        <w:jc w:val="right"/>
        <w:bidi/>
      </w:pPr>
      <w:r>
        <w:rPr>
          <w:b w:val="0"/>
          <w:i w:val="0"/>
        </w:rPr>
        <w:t>ثالثاً: حكم التنفيذ اللي فيه إبراء والدة الطاعن للمبلغ المحكوم به يعزز هذا الكلام. إبراء الوالدة للطاعن بعد الحكم، مع وضعها الصحي، يثير تساؤلات جدية عن مدى إدراكها لحقوقها وقت الدعوى، وعن إن كانت إرادتها عبرت عنها تمثيل صحيح. هذا الحكم صدر بتاريخ ١٠/١٠/٢٠٢٥م، ويؤكد عدم رضاها بهذه الدعوى، وإن القضية ما قدمت بإرادتها الحرة. ومن قاعدة الأهلية، من باب أولى أنه ما يكون لها صفة في القضية أبداً.</w:t>
      </w:r>
    </w:p>
    <w:p>
      <w:pPr>
        <w:jc w:val="right"/>
        <w:bidi/>
      </w:pPr>
      <w:r>
        <w:rPr>
          <w:b w:val="0"/>
          <w:i w:val="0"/>
        </w:rPr>
        <w:t>رابعاً: قضاء المحكمة العليا استقر على أن الفقرة (ز) تهدف لحماية الذي صدر الحكم ضده ولم يكن ممثلاً تمثيلاً صحيحاً، سواء كان ذلك بسبب انعدام الأهلية، أو بسبب خلل في الوكالة، أو بسبب انعدام الصفة. والوالدة هنا، مع كل الذي أثير حول أهليتها وتمثيلها، وحكم التنفيذ بالإبراء الذي يكشف تناقض موقفها، كل هذا يثبت أنها ما كانت ممثلة تمثيلاً صحيحاً.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