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ضبط جلسة رقم 32 يوم 24-11-1444 هـ للقضية رقم 42824717.pdf</w:t>
      </w:r>
    </w:p>
    <w:p>
      <w:pPr>
        <w:jc w:val="right"/>
        <w:bidi/>
      </w:pPr>
      <w:r>
        <w:rPr>
          <w:b w:val="0"/>
          <w:i/>
          <w:color w:val="555555"/>
        </w:rPr>
        <w:t>الرقم: 110 | النوع: محضر | التاريخ: 24-11-1444 | القسم: ج. محاضر ضبط الجلسات (16 ملفاً)</w:t>
      </w:r>
    </w:p>
    <w:p>
      <w:pPr>
        <w:jc w:val="right"/>
        <w:bidi/>
      </w:pPr>
      <w:r>
        <w:rPr>
          <w:b w:val="0"/>
          <w:i/>
          <w:color w:val="0563C1"/>
        </w:rPr>
        <w:t>الرابط: https://drive.google.com/file/d/1Hlk0JCwwSrxBiXd78oSTPaPJ87i-jghB/view?usp=drivesdk</w:t>
      </w:r>
    </w:p>
    <w:p>
      <w:pPr>
        <w:jc w:val="right"/>
        <w:bidi/>
      </w:pPr>
      <w:r>
        <w:rPr>
          <w:b w:val="0"/>
          <w:i/>
        </w:rPr>
        <w:t>[مخرج آلي / Script Output - سماوي]  [مخرج آلي يحتاج مراجعة بشرية - وردي]</w:t>
      </w:r>
    </w:p>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31 - عدد الصفحات 5</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عبدالله سالم بلالي شائع، محمد فواز الثعلبي، سلطان ماجد ناصر القحطاني، سليمان السديري، عزام خوج، صالح اليامي، علي بن مشرف، رفيف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المذكرة المقدمة من المدعي وكالة المتضمنة (نصها): الإشارة إلى استيضاح الدائرة الموقرة لحكم التخارج المشار إليه الجلسة السابقة. وطلبها حيال وجه الاستدلال من خلال النظر، كما أكدنا مرارا وبدفوع سابقة أن قيمة شركة أحمد زيني التجارية / القيمة الحقيقية لحصص المورث أحمد الزيني (سجل 4030196102) مبلغ 372.426.828 ريال، وقيمة حصص المورث البالغة 90% من حصص الشركة مبلغ قدره 335,184,145 ريال. الطعن بتقرير الخبير المقدم سابقا. نقل الحصص وقت العقد المقدم من المدعى عليه إجراء غير شرعي وغير نظامي وحكمه العدم. عقد البيع باطل وتوقيع الموكل مزور، علاوة على قيمة بيع الحصص الزهيدة (450 ألف). يتمسك موكلي بتقرير المحاسب طلال أبو غزالة وشركاه (المنتدب من المحكمة) الذي تم التخارج بموجبه. الطلبات: أولا: الزام المدعى عليه بأن يدفع لموكلي عدنان مبلغ (97,762,042 ريال) ببطلان عقد البيع وإثبات قيمة الحصص السوقية. ثانيا: أن يدفع لموكلتي عاتقة الحرازي مبلغ (27,932,012 ريال) عن نصيبه من حصة والده. ثم تفصيل تعقيب وكيل المدعي على تناقض المدعى عليه: العقد المبرم بين موكلي والمورث بمبلغ (120,000,000) مائة وعشرون مليون ريال شهد عليه اثنان من الشهود العدل. الطعن بأهلية الوالد الشيخ احمد زيني (تقرير الصحة النفسية المقيدة 3216104 وتاريخ 22/02/1432)، وقضاء القاضي ابراهيم اليهيدان برد دعوى الغبن بالصك 33286392 وتاريخ 08/06/1433. توقيع المدعي على تعديل عقد تأسيس الشركة برقم توثيقة 130 مجلد 2/ع/9 رقم 185/17/2 لعام 1432 وبتاريخ 10/2/1434، وإبراء ذمة المدعى عليه. الإجراءات: تبادل المذكرات والتعقيب خلال 3 أيام عبر JED-COMM1@moj.gov.sa أو ناجز، حجم الملف لا يتجاوز 10 ميجابايت بصيغة PDF.</w:t>
      </w:r>
    </w:p>
    <w:p>
      <w:pPr>
        <w:jc w:val="right"/>
        <w:bidi/>
      </w:pPr>
      <w:r>
        <w:rPr>
          <w:b w:val="0"/>
          <w:i w:val="0"/>
        </w:rPr>
        <w:t>التواقيع: المدعي عدنان احمد عباس زيني / محامي طارق خلف الحارثي / محامي عبدالله سالم بلالي شائع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jc w:val="right"/>
        <w:bidi/>
      </w:pPr>
      <w:r>
        <w:rPr>
          <w:b w:val="0"/>
          <w:i w:val="0"/>
        </w:rPr>
        <w:t>[ملاحظة: عنوان الملف: ضبط جلسة رقم 32 يوم 24-11-1444 (المحضر الداخلي يشير للجلسة 31). نص مستخرج من PDF عربي معكوس الاتجاه. القضية 42824717.]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