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تذكرة تقديم طلب التماس إعادة نظر في القضية رقم (42824717) مقيد برقم (4611037394) وتاريخ 02/06/1446هـ ـ 02/06/1446هـ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https://drive.google.com/file/d/1lDpKxh0YAy1s338kYEkQkAH2O4EvcRbI/view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مذكرة قضائية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02/06/1446</w:t>
      </w:r>
    </w:p>
    <w:p>
      <w:pPr>
        <w:jc w:val="right"/>
        <w:bidi/>
      </w:pPr>
      <w:r>
        <w:rPr>
          <w:b/>
        </w:rPr>
        <w:t xml:space="preserve">الأطراف: </w:t>
      </w:r>
      <w:r>
        <w:t>أسامة زيني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[PDF text layer is OCR-garbled: the extracted content consists entirely of thousands of repeated reversed-glyph instances of the name "أسامة بن احمد بن عباس زيني" with no other recoverable readable text. Document title: مذكرة التماس في 02-06-1446 ـ الحجيلان ـ دعوى ضد الشيخ اسامة زيني ـ 42824717 (an iltimas/petition memorandum from the Al-Hujailan firm in case 42824717). The readable text layer could not be extracted.]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